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i w:val="0"/>
          <w:iCs w:val="0"/>
          <w:sz w:val="44"/>
          <w:szCs w:val="44"/>
        </w:rPr>
      </w:pPr>
      <w:bookmarkStart w:id="0" w:name="陆河县智慧停车项目重大行政决策草案起草说明"/>
      <w:bookmarkStart w:id="8" w:name="_GoBack"/>
      <w:bookmarkEnd w:id="8"/>
      <w:r>
        <w:rPr>
          <w:rFonts w:hint="eastAsia" w:ascii="宋体" w:hAnsi="宋体" w:eastAsia="宋体" w:cs="宋体"/>
          <w:i w:val="0"/>
          <w:iCs w:val="0"/>
          <w:sz w:val="44"/>
          <w:szCs w:val="44"/>
          <w:lang w:val="en-US" w:eastAsia="zh-CN"/>
        </w:rPr>
        <w:t>关于《</w:t>
      </w:r>
      <w:r>
        <w:rPr>
          <w:rFonts w:hint="eastAsia" w:ascii="宋体" w:hAnsi="宋体" w:eastAsia="宋体" w:cs="宋体"/>
          <w:i w:val="0"/>
          <w:iCs w:val="0"/>
          <w:sz w:val="44"/>
          <w:szCs w:val="44"/>
        </w:rPr>
        <w:t>陆河县智慧停车项目重大行政决策</w:t>
      </w:r>
    </w:p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i w:val="0"/>
          <w:iCs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sz w:val="44"/>
          <w:szCs w:val="44"/>
        </w:rPr>
        <w:t>草案</w:t>
      </w:r>
      <w:r>
        <w:rPr>
          <w:rFonts w:hint="eastAsia" w:ascii="宋体" w:hAnsi="宋体" w:eastAsia="宋体" w:cs="宋体"/>
          <w:i w:val="0"/>
          <w:iCs w:val="0"/>
          <w:sz w:val="44"/>
          <w:szCs w:val="44"/>
          <w:lang w:eastAsia="zh-CN"/>
        </w:rPr>
        <w:t>》</w:t>
      </w:r>
      <w:r>
        <w:rPr>
          <w:rFonts w:hint="eastAsia" w:ascii="宋体" w:hAnsi="宋体" w:eastAsia="宋体" w:cs="宋体"/>
          <w:i w:val="0"/>
          <w:iCs w:val="0"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i w:val="0"/>
          <w:iCs w:val="0"/>
          <w:sz w:val="44"/>
          <w:szCs w:val="44"/>
        </w:rPr>
        <w:t>起草说明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  <w:bookmarkStart w:id="1" w:name="一决策背景与必要性"/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一、决策背景与必要性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随着陆河县城镇化进程加速和机动车保有量持续增长，城区“停车难、管理乱、收费散”问题日益凸显，具体表现为：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）供需矛盾突出：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核心商圈、老旧小区、学校医院周边停车位缺口率达40%，高峰时段交通拥堵频发；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）管理手段滞后：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人工收费效率低、现金监管风险高，违停占道现象严重；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）资源利用不足：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现有公共车位周转率不足2次/日，远低于合理水平（5-8次/日）。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实施智慧停车项目，通过物联网+大数据实现车位智能调度、无感支付、差别化收费，是破解城市治理难题、提升公共服务效能的必然选择。</w:t>
      </w:r>
    </w:p>
    <w:bookmarkEnd w:id="1"/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bookmarkStart w:id="2" w:name="二决策依据"/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二、决策依据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）政策法规依据：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《国家新型城镇化规划（2021-2035年）》关于“推进智慧市政基础设施建设”要求；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《广东省数字政府改革建设“十四五”规划》中“智慧交通场景应用”部署；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《汕尾市城市公共停车管理条例》（2020年修订）相关条款。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）技术标准依据：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《城市道路路内停车泊位设置规范》（GA/T 1271-2020）；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《智慧城市 智能停车系统技术要求》（GB/T 38654-2020）。</w:t>
      </w:r>
    </w:p>
    <w:bookmarkEnd w:id="2"/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bookmarkStart w:id="3" w:name="三决策目标与原则"/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三、决策目标与原则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）核心目标：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建成覆盖城区5000+车位的智能管理平台，车位周转率提升至6次/日，平均寻位时间缩短至5分钟。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）实施原则：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公益优先：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首小时免费，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划分三类区域阶梯定价；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公平透明：收支纳入财政专户，定期审计公示；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eastAsia="zh-CN"/>
        </w:rPr>
        <w:t>协同治理：接入“粤治慧”平台，实现交警、城管数据联动。</w:t>
      </w:r>
    </w:p>
    <w:bookmarkEnd w:id="3"/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bookmarkStart w:id="4" w:name="四决策主要内容"/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四、决策主要内容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eastAsia="zh-CN"/>
        </w:rPr>
        <w:t>）建设框架</w:t>
      </w:r>
    </w:p>
    <w:tbl>
      <w:tblPr>
        <w:tblStyle w:val="21"/>
        <w:tblW w:w="4999" w:type="pct"/>
        <w:tblInd w:w="0" w:type="dxa"/>
        <w:tblBorders>
          <w:top w:val="single" w:color="C6CBD1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1"/>
        <w:gridCol w:w="6917"/>
      </w:tblGrid>
      <w:tr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169" w:type="pct"/>
            <w:tcBorders>
              <w:left w:val="single" w:color="C6CBD1" w:sz="6" w:space="0"/>
              <w:bottom w:val="single" w:color="C6CBD1" w:sz="6" w:space="0"/>
              <w:right w:val="single" w:color="C6CBD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模块</w:t>
            </w:r>
          </w:p>
        </w:tc>
        <w:tc>
          <w:tcPr>
            <w:tcW w:w="3830" w:type="pct"/>
            <w:tcBorders>
              <w:left w:val="single" w:color="C6CBD1" w:sz="6" w:space="0"/>
              <w:bottom w:val="single" w:color="C6CBD1" w:sz="6" w:space="0"/>
              <w:right w:val="single" w:color="C6CBD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9" w:type="pct"/>
            <w:tcBorders>
              <w:top w:val="single" w:color="C6CBD1" w:sz="6" w:space="0"/>
              <w:left w:val="single" w:color="C6CBD1" w:sz="6" w:space="0"/>
              <w:bottom w:val="single" w:color="C6CBD1" w:sz="6" w:space="0"/>
              <w:right w:val="single" w:color="C6CBD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智慧平台</w:t>
            </w:r>
          </w:p>
        </w:tc>
        <w:tc>
          <w:tcPr>
            <w:tcW w:w="3830" w:type="pct"/>
            <w:tcBorders>
              <w:top w:val="single" w:color="C6CBD1" w:sz="6" w:space="0"/>
              <w:left w:val="single" w:color="C6CBD1" w:sz="6" w:space="0"/>
              <w:bottom w:val="single" w:color="C6CBD1" w:sz="6" w:space="0"/>
              <w:right w:val="single" w:color="C6CBD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全县停车资源“一张图”管理</w:t>
            </w:r>
          </w:p>
        </w:tc>
      </w:tr>
      <w:tr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9" w:type="pct"/>
            <w:tcBorders>
              <w:top w:val="single" w:color="C6CBD1" w:sz="6" w:space="0"/>
              <w:left w:val="single" w:color="C6CBD1" w:sz="6" w:space="0"/>
              <w:bottom w:val="single" w:color="C6CBD1" w:sz="6" w:space="0"/>
              <w:right w:val="single" w:color="C6CBD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硬件设施</w:t>
            </w:r>
          </w:p>
        </w:tc>
        <w:tc>
          <w:tcPr>
            <w:tcW w:w="3830" w:type="pct"/>
            <w:tcBorders>
              <w:top w:val="single" w:color="C6CBD1" w:sz="6" w:space="0"/>
              <w:left w:val="single" w:color="C6CBD1" w:sz="6" w:space="0"/>
              <w:bottom w:val="single" w:color="C6CBD1" w:sz="6" w:space="0"/>
              <w:right w:val="single" w:color="C6CBD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高位视频桩+地磁感应器</w:t>
            </w:r>
          </w:p>
        </w:tc>
      </w:tr>
      <w:tr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9" w:type="pct"/>
            <w:tcBorders>
              <w:top w:val="single" w:color="C6CBD1" w:sz="6" w:space="0"/>
              <w:left w:val="single" w:color="C6CBD1" w:sz="6" w:space="0"/>
              <w:bottom w:val="single" w:color="C6CBD1" w:sz="6" w:space="0"/>
              <w:right w:val="single" w:color="C6CBD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服务终端</w:t>
            </w:r>
          </w:p>
        </w:tc>
        <w:tc>
          <w:tcPr>
            <w:tcW w:w="3830" w:type="pct"/>
            <w:tcBorders>
              <w:top w:val="single" w:color="C6CBD1" w:sz="6" w:space="0"/>
              <w:left w:val="single" w:color="C6CBD1" w:sz="6" w:space="0"/>
              <w:bottom w:val="single" w:color="C6CBD1" w:sz="6" w:space="0"/>
              <w:right w:val="single" w:color="C6CBD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“陆河易行”APP/小程序无感支付</w:t>
            </w:r>
          </w:p>
        </w:tc>
      </w:tr>
      <w:tr>
        <w:tblPrEx>
          <w:tblBorders>
            <w:top w:val="single" w:color="C6CBD1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69" w:type="pct"/>
            <w:tcBorders>
              <w:top w:val="single" w:color="C6CBD1" w:sz="6" w:space="0"/>
              <w:left w:val="single" w:color="C6CBD1" w:sz="6" w:space="0"/>
              <w:bottom w:val="single" w:color="C6CBD1" w:sz="6" w:space="0"/>
              <w:right w:val="single" w:color="C6CBD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配套系统</w:t>
            </w:r>
          </w:p>
        </w:tc>
        <w:tc>
          <w:tcPr>
            <w:tcW w:w="3830" w:type="pct"/>
            <w:tcBorders>
              <w:top w:val="single" w:color="C6CBD1" w:sz="6" w:space="0"/>
              <w:left w:val="single" w:color="C6CBD1" w:sz="6" w:space="0"/>
              <w:bottom w:val="single" w:color="C6CBD1" w:sz="6" w:space="0"/>
              <w:right w:val="single" w:color="C6CBD1" w:sz="6" w:space="0"/>
            </w:tcBorders>
            <w:shd w:val="clear" w:color="auto" w:fill="auto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违停AI识别、新能源车专属充电区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</w:tabs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 w:bidi="ar-SA"/>
        </w:rPr>
        <w:t>（二）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</w:rPr>
        <w:t>收费机制设计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1.差异化定价系策略：以发改（物价）部门审定为准。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2.特殊减免：残疾人车辆、应急车辆免费。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3.资金保障方案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项目（一期）总投资估算：6000万元，拟通过社会资本或社会资本和地方财政共同筹集建设资金。</w:t>
      </w:r>
    </w:p>
    <w:bookmarkEnd w:id="4"/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bookmarkStart w:id="5" w:name="五风险防控措施"/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五、风险防控措施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（一）社会稳定风险：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设置3个月过渡期，在过渡期内实行半价优惠，以培育用户习惯；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（二）数据安全风险：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通过粤澳先进密码实验室进行系统加密，符合《个人信息保护法》要求；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（三）就业安置风险：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优先转岗10名以上原人工收费员至车位巡检、客服岗位。</w:t>
      </w:r>
    </w:p>
    <w:bookmarkEnd w:id="5"/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bookmarkStart w:id="6" w:name="六履行决策程序情况"/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六、履行决策程序情况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sz w:val="32"/>
          <w:szCs w:val="32"/>
          <w:lang w:val="en-US" w:eastAsia="zh-CN"/>
        </w:rPr>
        <w:t>（一）前置程序：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1.完成可行性研究报告；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2.通过专家论证会（交通运输专业5名高级专家参与）形成优化建议。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3.合法性审查：县司法局出具无抵触法律法规审查意见书。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4.公平竞争审查：未设定排他性技术标准，符合市场公平原则。</w:t>
      </w:r>
    </w:p>
    <w:bookmarkEnd w:id="6"/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bookmarkStart w:id="7" w:name="七提请审议事项"/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七、提请审议事项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（一）草案文本审议及修改意见。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（二）县政府授权单位与中标企业签订特许经营协议。</w:t>
      </w:r>
    </w:p>
    <w:p>
      <w:pPr>
        <w:pStyle w:val="28"/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/>
        </w:rPr>
        <w:t>（三）批准启动财政承受能力论证程序。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 w:bidi="ar-SA"/>
        </w:rPr>
      </w:pPr>
    </w:p>
    <w:p>
      <w:pPr>
        <w:pStyle w:val="2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 w:bidi="ar-SA"/>
        </w:rPr>
        <w:t>起草单位：陆河县住房和城乡建设局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32"/>
          <w:lang w:val="en-US" w:eastAsia="zh-CN" w:bidi="ar-SA"/>
        </w:rPr>
        <w:t xml:space="preserve">日期：2025年7月11日      </w:t>
      </w:r>
    </w:p>
    <w:bookmarkEnd w:id="0"/>
    <w:bookmarkEnd w:id="7"/>
    <w:sectPr>
      <w:footerReference r:id="rId4" w:type="default"/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NotTrackMoves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306FCB"/>
    <w:rsid w:val="0B84224B"/>
    <w:rsid w:val="12236F4E"/>
    <w:rsid w:val="1340747B"/>
    <w:rsid w:val="1DBE10C0"/>
    <w:rsid w:val="203942EC"/>
    <w:rsid w:val="20A830D3"/>
    <w:rsid w:val="22CA1734"/>
    <w:rsid w:val="2A0F5990"/>
    <w:rsid w:val="2E083FA9"/>
    <w:rsid w:val="32051EDE"/>
    <w:rsid w:val="325E3619"/>
    <w:rsid w:val="360A6FB9"/>
    <w:rsid w:val="3C066D05"/>
    <w:rsid w:val="3C1F4887"/>
    <w:rsid w:val="4090365D"/>
    <w:rsid w:val="43483E86"/>
    <w:rsid w:val="434C41B3"/>
    <w:rsid w:val="43D17451"/>
    <w:rsid w:val="441F059D"/>
    <w:rsid w:val="44220155"/>
    <w:rsid w:val="47FD5CB7"/>
    <w:rsid w:val="48AC05C9"/>
    <w:rsid w:val="49FC7FB5"/>
    <w:rsid w:val="549518D3"/>
    <w:rsid w:val="56D51DDC"/>
    <w:rsid w:val="59705BAE"/>
    <w:rsid w:val="5BA65FD3"/>
    <w:rsid w:val="5D995DEF"/>
    <w:rsid w:val="65981FF6"/>
    <w:rsid w:val="693D7F76"/>
    <w:rsid w:val="6FB01F2D"/>
    <w:rsid w:val="72086C48"/>
    <w:rsid w:val="74350C36"/>
    <w:rsid w:val="74650381"/>
    <w:rsid w:val="74EF4777"/>
    <w:rsid w:val="788159C2"/>
    <w:rsid w:val="7C8C4FE5"/>
    <w:rsid w:val="7E8D0C00"/>
    <w:rsid w:val="7F354B67"/>
    <w:rsid w:val="7FA5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" w:semiHidden="0" w:name="footnote text"/>
    <w:lsdException w:uiPriority="0" w:name="annotation text"/>
    <w:lsdException w:qFormat="1" w:uiPriority="0" w:name="header"/>
    <w:lsdException w:qFormat="1"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nhideWhenUsed="0" w:uiPriority="0" w:semiHidden="0" w:name="List 5"/>
    <w:lsdException w:uiPriority="0" w:name="List Bullet 2"/>
    <w:lsdException w:uiPriority="0" w:name="List Bullet 3"/>
    <w:lsdException w:unhideWhenUsed="0" w:uiPriority="0" w:semiHidden="0" w:name="List Bullet 4"/>
    <w:lsdException w:unhideWhenUsed="0" w:uiPriority="0" w:semiHidden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iPriority="0" w:name="Body Text Indent 2"/>
    <w:lsdException w:uiPriority="0" w:name="Body Text Indent 3"/>
    <w:lsdException w:qFormat="1" w:uiPriority="9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2"/>
    <w:basedOn w:val="1"/>
    <w:next w:val="1"/>
    <w:link w:val="7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5">
    <w:name w:val="heading 3"/>
    <w:basedOn w:val="1"/>
    <w:next w:val="2"/>
    <w:autoRedefine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6">
    <w:name w:val="heading 4"/>
    <w:basedOn w:val="1"/>
    <w:next w:val="2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Cs/>
      <w:i/>
    </w:rPr>
  </w:style>
  <w:style w:type="paragraph" w:styleId="7">
    <w:name w:val="heading 5"/>
    <w:basedOn w:val="1"/>
    <w:next w:val="2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iCs/>
    </w:rPr>
  </w:style>
  <w:style w:type="paragraph" w:styleId="8">
    <w:name w:val="heading 6"/>
    <w:basedOn w:val="1"/>
    <w:next w:val="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</w:rPr>
  </w:style>
  <w:style w:type="paragraph" w:styleId="9">
    <w:name w:val="heading 7"/>
    <w:basedOn w:val="1"/>
    <w:next w:val="2"/>
    <w:autoRedefine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</w:rPr>
  </w:style>
  <w:style w:type="paragraph" w:styleId="10">
    <w:name w:val="heading 8"/>
    <w:basedOn w:val="1"/>
    <w:next w:val="2"/>
    <w:autoRedefine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</w:rPr>
  </w:style>
  <w:style w:type="paragraph" w:styleId="11">
    <w:name w:val="heading 9"/>
    <w:basedOn w:val="1"/>
    <w:next w:val="2"/>
    <w:autoRedefine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before="180" w:after="180"/>
    </w:pPr>
  </w:style>
  <w:style w:type="paragraph" w:styleId="12">
    <w:name w:val="caption"/>
    <w:basedOn w:val="1"/>
    <w:next w:val="1"/>
    <w:link w:val="25"/>
    <w:autoRedefine/>
    <w:qFormat/>
    <w:uiPriority w:val="0"/>
    <w:pPr>
      <w:spacing w:after="120"/>
    </w:pPr>
    <w:rPr>
      <w:i/>
    </w:rPr>
  </w:style>
  <w:style w:type="paragraph" w:styleId="13">
    <w:name w:val="Block Text"/>
    <w:basedOn w:val="2"/>
    <w:next w:val="2"/>
    <w:autoRedefine/>
    <w:unhideWhenUsed/>
    <w:qFormat/>
    <w:uiPriority w:val="9"/>
    <w:pPr>
      <w:spacing w:before="100" w:after="100"/>
      <w:ind w:left="480" w:right="480"/>
    </w:pPr>
  </w:style>
  <w:style w:type="paragraph" w:styleId="14">
    <w:name w:val="Date"/>
    <w:next w:val="2"/>
    <w:autoRedefine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15">
    <w:name w:val="footer"/>
    <w:basedOn w:val="1"/>
    <w:autoRedefine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1"/>
    <w:autoRedefine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7">
    <w:name w:val="Subtitle"/>
    <w:basedOn w:val="18"/>
    <w:next w:val="2"/>
    <w:autoRedefine/>
    <w:qFormat/>
    <w:uiPriority w:val="0"/>
    <w:pPr>
      <w:spacing w:before="240"/>
    </w:pPr>
    <w:rPr>
      <w:sz w:val="30"/>
      <w:szCs w:val="30"/>
    </w:rPr>
  </w:style>
  <w:style w:type="paragraph" w:styleId="18">
    <w:name w:val="Title"/>
    <w:basedOn w:val="1"/>
    <w:next w:val="2"/>
    <w:autoRedefine/>
    <w:qFormat/>
    <w:uiPriority w:val="0"/>
    <w:pPr>
      <w:keepNext/>
      <w:keepLines/>
      <w:spacing w:before="480" w:after="240"/>
      <w:jc w:val="center"/>
    </w:pPr>
    <w:rPr>
      <w:rFonts w:asciiTheme="majorHAnsi" w:hAnsiTheme="majorHAnsi" w:eastAsiaTheme="majorEastAsia" w:cstheme="majorBidi"/>
      <w:b/>
      <w:bCs/>
      <w:color w:val="345B8A" w:themeColor="accent1" w:themeShade="B5"/>
      <w:sz w:val="36"/>
      <w:szCs w:val="36"/>
    </w:rPr>
  </w:style>
  <w:style w:type="paragraph" w:styleId="19">
    <w:name w:val="footnote text"/>
    <w:basedOn w:val="1"/>
    <w:autoRedefine/>
    <w:unhideWhenUsed/>
    <w:qFormat/>
    <w:uiPriority w:val="9"/>
  </w:style>
  <w:style w:type="paragraph" w:styleId="20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3">
    <w:name w:val="Strong"/>
    <w:basedOn w:val="22"/>
    <w:autoRedefine/>
    <w:qFormat/>
    <w:uiPriority w:val="0"/>
    <w:rPr>
      <w:b/>
    </w:rPr>
  </w:style>
  <w:style w:type="character" w:styleId="24">
    <w:name w:val="Hyperlink"/>
    <w:basedOn w:val="25"/>
    <w:autoRedefine/>
    <w:qFormat/>
    <w:uiPriority w:val="0"/>
    <w:rPr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5">
    <w:name w:val="题注 字符"/>
    <w:basedOn w:val="22"/>
    <w:link w:val="12"/>
    <w:autoRedefine/>
    <w:qFormat/>
    <w:uiPriority w:val="0"/>
  </w:style>
  <w:style w:type="character" w:styleId="26">
    <w:name w:val="footnote reference"/>
    <w:basedOn w:val="25"/>
    <w:autoRedefine/>
    <w:qFormat/>
    <w:uiPriority w:val="0"/>
    <w:rPr>
      <w:vertAlign w:val="superscript"/>
    </w:rPr>
  </w:style>
  <w:style w:type="paragraph" w:customStyle="1" w:styleId="27">
    <w:name w:val="First Paragraph"/>
    <w:basedOn w:val="2"/>
    <w:next w:val="2"/>
    <w:autoRedefine/>
    <w:qFormat/>
    <w:uiPriority w:val="0"/>
  </w:style>
  <w:style w:type="paragraph" w:customStyle="1" w:styleId="28">
    <w:name w:val="Compact"/>
    <w:basedOn w:val="2"/>
    <w:qFormat/>
    <w:uiPriority w:val="0"/>
    <w:pPr>
      <w:spacing w:before="36" w:after="36"/>
    </w:pPr>
  </w:style>
  <w:style w:type="paragraph" w:customStyle="1" w:styleId="29">
    <w:name w:val="Author"/>
    <w:next w:val="2"/>
    <w:autoRedefine/>
    <w:qFormat/>
    <w:uiPriority w:val="0"/>
    <w:pPr>
      <w:keepNext/>
      <w:keepLines/>
      <w:spacing w:after="200"/>
      <w:jc w:val="center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customStyle="1" w:styleId="30">
    <w:name w:val="Abstract"/>
    <w:basedOn w:val="1"/>
    <w:next w:val="2"/>
    <w:autoRedefine/>
    <w:qFormat/>
    <w:uiPriority w:val="0"/>
    <w:pPr>
      <w:keepNext/>
      <w:keepLines/>
      <w:spacing w:before="300" w:after="300"/>
    </w:pPr>
    <w:rPr>
      <w:sz w:val="20"/>
      <w:szCs w:val="20"/>
    </w:rPr>
  </w:style>
  <w:style w:type="paragraph" w:customStyle="1" w:styleId="31">
    <w:name w:val="书目1"/>
    <w:basedOn w:val="1"/>
    <w:qFormat/>
    <w:uiPriority w:val="0"/>
  </w:style>
  <w:style w:type="table" w:customStyle="1" w:styleId="32">
    <w:name w:val="Table"/>
    <w:autoRedefine/>
    <w:semiHidden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3">
    <w:name w:val="Definition Term"/>
    <w:basedOn w:val="1"/>
    <w:next w:val="34"/>
    <w:qFormat/>
    <w:uiPriority w:val="0"/>
    <w:pPr>
      <w:keepNext/>
      <w:keepLines/>
      <w:spacing w:after="0"/>
    </w:pPr>
    <w:rPr>
      <w:b/>
    </w:rPr>
  </w:style>
  <w:style w:type="paragraph" w:customStyle="1" w:styleId="34">
    <w:name w:val="Definition"/>
    <w:basedOn w:val="1"/>
    <w:qFormat/>
    <w:uiPriority w:val="0"/>
  </w:style>
  <w:style w:type="paragraph" w:customStyle="1" w:styleId="35">
    <w:name w:val="Table Caption"/>
    <w:basedOn w:val="12"/>
    <w:autoRedefine/>
    <w:qFormat/>
    <w:uiPriority w:val="0"/>
    <w:pPr>
      <w:keepNext/>
    </w:pPr>
  </w:style>
  <w:style w:type="paragraph" w:customStyle="1" w:styleId="36">
    <w:name w:val="Image Caption"/>
    <w:basedOn w:val="12"/>
    <w:autoRedefine/>
    <w:qFormat/>
    <w:uiPriority w:val="0"/>
  </w:style>
  <w:style w:type="paragraph" w:customStyle="1" w:styleId="37">
    <w:name w:val="Figure"/>
    <w:basedOn w:val="1"/>
    <w:qFormat/>
    <w:uiPriority w:val="0"/>
  </w:style>
  <w:style w:type="paragraph" w:customStyle="1" w:styleId="38">
    <w:name w:val="Captioned Figure"/>
    <w:basedOn w:val="37"/>
    <w:autoRedefine/>
    <w:qFormat/>
    <w:uiPriority w:val="0"/>
    <w:pPr>
      <w:keepNext/>
    </w:pPr>
  </w:style>
  <w:style w:type="character" w:customStyle="1" w:styleId="39">
    <w:name w:val="Verbatim Char"/>
    <w:basedOn w:val="25"/>
    <w:link w:val="40"/>
    <w:qFormat/>
    <w:uiPriority w:val="0"/>
    <w:rPr>
      <w:rFonts w:ascii="Consolas" w:hAnsi="Consolas"/>
      <w:sz w:val="22"/>
    </w:rPr>
  </w:style>
  <w:style w:type="paragraph" w:customStyle="1" w:styleId="40">
    <w:name w:val="Source Code"/>
    <w:basedOn w:val="1"/>
    <w:link w:val="39"/>
    <w:autoRedefine/>
    <w:qFormat/>
    <w:uiPriority w:val="0"/>
    <w:pPr>
      <w:wordWrap w:val="0"/>
    </w:pPr>
  </w:style>
  <w:style w:type="character" w:customStyle="1" w:styleId="41">
    <w:name w:val="Section Number"/>
    <w:basedOn w:val="25"/>
    <w:qFormat/>
    <w:uiPriority w:val="0"/>
  </w:style>
  <w:style w:type="paragraph" w:customStyle="1" w:styleId="42">
    <w:name w:val="TOC 标题1"/>
    <w:basedOn w:val="3"/>
    <w:next w:val="2"/>
    <w:unhideWhenUsed/>
    <w:qFormat/>
    <w:uiPriority w:val="39"/>
    <w:pPr>
      <w:spacing w:before="240" w:line="259" w:lineRule="auto"/>
      <w:outlineLvl w:val="9"/>
    </w:pPr>
    <w:rPr>
      <w:b w:val="0"/>
      <w:bCs w:val="0"/>
      <w:color w:val="376092" w:themeColor="accent1" w:themeShade="BF"/>
    </w:rPr>
  </w:style>
  <w:style w:type="character" w:customStyle="1" w:styleId="43">
    <w:name w:val="KeywordTok"/>
    <w:basedOn w:val="39"/>
    <w:qFormat/>
    <w:uiPriority w:val="0"/>
    <w:rPr>
      <w:rFonts w:ascii="Consolas" w:hAnsi="Consolas"/>
      <w:b/>
      <w:color w:val="007020"/>
      <w:sz w:val="22"/>
    </w:rPr>
  </w:style>
  <w:style w:type="character" w:customStyle="1" w:styleId="44">
    <w:name w:val="DataTypeTok"/>
    <w:basedOn w:val="39"/>
    <w:autoRedefine/>
    <w:qFormat/>
    <w:uiPriority w:val="0"/>
    <w:rPr>
      <w:rFonts w:ascii="Consolas" w:hAnsi="Consolas"/>
      <w:color w:val="902000"/>
      <w:sz w:val="22"/>
    </w:rPr>
  </w:style>
  <w:style w:type="character" w:customStyle="1" w:styleId="45">
    <w:name w:val="DecValTok"/>
    <w:basedOn w:val="39"/>
    <w:autoRedefine/>
    <w:qFormat/>
    <w:uiPriority w:val="0"/>
    <w:rPr>
      <w:rFonts w:ascii="Consolas" w:hAnsi="Consolas"/>
      <w:color w:val="40A070"/>
      <w:sz w:val="22"/>
    </w:rPr>
  </w:style>
  <w:style w:type="character" w:customStyle="1" w:styleId="46">
    <w:name w:val="BaseNTok"/>
    <w:basedOn w:val="39"/>
    <w:qFormat/>
    <w:uiPriority w:val="0"/>
    <w:rPr>
      <w:rFonts w:ascii="Consolas" w:hAnsi="Consolas"/>
      <w:color w:val="40A070"/>
      <w:sz w:val="22"/>
    </w:rPr>
  </w:style>
  <w:style w:type="character" w:customStyle="1" w:styleId="47">
    <w:name w:val="FloatTok"/>
    <w:basedOn w:val="39"/>
    <w:uiPriority w:val="0"/>
    <w:rPr>
      <w:rFonts w:ascii="Consolas" w:hAnsi="Consolas"/>
      <w:color w:val="40A070"/>
      <w:sz w:val="22"/>
    </w:rPr>
  </w:style>
  <w:style w:type="character" w:customStyle="1" w:styleId="48">
    <w:name w:val="ConstantTok"/>
    <w:basedOn w:val="39"/>
    <w:autoRedefine/>
    <w:qFormat/>
    <w:uiPriority w:val="0"/>
    <w:rPr>
      <w:rFonts w:ascii="Consolas" w:hAnsi="Consolas"/>
      <w:color w:val="880000"/>
      <w:sz w:val="22"/>
    </w:rPr>
  </w:style>
  <w:style w:type="character" w:customStyle="1" w:styleId="49">
    <w:name w:val="CharTok"/>
    <w:basedOn w:val="39"/>
    <w:qFormat/>
    <w:uiPriority w:val="0"/>
    <w:rPr>
      <w:rFonts w:ascii="Consolas" w:hAnsi="Consolas"/>
      <w:color w:val="4070A0"/>
      <w:sz w:val="22"/>
    </w:rPr>
  </w:style>
  <w:style w:type="character" w:customStyle="1" w:styleId="50">
    <w:name w:val="SpecialCharTok"/>
    <w:basedOn w:val="39"/>
    <w:qFormat/>
    <w:uiPriority w:val="0"/>
    <w:rPr>
      <w:rFonts w:ascii="Consolas" w:hAnsi="Consolas"/>
      <w:color w:val="4070A0"/>
      <w:sz w:val="22"/>
    </w:rPr>
  </w:style>
  <w:style w:type="character" w:customStyle="1" w:styleId="51">
    <w:name w:val="StringTok"/>
    <w:basedOn w:val="39"/>
    <w:autoRedefine/>
    <w:qFormat/>
    <w:uiPriority w:val="0"/>
    <w:rPr>
      <w:rFonts w:ascii="Consolas" w:hAnsi="Consolas"/>
      <w:color w:val="4070A0"/>
      <w:sz w:val="22"/>
    </w:rPr>
  </w:style>
  <w:style w:type="character" w:customStyle="1" w:styleId="52">
    <w:name w:val="VerbatimStringTok"/>
    <w:basedOn w:val="39"/>
    <w:autoRedefine/>
    <w:qFormat/>
    <w:uiPriority w:val="0"/>
    <w:rPr>
      <w:rFonts w:ascii="Consolas" w:hAnsi="Consolas"/>
      <w:color w:val="4070A0"/>
      <w:sz w:val="22"/>
    </w:rPr>
  </w:style>
  <w:style w:type="character" w:customStyle="1" w:styleId="53">
    <w:name w:val="SpecialStringTok"/>
    <w:basedOn w:val="39"/>
    <w:qFormat/>
    <w:uiPriority w:val="0"/>
    <w:rPr>
      <w:rFonts w:ascii="Consolas" w:hAnsi="Consolas"/>
      <w:color w:val="BB6688"/>
      <w:sz w:val="22"/>
    </w:rPr>
  </w:style>
  <w:style w:type="character" w:customStyle="1" w:styleId="54">
    <w:name w:val="ImportTok"/>
    <w:basedOn w:val="39"/>
    <w:qFormat/>
    <w:uiPriority w:val="0"/>
    <w:rPr>
      <w:rFonts w:ascii="Consolas" w:hAnsi="Consolas"/>
      <w:b/>
      <w:color w:val="008000"/>
      <w:sz w:val="22"/>
    </w:rPr>
  </w:style>
  <w:style w:type="character" w:customStyle="1" w:styleId="55">
    <w:name w:val="CommentTok"/>
    <w:basedOn w:val="39"/>
    <w:qFormat/>
    <w:uiPriority w:val="0"/>
    <w:rPr>
      <w:rFonts w:ascii="Consolas" w:hAnsi="Consolas"/>
      <w:i/>
      <w:color w:val="60A0B0"/>
      <w:sz w:val="22"/>
    </w:rPr>
  </w:style>
  <w:style w:type="character" w:customStyle="1" w:styleId="56">
    <w:name w:val="DocumentationTok"/>
    <w:basedOn w:val="39"/>
    <w:qFormat/>
    <w:uiPriority w:val="0"/>
    <w:rPr>
      <w:rFonts w:ascii="Consolas" w:hAnsi="Consolas"/>
      <w:i/>
      <w:color w:val="BA2121"/>
      <w:sz w:val="22"/>
    </w:rPr>
  </w:style>
  <w:style w:type="character" w:customStyle="1" w:styleId="57">
    <w:name w:val="AnnotationTok"/>
    <w:basedOn w:val="39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8">
    <w:name w:val="CommentVarTok"/>
    <w:basedOn w:val="39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59">
    <w:name w:val="OtherTok"/>
    <w:basedOn w:val="39"/>
    <w:qFormat/>
    <w:uiPriority w:val="0"/>
    <w:rPr>
      <w:rFonts w:ascii="Consolas" w:hAnsi="Consolas"/>
      <w:color w:val="007020"/>
      <w:sz w:val="22"/>
    </w:rPr>
  </w:style>
  <w:style w:type="character" w:customStyle="1" w:styleId="60">
    <w:name w:val="FunctionTok"/>
    <w:basedOn w:val="39"/>
    <w:qFormat/>
    <w:uiPriority w:val="0"/>
    <w:rPr>
      <w:rFonts w:ascii="Consolas" w:hAnsi="Consolas"/>
      <w:color w:val="06287E"/>
      <w:sz w:val="22"/>
    </w:rPr>
  </w:style>
  <w:style w:type="character" w:customStyle="1" w:styleId="61">
    <w:name w:val="VariableTok"/>
    <w:basedOn w:val="39"/>
    <w:qFormat/>
    <w:uiPriority w:val="0"/>
    <w:rPr>
      <w:rFonts w:ascii="Consolas" w:hAnsi="Consolas"/>
      <w:color w:val="19177C"/>
      <w:sz w:val="22"/>
    </w:rPr>
  </w:style>
  <w:style w:type="character" w:customStyle="1" w:styleId="62">
    <w:name w:val="ControlFlowTok"/>
    <w:basedOn w:val="39"/>
    <w:qFormat/>
    <w:uiPriority w:val="0"/>
    <w:rPr>
      <w:rFonts w:ascii="Consolas" w:hAnsi="Consolas"/>
      <w:b/>
      <w:color w:val="007020"/>
      <w:sz w:val="22"/>
    </w:rPr>
  </w:style>
  <w:style w:type="character" w:customStyle="1" w:styleId="63">
    <w:name w:val="OperatorTok"/>
    <w:basedOn w:val="39"/>
    <w:qFormat/>
    <w:uiPriority w:val="0"/>
    <w:rPr>
      <w:rFonts w:ascii="Consolas" w:hAnsi="Consolas"/>
      <w:color w:val="666666"/>
      <w:sz w:val="22"/>
    </w:rPr>
  </w:style>
  <w:style w:type="character" w:customStyle="1" w:styleId="64">
    <w:name w:val="BuiltInTok"/>
    <w:basedOn w:val="39"/>
    <w:qFormat/>
    <w:uiPriority w:val="0"/>
    <w:rPr>
      <w:rFonts w:ascii="Consolas" w:hAnsi="Consolas"/>
      <w:color w:val="008000"/>
      <w:sz w:val="22"/>
    </w:rPr>
  </w:style>
  <w:style w:type="character" w:customStyle="1" w:styleId="65">
    <w:name w:val="ExtensionTok"/>
    <w:basedOn w:val="39"/>
    <w:autoRedefine/>
    <w:qFormat/>
    <w:uiPriority w:val="0"/>
    <w:rPr>
      <w:rFonts w:ascii="Consolas" w:hAnsi="Consolas"/>
      <w:sz w:val="22"/>
    </w:rPr>
  </w:style>
  <w:style w:type="character" w:customStyle="1" w:styleId="66">
    <w:name w:val="PreprocessorTok"/>
    <w:basedOn w:val="39"/>
    <w:qFormat/>
    <w:uiPriority w:val="0"/>
    <w:rPr>
      <w:rFonts w:ascii="Consolas" w:hAnsi="Consolas"/>
      <w:color w:val="BC7A00"/>
      <w:sz w:val="22"/>
    </w:rPr>
  </w:style>
  <w:style w:type="character" w:customStyle="1" w:styleId="67">
    <w:name w:val="AttributeTok"/>
    <w:basedOn w:val="39"/>
    <w:qFormat/>
    <w:uiPriority w:val="0"/>
    <w:rPr>
      <w:rFonts w:ascii="Consolas" w:hAnsi="Consolas"/>
      <w:color w:val="7D9029"/>
      <w:sz w:val="22"/>
    </w:rPr>
  </w:style>
  <w:style w:type="character" w:customStyle="1" w:styleId="68">
    <w:name w:val="RegionMarkerTok"/>
    <w:basedOn w:val="39"/>
    <w:qFormat/>
    <w:uiPriority w:val="0"/>
    <w:rPr>
      <w:rFonts w:ascii="Consolas" w:hAnsi="Consolas"/>
      <w:sz w:val="22"/>
    </w:rPr>
  </w:style>
  <w:style w:type="character" w:customStyle="1" w:styleId="69">
    <w:name w:val="InformationTok"/>
    <w:basedOn w:val="39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70">
    <w:name w:val="WarningTok"/>
    <w:basedOn w:val="39"/>
    <w:qFormat/>
    <w:uiPriority w:val="0"/>
    <w:rPr>
      <w:rFonts w:ascii="Consolas" w:hAnsi="Consolas"/>
      <w:b/>
      <w:i/>
      <w:color w:val="60A0B0"/>
      <w:sz w:val="22"/>
    </w:rPr>
  </w:style>
  <w:style w:type="character" w:customStyle="1" w:styleId="71">
    <w:name w:val="AlertTok"/>
    <w:basedOn w:val="39"/>
    <w:qFormat/>
    <w:uiPriority w:val="0"/>
    <w:rPr>
      <w:rFonts w:ascii="Consolas" w:hAnsi="Consolas"/>
      <w:b/>
      <w:color w:val="FF0000"/>
      <w:sz w:val="22"/>
    </w:rPr>
  </w:style>
  <w:style w:type="character" w:customStyle="1" w:styleId="72">
    <w:name w:val="ErrorTok"/>
    <w:basedOn w:val="39"/>
    <w:qFormat/>
    <w:uiPriority w:val="0"/>
    <w:rPr>
      <w:rFonts w:ascii="Consolas" w:hAnsi="Consolas"/>
      <w:b/>
      <w:color w:val="FF0000"/>
      <w:sz w:val="22"/>
    </w:rPr>
  </w:style>
  <w:style w:type="character" w:customStyle="1" w:styleId="73">
    <w:name w:val="NormalTok"/>
    <w:basedOn w:val="39"/>
    <w:qFormat/>
    <w:uiPriority w:val="0"/>
    <w:rPr>
      <w:rFonts w:ascii="Consolas" w:hAnsi="Consolas"/>
      <w:sz w:val="22"/>
    </w:rPr>
  </w:style>
  <w:style w:type="character" w:customStyle="1" w:styleId="74">
    <w:name w:val="标题 2 Char"/>
    <w:link w:val="4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2154</Words>
  <Characters>2261</Characters>
  <Lines>9</Lines>
  <Paragraphs>2</Paragraphs>
  <TotalTime>8</TotalTime>
  <ScaleCrop>false</ScaleCrop>
  <LinksUpToDate>false</LinksUpToDate>
  <CharactersWithSpaces>2301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2025-07-11T09:48:00Z</dcterms:created>
  <dc:creator>老虎巡山</dc:creator>
  <cp:lastModifiedBy>Administrator</cp:lastModifiedBy>
  <dcterms:modified xsi:type="dcterms:W3CDTF">2025-07-12T11:19:11Z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eyJoZGlkIjoiNDNlNTZlNzBmMTY5YmEzZDNkNWY1ZjZkYmUwOTAyMzQiLCJ1c2VySWQiOiI0OTMyMzc5MjAifQ==</vt:lpwstr>
  </property>
  <property fmtid="{D5CDD505-2E9C-101B-9397-08002B2CF9AE}" pid="3" name="KSOProductBuildVer">
    <vt:lpwstr>2052-12.1.0.16250</vt:lpwstr>
  </property>
  <property fmtid="{D5CDD505-2E9C-101B-9397-08002B2CF9AE}" pid="4" name="ICV">
    <vt:lpwstr>5A366B11F351429697595283B86766D4_13</vt:lpwstr>
  </property>
</Properties>
</file>