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广东陆河抽水蓄能电站项目征地拆迁补偿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保障广东陆河抽水蓄能电站项目建设工程用地，妥善处理好国家、集体、农民的利益关系，确保该项目征地拆迁、青赔工作顺利实施，根据《中华人民共和国土地管理法》《广东省实施〈中华人民共和国土地管理法〉办法》《汕尾市人民政府关于公布实施汕尾市征收农用地区片综合地价的公告》等法律法规及参考</w:t>
      </w:r>
      <w:r>
        <w:rPr>
          <w:rFonts w:hint="eastAsia" w:ascii="仿宋_GB2312" w:hAnsi="仿宋_GB2312" w:eastAsia="仿宋_GB2312" w:cs="仿宋_GB2312"/>
          <w:b w:val="0"/>
          <w:bCs w:val="0"/>
          <w:color w:val="auto"/>
          <w:sz w:val="32"/>
          <w:szCs w:val="32"/>
          <w:highlight w:val="none"/>
          <w:u w:val="none"/>
          <w:lang w:val="en-US" w:eastAsia="zh-CN"/>
        </w:rPr>
        <w:t>《汕尾市市区征收农村集体土地留用地管理办法》</w:t>
      </w:r>
      <w:r>
        <w:rPr>
          <w:rFonts w:hint="eastAsia" w:ascii="仿宋_GB2312" w:hAnsi="仿宋_GB2312" w:eastAsia="仿宋_GB2312" w:cs="仿宋_GB2312"/>
          <w:b w:val="0"/>
          <w:bCs w:val="0"/>
          <w:color w:val="auto"/>
          <w:sz w:val="32"/>
          <w:szCs w:val="32"/>
          <w:highlight w:val="none"/>
          <w:lang w:val="en-US" w:eastAsia="zh-CN"/>
        </w:rPr>
        <w:t>等有关文件，结合陆河县实际，制定本实施方案。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仿宋_GB2312" w:eastAsia="仿宋_GB2312"/>
          <w:sz w:val="32"/>
          <w:szCs w:val="32"/>
        </w:rPr>
        <w:t>本实施</w:t>
      </w:r>
      <w:r>
        <w:rPr>
          <w:rFonts w:hint="eastAsia" w:ascii="仿宋_GB2312" w:eastAsia="仿宋_GB2312"/>
          <w:sz w:val="32"/>
          <w:szCs w:val="32"/>
          <w:lang w:val="en-US" w:eastAsia="zh-CN"/>
        </w:rPr>
        <w:t>方案</w:t>
      </w:r>
      <w:r>
        <w:rPr>
          <w:rFonts w:hint="eastAsia" w:ascii="仿宋_GB2312" w:eastAsia="仿宋_GB2312"/>
          <w:sz w:val="32"/>
          <w:szCs w:val="32"/>
        </w:rPr>
        <w:t>适用于</w:t>
      </w:r>
      <w:r>
        <w:rPr>
          <w:rFonts w:hint="eastAsia" w:ascii="仿宋_GB2312" w:hAnsi="仿宋_GB2312" w:eastAsia="仿宋_GB2312" w:cs="仿宋_GB2312"/>
          <w:b w:val="0"/>
          <w:bCs w:val="0"/>
          <w:color w:val="auto"/>
          <w:sz w:val="32"/>
          <w:szCs w:val="32"/>
          <w:highlight w:val="none"/>
          <w:lang w:val="en-US" w:eastAsia="zh-CN"/>
        </w:rPr>
        <w:t>广东陆河抽水蓄能电站项目（以下简称“抽蓄项目”）</w:t>
      </w:r>
      <w:r>
        <w:rPr>
          <w:rFonts w:hint="eastAsia" w:ascii="仿宋_GB2312" w:eastAsia="仿宋_GB2312"/>
          <w:sz w:val="32"/>
          <w:szCs w:val="32"/>
        </w:rPr>
        <w:t>建设征地</w:t>
      </w:r>
      <w:r>
        <w:rPr>
          <w:rFonts w:hint="eastAsia" w:ascii="仿宋_GB2312" w:eastAsia="仿宋_GB2312"/>
          <w:sz w:val="32"/>
          <w:szCs w:val="32"/>
          <w:lang w:val="en-US" w:eastAsia="zh-CN"/>
        </w:rPr>
        <w:t>拆迁</w:t>
      </w:r>
      <w:r>
        <w:rPr>
          <w:rFonts w:hint="eastAsia" w:ascii="仿宋_GB2312" w:eastAsia="仿宋_GB2312"/>
          <w:sz w:val="32"/>
          <w:szCs w:val="32"/>
        </w:rPr>
        <w:t>补偿和移民安置工作。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广东陆河抽水蓄能电站位于汕尾市陆河县新田镇境内，电站上、下水库属于螺河三级支流激石水流域，上水库位于新田镇坪田栋西面的山间凹地，下水库位于新田镇吉溪林场山间谷脊。电站设计装机容量为4×350MW，总装机容量1400MW，项目建设内容主要包含上下水库、输水系统和地下厂房洞室群、地面开关站及永久公路等，项目总投资约91.4亿元，建设周期约为72个月。建设征地涉及汕尾市陆河县新田镇激石溪村、湖坑村和汕尾市国有吉溪林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二、项目用地范围及工作期限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（一）项目用地范围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广东陆河抽水蓄能电站项目</w:t>
      </w:r>
      <w:r>
        <w:rPr>
          <w:rFonts w:hint="eastAsia" w:ascii="仿宋_GB2312" w:eastAsia="仿宋_GB2312"/>
          <w:sz w:val="32"/>
          <w:szCs w:val="32"/>
        </w:rPr>
        <w:t>中的水库淹没区和枢纽工程建设区建设征地处理范围涉及的土地、房屋及附属建（构）筑物、青苗等地上附着物、农村集体设施、</w:t>
      </w:r>
      <w:r>
        <w:rPr>
          <w:rFonts w:hint="eastAsia" w:ascii="仿宋_GB2312" w:eastAsia="仿宋_GB2312"/>
          <w:sz w:val="32"/>
          <w:szCs w:val="32"/>
          <w:lang w:val="en-US" w:eastAsia="zh-CN"/>
        </w:rPr>
        <w:t>企</w:t>
      </w:r>
      <w:r>
        <w:rPr>
          <w:rFonts w:hint="eastAsia" w:ascii="仿宋_GB2312" w:eastAsia="仿宋_GB2312"/>
          <w:sz w:val="32"/>
          <w:szCs w:val="32"/>
        </w:rPr>
        <w:t>事业单位及专项设施等</w:t>
      </w:r>
      <w:r>
        <w:rPr>
          <w:rFonts w:hint="eastAsia" w:ascii="仿宋_GB2312" w:eastAsia="仿宋_GB2312"/>
          <w:sz w:val="32"/>
          <w:szCs w:val="32"/>
          <w:lang w:eastAsia="zh-CN"/>
        </w:rPr>
        <w:t>，</w:t>
      </w:r>
      <w:r>
        <w:rPr>
          <w:rFonts w:hint="eastAsia" w:ascii="仿宋_GB2312" w:eastAsia="仿宋_GB2312"/>
          <w:sz w:val="32"/>
          <w:szCs w:val="32"/>
          <w:lang w:val="en-US" w:eastAsia="zh-CN"/>
        </w:rPr>
        <w:t>主要范围涉及新田镇激石溪村、湖坑村和汕尾市国有吉溪林场，具体范围以建设征地红线图为准</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color w:val="auto"/>
          <w:sz w:val="32"/>
          <w:szCs w:val="32"/>
          <w:highlight w:val="none"/>
          <w:lang w:val="en-US" w:eastAsia="zh-CN"/>
        </w:rPr>
        <w:t>（二）征地拆迁时间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bidi="ar-SA"/>
        </w:rPr>
        <w:t>抽蓄项目征地预公告发布后15天内完成拟征收土地现状调查，</w:t>
      </w:r>
      <w:r>
        <w:rPr>
          <w:rFonts w:hint="eastAsia" w:ascii="仿宋_GB2312" w:hAnsi="仿宋_GB2312" w:eastAsia="仿宋_GB2312" w:cs="仿宋_GB2312"/>
          <w:sz w:val="32"/>
          <w:szCs w:val="32"/>
        </w:rPr>
        <w:t>被征地对象应在</w:t>
      </w:r>
      <w:r>
        <w:rPr>
          <w:rFonts w:hint="eastAsia" w:ascii="仿宋_GB2312" w:hAnsi="仿宋_GB2312" w:eastAsia="仿宋_GB2312" w:cs="仿宋_GB2312"/>
          <w:sz w:val="32"/>
          <w:szCs w:val="32"/>
          <w:highlight w:val="none"/>
          <w:lang w:val="en-US" w:eastAsia="zh-CN"/>
        </w:rPr>
        <w:t>征地补偿公告发布后在规定时间内</w:t>
      </w:r>
      <w:r>
        <w:rPr>
          <w:rFonts w:hint="eastAsia" w:ascii="仿宋_GB2312" w:hAnsi="仿宋_GB2312" w:eastAsia="仿宋_GB2312" w:cs="仿宋_GB2312"/>
          <w:sz w:val="32"/>
          <w:szCs w:val="32"/>
        </w:rPr>
        <w:t>对土地面积、青苗和其他</w:t>
      </w:r>
      <w:r>
        <w:rPr>
          <w:rFonts w:hint="eastAsia" w:ascii="仿宋_GB2312" w:hAnsi="仿宋_GB2312" w:eastAsia="仿宋_GB2312" w:cs="仿宋_GB2312"/>
          <w:sz w:val="32"/>
          <w:szCs w:val="32"/>
          <w:lang w:val="en-US" w:eastAsia="zh-CN"/>
        </w:rPr>
        <w:t>地上</w:t>
      </w: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着</w:t>
      </w:r>
      <w:r>
        <w:rPr>
          <w:rFonts w:hint="eastAsia" w:ascii="仿宋_GB2312" w:hAnsi="仿宋_GB2312" w:eastAsia="仿宋_GB2312" w:cs="仿宋_GB2312"/>
          <w:sz w:val="32"/>
          <w:szCs w:val="32"/>
        </w:rPr>
        <w:t>物的权属进行确认，</w:t>
      </w:r>
      <w:r>
        <w:rPr>
          <w:rFonts w:hint="eastAsia" w:ascii="仿宋_GB2312" w:hAnsi="仿宋_GB2312" w:eastAsia="仿宋_GB2312" w:cs="仿宋_GB2312"/>
          <w:b w:val="0"/>
          <w:bCs w:val="0"/>
          <w:color w:val="auto"/>
          <w:kern w:val="2"/>
          <w:sz w:val="32"/>
          <w:szCs w:val="32"/>
          <w:highlight w:val="none"/>
          <w:u w:val="none"/>
          <w:lang w:val="en-US" w:eastAsia="zh-CN" w:bidi="ar-SA"/>
        </w:rPr>
        <w:t>村小组及村民在规定时间内自行完成搬迁，</w:t>
      </w:r>
      <w:r>
        <w:rPr>
          <w:rFonts w:hint="eastAsia" w:ascii="仿宋_GB2312" w:hAnsi="仿宋_GB2312" w:eastAsia="仿宋_GB2312" w:cs="仿宋_GB2312"/>
          <w:sz w:val="32"/>
          <w:szCs w:val="32"/>
        </w:rPr>
        <w:t>逾期未确认</w:t>
      </w:r>
      <w:r>
        <w:rPr>
          <w:rFonts w:hint="eastAsia" w:ascii="仿宋_GB2312" w:hAnsi="仿宋_GB2312" w:eastAsia="仿宋_GB2312" w:cs="仿宋_GB2312"/>
          <w:sz w:val="32"/>
          <w:szCs w:val="32"/>
          <w:lang w:val="en-US" w:eastAsia="zh-CN"/>
        </w:rPr>
        <w:t>登记</w:t>
      </w:r>
      <w:r>
        <w:rPr>
          <w:rFonts w:hint="eastAsia" w:ascii="仿宋_GB2312" w:hAnsi="仿宋_GB2312" w:eastAsia="仿宋_GB2312" w:cs="仿宋_GB2312"/>
          <w:sz w:val="32"/>
          <w:szCs w:val="32"/>
        </w:rPr>
        <w:t>的，征地</w:t>
      </w:r>
      <w:r>
        <w:rPr>
          <w:rFonts w:hint="eastAsia" w:ascii="仿宋_GB2312" w:hAnsi="仿宋_GB2312" w:eastAsia="仿宋_GB2312" w:cs="仿宋_GB2312"/>
          <w:sz w:val="32"/>
          <w:szCs w:val="32"/>
          <w:lang w:val="en-US" w:eastAsia="zh-CN"/>
        </w:rPr>
        <w:t>拆迁机构</w:t>
      </w:r>
      <w:r>
        <w:rPr>
          <w:rFonts w:hint="eastAsia" w:ascii="仿宋_GB2312" w:hAnsi="仿宋_GB2312" w:eastAsia="仿宋_GB2312" w:cs="仿宋_GB2312"/>
          <w:sz w:val="32"/>
          <w:szCs w:val="32"/>
        </w:rPr>
        <w:t>将按相关法律法规处理</w:t>
      </w:r>
      <w:r>
        <w:rPr>
          <w:rFonts w:hint="eastAsia" w:ascii="仿宋_GB2312" w:hAnsi="仿宋_GB2312" w:eastAsia="仿宋_GB2312" w:cs="仿宋_GB2312"/>
          <w:b w:val="0"/>
          <w:bCs w:val="0"/>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三、各类用地征收拆迁补偿标准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（一）征收（收回）土地补偿标准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根据《汕尾市人民政府关于公布实施汕尾市征收农用地区片综合地价的公告》（汕府公字〔2021〕1号）文件规定，新田镇区片综合地价按4.07万元/亩标准执行，其中林地调节系数为0.45，即1.8315万元/亩，未利用地调节系数为0.4，即1.628万元/亩，按实际征收土地的地类、面积，补偿款一次性直接付给被征地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（二）留用地补偿标准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根据《广东省征收农村集体土地留用地管理办法》和参考《汕尾市市区征收农村集体土地留用地管理办法》有关规定，抽蓄项目征收农村集体土地留用地</w:t>
      </w:r>
      <w:r>
        <w:rPr>
          <w:rFonts w:hint="eastAsia" w:ascii="仿宋_GB2312" w:hAnsi="仿宋_GB2312" w:eastAsia="仿宋_GB2312" w:cs="仿宋_GB2312"/>
          <w:b w:val="0"/>
          <w:bCs w:val="0"/>
          <w:color w:val="auto"/>
          <w:sz w:val="32"/>
          <w:szCs w:val="32"/>
          <w:highlight w:val="none"/>
          <w:lang w:val="en-US" w:eastAsia="zh-CN"/>
        </w:rPr>
        <w:t>按实际征收农村集体经济组织土地面积的15%比例安排，按16.5万元/亩折算成货币补偿，不作留用地实物安置或物业补偿。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（三）青苗、果（林）木补偿标准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抽蓄项目青苗、果（林）木补偿按照附件《青苗、果（林）木补偿标准》执行。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（四）地面建筑（附着物）、坟墓拆迁补偿标准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抽蓄项目地面建筑（附着物）、坟墓拆迁补偿按照如下标准执行。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1.地面建筑（附着物）拆迁补偿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1）钢筋混凝土框架结构楼房：1800.00 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2）混合结构楼房：1350.00元/平方米；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3）砖、瓦、桁结构的瓦房：800.00元/平方米；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4）砖体结构铁皮房：装饰完善的500.00元/平方米，装饰不完善的400.00元/平方米；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5）简易结构砖瓦房（含猪舍类，2.2米以下）：450.00元/平方米；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6）简易棚寮（油毡、竹棚类）：100.00元/平方米；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7）围墙：120.00元/平方米；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8）水泥结构（晒谷坪、庭院）：100.00元/平方米；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9）化粪池（按平面面积计）：800.00元/平方米；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10）水井：直径1.2米以上3000.00元/个，直径1.2米以下2000.00元/个；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11）沼气池：大6000.00元/个，小4000.00元/个；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12）搬迁费：在规定时间内拆搬迁的按补偿总额10%给予奖励补助，不拆搬迁不给予补偿；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 xml:space="preserve">13）租房费：按拆迁总面积每8元/月·平方米（按半年一次性给予补贴）；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14）被拆迁的房屋属租赁关系的，由房屋所有权人与租赁关系人自行终止租赁关系，拆迁单位不承担租赁关系租金。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 xml:space="preserve">2.坟墓迁移补偿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singl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坟墓迁移补偿按大中小规格给予补偿，3.6尺（含3.6尺）以上为大坟，2.6尺（含2.6尺）至3.6尺为中坟，2.6尺以下为小坟，分别为12000.00元/个、8000.00元/个、4000元/个；骨坛（金斗）每个补偿600.00元。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（五）宅基地安置办法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项目征地范围内的宅基地</w:t>
      </w:r>
      <w:r>
        <w:rPr>
          <w:rFonts w:hint="eastAsia" w:ascii="仿宋_GB2312" w:hAnsi="仿宋_GB2312" w:eastAsia="仿宋_GB2312" w:cs="仿宋_GB2312"/>
          <w:sz w:val="32"/>
          <w:szCs w:val="32"/>
          <w:lang w:val="en-US" w:eastAsia="zh-CN"/>
        </w:rPr>
        <w:t>采用实地安置或折算成货币补偿</w:t>
      </w:r>
      <w:r>
        <w:rPr>
          <w:rFonts w:hint="eastAsia" w:ascii="仿宋_GB2312" w:hAnsi="仿宋_GB2312" w:eastAsia="仿宋_GB2312" w:cs="仿宋_GB2312"/>
          <w:b w:val="0"/>
          <w:bCs w:val="0"/>
          <w:color w:val="auto"/>
          <w:sz w:val="32"/>
          <w:szCs w:val="32"/>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（六）临时用地租用补偿标准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抽蓄项目临时需使用的施工临时用地（含道路）补偿费用，按1000元/亩·年计算，青苗及附着物补偿按本方案第三点规定执行。</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个体工商户补偿办法</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楷体" w:hAnsi="楷体" w:eastAsia="楷体" w:cs="楷体"/>
          <w:sz w:val="32"/>
          <w:szCs w:val="32"/>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抽蓄项目征收涉及个体工商户征拆搬迁的，采用一次性货币补偿，由权属人自行迁建，补偿标准按有关规定执行。</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八</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专项设施补偿办法</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交通工程、通信工程、电力工程等专项设施</w:t>
      </w:r>
      <w:r>
        <w:rPr>
          <w:rFonts w:hint="eastAsia" w:ascii="仿宋_GB2312" w:hAnsi="仿宋_GB2312" w:eastAsia="仿宋_GB2312" w:cs="仿宋_GB2312"/>
          <w:b w:val="0"/>
          <w:bCs w:val="0"/>
          <w:color w:val="auto"/>
          <w:sz w:val="32"/>
          <w:szCs w:val="32"/>
          <w:highlight w:val="none"/>
          <w:lang w:val="en-US" w:eastAsia="zh-CN"/>
        </w:rPr>
        <w:t>由原权属单位</w:t>
      </w:r>
      <w:r>
        <w:rPr>
          <w:rFonts w:hint="eastAsia" w:ascii="仿宋_GB2312" w:eastAsia="仿宋_GB2312"/>
          <w:sz w:val="32"/>
          <w:szCs w:val="32"/>
        </w:rPr>
        <w:t>按</w:t>
      </w:r>
      <w:r>
        <w:rPr>
          <w:rFonts w:hint="eastAsia" w:ascii="仿宋_GB2312" w:eastAsia="仿宋_GB2312"/>
          <w:sz w:val="32"/>
          <w:szCs w:val="32"/>
          <w:lang w:eastAsia="zh-CN"/>
        </w:rPr>
        <w:t>有关规定</w:t>
      </w:r>
      <w:r>
        <w:rPr>
          <w:rFonts w:hint="eastAsia" w:ascii="仿宋_GB2312" w:hAnsi="仿宋_GB2312" w:eastAsia="仿宋_GB2312" w:cs="仿宋_GB2312"/>
          <w:b w:val="0"/>
          <w:bCs w:val="0"/>
          <w:color w:val="auto"/>
          <w:sz w:val="32"/>
          <w:szCs w:val="32"/>
          <w:highlight w:val="none"/>
          <w:lang w:val="en-US" w:eastAsia="zh-CN"/>
        </w:rPr>
        <w:t>自行</w:t>
      </w:r>
      <w:r>
        <w:rPr>
          <w:rFonts w:hint="eastAsia" w:ascii="仿宋_GB2312" w:eastAsia="仿宋_GB2312"/>
          <w:sz w:val="32"/>
          <w:szCs w:val="32"/>
        </w:rPr>
        <w:t>进行改复建</w:t>
      </w:r>
      <w:r>
        <w:rPr>
          <w:rFonts w:hint="eastAsia" w:ascii="仿宋_GB2312" w:eastAsia="仿宋_GB2312"/>
          <w:sz w:val="32"/>
          <w:szCs w:val="32"/>
          <w:lang w:eastAsia="zh-CN"/>
        </w:rPr>
        <w:t>，</w:t>
      </w:r>
      <w:r>
        <w:rPr>
          <w:rFonts w:hint="eastAsia" w:ascii="仿宋_GB2312" w:eastAsia="仿宋_GB2312"/>
          <w:sz w:val="32"/>
          <w:szCs w:val="32"/>
          <w:lang w:val="en-US" w:eastAsia="zh-CN"/>
        </w:rPr>
        <w:t>工程总费用由抽蓄项目建设单位承担</w:t>
      </w:r>
      <w:r>
        <w:rPr>
          <w:rFonts w:hint="eastAsia" w:ascii="仿宋_GB2312" w:eastAsia="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水利水电等专项设施</w:t>
      </w:r>
      <w:r>
        <w:rPr>
          <w:rFonts w:hint="eastAsia" w:ascii="仿宋_GB2312" w:eastAsia="仿宋_GB2312"/>
          <w:sz w:val="32"/>
          <w:szCs w:val="32"/>
          <w:lang w:val="en-US" w:eastAsia="zh-CN"/>
        </w:rPr>
        <w:t>采用货币补偿，具体补偿金额</w:t>
      </w:r>
      <w:r>
        <w:rPr>
          <w:rFonts w:hint="eastAsia" w:ascii="仿宋_GB2312" w:hAnsi="仿宋_GB2312" w:eastAsia="仿宋_GB2312" w:cs="仿宋_GB2312"/>
          <w:b w:val="0"/>
          <w:bCs w:val="0"/>
          <w:color w:val="auto"/>
          <w:sz w:val="32"/>
          <w:szCs w:val="32"/>
          <w:highlight w:val="none"/>
          <w:lang w:val="en-US" w:eastAsia="zh-CN"/>
        </w:rPr>
        <w:t>由项目建设单位与所有权人协商解决。</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u w:val="single" w:color="FFFFFF" w:themeColor="background1"/>
          <w:lang w:val="en-US" w:eastAsia="zh-CN"/>
        </w:rPr>
        <w:t>四、</w:t>
      </w:r>
      <w:r>
        <w:rPr>
          <w:rFonts w:hint="eastAsia" w:ascii="黑体" w:hAnsi="黑体" w:eastAsia="黑体" w:cs="黑体"/>
          <w:b w:val="0"/>
          <w:bCs w:val="0"/>
          <w:color w:val="auto"/>
          <w:sz w:val="32"/>
          <w:szCs w:val="32"/>
          <w:highlight w:val="none"/>
          <w:lang w:val="en-US" w:eastAsia="zh-CN"/>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（一）在征地补偿安置公告发布后，被征地或被拆迁物的所有权人、使用人应当在公告规定期限内，到公告指定的地点办理征地拆迁补偿登记。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color w:val="auto"/>
          <w:sz w:val="32"/>
          <w:szCs w:val="32"/>
          <w:highlight w:val="none"/>
          <w:lang w:val="en-US" w:eastAsia="zh-CN"/>
        </w:rPr>
        <w:t>（二）征地拆迁实物面积（数量）以《陆河县人民政府关于确认广东陆河抽水蓄能电站可行性研究阶段建设征地实物指标调查成果的函》为参考数据，经征地拆迁机构确认为准。凡在《广东省人民政府关于禁止在广东陆河抽水蓄能电站项目工程占地及淹没区新增建设项目和迁入人口的通告》（粤府函</w:t>
      </w:r>
      <w:r>
        <w:rPr>
          <w:rFonts w:hint="eastAsia" w:ascii="仿宋" w:hAnsi="仿宋" w:eastAsia="仿宋" w:cs="仿宋"/>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2021</w:t>
      </w:r>
      <w:r>
        <w:rPr>
          <w:rFonts w:hint="eastAsia" w:ascii="仿宋" w:hAnsi="仿宋" w:eastAsia="仿宋" w:cs="仿宋"/>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368号）发布后违法建设的建筑物、构筑物一律不给予补偿，属非法买卖土地上建设的建筑物、构筑物按相关规定依法依规处理。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（三）对征地中权属有争议的土地，由征地拆迁机构及时按程序调处争议，确定权属，将征地拆迁补偿款付给权属单位或个人，各争议方不得以争议为由阻挠征地。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（四）被征地所在镇及各村应将用地拆迁补偿标准、补偿办法、征拆期限等向被征地单位和个人公开，确保被补偿人应得的补偿费及时足额拨付到户，不得截留、挪用和代扣各种收费。</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附件：青苗、果（林）木补偿标准</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b w:val="0"/>
          <w:bCs w:val="0"/>
          <w:color w:val="auto"/>
          <w:sz w:val="32"/>
          <w:szCs w:val="32"/>
          <w:highlight w:val="none"/>
          <w:lang w:val="en-US" w:eastAsia="zh-CN"/>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pPr>
        <w:pStyle w:val="13"/>
        <w:bidi w:val="0"/>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w:t>
      </w:r>
    </w:p>
    <w:tbl>
      <w:tblPr>
        <w:tblStyle w:val="7"/>
        <w:tblW w:w="11250"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33"/>
        <w:gridCol w:w="762"/>
        <w:gridCol w:w="3057"/>
        <w:gridCol w:w="1075"/>
        <w:gridCol w:w="1360"/>
        <w:gridCol w:w="28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6" w:hRule="atLeast"/>
          <w:tblCellSpacing w:w="15" w:type="dxa"/>
          <w:jc w:val="center"/>
        </w:trPr>
        <w:tc>
          <w:tcPr>
            <w:tcW w:w="11190" w:type="dxa"/>
            <w:gridSpan w:val="6"/>
            <w:shd w:val="clear" w:color="auto" w:fill="FFFFFF"/>
            <w:vAlign w:val="center"/>
          </w:tcPr>
          <w:p>
            <w:pPr>
              <w:jc w:val="center"/>
              <w:rPr>
                <w:rFonts w:hint="default"/>
                <w:color w:val="auto"/>
                <w:highlight w:val="none"/>
                <w:lang w:val="en-US" w:eastAsia="zh-CN"/>
              </w:rPr>
            </w:pPr>
            <w:r>
              <w:rPr>
                <w:rFonts w:hint="eastAsia" w:ascii="方正小标宋简体" w:hAnsi="方正小标宋简体" w:eastAsia="方正小标宋简体" w:cs="方正小标宋简体"/>
                <w:b w:val="0"/>
                <w:bCs w:val="0"/>
                <w:color w:val="auto"/>
                <w:sz w:val="44"/>
                <w:szCs w:val="52"/>
                <w:highlight w:val="none"/>
                <w:lang w:val="en-US" w:eastAsia="zh-CN"/>
              </w:rPr>
              <w:t>青苗、果（林）木补偿标准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6"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项目种类</w:t>
            </w:r>
          </w:p>
        </w:tc>
        <w:tc>
          <w:tcPr>
            <w:tcW w:w="3789" w:type="dxa"/>
            <w:gridSpan w:val="2"/>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规格</w:t>
            </w:r>
          </w:p>
        </w:tc>
        <w:tc>
          <w:tcPr>
            <w:tcW w:w="2405" w:type="dxa"/>
            <w:gridSpan w:val="2"/>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单价（元）</w:t>
            </w:r>
          </w:p>
        </w:tc>
        <w:tc>
          <w:tcPr>
            <w:tcW w:w="281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6"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划分标准</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株价</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亩价</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15" w:type="dxa"/>
          <w:jc w:val="center"/>
        </w:trPr>
        <w:tc>
          <w:tcPr>
            <w:tcW w:w="208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水稻、番薯、</w:t>
            </w:r>
            <w:r>
              <w:rPr>
                <w:rFonts w:hint="default"/>
                <w:color w:val="auto"/>
                <w:highlight w:val="none"/>
                <w:lang w:val="en-US" w:eastAsia="zh-CN"/>
              </w:rPr>
              <w:br w:type="textWrapping"/>
            </w:r>
            <w:r>
              <w:rPr>
                <w:rFonts w:hint="default"/>
                <w:color w:val="auto"/>
                <w:highlight w:val="none"/>
                <w:lang w:val="en-US" w:eastAsia="zh-CN"/>
              </w:rPr>
              <w:t>花生、玉米等作物</w:t>
            </w: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根据生长情况适当补偿</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800－1</w:t>
            </w:r>
            <w:r>
              <w:rPr>
                <w:rFonts w:hint="eastAsia"/>
                <w:color w:val="auto"/>
                <w:highlight w:val="none"/>
                <w:lang w:val="en-US" w:eastAsia="zh-CN"/>
              </w:rPr>
              <w:t>2</w:t>
            </w:r>
            <w:r>
              <w:rPr>
                <w:rFonts w:hint="default"/>
                <w:color w:val="auto"/>
                <w:highlight w:val="none"/>
                <w:lang w:val="en-US" w:eastAsia="zh-CN"/>
              </w:rPr>
              <w:t>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每亩最高</w:t>
            </w:r>
            <w:r>
              <w:rPr>
                <w:rFonts w:hint="default"/>
                <w:color w:val="auto"/>
                <w:highlight w:val="none"/>
                <w:lang w:val="en-US" w:eastAsia="zh-CN"/>
              </w:rPr>
              <w:br w:type="textWrapping"/>
            </w:r>
            <w:r>
              <w:rPr>
                <w:rFonts w:hint="default"/>
                <w:color w:val="auto"/>
                <w:highlight w:val="none"/>
                <w:lang w:val="en-US" w:eastAsia="zh-CN"/>
              </w:rPr>
              <w:t>不超过1</w:t>
            </w:r>
            <w:r>
              <w:rPr>
                <w:rFonts w:hint="eastAsia"/>
                <w:color w:val="auto"/>
                <w:highlight w:val="none"/>
                <w:lang w:val="en-US" w:eastAsia="zh-CN"/>
              </w:rPr>
              <w:t>2</w:t>
            </w:r>
            <w:r>
              <w:rPr>
                <w:rFonts w:hint="default"/>
                <w:color w:val="auto"/>
                <w:highlight w:val="none"/>
                <w:lang w:val="en-US" w:eastAsia="zh-CN"/>
              </w:rPr>
              <w:t>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甘蔗、蔬菜、莲藕、</w:t>
            </w:r>
            <w:r>
              <w:rPr>
                <w:rFonts w:hint="default"/>
                <w:color w:val="auto"/>
                <w:highlight w:val="none"/>
                <w:lang w:val="en-US" w:eastAsia="zh-CN"/>
              </w:rPr>
              <w:br w:type="textWrapping"/>
            </w:r>
            <w:r>
              <w:rPr>
                <w:rFonts w:hint="default"/>
                <w:color w:val="auto"/>
                <w:highlight w:val="none"/>
                <w:lang w:val="en-US" w:eastAsia="zh-CN"/>
              </w:rPr>
              <w:t>芋头、瓜果类等作物</w:t>
            </w: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根据生长情况适当补偿</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2000－</w:t>
            </w:r>
            <w:r>
              <w:rPr>
                <w:rFonts w:hint="eastAsia"/>
                <w:color w:val="auto"/>
                <w:highlight w:val="none"/>
                <w:lang w:val="en-US" w:eastAsia="zh-CN"/>
              </w:rPr>
              <w:t>30</w:t>
            </w:r>
            <w:r>
              <w:rPr>
                <w:rFonts w:hint="default"/>
                <w:color w:val="auto"/>
                <w:highlight w:val="none"/>
                <w:lang w:val="en-US" w:eastAsia="zh-CN"/>
              </w:rPr>
              <w:t>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每亩最高</w:t>
            </w:r>
            <w:r>
              <w:rPr>
                <w:rFonts w:hint="default"/>
                <w:color w:val="auto"/>
                <w:highlight w:val="none"/>
                <w:lang w:val="en-US" w:eastAsia="zh-CN"/>
              </w:rPr>
              <w:br w:type="textWrapping"/>
            </w:r>
            <w:r>
              <w:rPr>
                <w:rFonts w:hint="default"/>
                <w:color w:val="auto"/>
                <w:highlight w:val="none"/>
                <w:lang w:val="en-US" w:eastAsia="zh-CN"/>
              </w:rPr>
              <w:t>不超过</w:t>
            </w:r>
            <w:r>
              <w:rPr>
                <w:rFonts w:hint="eastAsia"/>
                <w:color w:val="auto"/>
                <w:highlight w:val="none"/>
                <w:lang w:val="en-US" w:eastAsia="zh-CN"/>
              </w:rPr>
              <w:t>30</w:t>
            </w:r>
            <w:r>
              <w:rPr>
                <w:rFonts w:hint="default"/>
                <w:color w:val="auto"/>
                <w:highlight w:val="none"/>
                <w:lang w:val="en-US" w:eastAsia="zh-CN"/>
              </w:rPr>
              <w:t>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香蕉</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种植时间在10个月以上、</w:t>
            </w:r>
            <w:r>
              <w:rPr>
                <w:rFonts w:hint="default"/>
                <w:color w:val="auto"/>
                <w:highlight w:val="none"/>
                <w:lang w:val="en-US" w:eastAsia="zh-CN"/>
              </w:rPr>
              <w:br w:type="textWrapping"/>
            </w:r>
            <w:r>
              <w:rPr>
                <w:rFonts w:hint="default"/>
                <w:color w:val="auto"/>
                <w:highlight w:val="none"/>
                <w:lang w:val="en-US" w:eastAsia="zh-CN"/>
              </w:rPr>
              <w:t>高度1.5米以上</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4000</w:t>
            </w:r>
          </w:p>
        </w:tc>
        <w:tc>
          <w:tcPr>
            <w:tcW w:w="281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w:t>
            </w:r>
            <w:r>
              <w:rPr>
                <w:rFonts w:hint="default"/>
                <w:color w:val="auto"/>
                <w:highlight w:val="none"/>
                <w:lang w:val="en-US" w:eastAsia="zh-CN"/>
              </w:rPr>
              <w:br w:type="textWrapping"/>
            </w:r>
            <w:r>
              <w:rPr>
                <w:rFonts w:hint="default"/>
                <w:color w:val="auto"/>
                <w:highlight w:val="none"/>
                <w:lang w:val="en-US" w:eastAsia="zh-CN"/>
              </w:rPr>
              <w:t>不超过133株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种植时间在7至10个月以内、</w:t>
            </w:r>
            <w:r>
              <w:rPr>
                <w:rFonts w:hint="default"/>
                <w:color w:val="auto"/>
                <w:highlight w:val="none"/>
                <w:lang w:val="en-US" w:eastAsia="zh-CN"/>
              </w:rPr>
              <w:br w:type="textWrapping"/>
            </w:r>
            <w:r>
              <w:rPr>
                <w:rFonts w:hint="default"/>
                <w:color w:val="auto"/>
                <w:highlight w:val="none"/>
                <w:lang w:val="en-US" w:eastAsia="zh-CN"/>
              </w:rPr>
              <w:t>高度1至1.5米以内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25</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3325</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种植时间在3至7个月以内、</w:t>
            </w:r>
            <w:r>
              <w:rPr>
                <w:rFonts w:hint="default"/>
                <w:color w:val="auto"/>
                <w:highlight w:val="none"/>
                <w:lang w:val="en-US" w:eastAsia="zh-CN"/>
              </w:rPr>
              <w:br w:type="textWrapping"/>
            </w:r>
            <w:r>
              <w:rPr>
                <w:rFonts w:hint="default"/>
                <w:color w:val="auto"/>
                <w:highlight w:val="none"/>
                <w:lang w:val="en-US" w:eastAsia="zh-CN"/>
              </w:rPr>
              <w:t>高度0.6至1米以内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2660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种植时间在3个月以内、</w:t>
            </w:r>
            <w:r>
              <w:rPr>
                <w:rFonts w:hint="default"/>
                <w:color w:val="auto"/>
                <w:highlight w:val="none"/>
                <w:lang w:val="en-US" w:eastAsia="zh-CN"/>
              </w:rPr>
              <w:br w:type="textWrapping"/>
            </w:r>
            <w:r>
              <w:rPr>
                <w:rFonts w:hint="default"/>
                <w:color w:val="auto"/>
                <w:highlight w:val="none"/>
                <w:lang w:val="en-US" w:eastAsia="zh-CN"/>
              </w:rPr>
              <w:t>高度0.6米以下</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1330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梅、李、桃、</w:t>
            </w:r>
            <w:r>
              <w:rPr>
                <w:rFonts w:hint="default"/>
                <w:color w:val="auto"/>
                <w:highlight w:val="none"/>
                <w:lang w:val="en-US" w:eastAsia="zh-CN"/>
              </w:rPr>
              <w:br w:type="textWrapping"/>
            </w:r>
            <w:r>
              <w:rPr>
                <w:rFonts w:hint="default"/>
                <w:color w:val="auto"/>
                <w:highlight w:val="none"/>
                <w:lang w:val="en-US" w:eastAsia="zh-CN"/>
              </w:rPr>
              <w:t>番石榴等果树</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特大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种植时间在10年以上、</w:t>
            </w:r>
            <w:r>
              <w:rPr>
                <w:rFonts w:hint="default"/>
                <w:color w:val="auto"/>
                <w:highlight w:val="none"/>
                <w:lang w:val="en-US" w:eastAsia="zh-CN"/>
              </w:rPr>
              <w:br w:type="textWrapping"/>
            </w:r>
            <w:r>
              <w:rPr>
                <w:rFonts w:hint="default"/>
                <w:color w:val="auto"/>
                <w:highlight w:val="none"/>
                <w:lang w:val="en-US" w:eastAsia="zh-CN"/>
              </w:rPr>
              <w:t>高度2米以上</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150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9000</w:t>
            </w:r>
          </w:p>
        </w:tc>
        <w:tc>
          <w:tcPr>
            <w:tcW w:w="281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w:t>
            </w:r>
            <w:r>
              <w:rPr>
                <w:rFonts w:hint="default"/>
                <w:color w:val="auto"/>
                <w:highlight w:val="none"/>
                <w:lang w:val="en-US" w:eastAsia="zh-CN"/>
              </w:rPr>
              <w:br w:type="textWrapping"/>
            </w:r>
            <w:r>
              <w:rPr>
                <w:rFonts w:hint="default"/>
                <w:color w:val="auto"/>
                <w:highlight w:val="none"/>
                <w:lang w:val="en-US" w:eastAsia="zh-CN"/>
              </w:rPr>
              <w:t>不超过60株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种植时间在3年至10年以内、</w:t>
            </w:r>
            <w:r>
              <w:rPr>
                <w:rFonts w:hint="default"/>
                <w:color w:val="auto"/>
                <w:highlight w:val="none"/>
                <w:lang w:val="en-US" w:eastAsia="zh-CN"/>
              </w:rPr>
              <w:br w:type="textWrapping"/>
            </w:r>
            <w:r>
              <w:rPr>
                <w:rFonts w:hint="default"/>
                <w:color w:val="auto"/>
                <w:highlight w:val="none"/>
                <w:lang w:val="en-US" w:eastAsia="zh-CN"/>
              </w:rPr>
              <w:t>高度1.5至2米以内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90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5400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种植时间在1年至3年以内、</w:t>
            </w:r>
            <w:r>
              <w:rPr>
                <w:rFonts w:hint="default"/>
                <w:color w:val="auto"/>
                <w:highlight w:val="none"/>
                <w:lang w:val="en-US" w:eastAsia="zh-CN"/>
              </w:rPr>
              <w:br w:type="textWrapping"/>
            </w:r>
            <w:r>
              <w:rPr>
                <w:rFonts w:hint="default"/>
                <w:color w:val="auto"/>
                <w:highlight w:val="none"/>
                <w:lang w:val="en-US" w:eastAsia="zh-CN"/>
              </w:rPr>
              <w:t>高度0.8至1.5米以内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种植时间在1年以内、</w:t>
            </w:r>
            <w:r>
              <w:rPr>
                <w:rFonts w:hint="default"/>
                <w:color w:val="auto"/>
                <w:highlight w:val="none"/>
                <w:lang w:val="en-US" w:eastAsia="zh-CN"/>
              </w:rPr>
              <w:br w:type="textWrapping"/>
            </w:r>
            <w:r>
              <w:rPr>
                <w:rFonts w:hint="default"/>
                <w:color w:val="auto"/>
                <w:highlight w:val="none"/>
                <w:lang w:val="en-US" w:eastAsia="zh-CN"/>
              </w:rPr>
              <w:t>高度0.8米以下</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1200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龙眼、荔枝、芒果、</w:t>
            </w:r>
            <w:r>
              <w:rPr>
                <w:rFonts w:hint="default"/>
                <w:color w:val="auto"/>
                <w:highlight w:val="none"/>
                <w:lang w:val="en-US" w:eastAsia="zh-CN"/>
              </w:rPr>
              <w:br w:type="textWrapping"/>
            </w:r>
            <w:r>
              <w:rPr>
                <w:rFonts w:hint="default"/>
                <w:color w:val="auto"/>
                <w:highlight w:val="none"/>
                <w:lang w:val="en-US" w:eastAsia="zh-CN"/>
              </w:rPr>
              <w:t>黄皮、杨桃等果树</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特大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种植时间30年以上、树冠直径</w:t>
            </w:r>
            <w:r>
              <w:rPr>
                <w:rFonts w:hint="default"/>
                <w:color w:val="auto"/>
                <w:highlight w:val="none"/>
                <w:lang w:val="en-US" w:eastAsia="zh-CN"/>
              </w:rPr>
              <w:br w:type="textWrapping"/>
            </w:r>
            <w:r>
              <w:rPr>
                <w:rFonts w:hint="default"/>
                <w:color w:val="auto"/>
                <w:highlight w:val="none"/>
                <w:lang w:val="en-US" w:eastAsia="zh-CN"/>
              </w:rPr>
              <w:t>在5米以上的特大棵果树</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16000</w:t>
            </w: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种植时间15至30年、树冠</w:t>
            </w:r>
            <w:r>
              <w:rPr>
                <w:rFonts w:hint="default"/>
                <w:color w:val="auto"/>
                <w:highlight w:val="none"/>
                <w:lang w:val="en-US" w:eastAsia="zh-CN"/>
              </w:rPr>
              <w:br w:type="textWrapping"/>
            </w:r>
            <w:r>
              <w:rPr>
                <w:rFonts w:hint="default"/>
                <w:color w:val="auto"/>
                <w:highlight w:val="none"/>
                <w:lang w:val="en-US" w:eastAsia="zh-CN"/>
              </w:rPr>
              <w:t>直径在4至5米以内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12000</w:t>
            </w:r>
          </w:p>
        </w:tc>
        <w:tc>
          <w:tcPr>
            <w:tcW w:w="281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w:t>
            </w:r>
            <w:r>
              <w:rPr>
                <w:rFonts w:hint="default"/>
                <w:color w:val="auto"/>
                <w:highlight w:val="none"/>
                <w:lang w:val="en-US" w:eastAsia="zh-CN"/>
              </w:rPr>
              <w:br w:type="textWrapping"/>
            </w:r>
            <w:r>
              <w:rPr>
                <w:rFonts w:hint="default"/>
                <w:color w:val="auto"/>
                <w:highlight w:val="none"/>
                <w:lang w:val="en-US" w:eastAsia="zh-CN"/>
              </w:rPr>
              <w:t>不超过40株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种植时间10至15年、</w:t>
            </w:r>
            <w:r>
              <w:rPr>
                <w:rFonts w:hint="default"/>
                <w:color w:val="auto"/>
                <w:highlight w:val="none"/>
                <w:lang w:val="en-US" w:eastAsia="zh-CN"/>
              </w:rPr>
              <w:br w:type="textWrapping"/>
            </w:r>
            <w:r>
              <w:rPr>
                <w:rFonts w:hint="default"/>
                <w:color w:val="auto"/>
                <w:highlight w:val="none"/>
                <w:lang w:val="en-US" w:eastAsia="zh-CN"/>
              </w:rPr>
              <w:t>树冠直径在3至4米以内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8000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种植时间6至10年、</w:t>
            </w:r>
            <w:r>
              <w:rPr>
                <w:rFonts w:hint="default"/>
                <w:color w:val="auto"/>
                <w:highlight w:val="none"/>
                <w:lang w:val="en-US" w:eastAsia="zh-CN"/>
              </w:rPr>
              <w:br w:type="textWrapping"/>
            </w:r>
            <w:r>
              <w:rPr>
                <w:rFonts w:hint="default"/>
                <w:color w:val="auto"/>
                <w:highlight w:val="none"/>
                <w:lang w:val="en-US" w:eastAsia="zh-CN"/>
              </w:rPr>
              <w:t>树冠直径在2至3米以内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150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6000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已挂果的，种植时间3至6年、</w:t>
            </w:r>
            <w:r>
              <w:rPr>
                <w:rFonts w:hint="default"/>
                <w:color w:val="auto"/>
                <w:highlight w:val="none"/>
                <w:lang w:val="en-US" w:eastAsia="zh-CN"/>
              </w:rPr>
              <w:br w:type="textWrapping"/>
            </w:r>
            <w:r>
              <w:rPr>
                <w:rFonts w:hint="default"/>
                <w:color w:val="auto"/>
                <w:highlight w:val="none"/>
                <w:lang w:val="en-US" w:eastAsia="zh-CN"/>
              </w:rPr>
              <w:t>树冠直径在1米至2米以内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未挂果的，种植时间1年至3年、</w:t>
            </w:r>
            <w:r>
              <w:rPr>
                <w:rFonts w:hint="default"/>
                <w:color w:val="auto"/>
                <w:highlight w:val="none"/>
                <w:lang w:val="en-US" w:eastAsia="zh-CN"/>
              </w:rPr>
              <w:br w:type="textWrapping"/>
            </w:r>
            <w:r>
              <w:rPr>
                <w:rFonts w:hint="default"/>
                <w:color w:val="auto"/>
                <w:highlight w:val="none"/>
                <w:lang w:val="en-US" w:eastAsia="zh-CN"/>
              </w:rPr>
              <w:t>树冠直径在0.6至1米以内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未挂果的，种植时间1年以内、</w:t>
            </w:r>
            <w:r>
              <w:rPr>
                <w:rFonts w:hint="default"/>
                <w:color w:val="auto"/>
                <w:highlight w:val="none"/>
                <w:lang w:val="en-US" w:eastAsia="zh-CN"/>
              </w:rPr>
              <w:br w:type="textWrapping"/>
            </w:r>
            <w:r>
              <w:rPr>
                <w:rFonts w:hint="default"/>
                <w:color w:val="auto"/>
                <w:highlight w:val="none"/>
                <w:lang w:val="en-US" w:eastAsia="zh-CN"/>
              </w:rPr>
              <w:t>树冠直径在0.6米以下</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800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林木</w:t>
            </w: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属人工林地的成熟林和近熟林</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000</w:t>
            </w: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中熟林</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1500</w:t>
            </w: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幼龄林</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1000</w:t>
            </w: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竹丛等</w:t>
            </w: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3500</w:t>
            </w: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零星林</w:t>
            </w: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500</w:t>
            </w: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桔、佛手、柑、</w:t>
            </w:r>
            <w:r>
              <w:rPr>
                <w:rFonts w:hint="default"/>
                <w:color w:val="auto"/>
                <w:highlight w:val="none"/>
                <w:lang w:val="en-US" w:eastAsia="zh-CN"/>
              </w:rPr>
              <w:br w:type="textWrapping"/>
            </w:r>
            <w:r>
              <w:rPr>
                <w:rFonts w:hint="default"/>
                <w:color w:val="auto"/>
                <w:highlight w:val="none"/>
                <w:lang w:val="en-US" w:eastAsia="zh-CN"/>
              </w:rPr>
              <w:t>橙、油柑</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树冠投影直径2.1米以上</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150－200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树冠投影直径1.1－2.0米已挂果</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70－130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6500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树冠投影直径0.5－1米未挂果</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30－60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5400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每亩最多90株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树冠投影直径小于0.5米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10－20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景观木、绿化木如：黄花梨、紫檀木、油术、</w:t>
            </w:r>
            <w:r>
              <w:rPr>
                <w:rFonts w:hint="default"/>
                <w:color w:val="auto"/>
                <w:highlight w:val="none"/>
                <w:lang w:val="en-US" w:eastAsia="zh-CN"/>
              </w:rPr>
              <w:br w:type="textWrapping"/>
            </w:r>
            <w:r>
              <w:rPr>
                <w:rFonts w:hint="default"/>
                <w:color w:val="auto"/>
                <w:highlight w:val="none"/>
                <w:lang w:val="en-US" w:eastAsia="zh-CN"/>
              </w:rPr>
              <w:t>美国杜英、澳洲火木、</w:t>
            </w:r>
            <w:r>
              <w:rPr>
                <w:rFonts w:hint="default"/>
                <w:color w:val="auto"/>
                <w:highlight w:val="none"/>
                <w:lang w:val="en-US" w:eastAsia="zh-CN"/>
              </w:rPr>
              <w:br w:type="textWrapping"/>
            </w:r>
            <w:r>
              <w:rPr>
                <w:rFonts w:hint="default"/>
                <w:color w:val="auto"/>
                <w:highlight w:val="none"/>
                <w:lang w:val="en-US" w:eastAsia="zh-CN"/>
              </w:rPr>
              <w:t>枫油木、竹柏、树菠萝</w:t>
            </w:r>
            <w:r>
              <w:rPr>
                <w:rFonts w:hint="default"/>
                <w:color w:val="auto"/>
                <w:highlight w:val="none"/>
                <w:lang w:val="en-US" w:eastAsia="zh-CN"/>
              </w:rPr>
              <w:br w:type="textWrapping"/>
            </w:r>
            <w:r>
              <w:rPr>
                <w:rFonts w:hint="default"/>
                <w:color w:val="auto"/>
                <w:highlight w:val="none"/>
                <w:lang w:val="en-US" w:eastAsia="zh-CN"/>
              </w:rPr>
              <w:t>、金凤树、发财树、桂</w:t>
            </w:r>
            <w:r>
              <w:rPr>
                <w:rFonts w:hint="default"/>
                <w:color w:val="auto"/>
                <w:highlight w:val="none"/>
                <w:lang w:val="en-US" w:eastAsia="zh-CN"/>
              </w:rPr>
              <w:br w:type="textWrapping"/>
            </w:r>
            <w:r>
              <w:rPr>
                <w:rFonts w:hint="default"/>
                <w:color w:val="auto"/>
                <w:highlight w:val="none"/>
                <w:lang w:val="en-US" w:eastAsia="zh-CN"/>
              </w:rPr>
              <w:t>花树等</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树径20厘米以上</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350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11200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每亩最多32株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树径8.1－19厘米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80－200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8000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每亩最多40株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树径2－8厘米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20－60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6000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每亩最多100株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树径小于2厘米以下</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10－20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木棉树、梨索</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特大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树径51厘米以上</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780</w:t>
            </w:r>
          </w:p>
        </w:tc>
        <w:tc>
          <w:tcPr>
            <w:tcW w:w="1330" w:type="dxa"/>
            <w:shd w:val="clear" w:color="auto" w:fill="FFFFFF"/>
            <w:vAlign w:val="center"/>
          </w:tcPr>
          <w:p>
            <w:pPr>
              <w:jc w:val="center"/>
              <w:rPr>
                <w:rFonts w:hint="default"/>
                <w:color w:val="auto"/>
                <w:highlight w:val="none"/>
                <w:lang w:val="en-US" w:eastAsia="zh-CN"/>
              </w:rPr>
            </w:pP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树径31－50厘米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520</w:t>
            </w:r>
          </w:p>
        </w:tc>
        <w:tc>
          <w:tcPr>
            <w:tcW w:w="1330" w:type="dxa"/>
            <w:shd w:val="clear" w:color="auto" w:fill="FFFFFF"/>
            <w:vAlign w:val="center"/>
          </w:tcPr>
          <w:p>
            <w:pPr>
              <w:jc w:val="center"/>
              <w:rPr>
                <w:rFonts w:hint="default"/>
                <w:color w:val="auto"/>
                <w:highlight w:val="none"/>
                <w:lang w:val="en-US" w:eastAsia="zh-CN"/>
              </w:rPr>
            </w:pP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树径15－30.9厘米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70－200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5400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每亩最多27株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树径5－14.9厘米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15－30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4500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每亩最多150株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树径4.9厘米以下</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10－20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榕树</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树径31厘米以上</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350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7000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每亩最多20株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树径31－30厘米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130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5200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每亩最多40株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树径5－14厘米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每亩最多100株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树径4.9厘米以下</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10－20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4000</w:t>
            </w: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沉香、罗汉松、</w:t>
            </w:r>
            <w:r>
              <w:rPr>
                <w:rFonts w:hint="default"/>
                <w:color w:val="auto"/>
                <w:highlight w:val="none"/>
                <w:lang w:val="en-US" w:eastAsia="zh-CN"/>
              </w:rPr>
              <w:br w:type="textWrapping"/>
            </w:r>
            <w:r>
              <w:rPr>
                <w:rFonts w:hint="default"/>
                <w:color w:val="auto"/>
                <w:highlight w:val="none"/>
                <w:lang w:val="en-US" w:eastAsia="zh-CN"/>
              </w:rPr>
              <w:t>红椎</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树径10.1厘米以上</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130</w:t>
            </w:r>
          </w:p>
        </w:tc>
        <w:tc>
          <w:tcPr>
            <w:tcW w:w="1330" w:type="dxa"/>
            <w:shd w:val="clear" w:color="auto" w:fill="FFFFFF"/>
            <w:vAlign w:val="center"/>
          </w:tcPr>
          <w:p>
            <w:pPr>
              <w:jc w:val="center"/>
              <w:rPr>
                <w:rFonts w:hint="default"/>
                <w:color w:val="auto"/>
                <w:highlight w:val="none"/>
                <w:lang w:val="en-US" w:eastAsia="zh-CN"/>
              </w:rPr>
            </w:pP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每亩最多80株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树径5.1－10厘米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w:t>
            </w:r>
          </w:p>
        </w:tc>
        <w:tc>
          <w:tcPr>
            <w:tcW w:w="1330" w:type="dxa"/>
            <w:shd w:val="clear" w:color="auto" w:fill="FFFFFF"/>
            <w:vAlign w:val="center"/>
          </w:tcPr>
          <w:p>
            <w:pPr>
              <w:jc w:val="center"/>
              <w:rPr>
                <w:rFonts w:hint="default"/>
                <w:color w:val="auto"/>
                <w:highlight w:val="none"/>
                <w:lang w:val="en-US" w:eastAsia="zh-CN"/>
              </w:rPr>
            </w:pP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每亩最多150株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树径2－5厘米</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30</w:t>
            </w:r>
          </w:p>
        </w:tc>
        <w:tc>
          <w:tcPr>
            <w:tcW w:w="1330" w:type="dxa"/>
            <w:shd w:val="clear" w:color="auto" w:fill="FFFFFF"/>
            <w:vAlign w:val="center"/>
          </w:tcPr>
          <w:p>
            <w:pPr>
              <w:jc w:val="center"/>
              <w:rPr>
                <w:rFonts w:hint="default"/>
                <w:color w:val="auto"/>
                <w:highlight w:val="none"/>
                <w:lang w:val="en-US" w:eastAsia="zh-CN"/>
              </w:rPr>
            </w:pP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每亩最多150株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树径2厘米以下</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10－20</w:t>
            </w:r>
          </w:p>
        </w:tc>
        <w:tc>
          <w:tcPr>
            <w:tcW w:w="1330" w:type="dxa"/>
            <w:shd w:val="clear" w:color="auto" w:fill="FFFFFF"/>
            <w:vAlign w:val="center"/>
          </w:tcPr>
          <w:p>
            <w:pPr>
              <w:jc w:val="center"/>
              <w:rPr>
                <w:rFonts w:hint="default"/>
                <w:color w:val="auto"/>
                <w:highlight w:val="none"/>
                <w:lang w:val="en-US" w:eastAsia="zh-CN"/>
              </w:rPr>
            </w:pPr>
          </w:p>
        </w:tc>
        <w:tc>
          <w:tcPr>
            <w:tcW w:w="2818"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每亩最多200株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菠萝、葡萄、</w:t>
            </w:r>
            <w:r>
              <w:rPr>
                <w:rFonts w:hint="default"/>
                <w:color w:val="auto"/>
                <w:highlight w:val="none"/>
                <w:lang w:val="en-US" w:eastAsia="zh-CN"/>
              </w:rPr>
              <w:br w:type="textWrapping"/>
            </w:r>
            <w:r>
              <w:rPr>
                <w:rFonts w:hint="default"/>
                <w:color w:val="auto"/>
                <w:highlight w:val="none"/>
                <w:lang w:val="en-US" w:eastAsia="zh-CN"/>
              </w:rPr>
              <w:t>火龙果</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未挂果</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1950</w:t>
            </w: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成苗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已挂果</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3900</w:t>
            </w:r>
          </w:p>
        </w:tc>
        <w:tc>
          <w:tcPr>
            <w:tcW w:w="2818" w:type="dxa"/>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br w:type="textWrapping"/>
            </w:r>
            <w:r>
              <w:rPr>
                <w:rFonts w:hint="default"/>
                <w:color w:val="auto"/>
                <w:highlight w:val="none"/>
                <w:lang w:val="en-US" w:eastAsia="zh-CN"/>
              </w:rPr>
              <w:br w:type="textWrapping"/>
            </w:r>
            <w:r>
              <w:rPr>
                <w:rFonts w:hint="default"/>
                <w:color w:val="auto"/>
                <w:highlight w:val="none"/>
                <w:lang w:val="en-US" w:eastAsia="zh-CN"/>
              </w:rPr>
              <w:br w:type="textWrapping"/>
            </w:r>
            <w:r>
              <w:rPr>
                <w:rFonts w:hint="default"/>
                <w:color w:val="auto"/>
                <w:highlight w:val="none"/>
                <w:lang w:val="en-US" w:eastAsia="zh-CN"/>
              </w:rPr>
              <w:br w:type="textWrapping"/>
            </w:r>
            <w:r>
              <w:rPr>
                <w:rFonts w:hint="default"/>
                <w:color w:val="auto"/>
                <w:highlight w:val="none"/>
                <w:lang w:val="en-US" w:eastAsia="zh-CN"/>
              </w:rPr>
              <w:br w:type="textWrapping"/>
            </w:r>
            <w:r>
              <w:rPr>
                <w:rFonts w:hint="default"/>
                <w:color w:val="auto"/>
                <w:highlight w:val="none"/>
                <w:lang w:val="en-US" w:eastAsia="zh-CN"/>
              </w:rPr>
              <w:br w:type="textWrapping"/>
            </w:r>
            <w:r>
              <w:rPr>
                <w:rFonts w:hint="default"/>
                <w:color w:val="auto"/>
                <w:highlight w:val="none"/>
                <w:lang w:val="en-US" w:eastAsia="zh-CN"/>
              </w:rPr>
              <w:t>乌榄、青榄</w:t>
            </w: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特大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树冠直径5米以上</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16000</w:t>
            </w:r>
          </w:p>
        </w:tc>
        <w:tc>
          <w:tcPr>
            <w:tcW w:w="2818" w:type="dxa"/>
            <w:vMerge w:val="restart"/>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每亩最多40株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大</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树冠直径4－5米以内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300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12000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中</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树冠直径3－4米以内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8000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树冠直径2－3米以内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150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6000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小</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树冠直径1－2米以内</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100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4000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树冠直径0.6－1米以内，已挂果</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50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default"/>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幼苗</w:t>
            </w: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树冠直径0.6米以下，未挂果</w:t>
            </w:r>
          </w:p>
        </w:tc>
        <w:tc>
          <w:tcPr>
            <w:tcW w:w="1045"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20</w:t>
            </w: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800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restart"/>
            <w:shd w:val="clear" w:color="auto" w:fill="FFFFFF"/>
            <w:vAlign w:val="center"/>
          </w:tcPr>
          <w:p>
            <w:pPr>
              <w:jc w:val="center"/>
              <w:rPr>
                <w:rFonts w:hint="default"/>
                <w:color w:val="auto"/>
                <w:highlight w:val="none"/>
                <w:lang w:val="en-US" w:eastAsia="zh-CN"/>
              </w:rPr>
            </w:pPr>
            <w:r>
              <w:rPr>
                <w:rFonts w:hint="eastAsia"/>
                <w:color w:val="auto"/>
                <w:highlight w:val="none"/>
                <w:lang w:val="en-US" w:eastAsia="zh-CN"/>
              </w:rPr>
              <w:t>茶树</w:t>
            </w: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种植期6年（含6年）以上</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24750</w:t>
            </w:r>
          </w:p>
        </w:tc>
        <w:tc>
          <w:tcPr>
            <w:tcW w:w="2818" w:type="dxa"/>
            <w:vMerge w:val="restart"/>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eastAsia"/>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种植期3～5年</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16500</w:t>
            </w:r>
          </w:p>
        </w:tc>
        <w:tc>
          <w:tcPr>
            <w:tcW w:w="2818" w:type="dxa"/>
            <w:vMerge w:val="continue"/>
            <w:shd w:val="clear" w:color="auto" w:fill="FFFFFF"/>
            <w:vAlign w:val="center"/>
          </w:tcPr>
          <w:p>
            <w:pPr>
              <w:jc w:val="center"/>
              <w:rPr>
                <w:rFonts w:hint="default"/>
                <w:color w:val="auto"/>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 w:hRule="atLeast"/>
          <w:tblCellSpacing w:w="15" w:type="dxa"/>
          <w:jc w:val="center"/>
        </w:trPr>
        <w:tc>
          <w:tcPr>
            <w:tcW w:w="2088" w:type="dxa"/>
            <w:vMerge w:val="continue"/>
            <w:shd w:val="clear" w:color="auto" w:fill="FFFFFF"/>
            <w:vAlign w:val="center"/>
          </w:tcPr>
          <w:p>
            <w:pPr>
              <w:jc w:val="center"/>
              <w:rPr>
                <w:rFonts w:hint="eastAsia"/>
                <w:color w:val="auto"/>
                <w:highlight w:val="none"/>
                <w:lang w:val="en-US" w:eastAsia="zh-CN"/>
              </w:rPr>
            </w:pPr>
          </w:p>
        </w:tc>
        <w:tc>
          <w:tcPr>
            <w:tcW w:w="732" w:type="dxa"/>
            <w:shd w:val="clear" w:color="auto" w:fill="FFFFFF"/>
            <w:vAlign w:val="center"/>
          </w:tcPr>
          <w:p>
            <w:pPr>
              <w:jc w:val="center"/>
              <w:rPr>
                <w:rFonts w:hint="default"/>
                <w:color w:val="auto"/>
                <w:highlight w:val="none"/>
                <w:lang w:val="en-US" w:eastAsia="zh-CN"/>
              </w:rPr>
            </w:pPr>
          </w:p>
        </w:tc>
        <w:tc>
          <w:tcPr>
            <w:tcW w:w="3027"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种植期2年（含2年）以下</w:t>
            </w:r>
          </w:p>
        </w:tc>
        <w:tc>
          <w:tcPr>
            <w:tcW w:w="1045" w:type="dxa"/>
            <w:shd w:val="clear" w:color="auto" w:fill="FFFFFF"/>
            <w:vAlign w:val="center"/>
          </w:tcPr>
          <w:p>
            <w:pPr>
              <w:jc w:val="center"/>
              <w:rPr>
                <w:rFonts w:hint="default"/>
                <w:color w:val="auto"/>
                <w:highlight w:val="none"/>
                <w:lang w:val="en-US" w:eastAsia="zh-CN"/>
              </w:rPr>
            </w:pPr>
          </w:p>
        </w:tc>
        <w:tc>
          <w:tcPr>
            <w:tcW w:w="1330" w:type="dxa"/>
            <w:shd w:val="clear" w:color="auto" w:fill="FFFFFF"/>
            <w:vAlign w:val="center"/>
          </w:tcPr>
          <w:p>
            <w:pPr>
              <w:jc w:val="center"/>
              <w:rPr>
                <w:rFonts w:hint="default"/>
                <w:color w:val="auto"/>
                <w:highlight w:val="none"/>
                <w:lang w:val="en-US" w:eastAsia="zh-CN"/>
              </w:rPr>
            </w:pPr>
            <w:r>
              <w:rPr>
                <w:rFonts w:hint="default"/>
                <w:color w:val="auto"/>
                <w:highlight w:val="none"/>
                <w:lang w:val="en-US" w:eastAsia="zh-CN"/>
              </w:rPr>
              <w:t>6600</w:t>
            </w:r>
          </w:p>
        </w:tc>
        <w:tc>
          <w:tcPr>
            <w:tcW w:w="2818" w:type="dxa"/>
            <w:vMerge w:val="continue"/>
            <w:shd w:val="clear" w:color="auto" w:fill="FFFFFF"/>
            <w:vAlign w:val="center"/>
          </w:tcPr>
          <w:p>
            <w:pPr>
              <w:jc w:val="center"/>
              <w:rPr>
                <w:rFonts w:hint="default"/>
                <w:color w:val="auto"/>
                <w:highlight w:val="none"/>
                <w:lang w:val="en-US" w:eastAsia="zh-CN"/>
              </w:rPr>
            </w:pPr>
          </w:p>
        </w:tc>
      </w:tr>
    </w:tbl>
    <w:p>
      <w:pPr>
        <w:rPr>
          <w:rFonts w:hint="default"/>
          <w:color w:val="auto"/>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b w:val="0"/>
          <w:bCs w:val="0"/>
          <w:color w:val="auto"/>
          <w:sz w:val="32"/>
          <w:szCs w:val="32"/>
          <w:highlight w:val="none"/>
          <w:lang w:val="en-US" w:eastAsia="zh-CN"/>
        </w:rPr>
      </w:pPr>
    </w:p>
    <w:sectPr>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7033782"/>
    <w:rsid w:val="0002561E"/>
    <w:rsid w:val="00284525"/>
    <w:rsid w:val="00AA2E93"/>
    <w:rsid w:val="00F80769"/>
    <w:rsid w:val="011253ED"/>
    <w:rsid w:val="01145609"/>
    <w:rsid w:val="0123584C"/>
    <w:rsid w:val="018F6AEE"/>
    <w:rsid w:val="01DD3C4D"/>
    <w:rsid w:val="01EF122A"/>
    <w:rsid w:val="0227136C"/>
    <w:rsid w:val="0273635F"/>
    <w:rsid w:val="02B7517C"/>
    <w:rsid w:val="02BF1691"/>
    <w:rsid w:val="02CD18F8"/>
    <w:rsid w:val="0337738D"/>
    <w:rsid w:val="03551F2A"/>
    <w:rsid w:val="036208AE"/>
    <w:rsid w:val="0402322C"/>
    <w:rsid w:val="0458580D"/>
    <w:rsid w:val="04E452F2"/>
    <w:rsid w:val="052D2ECD"/>
    <w:rsid w:val="05581CFE"/>
    <w:rsid w:val="06426774"/>
    <w:rsid w:val="06434DE0"/>
    <w:rsid w:val="065D535C"/>
    <w:rsid w:val="06620BC5"/>
    <w:rsid w:val="06793BF7"/>
    <w:rsid w:val="06841479"/>
    <w:rsid w:val="06BA455D"/>
    <w:rsid w:val="06C077F3"/>
    <w:rsid w:val="06F757B1"/>
    <w:rsid w:val="07195727"/>
    <w:rsid w:val="07283BBC"/>
    <w:rsid w:val="072C2FAA"/>
    <w:rsid w:val="07391925"/>
    <w:rsid w:val="08074D9A"/>
    <w:rsid w:val="080E1CEB"/>
    <w:rsid w:val="08524D25"/>
    <w:rsid w:val="086302C4"/>
    <w:rsid w:val="088A4403"/>
    <w:rsid w:val="089A4646"/>
    <w:rsid w:val="08BB6277"/>
    <w:rsid w:val="08C01A0F"/>
    <w:rsid w:val="093806A1"/>
    <w:rsid w:val="096C62B5"/>
    <w:rsid w:val="09774E41"/>
    <w:rsid w:val="09895920"/>
    <w:rsid w:val="098F1CD1"/>
    <w:rsid w:val="099E563B"/>
    <w:rsid w:val="09A6701A"/>
    <w:rsid w:val="09E3201C"/>
    <w:rsid w:val="09F204B1"/>
    <w:rsid w:val="0A061F82"/>
    <w:rsid w:val="0A673828"/>
    <w:rsid w:val="0A8729A8"/>
    <w:rsid w:val="0AE7534D"/>
    <w:rsid w:val="0B1C6B8D"/>
    <w:rsid w:val="0B9419B6"/>
    <w:rsid w:val="0B9C2CC3"/>
    <w:rsid w:val="0BAB0918"/>
    <w:rsid w:val="0C0D7AE6"/>
    <w:rsid w:val="0C4572E3"/>
    <w:rsid w:val="0C6C340C"/>
    <w:rsid w:val="0CA51870"/>
    <w:rsid w:val="0CD45858"/>
    <w:rsid w:val="0CE73054"/>
    <w:rsid w:val="0D1A0ACF"/>
    <w:rsid w:val="0D70470D"/>
    <w:rsid w:val="0D9E6357"/>
    <w:rsid w:val="0DA33144"/>
    <w:rsid w:val="0DB74558"/>
    <w:rsid w:val="0DBB4DCE"/>
    <w:rsid w:val="0DD2668E"/>
    <w:rsid w:val="0EAA3109"/>
    <w:rsid w:val="0F19705F"/>
    <w:rsid w:val="0F264E85"/>
    <w:rsid w:val="0F384BB8"/>
    <w:rsid w:val="0F6A2898"/>
    <w:rsid w:val="0FA47B58"/>
    <w:rsid w:val="0FAD1102"/>
    <w:rsid w:val="100824F0"/>
    <w:rsid w:val="100B407B"/>
    <w:rsid w:val="10CB3D2E"/>
    <w:rsid w:val="10F3484D"/>
    <w:rsid w:val="10F92232"/>
    <w:rsid w:val="11025D89"/>
    <w:rsid w:val="11036B00"/>
    <w:rsid w:val="110A4333"/>
    <w:rsid w:val="1139307F"/>
    <w:rsid w:val="113E67AE"/>
    <w:rsid w:val="115B7EC7"/>
    <w:rsid w:val="118B5473"/>
    <w:rsid w:val="119A56B6"/>
    <w:rsid w:val="11C00D1B"/>
    <w:rsid w:val="12064C4D"/>
    <w:rsid w:val="121A14A8"/>
    <w:rsid w:val="124473D0"/>
    <w:rsid w:val="125169C5"/>
    <w:rsid w:val="12592940"/>
    <w:rsid w:val="125A6BF4"/>
    <w:rsid w:val="125E0EE8"/>
    <w:rsid w:val="12EF6300"/>
    <w:rsid w:val="12FE6C66"/>
    <w:rsid w:val="13426006"/>
    <w:rsid w:val="134C0C32"/>
    <w:rsid w:val="13AA5959"/>
    <w:rsid w:val="13D708CA"/>
    <w:rsid w:val="143B07CF"/>
    <w:rsid w:val="1446484C"/>
    <w:rsid w:val="146E6986"/>
    <w:rsid w:val="148F7029"/>
    <w:rsid w:val="14C173FE"/>
    <w:rsid w:val="14E83C4D"/>
    <w:rsid w:val="14F21366"/>
    <w:rsid w:val="14F43330"/>
    <w:rsid w:val="15206CE8"/>
    <w:rsid w:val="156E1ACB"/>
    <w:rsid w:val="15D46A1A"/>
    <w:rsid w:val="15DD3DC4"/>
    <w:rsid w:val="16166774"/>
    <w:rsid w:val="162163A6"/>
    <w:rsid w:val="163D0D06"/>
    <w:rsid w:val="166D5BA5"/>
    <w:rsid w:val="16E3540A"/>
    <w:rsid w:val="173F148A"/>
    <w:rsid w:val="17F51EE0"/>
    <w:rsid w:val="187C25EB"/>
    <w:rsid w:val="187D188E"/>
    <w:rsid w:val="188E3A9B"/>
    <w:rsid w:val="18C64FE3"/>
    <w:rsid w:val="19024E0F"/>
    <w:rsid w:val="192C28D1"/>
    <w:rsid w:val="193463F1"/>
    <w:rsid w:val="19371A3D"/>
    <w:rsid w:val="198A015E"/>
    <w:rsid w:val="199327E5"/>
    <w:rsid w:val="19974B0D"/>
    <w:rsid w:val="19A47EFE"/>
    <w:rsid w:val="19D07039"/>
    <w:rsid w:val="19FE7678"/>
    <w:rsid w:val="1A07763C"/>
    <w:rsid w:val="1A156124"/>
    <w:rsid w:val="1A844F17"/>
    <w:rsid w:val="1ABE71D3"/>
    <w:rsid w:val="1AC47300"/>
    <w:rsid w:val="1B4724E4"/>
    <w:rsid w:val="1B7E7CEF"/>
    <w:rsid w:val="1B7F2AFC"/>
    <w:rsid w:val="1B84191A"/>
    <w:rsid w:val="1BC11A92"/>
    <w:rsid w:val="1C18440A"/>
    <w:rsid w:val="1C1E5C31"/>
    <w:rsid w:val="1C2C7853"/>
    <w:rsid w:val="1C424981"/>
    <w:rsid w:val="1C4E2785"/>
    <w:rsid w:val="1CC81239"/>
    <w:rsid w:val="1CCD00FC"/>
    <w:rsid w:val="1CE43C8A"/>
    <w:rsid w:val="1CF0262F"/>
    <w:rsid w:val="1D127DF0"/>
    <w:rsid w:val="1D1316E8"/>
    <w:rsid w:val="1D2E512B"/>
    <w:rsid w:val="1D30774C"/>
    <w:rsid w:val="1D507571"/>
    <w:rsid w:val="1D8B67FB"/>
    <w:rsid w:val="1DA022A7"/>
    <w:rsid w:val="1DBB0E8E"/>
    <w:rsid w:val="1DC017DB"/>
    <w:rsid w:val="1E777294"/>
    <w:rsid w:val="1E94348E"/>
    <w:rsid w:val="1EA41923"/>
    <w:rsid w:val="1EB53B30"/>
    <w:rsid w:val="1EBA1146"/>
    <w:rsid w:val="1EDD3086"/>
    <w:rsid w:val="1EEE7608"/>
    <w:rsid w:val="1F0446B4"/>
    <w:rsid w:val="1F23562F"/>
    <w:rsid w:val="1F624061"/>
    <w:rsid w:val="1F686DF4"/>
    <w:rsid w:val="1FBA5176"/>
    <w:rsid w:val="1FE01D86"/>
    <w:rsid w:val="1FE87F35"/>
    <w:rsid w:val="20174376"/>
    <w:rsid w:val="20191E9C"/>
    <w:rsid w:val="202861D6"/>
    <w:rsid w:val="206936A1"/>
    <w:rsid w:val="20895274"/>
    <w:rsid w:val="20FC60D5"/>
    <w:rsid w:val="21246D4B"/>
    <w:rsid w:val="212830CE"/>
    <w:rsid w:val="214563DE"/>
    <w:rsid w:val="21515666"/>
    <w:rsid w:val="215D225D"/>
    <w:rsid w:val="216534CC"/>
    <w:rsid w:val="21B87493"/>
    <w:rsid w:val="221816DB"/>
    <w:rsid w:val="22357507"/>
    <w:rsid w:val="22454B80"/>
    <w:rsid w:val="224F429B"/>
    <w:rsid w:val="22676FC3"/>
    <w:rsid w:val="226D64B1"/>
    <w:rsid w:val="227E0409"/>
    <w:rsid w:val="22873A35"/>
    <w:rsid w:val="22CA1B74"/>
    <w:rsid w:val="22DD5403"/>
    <w:rsid w:val="22EB17B4"/>
    <w:rsid w:val="23076924"/>
    <w:rsid w:val="23152DEF"/>
    <w:rsid w:val="23360DC4"/>
    <w:rsid w:val="234B527A"/>
    <w:rsid w:val="23CE1A7B"/>
    <w:rsid w:val="245E07C6"/>
    <w:rsid w:val="248D2E59"/>
    <w:rsid w:val="249B7324"/>
    <w:rsid w:val="24AB32DF"/>
    <w:rsid w:val="25B82157"/>
    <w:rsid w:val="25C74149"/>
    <w:rsid w:val="25EB4BAC"/>
    <w:rsid w:val="25F637EA"/>
    <w:rsid w:val="26062EC3"/>
    <w:rsid w:val="26181471"/>
    <w:rsid w:val="262D7EE2"/>
    <w:rsid w:val="26324903"/>
    <w:rsid w:val="265B48A0"/>
    <w:rsid w:val="265D3C6D"/>
    <w:rsid w:val="26D93DA6"/>
    <w:rsid w:val="27402CF7"/>
    <w:rsid w:val="275E4DF0"/>
    <w:rsid w:val="27974F81"/>
    <w:rsid w:val="280741FF"/>
    <w:rsid w:val="2887550D"/>
    <w:rsid w:val="288822B5"/>
    <w:rsid w:val="28E05C4D"/>
    <w:rsid w:val="28F811E9"/>
    <w:rsid w:val="291447E6"/>
    <w:rsid w:val="29151C7E"/>
    <w:rsid w:val="2927562A"/>
    <w:rsid w:val="293B1F70"/>
    <w:rsid w:val="29E40CC9"/>
    <w:rsid w:val="2A1F32A0"/>
    <w:rsid w:val="2A24600D"/>
    <w:rsid w:val="2A8C1716"/>
    <w:rsid w:val="2AA1140C"/>
    <w:rsid w:val="2ADB2B70"/>
    <w:rsid w:val="2B146082"/>
    <w:rsid w:val="2B9E76FA"/>
    <w:rsid w:val="2BB4516F"/>
    <w:rsid w:val="2BEE21BA"/>
    <w:rsid w:val="2C35678D"/>
    <w:rsid w:val="2CAF5097"/>
    <w:rsid w:val="2CDC497D"/>
    <w:rsid w:val="2CFC6DCE"/>
    <w:rsid w:val="2D8C5EB7"/>
    <w:rsid w:val="2DB15E62"/>
    <w:rsid w:val="2DB96562"/>
    <w:rsid w:val="2DC86CB0"/>
    <w:rsid w:val="2DE37356"/>
    <w:rsid w:val="2DE955A4"/>
    <w:rsid w:val="2DF16206"/>
    <w:rsid w:val="2E3329B8"/>
    <w:rsid w:val="2E42114F"/>
    <w:rsid w:val="2E8231AF"/>
    <w:rsid w:val="2EA119DB"/>
    <w:rsid w:val="2EB7433F"/>
    <w:rsid w:val="2F203569"/>
    <w:rsid w:val="2F6C68EA"/>
    <w:rsid w:val="2F972DDE"/>
    <w:rsid w:val="2FF0144C"/>
    <w:rsid w:val="301306B6"/>
    <w:rsid w:val="302A0383"/>
    <w:rsid w:val="3086323A"/>
    <w:rsid w:val="309A0DD7"/>
    <w:rsid w:val="30D455A5"/>
    <w:rsid w:val="30F54260"/>
    <w:rsid w:val="30F84E68"/>
    <w:rsid w:val="31124E12"/>
    <w:rsid w:val="312D4A00"/>
    <w:rsid w:val="31342080"/>
    <w:rsid w:val="3175714F"/>
    <w:rsid w:val="31927D00"/>
    <w:rsid w:val="319F01CC"/>
    <w:rsid w:val="31B54AD3"/>
    <w:rsid w:val="31D36170"/>
    <w:rsid w:val="31E5222F"/>
    <w:rsid w:val="322F4264"/>
    <w:rsid w:val="322F554F"/>
    <w:rsid w:val="323D431C"/>
    <w:rsid w:val="328C0BF4"/>
    <w:rsid w:val="32943604"/>
    <w:rsid w:val="330D3BC9"/>
    <w:rsid w:val="332130EA"/>
    <w:rsid w:val="3421071B"/>
    <w:rsid w:val="34B32468"/>
    <w:rsid w:val="34BF0E0C"/>
    <w:rsid w:val="34D92754"/>
    <w:rsid w:val="34EA4EFB"/>
    <w:rsid w:val="3501759A"/>
    <w:rsid w:val="353978DB"/>
    <w:rsid w:val="353D61D5"/>
    <w:rsid w:val="354B08F2"/>
    <w:rsid w:val="354E03E2"/>
    <w:rsid w:val="35B302F8"/>
    <w:rsid w:val="35CC5D7D"/>
    <w:rsid w:val="35E46651"/>
    <w:rsid w:val="35F23AD2"/>
    <w:rsid w:val="36323981"/>
    <w:rsid w:val="364014C9"/>
    <w:rsid w:val="36455341"/>
    <w:rsid w:val="36851BE2"/>
    <w:rsid w:val="36BD5E7F"/>
    <w:rsid w:val="36C941C4"/>
    <w:rsid w:val="37492C0F"/>
    <w:rsid w:val="374B6987"/>
    <w:rsid w:val="374C01E8"/>
    <w:rsid w:val="377F4883"/>
    <w:rsid w:val="38637D01"/>
    <w:rsid w:val="38A465A6"/>
    <w:rsid w:val="38FA0D6B"/>
    <w:rsid w:val="3A3C2EFF"/>
    <w:rsid w:val="3A6755EE"/>
    <w:rsid w:val="3A681C8A"/>
    <w:rsid w:val="3A797E9E"/>
    <w:rsid w:val="3AA7481D"/>
    <w:rsid w:val="3B2F5503"/>
    <w:rsid w:val="3B5C0109"/>
    <w:rsid w:val="3B6444BC"/>
    <w:rsid w:val="3B8B3833"/>
    <w:rsid w:val="3B944428"/>
    <w:rsid w:val="3B9D177C"/>
    <w:rsid w:val="3BAF52E8"/>
    <w:rsid w:val="3C063EAD"/>
    <w:rsid w:val="3C3A346E"/>
    <w:rsid w:val="3C8F37BA"/>
    <w:rsid w:val="3CA2064A"/>
    <w:rsid w:val="3CF03B2D"/>
    <w:rsid w:val="3D3659E4"/>
    <w:rsid w:val="3D3954D4"/>
    <w:rsid w:val="3D65276D"/>
    <w:rsid w:val="3D935C56"/>
    <w:rsid w:val="3D9B618F"/>
    <w:rsid w:val="3DA94408"/>
    <w:rsid w:val="3DF86485"/>
    <w:rsid w:val="3E3A0475"/>
    <w:rsid w:val="3E613B53"/>
    <w:rsid w:val="3F6845FE"/>
    <w:rsid w:val="404B5F0C"/>
    <w:rsid w:val="40E67721"/>
    <w:rsid w:val="41076015"/>
    <w:rsid w:val="41287D39"/>
    <w:rsid w:val="41466412"/>
    <w:rsid w:val="4158405D"/>
    <w:rsid w:val="41EF0857"/>
    <w:rsid w:val="42462B6D"/>
    <w:rsid w:val="42703746"/>
    <w:rsid w:val="42A6360C"/>
    <w:rsid w:val="42C43F3A"/>
    <w:rsid w:val="43486471"/>
    <w:rsid w:val="438F22F2"/>
    <w:rsid w:val="43C16C46"/>
    <w:rsid w:val="4416656F"/>
    <w:rsid w:val="447B63D2"/>
    <w:rsid w:val="449A7EB1"/>
    <w:rsid w:val="44F22B38"/>
    <w:rsid w:val="45232CF2"/>
    <w:rsid w:val="45281E69"/>
    <w:rsid w:val="45BA2CF0"/>
    <w:rsid w:val="45CC3389"/>
    <w:rsid w:val="45F96148"/>
    <w:rsid w:val="465313B5"/>
    <w:rsid w:val="46592743"/>
    <w:rsid w:val="468E063F"/>
    <w:rsid w:val="46D94242"/>
    <w:rsid w:val="46E14C12"/>
    <w:rsid w:val="47033782"/>
    <w:rsid w:val="473311E6"/>
    <w:rsid w:val="47413903"/>
    <w:rsid w:val="476B58F6"/>
    <w:rsid w:val="477E3AE1"/>
    <w:rsid w:val="47863A0C"/>
    <w:rsid w:val="47885E58"/>
    <w:rsid w:val="47C36A0E"/>
    <w:rsid w:val="47CD2511"/>
    <w:rsid w:val="47E36768"/>
    <w:rsid w:val="4820176A"/>
    <w:rsid w:val="48CB1200"/>
    <w:rsid w:val="48E04159"/>
    <w:rsid w:val="491143A2"/>
    <w:rsid w:val="49463453"/>
    <w:rsid w:val="49491C38"/>
    <w:rsid w:val="4953394A"/>
    <w:rsid w:val="4967456F"/>
    <w:rsid w:val="49916FD6"/>
    <w:rsid w:val="49FD5282"/>
    <w:rsid w:val="4A3D4856"/>
    <w:rsid w:val="4A47539E"/>
    <w:rsid w:val="4A767B3D"/>
    <w:rsid w:val="4AD2676C"/>
    <w:rsid w:val="4B0C247A"/>
    <w:rsid w:val="4C932A1E"/>
    <w:rsid w:val="4CB47B01"/>
    <w:rsid w:val="4CF338F1"/>
    <w:rsid w:val="4D0F7FFF"/>
    <w:rsid w:val="4D3D7907"/>
    <w:rsid w:val="4DA57B8E"/>
    <w:rsid w:val="4DEB4184"/>
    <w:rsid w:val="4E54216E"/>
    <w:rsid w:val="4E8E7D02"/>
    <w:rsid w:val="4EC46F6F"/>
    <w:rsid w:val="4ECC7CA4"/>
    <w:rsid w:val="4ED53A7E"/>
    <w:rsid w:val="4F245FE4"/>
    <w:rsid w:val="4F2E04D0"/>
    <w:rsid w:val="4F33730D"/>
    <w:rsid w:val="4F3D5B44"/>
    <w:rsid w:val="4F7D74A2"/>
    <w:rsid w:val="4F894099"/>
    <w:rsid w:val="4FB73CA0"/>
    <w:rsid w:val="4FF82FCD"/>
    <w:rsid w:val="5002197B"/>
    <w:rsid w:val="503A44D9"/>
    <w:rsid w:val="504A1A7A"/>
    <w:rsid w:val="5094634E"/>
    <w:rsid w:val="509C604E"/>
    <w:rsid w:val="510303AD"/>
    <w:rsid w:val="51DC2BA6"/>
    <w:rsid w:val="51F15F26"/>
    <w:rsid w:val="520B7444"/>
    <w:rsid w:val="520B7CE1"/>
    <w:rsid w:val="52304CA0"/>
    <w:rsid w:val="526037D7"/>
    <w:rsid w:val="52B3751A"/>
    <w:rsid w:val="52E31D12"/>
    <w:rsid w:val="52F12681"/>
    <w:rsid w:val="533C1422"/>
    <w:rsid w:val="53AE0779"/>
    <w:rsid w:val="53BF0089"/>
    <w:rsid w:val="53D84A30"/>
    <w:rsid w:val="54422A68"/>
    <w:rsid w:val="546E5A28"/>
    <w:rsid w:val="54D1276A"/>
    <w:rsid w:val="54DD6EAE"/>
    <w:rsid w:val="54F666EC"/>
    <w:rsid w:val="5540169E"/>
    <w:rsid w:val="554967A4"/>
    <w:rsid w:val="55515659"/>
    <w:rsid w:val="558735E2"/>
    <w:rsid w:val="55A00068"/>
    <w:rsid w:val="55AA6B17"/>
    <w:rsid w:val="55B1663A"/>
    <w:rsid w:val="560C77D2"/>
    <w:rsid w:val="56F518A5"/>
    <w:rsid w:val="571406EC"/>
    <w:rsid w:val="572C2786"/>
    <w:rsid w:val="574C257C"/>
    <w:rsid w:val="57861C50"/>
    <w:rsid w:val="57BB4460"/>
    <w:rsid w:val="57E74053"/>
    <w:rsid w:val="57F102DA"/>
    <w:rsid w:val="58060BFA"/>
    <w:rsid w:val="586176DE"/>
    <w:rsid w:val="58F05189"/>
    <w:rsid w:val="595E0345"/>
    <w:rsid w:val="596D67DA"/>
    <w:rsid w:val="59732133"/>
    <w:rsid w:val="597563E6"/>
    <w:rsid w:val="59AD6BD6"/>
    <w:rsid w:val="59C56A0C"/>
    <w:rsid w:val="59D423B5"/>
    <w:rsid w:val="59F75A43"/>
    <w:rsid w:val="5A2275C4"/>
    <w:rsid w:val="5BE427E9"/>
    <w:rsid w:val="5C2955DC"/>
    <w:rsid w:val="5C49708A"/>
    <w:rsid w:val="5C8207EE"/>
    <w:rsid w:val="5CE96177"/>
    <w:rsid w:val="5D335644"/>
    <w:rsid w:val="5D4B3FE9"/>
    <w:rsid w:val="5D5E1A9C"/>
    <w:rsid w:val="5D751FFA"/>
    <w:rsid w:val="5D7C348F"/>
    <w:rsid w:val="5DA5502E"/>
    <w:rsid w:val="5DC11865"/>
    <w:rsid w:val="5DE16D86"/>
    <w:rsid w:val="5DFF111B"/>
    <w:rsid w:val="5E1B6804"/>
    <w:rsid w:val="5E280F21"/>
    <w:rsid w:val="5E2F21EE"/>
    <w:rsid w:val="5E483371"/>
    <w:rsid w:val="5E990820"/>
    <w:rsid w:val="5EBD50CD"/>
    <w:rsid w:val="5F09639B"/>
    <w:rsid w:val="5F772160"/>
    <w:rsid w:val="5FAF0602"/>
    <w:rsid w:val="604F07E6"/>
    <w:rsid w:val="605424A1"/>
    <w:rsid w:val="60873562"/>
    <w:rsid w:val="60DC12ED"/>
    <w:rsid w:val="60E214DA"/>
    <w:rsid w:val="61042335"/>
    <w:rsid w:val="616C7377"/>
    <w:rsid w:val="61774699"/>
    <w:rsid w:val="617E2507"/>
    <w:rsid w:val="61D373F6"/>
    <w:rsid w:val="61FD249C"/>
    <w:rsid w:val="62233ED9"/>
    <w:rsid w:val="623D60BD"/>
    <w:rsid w:val="62774225"/>
    <w:rsid w:val="62B2525D"/>
    <w:rsid w:val="630E6937"/>
    <w:rsid w:val="632717A7"/>
    <w:rsid w:val="635D1376"/>
    <w:rsid w:val="63AB4186"/>
    <w:rsid w:val="63F0603D"/>
    <w:rsid w:val="6420379D"/>
    <w:rsid w:val="64B76B18"/>
    <w:rsid w:val="64EE1A97"/>
    <w:rsid w:val="651B7E96"/>
    <w:rsid w:val="651D2E62"/>
    <w:rsid w:val="65566374"/>
    <w:rsid w:val="65A03FAA"/>
    <w:rsid w:val="65A215B9"/>
    <w:rsid w:val="65AC4655"/>
    <w:rsid w:val="65B737F9"/>
    <w:rsid w:val="65E059D9"/>
    <w:rsid w:val="65F40760"/>
    <w:rsid w:val="66772A46"/>
    <w:rsid w:val="669E446B"/>
    <w:rsid w:val="66B912B0"/>
    <w:rsid w:val="66CB1E56"/>
    <w:rsid w:val="66CD1D01"/>
    <w:rsid w:val="66E51B59"/>
    <w:rsid w:val="671B7875"/>
    <w:rsid w:val="67AF7FBD"/>
    <w:rsid w:val="680622D3"/>
    <w:rsid w:val="680F08A7"/>
    <w:rsid w:val="68246BFD"/>
    <w:rsid w:val="684150B9"/>
    <w:rsid w:val="68617509"/>
    <w:rsid w:val="68921DB9"/>
    <w:rsid w:val="68BC6E36"/>
    <w:rsid w:val="68CF489B"/>
    <w:rsid w:val="68D72ABF"/>
    <w:rsid w:val="68F0088D"/>
    <w:rsid w:val="6907588C"/>
    <w:rsid w:val="695A0B28"/>
    <w:rsid w:val="695D5CF8"/>
    <w:rsid w:val="69C255DB"/>
    <w:rsid w:val="69E403F2"/>
    <w:rsid w:val="6A0942FC"/>
    <w:rsid w:val="6A097948"/>
    <w:rsid w:val="6A187115"/>
    <w:rsid w:val="6A4315BC"/>
    <w:rsid w:val="6A9A6D03"/>
    <w:rsid w:val="6B7D3277"/>
    <w:rsid w:val="6C005149"/>
    <w:rsid w:val="6C094CBD"/>
    <w:rsid w:val="6C950AE3"/>
    <w:rsid w:val="6CFE5C6F"/>
    <w:rsid w:val="6D843514"/>
    <w:rsid w:val="6D885538"/>
    <w:rsid w:val="6D8E482C"/>
    <w:rsid w:val="6D943EDD"/>
    <w:rsid w:val="6DB1277A"/>
    <w:rsid w:val="6DCC7F54"/>
    <w:rsid w:val="6E4679D2"/>
    <w:rsid w:val="6E6C4E6B"/>
    <w:rsid w:val="6E9E6192"/>
    <w:rsid w:val="6EC802E2"/>
    <w:rsid w:val="6ED70525"/>
    <w:rsid w:val="6EFF7A7C"/>
    <w:rsid w:val="6F4162E7"/>
    <w:rsid w:val="6F5778B8"/>
    <w:rsid w:val="6FA26D85"/>
    <w:rsid w:val="6FAA1493"/>
    <w:rsid w:val="70106954"/>
    <w:rsid w:val="706C2D03"/>
    <w:rsid w:val="707D50FC"/>
    <w:rsid w:val="70F47AB1"/>
    <w:rsid w:val="71076C20"/>
    <w:rsid w:val="710B2708"/>
    <w:rsid w:val="71265794"/>
    <w:rsid w:val="727367B7"/>
    <w:rsid w:val="727D3192"/>
    <w:rsid w:val="728B1D53"/>
    <w:rsid w:val="72B50B7E"/>
    <w:rsid w:val="72D21BDA"/>
    <w:rsid w:val="72E17BC5"/>
    <w:rsid w:val="72E72D01"/>
    <w:rsid w:val="73197FCF"/>
    <w:rsid w:val="732E6B82"/>
    <w:rsid w:val="733A72D5"/>
    <w:rsid w:val="7352461E"/>
    <w:rsid w:val="736305DA"/>
    <w:rsid w:val="7386464D"/>
    <w:rsid w:val="73B928EF"/>
    <w:rsid w:val="73D8022B"/>
    <w:rsid w:val="73EF098E"/>
    <w:rsid w:val="74861672"/>
    <w:rsid w:val="74A054A4"/>
    <w:rsid w:val="74A215D5"/>
    <w:rsid w:val="754206C3"/>
    <w:rsid w:val="75B17E3E"/>
    <w:rsid w:val="75F34172"/>
    <w:rsid w:val="76085468"/>
    <w:rsid w:val="763450FA"/>
    <w:rsid w:val="76500BBD"/>
    <w:rsid w:val="769C581D"/>
    <w:rsid w:val="773F675F"/>
    <w:rsid w:val="77C62469"/>
    <w:rsid w:val="783D52C4"/>
    <w:rsid w:val="784371D7"/>
    <w:rsid w:val="785A559F"/>
    <w:rsid w:val="78911745"/>
    <w:rsid w:val="78BF7EE1"/>
    <w:rsid w:val="79533D73"/>
    <w:rsid w:val="79582A3D"/>
    <w:rsid w:val="7A3C1B84"/>
    <w:rsid w:val="7A9B2CEC"/>
    <w:rsid w:val="7AAA11E4"/>
    <w:rsid w:val="7AE564E8"/>
    <w:rsid w:val="7B3A03BD"/>
    <w:rsid w:val="7B4707E1"/>
    <w:rsid w:val="7B8374D3"/>
    <w:rsid w:val="7B8D6BCE"/>
    <w:rsid w:val="7BAA2DBC"/>
    <w:rsid w:val="7BC2430B"/>
    <w:rsid w:val="7BE76E2F"/>
    <w:rsid w:val="7BF02492"/>
    <w:rsid w:val="7CB974BC"/>
    <w:rsid w:val="7D16490F"/>
    <w:rsid w:val="7D1D3EEF"/>
    <w:rsid w:val="7D951CD7"/>
    <w:rsid w:val="7D961D1C"/>
    <w:rsid w:val="7DC4104D"/>
    <w:rsid w:val="7E164407"/>
    <w:rsid w:val="7E1A21DD"/>
    <w:rsid w:val="7E3D549D"/>
    <w:rsid w:val="7E626E47"/>
    <w:rsid w:val="7E7A4A20"/>
    <w:rsid w:val="7EC4238D"/>
    <w:rsid w:val="7EC5039A"/>
    <w:rsid w:val="7ED56104"/>
    <w:rsid w:val="7EFE565A"/>
    <w:rsid w:val="7F211349"/>
    <w:rsid w:val="7F557819"/>
    <w:rsid w:val="7F9E48CD"/>
    <w:rsid w:val="7FB0104A"/>
    <w:rsid w:val="7FCC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100" w:afterLines="100"/>
      <w:outlineLvl w:val="0"/>
    </w:pPr>
    <w:rPr>
      <w:rFonts w:eastAsia="黑体"/>
      <w:kern w:val="44"/>
      <w:sz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666666"/>
      <w:u w:val="none"/>
    </w:rPr>
  </w:style>
  <w:style w:type="character" w:styleId="11">
    <w:name w:val="Hyperlink"/>
    <w:basedOn w:val="8"/>
    <w:qFormat/>
    <w:uiPriority w:val="0"/>
    <w:rPr>
      <w:color w:val="666666"/>
      <w:u w:val="none"/>
    </w:rPr>
  </w:style>
  <w:style w:type="character" w:styleId="12">
    <w:name w:val="HTML Code"/>
    <w:basedOn w:val="8"/>
    <w:qFormat/>
    <w:uiPriority w:val="0"/>
    <w:rPr>
      <w:rFonts w:ascii="Courier New" w:hAnsi="Courier New"/>
      <w:sz w:val="20"/>
    </w:rPr>
  </w:style>
  <w:style w:type="paragraph" w:customStyle="1" w:styleId="13">
    <w:name w:val="正式格式"/>
    <w:basedOn w:val="1"/>
    <w:qFormat/>
    <w:uiPriority w:val="0"/>
    <w:pPr>
      <w:spacing w:line="560" w:lineRule="exact"/>
    </w:pPr>
    <w:rPr>
      <w:rFonts w:ascii="Calibri" w:hAnsi="Calibri" w:eastAsia="仿宋_GB2312"/>
      <w:sz w:val="32"/>
    </w:rPr>
  </w:style>
  <w:style w:type="character" w:customStyle="1" w:styleId="14">
    <w:name w:val="hover"/>
    <w:basedOn w:val="8"/>
    <w:qFormat/>
    <w:uiPriority w:val="0"/>
    <w:rPr>
      <w:color w:val="2F6EA2"/>
    </w:rPr>
  </w:style>
  <w:style w:type="character" w:customStyle="1" w:styleId="15">
    <w:name w:val="calendar-head__next-year-btn"/>
    <w:basedOn w:val="8"/>
    <w:qFormat/>
    <w:uiPriority w:val="0"/>
  </w:style>
  <w:style w:type="character" w:customStyle="1" w:styleId="16">
    <w:name w:val="calendar-head__next-range-btn"/>
    <w:basedOn w:val="8"/>
    <w:qFormat/>
    <w:uiPriority w:val="0"/>
    <w:rPr>
      <w:vanish/>
    </w:rPr>
  </w:style>
  <w:style w:type="character" w:customStyle="1" w:styleId="17">
    <w:name w:val="calendar-head__prev-range-btn"/>
    <w:basedOn w:val="8"/>
    <w:qFormat/>
    <w:uiPriority w:val="0"/>
    <w:rPr>
      <w:vanish/>
    </w:rPr>
  </w:style>
  <w:style w:type="character" w:customStyle="1" w:styleId="18">
    <w:name w:val="calendar-head__text-display"/>
    <w:basedOn w:val="8"/>
    <w:qFormat/>
    <w:uiPriority w:val="0"/>
    <w:rPr>
      <w:vanish/>
    </w:rPr>
  </w:style>
  <w:style w:type="character" w:customStyle="1" w:styleId="19">
    <w:name w:val="calendar-head__year-range"/>
    <w:basedOn w:val="8"/>
    <w:qFormat/>
    <w:uiPriority w:val="0"/>
    <w:rPr>
      <w:vanish/>
    </w:rPr>
  </w:style>
  <w:style w:type="character" w:customStyle="1" w:styleId="20">
    <w:name w:val="calendar-head__next-month-btn"/>
    <w:basedOn w:val="8"/>
    <w:qFormat/>
    <w:uiPriority w:val="0"/>
  </w:style>
  <w:style w:type="character" w:customStyle="1" w:styleId="21">
    <w:name w:val="active2"/>
    <w:basedOn w:val="8"/>
    <w:qFormat/>
    <w:uiPriority w:val="0"/>
    <w:rPr>
      <w:color w:val="333333"/>
    </w:rPr>
  </w:style>
  <w:style w:type="character" w:customStyle="1" w:styleId="22">
    <w:name w:val="active"/>
    <w:basedOn w:val="8"/>
    <w:qFormat/>
    <w:uiPriority w:val="0"/>
    <w:rPr>
      <w:color w:val="3333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3596</Words>
  <Characters>4115</Characters>
  <Lines>0</Lines>
  <Paragraphs>0</Paragraphs>
  <TotalTime>38</TotalTime>
  <ScaleCrop>false</ScaleCrop>
  <LinksUpToDate>false</LinksUpToDate>
  <CharactersWithSpaces>4130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2022-02-24T11:50:00Z</dcterms:created>
  <dc:creator>Administrator</dc:creator>
  <cp:lastModifiedBy>YYZ</cp:lastModifiedBy>
  <cp:lastPrinted>2022-08-14T05:41:00Z</cp:lastPrinted>
  <dcterms:modified xsi:type="dcterms:W3CDTF">2022-08-21T13:23:09Z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44E873E8DB964AE8AE66B266AC7A0E6E</vt:lpwstr>
  </property>
  <property fmtid="{D5CDD505-2E9C-101B-9397-08002B2CF9AE}" pid="4" name="commondata">
    <vt:lpwstr>eyJoZGlkIjoiZmZmZmE3MGExNDEzMDBmOGU5NGYwYmVlYzgzMTU0MzgifQ==</vt:lpwstr>
  </property>
</Properties>
</file>