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FD92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baseline"/>
        <w:rPr>
          <w:rFonts w:hint="eastAsia" w:cs="Times New Roman"/>
        </w:rPr>
      </w:pPr>
      <w:r>
        <w:rPr>
          <w:rFonts w:hint="eastAsia" w:ascii="黑体" w:hAnsi="黑体" w:eastAsia="黑体" w:cs="黑体"/>
          <w:sz w:val="32"/>
          <w:szCs w:val="32"/>
          <w:lang w:val="en-US" w:eastAsia="zh-CN"/>
        </w:rPr>
        <w:t>附件2</w:t>
      </w:r>
    </w:p>
    <w:p w14:paraId="6CC87A87">
      <w:pPr>
        <w:pStyle w:val="2"/>
        <w:keepNext w:val="0"/>
        <w:keepLines w:val="0"/>
        <w:pageBreakBefore w:val="0"/>
        <w:widowControl w:val="0"/>
        <w:kinsoku/>
        <w:wordWrap/>
        <w:overflowPunct/>
        <w:topLinePunct w:val="0"/>
        <w:autoSpaceDE/>
        <w:autoSpaceDN/>
        <w:bidi w:val="0"/>
        <w:spacing w:line="560" w:lineRule="exact"/>
        <w:ind w:left="0" w:leftChars="0" w:right="0"/>
        <w:jc w:val="both"/>
        <w:rPr>
          <w:rFonts w:hint="eastAsia"/>
        </w:rPr>
      </w:pPr>
    </w:p>
    <w:p w14:paraId="31EAC89F">
      <w:pPr>
        <w:keepNext w:val="0"/>
        <w:keepLines w:val="0"/>
        <w:pageBreakBefore w:val="0"/>
        <w:widowControl w:val="0"/>
        <w:kinsoku w:val="0"/>
        <w:wordWrap/>
        <w:overflowPunct/>
        <w:topLinePunct w:val="0"/>
        <w:autoSpaceDE/>
        <w:autoSpaceDN/>
        <w:bidi w:val="0"/>
        <w:adjustRightInd w:val="0"/>
        <w:snapToGrid w:val="0"/>
        <w:spacing w:beforeAutospacing="0" w:afterAutospacing="0" w:line="560" w:lineRule="exact"/>
        <w:jc w:val="center"/>
        <w:textAlignment w:val="baseline"/>
        <w:rPr>
          <w:rFonts w:hint="eastAsia" w:ascii="方正小标宋简体" w:hAnsi="方正小标宋简体" w:eastAsia="方正小标宋简体" w:cs="方正小标宋简体"/>
          <w:spacing w:val="-1"/>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pacing w:val="-1"/>
          <w:sz w:val="44"/>
          <w:szCs w:val="44"/>
          <w:lang w:val="en-US" w:eastAsia="zh-CN"/>
        </w:rPr>
        <w:t>陆河县生猪规模以下养殖场所规范</w:t>
      </w:r>
    </w:p>
    <w:p w14:paraId="3A7A28CA">
      <w:pPr>
        <w:keepNext w:val="0"/>
        <w:keepLines w:val="0"/>
        <w:pageBreakBefore w:val="0"/>
        <w:widowControl w:val="0"/>
        <w:kinsoku w:val="0"/>
        <w:wordWrap/>
        <w:overflowPunct/>
        <w:topLinePunct w:val="0"/>
        <w:autoSpaceDE/>
        <w:autoSpaceDN/>
        <w:bidi w:val="0"/>
        <w:adjustRightInd w:val="0"/>
        <w:snapToGrid w:val="0"/>
        <w:spacing w:beforeAutospacing="0" w:afterAutospacing="0" w:line="560" w:lineRule="exact"/>
        <w:jc w:val="center"/>
        <w:textAlignment w:val="baseline"/>
        <w:rPr>
          <w:rFonts w:hint="eastAsia" w:ascii="方正小标宋简体" w:hAnsi="方正小标宋简体" w:eastAsia="方正小标宋简体" w:cs="方正小标宋简体"/>
          <w:spacing w:val="-1"/>
          <w:sz w:val="44"/>
          <w:szCs w:val="44"/>
          <w:lang w:val="en-US" w:eastAsia="zh-CN"/>
        </w:rPr>
      </w:pPr>
      <w:r>
        <w:rPr>
          <w:rFonts w:hint="eastAsia" w:ascii="方正小标宋简体" w:hAnsi="方正小标宋简体" w:eastAsia="方正小标宋简体" w:cs="方正小标宋简体"/>
          <w:spacing w:val="-1"/>
          <w:sz w:val="44"/>
          <w:szCs w:val="44"/>
          <w:lang w:val="en-US" w:eastAsia="zh-CN"/>
        </w:rPr>
        <w:t>指引（试行）（征求意见稿）》的</w:t>
      </w:r>
    </w:p>
    <w:p w14:paraId="7B17C40F">
      <w:pPr>
        <w:keepNext w:val="0"/>
        <w:keepLines w:val="0"/>
        <w:pageBreakBefore w:val="0"/>
        <w:widowControl w:val="0"/>
        <w:kinsoku w:val="0"/>
        <w:wordWrap/>
        <w:overflowPunct/>
        <w:topLinePunct w:val="0"/>
        <w:autoSpaceDE/>
        <w:autoSpaceDN/>
        <w:bidi w:val="0"/>
        <w:adjustRightInd w:val="0"/>
        <w:snapToGrid w:val="0"/>
        <w:spacing w:beforeAutospacing="0" w:afterAutospacing="0" w:line="560" w:lineRule="exact"/>
        <w:jc w:val="center"/>
        <w:textAlignment w:val="baseline"/>
        <w:rPr>
          <w:rFonts w:hint="eastAsia" w:ascii="方正小标宋简体" w:hAnsi="方正小标宋简体" w:eastAsia="方正小标宋简体" w:cs="方正小标宋简体"/>
          <w:spacing w:val="-1"/>
          <w:sz w:val="44"/>
          <w:szCs w:val="44"/>
          <w:lang w:val="en-US" w:eastAsia="zh-CN"/>
        </w:rPr>
      </w:pPr>
      <w:r>
        <w:rPr>
          <w:rFonts w:hint="eastAsia" w:ascii="方正小标宋简体" w:hAnsi="方正小标宋简体" w:eastAsia="方正小标宋简体" w:cs="方正小标宋简体"/>
          <w:spacing w:val="-1"/>
          <w:sz w:val="44"/>
          <w:szCs w:val="44"/>
          <w:lang w:val="en-US" w:eastAsia="zh-CN"/>
        </w:rPr>
        <w:t>起草说明</w:t>
      </w:r>
    </w:p>
    <w:p w14:paraId="679F16D1">
      <w:pPr>
        <w:keepNext w:val="0"/>
        <w:keepLines w:val="0"/>
        <w:pageBreakBefore w:val="0"/>
        <w:widowControl w:val="0"/>
        <w:kinsoku/>
        <w:wordWrap/>
        <w:overflowPunct/>
        <w:topLinePunct w:val="0"/>
        <w:autoSpaceDE/>
        <w:autoSpaceDN/>
        <w:bidi w:val="0"/>
        <w:spacing w:line="560" w:lineRule="exact"/>
        <w:ind w:left="0" w:leftChars="0" w:right="0"/>
        <w:jc w:val="both"/>
        <w:rPr>
          <w:rFonts w:ascii="楷体" w:hAnsi="楷体" w:eastAsia="楷体" w:cs="楷体"/>
          <w:sz w:val="36"/>
          <w:szCs w:val="36"/>
        </w:rPr>
      </w:pPr>
    </w:p>
    <w:p w14:paraId="40258EB1">
      <w:pPr>
        <w:keepNext w:val="0"/>
        <w:keepLines w:val="0"/>
        <w:pageBreakBefore w:val="0"/>
        <w:widowControl w:val="0"/>
        <w:numPr>
          <w:ilvl w:val="0"/>
          <w:numId w:val="0"/>
        </w:numPr>
        <w:kinsoku/>
        <w:wordWrap/>
        <w:overflowPunct/>
        <w:topLinePunct w:val="0"/>
        <w:autoSpaceDE/>
        <w:autoSpaceDN/>
        <w:bidi w:val="0"/>
        <w:spacing w:line="560" w:lineRule="exact"/>
        <w:ind w:left="0" w:leftChars="0" w:right="0" w:firstLine="640" w:firstLineChars="200"/>
        <w:jc w:val="both"/>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我单位拟定了《</w:t>
      </w:r>
      <w:r>
        <w:rPr>
          <w:rFonts w:hint="eastAsia" w:ascii="仿宋_GB2312" w:hAnsi="仿宋_GB2312" w:eastAsia="仿宋_GB2312" w:cs="仿宋_GB2312"/>
          <w:spacing w:val="0"/>
          <w:sz w:val="32"/>
          <w:szCs w:val="32"/>
          <w:lang w:val="en-US" w:eastAsia="zh-CN"/>
        </w:rPr>
        <w:t>陆河县生猪规模以下养殖场所规范指引（试行）</w:t>
      </w:r>
      <w:r>
        <w:rPr>
          <w:rFonts w:hint="eastAsia" w:ascii="仿宋_GB2312" w:hAnsi="仿宋_GB2312" w:eastAsia="仿宋_GB2312" w:cs="仿宋_GB2312"/>
          <w:bCs/>
          <w:color w:val="000000"/>
          <w:sz w:val="32"/>
          <w:szCs w:val="32"/>
          <w:lang w:val="en-US" w:eastAsia="zh-CN"/>
        </w:rPr>
        <w:t>（征求意见稿）》。</w:t>
      </w:r>
      <w:r>
        <w:rPr>
          <w:rFonts w:hint="eastAsia" w:ascii="仿宋_GB2312" w:hAnsi="仿宋_GB2312" w:eastAsia="仿宋_GB2312" w:cs="仿宋_GB2312"/>
          <w:bCs/>
          <w:color w:val="000000"/>
          <w:sz w:val="32"/>
          <w:szCs w:val="32"/>
          <w:lang w:eastAsia="zh-CN"/>
        </w:rPr>
        <w:t>根据</w:t>
      </w:r>
      <w:r>
        <w:rPr>
          <w:rFonts w:hint="eastAsia" w:ascii="仿宋_GB2312" w:hAnsi="仿宋_GB2312" w:eastAsia="仿宋_GB2312" w:cs="仿宋_GB2312"/>
          <w:bCs/>
          <w:color w:val="000000"/>
          <w:sz w:val="32"/>
          <w:szCs w:val="32"/>
          <w:lang w:val="en-US" w:eastAsia="zh-CN"/>
        </w:rPr>
        <w:t>相关工作制度，现就文件制定有关事宜作说明如下：</w:t>
      </w:r>
    </w:p>
    <w:p w14:paraId="2A9DD880">
      <w:pPr>
        <w:keepNext w:val="0"/>
        <w:keepLines w:val="0"/>
        <w:pageBreakBefore w:val="0"/>
        <w:widowControl w:val="0"/>
        <w:numPr>
          <w:ilvl w:val="0"/>
          <w:numId w:val="0"/>
        </w:numPr>
        <w:kinsoku/>
        <w:wordWrap/>
        <w:overflowPunct/>
        <w:topLinePunct w:val="0"/>
        <w:autoSpaceDE/>
        <w:autoSpaceDN/>
        <w:bidi w:val="0"/>
        <w:spacing w:line="560" w:lineRule="exact"/>
        <w:ind w:left="0" w:leftChars="0" w:right="0" w:firstLine="640" w:firstLineChars="200"/>
        <w:jc w:val="both"/>
        <w:rPr>
          <w:rFonts w:hint="eastAsia" w:ascii="黑体" w:hAnsi="黑体" w:eastAsia="黑体" w:cs="Times New Roman"/>
          <w:color w:val="auto"/>
          <w:spacing w:val="0"/>
          <w:kern w:val="2"/>
          <w:sz w:val="32"/>
          <w:szCs w:val="32"/>
          <w:lang w:val="en-US" w:eastAsia="zh-CN" w:bidi="ar-SA"/>
        </w:rPr>
      </w:pPr>
      <w:r>
        <w:rPr>
          <w:rFonts w:hint="eastAsia" w:ascii="黑体" w:hAnsi="黑体" w:eastAsia="黑体" w:cs="Times New Roman"/>
          <w:color w:val="auto"/>
          <w:spacing w:val="0"/>
          <w:kern w:val="2"/>
          <w:sz w:val="32"/>
          <w:szCs w:val="32"/>
          <w:lang w:val="en-US" w:eastAsia="zh-CN" w:bidi="ar-SA"/>
        </w:rPr>
        <w:t>一、《工作措施》出台背景</w:t>
      </w:r>
    </w:p>
    <w:p w14:paraId="1C840D4D">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2" w:firstLineChars="200"/>
        <w:jc w:val="both"/>
        <w:textAlignment w:val="auto"/>
        <w:rPr>
          <w:rFonts w:hint="eastAsia" w:ascii="仿宋_GB2312" w:hAnsi="仿宋_GB2312" w:eastAsia="仿宋_GB2312" w:cs="仿宋_GB2312"/>
          <w:color w:val="auto"/>
          <w:spacing w:val="-2"/>
          <w:sz w:val="32"/>
          <w:szCs w:val="32"/>
          <w:lang w:val="zh-TW" w:eastAsia="zh-CN"/>
        </w:rPr>
      </w:pPr>
      <w:r>
        <w:rPr>
          <w:rFonts w:hint="eastAsia" w:ascii="仿宋_GB2312" w:hAnsi="仿宋_GB2312" w:eastAsia="仿宋_GB2312" w:cs="仿宋_GB2312"/>
          <w:spacing w:val="-2"/>
          <w:sz w:val="32"/>
          <w:szCs w:val="32"/>
          <w:lang w:val="en-US" w:eastAsia="zh-CN"/>
        </w:rPr>
        <w:t>为深入贯彻落实党的二十大精神，</w:t>
      </w:r>
      <w:r>
        <w:rPr>
          <w:rFonts w:hint="eastAsia" w:ascii="仿宋_GB2312" w:hAnsi="仿宋_GB2312" w:eastAsia="仿宋_GB2312" w:cs="仿宋_GB2312"/>
          <w:spacing w:val="0"/>
          <w:sz w:val="32"/>
          <w:szCs w:val="32"/>
          <w:lang w:val="en-US" w:eastAsia="zh-CN"/>
        </w:rPr>
        <w:t>全</w:t>
      </w:r>
      <w:r>
        <w:rPr>
          <w:rFonts w:hint="eastAsia" w:ascii="仿宋_GB2312" w:hAnsi="仿宋_GB2312" w:eastAsia="仿宋_GB2312" w:cs="仿宋_GB2312"/>
          <w:sz w:val="32"/>
          <w:szCs w:val="32"/>
          <w:lang w:val="en-US" w:eastAsia="zh-CN"/>
        </w:rPr>
        <w:t>力抓好</w:t>
      </w:r>
      <w:r>
        <w:rPr>
          <w:rFonts w:hint="eastAsia" w:ascii="仿宋_GB2312" w:hAnsi="仿宋_GB2312" w:eastAsia="仿宋_GB2312" w:cs="仿宋_GB2312"/>
          <w:sz w:val="32"/>
          <w:szCs w:val="32"/>
        </w:rPr>
        <w:t>加强“菜篮子”产品保供</w:t>
      </w:r>
      <w:r>
        <w:rPr>
          <w:rFonts w:hint="eastAsia" w:ascii="仿宋_GB2312" w:hAnsi="仿宋_GB2312" w:eastAsia="仿宋_GB2312" w:cs="仿宋_GB2312"/>
          <w:spacing w:val="-2"/>
          <w:sz w:val="32"/>
          <w:szCs w:val="32"/>
          <w:lang w:val="en-US" w:eastAsia="zh-CN"/>
        </w:rPr>
        <w:t>，</w:t>
      </w:r>
      <w:r>
        <w:rPr>
          <w:rFonts w:hint="eastAsia" w:ascii="仿宋_GB2312" w:hAnsi="仿宋_GB2312" w:eastAsia="仿宋_GB2312" w:cs="仿宋_GB2312"/>
          <w:spacing w:val="0"/>
          <w:sz w:val="32"/>
          <w:szCs w:val="32"/>
          <w:lang w:val="en-US" w:eastAsia="zh-CN"/>
        </w:rPr>
        <w:t>推广种养循环模式。推进农业面源污染综合防治</w:t>
      </w:r>
      <w:r>
        <w:rPr>
          <w:rFonts w:hint="eastAsia" w:ascii="仿宋_GB2312" w:hAnsi="仿宋_GB2312" w:eastAsia="仿宋_GB2312" w:cs="仿宋_GB2312"/>
          <w:spacing w:val="-2"/>
          <w:sz w:val="32"/>
          <w:szCs w:val="32"/>
          <w:lang w:val="en-US" w:eastAsia="zh-CN"/>
        </w:rPr>
        <w:t>，结合我县实际，我局拟定了《</w:t>
      </w:r>
      <w:r>
        <w:rPr>
          <w:rFonts w:hint="eastAsia" w:ascii="仿宋_GB2312" w:hAnsi="仿宋_GB2312" w:eastAsia="仿宋_GB2312" w:cs="仿宋_GB2312"/>
          <w:spacing w:val="0"/>
          <w:sz w:val="32"/>
          <w:szCs w:val="32"/>
          <w:lang w:val="en-US" w:eastAsia="zh-CN"/>
        </w:rPr>
        <w:t>陆河县生猪规模以下养殖场所规范指引（试行）</w:t>
      </w:r>
      <w:r>
        <w:rPr>
          <w:rFonts w:hint="eastAsia" w:ascii="仿宋_GB2312" w:hAnsi="仿宋_GB2312" w:eastAsia="仿宋_GB2312" w:cs="仿宋_GB2312"/>
          <w:bCs/>
          <w:color w:val="000000"/>
          <w:sz w:val="32"/>
          <w:szCs w:val="32"/>
          <w:lang w:val="en-US" w:eastAsia="zh-CN"/>
        </w:rPr>
        <w:t>（征求意见稿）</w:t>
      </w:r>
      <w:r>
        <w:rPr>
          <w:rFonts w:hint="eastAsia" w:ascii="仿宋_GB2312" w:hAnsi="仿宋_GB2312" w:eastAsia="仿宋_GB2312" w:cs="仿宋_GB2312"/>
          <w:spacing w:val="-2"/>
          <w:sz w:val="32"/>
          <w:szCs w:val="32"/>
          <w:lang w:val="en-US" w:eastAsia="zh-CN"/>
        </w:rPr>
        <w:t>》</w:t>
      </w:r>
      <w:r>
        <w:rPr>
          <w:rFonts w:hint="eastAsia" w:ascii="仿宋_GB2312" w:hAnsi="仿宋_GB2312" w:eastAsia="仿宋_GB2312" w:cs="仿宋_GB2312"/>
          <w:color w:val="auto"/>
          <w:spacing w:val="-2"/>
          <w:sz w:val="32"/>
          <w:szCs w:val="32"/>
          <w:lang w:val="zh-TW" w:eastAsia="zh-CN"/>
        </w:rPr>
        <w:t>。</w:t>
      </w:r>
    </w:p>
    <w:p w14:paraId="5119AE98">
      <w:pPr>
        <w:pStyle w:val="3"/>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黑体" w:hAnsi="黑体" w:eastAsia="黑体" w:cs="Times New Roman"/>
          <w:color w:val="auto"/>
          <w:spacing w:val="0"/>
          <w:kern w:val="2"/>
          <w:sz w:val="32"/>
          <w:szCs w:val="32"/>
          <w:lang w:val="en-US" w:eastAsia="zh-CN" w:bidi="ar-SA"/>
        </w:rPr>
      </w:pPr>
      <w:r>
        <w:rPr>
          <w:rFonts w:hint="eastAsia" w:ascii="黑体" w:hAnsi="黑体" w:eastAsia="黑体" w:cs="Times New Roman"/>
          <w:color w:val="auto"/>
          <w:spacing w:val="0"/>
          <w:kern w:val="2"/>
          <w:sz w:val="32"/>
          <w:szCs w:val="32"/>
          <w:lang w:val="en-US" w:eastAsia="zh-CN" w:bidi="ar-SA"/>
        </w:rPr>
        <w:t>法律法规政策依据</w:t>
      </w:r>
    </w:p>
    <w:p w14:paraId="48284CA2">
      <w:pPr>
        <w:pStyle w:val="4"/>
        <w:keepNext w:val="0"/>
        <w:keepLines w:val="0"/>
        <w:pageBreakBefore w:val="0"/>
        <w:widowControl w:val="0"/>
        <w:numPr>
          <w:ilvl w:val="0"/>
          <w:numId w:val="2"/>
        </w:numPr>
        <w:kinsoku/>
        <w:wordWrap/>
        <w:overflowPunct/>
        <w:topLinePunct w:val="0"/>
        <w:autoSpaceDE/>
        <w:autoSpaceDN/>
        <w:bidi w:val="0"/>
        <w:spacing w:after="0" w:line="560" w:lineRule="exact"/>
        <w:ind w:left="0" w:leftChars="0" w:right="0" w:firstLine="640" w:firstLineChars="200"/>
        <w:jc w:val="both"/>
        <w:rPr>
          <w:rFonts w:hint="eastAsia" w:ascii="仿宋_GB2312" w:hAnsi="仿宋_GB2312" w:eastAsia="仿宋_GB2312" w:cs="仿宋_GB2312"/>
          <w:bCs/>
          <w:color w:val="auto"/>
          <w:spacing w:val="0"/>
          <w:kern w:val="2"/>
          <w:sz w:val="32"/>
          <w:szCs w:val="32"/>
          <w:lang w:val="en-US" w:eastAsia="zh-CN" w:bidi="ar-SA"/>
        </w:rPr>
      </w:pPr>
      <w:r>
        <w:rPr>
          <w:rFonts w:hint="eastAsia" w:ascii="仿宋_GB2312" w:hAnsi="仿宋_GB2312" w:eastAsia="仿宋_GB2312" w:cs="仿宋_GB2312"/>
          <w:bCs/>
          <w:color w:val="auto"/>
          <w:spacing w:val="0"/>
          <w:kern w:val="2"/>
          <w:sz w:val="32"/>
          <w:szCs w:val="32"/>
          <w:lang w:val="en-US" w:eastAsia="zh-CN" w:bidi="ar-SA"/>
        </w:rPr>
        <w:t>根据《中华人民共和国畜牧法》“第四十条：畜禽养殖场的选址、建设应当符合国土空间规划，并遵守有关法律法规的规定；不得违反法律法规的规定，在禁养区域建设畜禽养殖场”</w:t>
      </w:r>
    </w:p>
    <w:p w14:paraId="76A9BD19">
      <w:pPr>
        <w:rPr>
          <w:rFonts w:hint="default"/>
          <w:lang w:val="en-US" w:eastAsia="zh-CN"/>
        </w:rPr>
      </w:pPr>
      <w:r>
        <w:rPr>
          <w:rFonts w:hint="eastAsia" w:ascii="仿宋_GB2312" w:hAnsi="仿宋_GB2312" w:eastAsia="仿宋_GB2312" w:cs="仿宋_GB2312"/>
          <w:bCs/>
          <w:color w:val="auto"/>
          <w:spacing w:val="0"/>
          <w:kern w:val="2"/>
          <w:sz w:val="32"/>
          <w:szCs w:val="32"/>
          <w:lang w:val="en-US" w:eastAsia="zh-CN" w:bidi="ar-SA"/>
        </w:rPr>
        <w:t xml:space="preserve">    （二）根据《中华人民共和国森林法实施条例》“第四十三条 未经县级以上人民政府林业主管部门审核同意，擅自改变林地用途的，由县级以上人民政府林业主管部门责令限期恢复原状，并处非法改变用途林地每平方米10元至30元的罚款。”</w:t>
      </w:r>
    </w:p>
    <w:p w14:paraId="76D761AB">
      <w:pPr>
        <w:keepNext w:val="0"/>
        <w:keepLines w:val="0"/>
        <w:pageBreakBefore w:val="0"/>
        <w:widowControl w:val="0"/>
        <w:numPr>
          <w:ilvl w:val="0"/>
          <w:numId w:val="0"/>
        </w:numPr>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bCs/>
          <w:color w:val="auto"/>
          <w:spacing w:val="0"/>
          <w:kern w:val="2"/>
          <w:sz w:val="32"/>
          <w:szCs w:val="32"/>
          <w:lang w:val="en-US" w:eastAsia="zh-CN" w:bidi="ar-SA"/>
        </w:rPr>
      </w:pPr>
      <w:r>
        <w:rPr>
          <w:rFonts w:hint="eastAsia" w:ascii="仿宋_GB2312" w:hAnsi="仿宋_GB2312" w:eastAsia="仿宋_GB2312" w:cs="仿宋_GB2312"/>
          <w:bCs/>
          <w:color w:val="auto"/>
          <w:spacing w:val="0"/>
          <w:kern w:val="2"/>
          <w:sz w:val="32"/>
          <w:szCs w:val="32"/>
          <w:lang w:val="en-US" w:eastAsia="zh-CN" w:bidi="ar-SA"/>
        </w:rPr>
        <w:t>（三）</w:t>
      </w:r>
      <w:r>
        <w:rPr>
          <w:rFonts w:hint="eastAsia" w:ascii="仿宋_GB2312" w:hAnsi="仿宋_GB2312" w:eastAsia="仿宋_GB2312" w:cs="仿宋_GB2312"/>
          <w:sz w:val="32"/>
          <w:szCs w:val="32"/>
          <w:lang w:val="en-US" w:eastAsia="zh-CN"/>
        </w:rPr>
        <w:t>根据农业农村部办公厅、生态环境部办公厅联合印发《关于进一步明确畜禽粪污还田利用要求强化养殖污染监管的通知》要求，畜禽养殖场所责任人应切实履行粪污收集处理利用和污染防治主体责任，采取措施，对畜禽粪污进行科学处理和资源化利用，防止污染环境。</w:t>
      </w:r>
    </w:p>
    <w:p w14:paraId="05ABA6A3">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right="0" w:rightChars="0" w:firstLine="320" w:firstLineChars="1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val="en-US" w:eastAsia="zh-CN"/>
        </w:rPr>
        <w:t>三、</w:t>
      </w:r>
      <w:r>
        <w:rPr>
          <w:rFonts w:hint="eastAsia" w:ascii="黑体" w:hAnsi="黑体" w:eastAsia="黑体" w:cs="Times New Roman"/>
          <w:sz w:val="32"/>
          <w:szCs w:val="32"/>
          <w:lang w:eastAsia="zh-CN"/>
        </w:rPr>
        <w:t>主要内容说明</w:t>
      </w:r>
    </w:p>
    <w:p w14:paraId="2F61084D">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Times New Roman"/>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 xml:space="preserve"> （一）主要内容概述</w:t>
      </w:r>
    </w:p>
    <w:p w14:paraId="17962F43">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Style w:val="9"/>
          <w:rFonts w:hint="eastAsia" w:ascii="仿宋_GB2312" w:hAnsi="仿宋_GB2312" w:eastAsia="仿宋_GB2312" w:cs="仿宋_GB2312"/>
          <w:i w:val="0"/>
          <w:color w:val="000000"/>
          <w:spacing w:val="0"/>
          <w:kern w:val="2"/>
          <w:sz w:val="32"/>
          <w:szCs w:val="32"/>
          <w:shd w:val="clear" w:color="auto" w:fill="FFFFFF"/>
          <w:lang w:val="en-US" w:eastAsia="zh-CN" w:bidi="ar-SA"/>
        </w:rPr>
      </w:pPr>
      <w:r>
        <w:rPr>
          <w:rStyle w:val="9"/>
          <w:rFonts w:hint="eastAsia" w:ascii="仿宋_GB2312" w:hAnsi="仿宋_GB2312" w:eastAsia="仿宋_GB2312" w:cs="仿宋_GB2312"/>
          <w:i w:val="0"/>
          <w:color w:val="000000"/>
          <w:spacing w:val="0"/>
          <w:kern w:val="2"/>
          <w:sz w:val="32"/>
          <w:szCs w:val="32"/>
          <w:shd w:val="clear" w:color="auto" w:fill="FFFFFF"/>
          <w:lang w:val="zh-TW" w:eastAsia="zh-CN" w:bidi="ar-SA"/>
        </w:rPr>
        <w:t>《陆河县生猪规模以下养殖场所规范指引（试行）》</w:t>
      </w:r>
      <w:r>
        <w:rPr>
          <w:rStyle w:val="9"/>
          <w:rFonts w:hint="eastAsia" w:ascii="仿宋_GB2312" w:hAnsi="仿宋_GB2312" w:eastAsia="仿宋_GB2312" w:cs="仿宋_GB2312"/>
          <w:i w:val="0"/>
          <w:color w:val="000000"/>
          <w:spacing w:val="0"/>
          <w:kern w:val="2"/>
          <w:sz w:val="32"/>
          <w:szCs w:val="32"/>
          <w:shd w:val="clear" w:color="auto" w:fill="FFFFFF"/>
          <w:lang w:val="en-US" w:eastAsia="zh-CN" w:bidi="ar-SA"/>
        </w:rPr>
        <w:t>全文约1765字，共4章14条指引，主要内容包括：</w:t>
      </w:r>
    </w:p>
    <w:p w14:paraId="464804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14:paraId="6EBDA8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为了规范畜牧业生产经营行为，促进</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生猪养殖业</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健康发展，保护</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改善农村生态环境，根据《中</w:t>
      </w:r>
      <w:r>
        <w:rPr>
          <w:rFonts w:hint="eastAsia" w:ascii="仿宋_GB2312" w:hAnsi="仿宋_GB2312" w:eastAsia="仿宋_GB2312" w:cs="仿宋_GB2312"/>
          <w:sz w:val="32"/>
          <w:szCs w:val="32"/>
          <w:lang w:eastAsia="zh-CN"/>
        </w:rPr>
        <w:t>华人民共和国畜牧法》《中华人民共和国环境保护法》《中华人民共和国</w:t>
      </w:r>
      <w:r>
        <w:rPr>
          <w:rFonts w:hint="default" w:ascii="仿宋_GB2312" w:hAnsi="仿宋_GB2312" w:eastAsia="仿宋_GB2312" w:cs="仿宋_GB2312"/>
          <w:sz w:val="32"/>
          <w:szCs w:val="32"/>
          <w:lang w:eastAsia="zh-CN"/>
        </w:rPr>
        <w:t>大气污染防治法</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中华人民共和国水污染防治法》《中华人民共和国森林法实施条例》</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《畜禽规模养殖污染防治条例》等有关</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陆河县畜禽养殖禁养区调整方案</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，按照“合理布局、生态养殖、防治结合、保护环境”的原则，制定本</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w:t>
      </w:r>
    </w:p>
    <w:p w14:paraId="5517E6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本指引</w:t>
      </w:r>
      <w:r>
        <w:rPr>
          <w:rFonts w:hint="eastAsia" w:ascii="仿宋_GB2312" w:hAnsi="仿宋_GB2312" w:eastAsia="仿宋_GB2312" w:cs="仿宋_GB2312"/>
          <w:sz w:val="32"/>
          <w:szCs w:val="32"/>
        </w:rPr>
        <w:t>适用于存栏</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头</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299头以下或年出栏50头以上至499头以下</w:t>
      </w:r>
      <w:r>
        <w:rPr>
          <w:rFonts w:hint="eastAsia" w:ascii="仿宋_GB2312" w:hAnsi="仿宋_GB2312" w:eastAsia="仿宋_GB2312" w:cs="仿宋_GB2312"/>
          <w:sz w:val="32"/>
          <w:szCs w:val="32"/>
        </w:rPr>
        <w:t>的新、扩、改建生猪</w:t>
      </w:r>
      <w:r>
        <w:rPr>
          <w:rFonts w:hint="eastAsia" w:ascii="仿宋_GB2312" w:hAnsi="仿宋_GB2312" w:eastAsia="仿宋_GB2312" w:cs="仿宋_GB2312"/>
          <w:sz w:val="32"/>
          <w:szCs w:val="32"/>
          <w:lang w:eastAsia="zh-CN"/>
        </w:rPr>
        <w:t>养殖场所。</w:t>
      </w:r>
    </w:p>
    <w:p w14:paraId="559533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养殖场所</w:t>
      </w:r>
      <w:r>
        <w:rPr>
          <w:rFonts w:hint="eastAsia" w:ascii="仿宋_GB2312" w:hAnsi="仿宋_GB2312" w:eastAsia="仿宋_GB2312" w:cs="仿宋_GB2312"/>
          <w:sz w:val="32"/>
          <w:szCs w:val="32"/>
        </w:rPr>
        <w:t>应当按照本</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备案。</w:t>
      </w:r>
    </w:p>
    <w:p w14:paraId="3BCFF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同一单位或者个人在不同地点拥有两个以上独立养殖单位，或者同一区域拥有两个及以上独立畜种的</w:t>
      </w:r>
      <w:r>
        <w:rPr>
          <w:rFonts w:hint="eastAsia" w:ascii="仿宋_GB2312" w:hAnsi="仿宋_GB2312" w:eastAsia="仿宋_GB2312" w:cs="仿宋_GB2312"/>
          <w:sz w:val="32"/>
          <w:szCs w:val="32"/>
          <w:lang w:eastAsia="zh-CN"/>
        </w:rPr>
        <w:t>养殖场所</w:t>
      </w:r>
      <w:r>
        <w:rPr>
          <w:rFonts w:hint="eastAsia" w:ascii="仿宋_GB2312" w:hAnsi="仿宋_GB2312" w:eastAsia="仿宋_GB2312" w:cs="仿宋_GB2312"/>
          <w:sz w:val="32"/>
          <w:szCs w:val="32"/>
        </w:rPr>
        <w:t>，应当分别</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备案。</w:t>
      </w:r>
    </w:p>
    <w:p w14:paraId="0F5AB9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建设要求</w:t>
      </w:r>
    </w:p>
    <w:p w14:paraId="582AEF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生猪</w:t>
      </w:r>
      <w:r>
        <w:rPr>
          <w:rFonts w:hint="eastAsia" w:ascii="仿宋_GB2312" w:hAnsi="仿宋_GB2312" w:eastAsia="仿宋_GB2312" w:cs="仿宋_GB2312"/>
          <w:sz w:val="32"/>
          <w:szCs w:val="32"/>
          <w:lang w:eastAsia="zh-CN"/>
        </w:rPr>
        <w:t>养殖场所</w:t>
      </w:r>
      <w:r>
        <w:rPr>
          <w:rFonts w:hint="eastAsia" w:ascii="仿宋_GB2312" w:hAnsi="仿宋_GB2312" w:eastAsia="仿宋_GB2312" w:cs="仿宋_GB2312"/>
          <w:sz w:val="32"/>
          <w:szCs w:val="32"/>
        </w:rPr>
        <w:t>选址应符合以下条件</w:t>
      </w:r>
      <w:r>
        <w:rPr>
          <w:rFonts w:hint="eastAsia" w:ascii="仿宋_GB2312" w:hAnsi="仿宋_GB2312" w:eastAsia="仿宋_GB2312" w:cs="仿宋_GB2312"/>
          <w:sz w:val="32"/>
          <w:szCs w:val="32"/>
          <w:lang w:eastAsia="zh-CN"/>
        </w:rPr>
        <w:t>：</w:t>
      </w:r>
    </w:p>
    <w:p w14:paraId="77DF6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（一）符合国家实行土地用途管制制度及土地利用总体规划、城镇总体规划、畜牧业发展规划、畜禽养殖污染防治规划。</w:t>
      </w:r>
    </w:p>
    <w:p w14:paraId="30E9F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（二）不影响周边群众正常生产、生活，不影响村镇容貌。</w:t>
      </w:r>
    </w:p>
    <w:p w14:paraId="1D0E8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（三）禁止在禁养区和限养区新、扩、改建生猪</w:t>
      </w:r>
      <w:r>
        <w:rPr>
          <w:rFonts w:hint="eastAsia" w:ascii="仿宋_GB2312" w:hAnsi="仿宋_GB2312" w:eastAsia="仿宋_GB2312" w:cs="仿宋_GB2312"/>
          <w:sz w:val="32"/>
          <w:szCs w:val="32"/>
          <w:lang w:eastAsia="zh-CN"/>
        </w:rPr>
        <w:t>养殖场所</w:t>
      </w:r>
      <w:r>
        <w:rPr>
          <w:rFonts w:hint="eastAsia" w:ascii="仿宋_GB2312" w:hAnsi="仿宋_GB2312" w:eastAsia="仿宋_GB2312" w:cs="仿宋_GB2312"/>
          <w:sz w:val="32"/>
          <w:szCs w:val="32"/>
        </w:rPr>
        <w:t>。禁养区包括</w:t>
      </w:r>
      <w:r>
        <w:rPr>
          <w:rFonts w:hint="eastAsia" w:ascii="仿宋_GB2312" w:hAnsi="仿宋_GB2312" w:eastAsia="仿宋_GB2312" w:cs="仿宋_GB2312"/>
          <w:sz w:val="32"/>
          <w:szCs w:val="32"/>
          <w:lang w:eastAsia="zh-CN"/>
        </w:rPr>
        <w:t>：</w:t>
      </w:r>
    </w:p>
    <w:p w14:paraId="47557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生活饮用水源保护区。</w:t>
      </w:r>
    </w:p>
    <w:p w14:paraId="41F31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居民区、文化教育科学研究区等人口集中区域。包括水唇镇、东坑镇、南万镇、螺溪镇、河田镇、河口镇、新田镇、上护镇居民区、文化教育科学研究区等人口集中区。</w:t>
      </w:r>
    </w:p>
    <w:p w14:paraId="5619E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饮用水源保护区。包括南告水库饮用水源一、</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保护区、鹿仔湖饮用水源一级保护区、杨梅滩石子跳饮用水源一级保护区、黎壁坑饮用水源一级保护区、茶山嶂饮用水源一</w:t>
      </w:r>
      <w:bookmarkStart w:id="0" w:name="_GoBack"/>
      <w:bookmarkEnd w:id="0"/>
      <w:r>
        <w:rPr>
          <w:rFonts w:hint="eastAsia" w:ascii="仿宋_GB2312" w:hAnsi="仿宋_GB2312" w:eastAsia="仿宋_GB2312" w:cs="仿宋_GB2312"/>
          <w:sz w:val="32"/>
          <w:szCs w:val="32"/>
        </w:rPr>
        <w:t>级保护区、南进大洋田饮用水源一级保护区、高丰其坑饮用水源一级保护区、新坑角横坑饮用水源一级保护区、竹园村老虎窝饮用水源一级保护区、富梅水库饮用水源一、二级保护区。</w:t>
      </w:r>
    </w:p>
    <w:p w14:paraId="663B2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依法划定的</w:t>
      </w:r>
      <w:r>
        <w:rPr>
          <w:rFonts w:hint="eastAsia" w:ascii="仿宋_GB2312" w:hAnsi="仿宋_GB2312" w:eastAsia="仿宋_GB2312" w:cs="仿宋_GB2312"/>
          <w:sz w:val="32"/>
          <w:szCs w:val="32"/>
          <w:lang w:eastAsia="zh-CN"/>
        </w:rPr>
        <w:t>各级各类自然生态保护区和</w:t>
      </w:r>
      <w:r>
        <w:rPr>
          <w:rFonts w:hint="eastAsia" w:ascii="仿宋_GB2312" w:hAnsi="仿宋_GB2312" w:eastAsia="仿宋_GB2312" w:cs="仿宋_GB2312"/>
          <w:sz w:val="32"/>
          <w:szCs w:val="32"/>
        </w:rPr>
        <w:t>各类风景名胜区的核心区、旅游区、旅游规划区。</w:t>
      </w:r>
    </w:p>
    <w:p w14:paraId="34DF3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法律法规规定的其他禁养区域。</w:t>
      </w:r>
    </w:p>
    <w:p w14:paraId="0398B5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新、扩、改建</w:t>
      </w:r>
      <w:r>
        <w:rPr>
          <w:rFonts w:hint="eastAsia" w:ascii="仿宋_GB2312" w:hAnsi="仿宋_GB2312" w:eastAsia="仿宋_GB2312" w:cs="仿宋_GB2312"/>
          <w:sz w:val="32"/>
          <w:szCs w:val="32"/>
          <w:lang w:eastAsia="zh-CN"/>
        </w:rPr>
        <w:t>养殖场所</w:t>
      </w:r>
      <w:r>
        <w:rPr>
          <w:rFonts w:hint="eastAsia" w:ascii="仿宋_GB2312" w:hAnsi="仿宋_GB2312" w:eastAsia="仿宋_GB2312" w:cs="仿宋_GB2312"/>
          <w:sz w:val="32"/>
          <w:szCs w:val="32"/>
        </w:rPr>
        <w:t>，必须落实动物防疫措施，做到生活区、管理区、生产区分离，建设必要的防疫消毒和无害化处理设施。</w:t>
      </w:r>
    </w:p>
    <w:p w14:paraId="411AAC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申请备案的</w:t>
      </w:r>
      <w:r>
        <w:rPr>
          <w:rFonts w:hint="eastAsia" w:ascii="仿宋_GB2312" w:hAnsi="仿宋_GB2312" w:eastAsia="仿宋_GB2312" w:cs="仿宋_GB2312"/>
          <w:sz w:val="32"/>
          <w:szCs w:val="32"/>
          <w:lang w:eastAsia="zh-CN"/>
        </w:rPr>
        <w:t>养殖场所</w:t>
      </w:r>
      <w:r>
        <w:rPr>
          <w:rFonts w:hint="eastAsia" w:ascii="仿宋_GB2312" w:hAnsi="仿宋_GB2312" w:eastAsia="仿宋_GB2312" w:cs="仿宋_GB2312"/>
          <w:sz w:val="32"/>
          <w:szCs w:val="32"/>
        </w:rPr>
        <w:t>的生产场所、配套设施、畜牧兽医技术人员、防疫条件等基本生产条件，应当与其饲养规模相适应。</w:t>
      </w:r>
    </w:p>
    <w:p w14:paraId="41B3BF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程序</w:t>
      </w:r>
      <w:r>
        <w:rPr>
          <w:rFonts w:hint="eastAsia" w:ascii="仿宋_GB2312" w:hAnsi="仿宋_GB2312" w:eastAsia="仿宋_GB2312" w:cs="仿宋_GB2312"/>
          <w:sz w:val="32"/>
          <w:szCs w:val="32"/>
          <w:lang w:eastAsia="zh-CN"/>
        </w:rPr>
        <w:t>：</w:t>
      </w:r>
    </w:p>
    <w:p w14:paraId="49B2C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（一）规模以下畜禽养殖场所负责人应当提交规模以下畜禽养殖场所备案表和养殖场所平面图或者实景照片，向所在镇人民政府备案。畜禽养殖场所负责人应当对备案信息及相关材料的真实性负责。</w:t>
      </w:r>
    </w:p>
    <w:p w14:paraId="48907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（二）规模以下畜禽养殖场备案后名称、养殖地址、畜禽品种或者养殖规模发生改变的，畜禽养殖场负责人应当及时报告原备案部门变更备案信息。</w:t>
      </w:r>
    </w:p>
    <w:p w14:paraId="09DF8A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第三章  </w:t>
      </w:r>
      <w:r>
        <w:rPr>
          <w:rFonts w:hint="eastAsia" w:ascii="黑体" w:hAnsi="黑体" w:eastAsia="黑体" w:cs="黑体"/>
          <w:b w:val="0"/>
          <w:bCs w:val="0"/>
          <w:sz w:val="32"/>
          <w:szCs w:val="32"/>
          <w:lang w:eastAsia="zh-CN"/>
        </w:rPr>
        <w:t>部门</w:t>
      </w:r>
      <w:r>
        <w:rPr>
          <w:rFonts w:hint="eastAsia" w:ascii="黑体" w:hAnsi="黑体" w:eastAsia="黑体" w:cs="黑体"/>
          <w:b w:val="0"/>
          <w:bCs w:val="0"/>
          <w:sz w:val="32"/>
          <w:szCs w:val="32"/>
        </w:rPr>
        <w:t>分工</w:t>
      </w:r>
    </w:p>
    <w:p w14:paraId="0F435C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仿宋_GB2312" w:hAnsi="宋体"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lang w:val="en-US" w:eastAsia="zh-CN"/>
        </w:rPr>
        <w:t>各镇人民政府负责辖区内规模以下养殖场所规范养殖管理工作，做好畜禽防疫检疫、病死畜禽无害化处理、畜禽粪污资源化利用等监督检查工作。定期统计并更新辖区内规模以下养殖情况，及时报送县级农业农村主管部门，以便县级农业农村主管部门能够掌握当地的养殖情况。各镇人民政府要加强农村散养户巡查监管，并结合农村人居环境整治和美丽乡村建设进行清理整治，引导无序散养向规模化、规范化方向发展。同时依据县直部门下放职权查处畜禽养殖未及时收集、贮存、利用以及处置养殖粪污环境违法行为。对于无执法权限的违法事项，及时移送县直相关部门处置</w:t>
      </w:r>
      <w:r>
        <w:rPr>
          <w:rFonts w:hint="eastAsia" w:ascii="仿宋_GB2312" w:hAnsi="宋体" w:eastAsia="仿宋_GB2312" w:cs="仿宋_GB2312"/>
          <w:i w:val="0"/>
          <w:iCs w:val="0"/>
          <w:caps w:val="0"/>
          <w:color w:val="000000"/>
          <w:spacing w:val="0"/>
          <w:sz w:val="32"/>
          <w:szCs w:val="32"/>
          <w:shd w:val="clear" w:fill="FFFFFF"/>
          <w:lang w:val="en-US" w:eastAsia="zh-CN"/>
        </w:rPr>
        <w:t>。</w:t>
      </w:r>
    </w:p>
    <w:p w14:paraId="12E0F0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农业农村部门</w:t>
      </w:r>
      <w:r>
        <w:rPr>
          <w:rFonts w:hint="eastAsia" w:ascii="仿宋_GB2312" w:hAnsi="仿宋_GB2312" w:eastAsia="仿宋_GB2312" w:cs="仿宋_GB2312"/>
          <w:kern w:val="0"/>
          <w:sz w:val="32"/>
          <w:szCs w:val="32"/>
          <w:lang w:eastAsia="zh-CN"/>
        </w:rPr>
        <w:t>负责畜禽防疫和检疫工作，指导病死畜禽无害化处理、</w:t>
      </w:r>
      <w:r>
        <w:rPr>
          <w:rFonts w:hint="eastAsia" w:ascii="仿宋_GB2312" w:hAnsi="仿宋_GB2312" w:eastAsia="仿宋_GB2312" w:cs="仿宋_GB2312"/>
          <w:kern w:val="0"/>
          <w:sz w:val="32"/>
          <w:szCs w:val="32"/>
        </w:rPr>
        <w:t>加强畜禽粪污还田技术指导和服务，指导建设粪污资源化利用配套设施</w:t>
      </w:r>
      <w:r>
        <w:rPr>
          <w:rFonts w:hint="eastAsia" w:ascii="仿宋_GB2312" w:hAnsi="仿宋_GB2312" w:eastAsia="仿宋_GB2312" w:cs="仿宋_GB2312"/>
          <w:kern w:val="0"/>
          <w:sz w:val="32"/>
          <w:szCs w:val="32"/>
          <w:lang w:eastAsia="zh-CN"/>
        </w:rPr>
        <w:t>等工作；发展种养循环经济，鼓励养殖场所全量收集和利用畜禽粪污，根据实际情况选择合理的输送和施用方式。因地制宜，推动农村畜禽养殖废弃物资源化利用</w:t>
      </w:r>
      <w:r>
        <w:rPr>
          <w:rFonts w:hint="eastAsia" w:ascii="仿宋_GB2312" w:hAnsi="仿宋_GB2312" w:eastAsia="仿宋_GB2312" w:cs="仿宋_GB2312"/>
          <w:kern w:val="0"/>
          <w:sz w:val="32"/>
          <w:szCs w:val="32"/>
        </w:rPr>
        <w:t>。</w:t>
      </w:r>
    </w:p>
    <w:p w14:paraId="215F47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kern w:val="0"/>
          <w:sz w:val="32"/>
          <w:szCs w:val="32"/>
          <w:lang w:val="en-US" w:eastAsia="zh-CN"/>
        </w:rPr>
        <w:t xml:space="preserve"> 县生态环境部门负责指导养殖户办理排污登记手续，配合各镇对畜禽养殖环境污染开展监测，指导各镇开展检查工作，依法依规作出处罚。</w:t>
      </w:r>
    </w:p>
    <w:p w14:paraId="04B201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县自然资源部门</w:t>
      </w:r>
      <w:r>
        <w:rPr>
          <w:rFonts w:ascii="仿宋_GB2312" w:hAnsi="宋体" w:eastAsia="仿宋_GB2312" w:cs="仿宋_GB2312"/>
          <w:i w:val="0"/>
          <w:iCs w:val="0"/>
          <w:caps w:val="0"/>
          <w:color w:val="000000"/>
          <w:spacing w:val="0"/>
          <w:sz w:val="32"/>
          <w:szCs w:val="32"/>
          <w:shd w:val="clear" w:fill="FFFFFF"/>
        </w:rPr>
        <w:t>负责对符合条件的畜禽养殖用地按有关法律法规要求办理相关用地手续，指导、监督检查</w:t>
      </w:r>
      <w:r>
        <w:rPr>
          <w:rFonts w:hint="eastAsia" w:ascii="仿宋_GB2312" w:hAnsi="宋体" w:eastAsia="仿宋_GB2312" w:cs="仿宋_GB2312"/>
          <w:i w:val="0"/>
          <w:iCs w:val="0"/>
          <w:caps w:val="0"/>
          <w:color w:val="000000"/>
          <w:spacing w:val="0"/>
          <w:sz w:val="32"/>
          <w:szCs w:val="32"/>
          <w:shd w:val="clear" w:fill="FFFFFF"/>
          <w:lang w:eastAsia="zh-CN"/>
        </w:rPr>
        <w:t>各镇</w:t>
      </w:r>
      <w:r>
        <w:rPr>
          <w:rFonts w:ascii="仿宋_GB2312" w:hAnsi="宋体" w:eastAsia="仿宋_GB2312" w:cs="仿宋_GB2312"/>
          <w:i w:val="0"/>
          <w:iCs w:val="0"/>
          <w:caps w:val="0"/>
          <w:color w:val="000000"/>
          <w:spacing w:val="0"/>
          <w:sz w:val="32"/>
          <w:szCs w:val="32"/>
          <w:shd w:val="clear" w:fill="FFFFFF"/>
        </w:rPr>
        <w:t>开展工作，依法依规处理非法用地的</w:t>
      </w:r>
      <w:r>
        <w:rPr>
          <w:rFonts w:hint="eastAsia" w:ascii="仿宋_GB2312" w:hAnsi="宋体" w:eastAsia="仿宋_GB2312" w:cs="仿宋_GB2312"/>
          <w:i w:val="0"/>
          <w:iCs w:val="0"/>
          <w:caps w:val="0"/>
          <w:color w:val="000000"/>
          <w:spacing w:val="0"/>
          <w:sz w:val="32"/>
          <w:szCs w:val="32"/>
          <w:shd w:val="clear" w:fill="FFFFFF"/>
          <w:lang w:eastAsia="zh-CN"/>
        </w:rPr>
        <w:t>养殖场所。</w:t>
      </w:r>
    </w:p>
    <w:p w14:paraId="7938BD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宋体"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县林业部门应加强对符合条件畜禽养殖场所</w:t>
      </w:r>
      <w:r>
        <w:rPr>
          <w:rFonts w:hint="eastAsia" w:ascii="仿宋_GB2312" w:hAnsi="宋体" w:eastAsia="仿宋_GB2312" w:cs="仿宋_GB2312"/>
          <w:i w:val="0"/>
          <w:iCs w:val="0"/>
          <w:caps w:val="0"/>
          <w:color w:val="000000"/>
          <w:spacing w:val="0"/>
          <w:sz w:val="32"/>
          <w:szCs w:val="32"/>
          <w:shd w:val="clear" w:fill="FFFFFF"/>
        </w:rPr>
        <w:t>使用林地报批工作的指导，依法做好使用林地组卷报批服务</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color w:val="000000"/>
          <w:kern w:val="0"/>
          <w:sz w:val="32"/>
          <w:szCs w:val="32"/>
          <w:lang w:val="en-US" w:eastAsia="zh-CN" w:bidi="ar"/>
        </w:rPr>
        <w:t>会同相关职能部门依法对非法占用林地养殖场所进行查</w:t>
      </w:r>
      <w:r>
        <w:rPr>
          <w:rFonts w:hint="eastAsia" w:ascii="仿宋_GB2312" w:hAnsi="宋体" w:eastAsia="仿宋_GB2312" w:cs="仿宋_GB2312"/>
          <w:color w:val="000000"/>
          <w:kern w:val="0"/>
          <w:sz w:val="32"/>
          <w:szCs w:val="32"/>
          <w:lang w:val="en-US" w:eastAsia="zh-CN" w:bidi="ar"/>
        </w:rPr>
        <w:t>处</w:t>
      </w:r>
      <w:r>
        <w:rPr>
          <w:rFonts w:hint="eastAsia" w:ascii="仿宋_GB2312" w:hAnsi="宋体" w:eastAsia="仿宋_GB2312" w:cs="仿宋_GB2312"/>
          <w:i w:val="0"/>
          <w:iCs w:val="0"/>
          <w:caps w:val="0"/>
          <w:color w:val="000000"/>
          <w:spacing w:val="0"/>
          <w:sz w:val="32"/>
          <w:szCs w:val="32"/>
          <w:shd w:val="clear" w:fill="FFFFFF"/>
        </w:rPr>
        <w:t>。</w:t>
      </w:r>
    </w:p>
    <w:p w14:paraId="3CAE00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第四章</w:t>
      </w:r>
      <w:r>
        <w:rPr>
          <w:rFonts w:hint="eastAsia" w:ascii="黑体" w:hAnsi="黑体" w:eastAsia="黑体" w:cs="黑体"/>
          <w:b w:val="0"/>
          <w:bCs w:val="0"/>
          <w:sz w:val="32"/>
          <w:szCs w:val="32"/>
        </w:rPr>
        <w:t xml:space="preserve"> 附则</w:t>
      </w:r>
    </w:p>
    <w:p w14:paraId="7468C6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本指引</w:t>
      </w:r>
      <w:r>
        <w:rPr>
          <w:rFonts w:hint="eastAsia" w:ascii="仿宋_GB2312" w:hAnsi="仿宋_GB2312" w:eastAsia="仿宋_GB2312" w:cs="仿宋_GB2312"/>
          <w:sz w:val="32"/>
          <w:szCs w:val="32"/>
        </w:rPr>
        <w:t>自发布之日起实施，有效期三年。</w:t>
      </w:r>
      <w:r>
        <w:rPr>
          <w:rFonts w:hint="eastAsia" w:ascii="仿宋_GB2312" w:hAnsi="仿宋_GB2312" w:eastAsia="仿宋_GB2312" w:cs="仿宋_GB2312"/>
          <w:sz w:val="32"/>
          <w:szCs w:val="32"/>
          <w:lang w:eastAsia="zh-CN"/>
        </w:rPr>
        <w:t>本指引</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陆河县农业农村局</w:t>
      </w:r>
      <w:r>
        <w:rPr>
          <w:rFonts w:hint="eastAsia" w:ascii="仿宋_GB2312" w:hAnsi="仿宋_GB2312" w:eastAsia="仿宋_GB2312" w:cs="仿宋_GB2312"/>
          <w:sz w:val="32"/>
          <w:szCs w:val="32"/>
        </w:rPr>
        <w:t>负责解释。</w:t>
      </w:r>
    </w:p>
    <w:p w14:paraId="4A4885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本指引</w:t>
      </w:r>
      <w:r>
        <w:rPr>
          <w:rFonts w:hint="eastAsia" w:ascii="仿宋_GB2312" w:hAnsi="仿宋_GB2312" w:eastAsia="仿宋_GB2312" w:cs="仿宋_GB2312"/>
          <w:sz w:val="32"/>
          <w:szCs w:val="32"/>
        </w:rPr>
        <w:t>如与国家和省、市相关规定有冲突，以上级规定为准</w:t>
      </w:r>
      <w:r>
        <w:rPr>
          <w:rFonts w:hint="eastAsia" w:ascii="仿宋_GB2312" w:hAnsi="仿宋_GB2312" w:eastAsia="仿宋_GB2312" w:cs="仿宋_GB2312"/>
          <w:sz w:val="32"/>
          <w:szCs w:val="32"/>
          <w:lang w:eastAsia="zh-CN"/>
        </w:rPr>
        <w:t>。</w:t>
      </w:r>
    </w:p>
    <w:p w14:paraId="12262F85">
      <w:pPr>
        <w:keepNext w:val="0"/>
        <w:keepLines w:val="0"/>
        <w:pageBreakBefore w:val="0"/>
        <w:widowControl w:val="0"/>
        <w:kinsoku/>
        <w:wordWrap/>
        <w:overflowPunct/>
        <w:topLinePunct w:val="0"/>
        <w:autoSpaceDE/>
        <w:autoSpaceDN/>
        <w:bidi w:val="0"/>
        <w:spacing w:line="560" w:lineRule="exact"/>
        <w:ind w:left="0" w:leftChars="0" w:right="0"/>
        <w:jc w:val="right"/>
        <w:rPr>
          <w:rFonts w:hint="eastAsia" w:ascii="仿宋_GB2312" w:hAnsi="仿宋_GB2312" w:eastAsia="仿宋_GB2312" w:cs="仿宋_GB2312"/>
          <w:sz w:val="32"/>
          <w:szCs w:val="32"/>
          <w:lang w:eastAsia="zh-CN"/>
        </w:rPr>
      </w:pPr>
    </w:p>
    <w:p w14:paraId="7A5C8EDF">
      <w:pPr>
        <w:pStyle w:val="2"/>
        <w:keepNext w:val="0"/>
        <w:keepLines w:val="0"/>
        <w:pageBreakBefore w:val="0"/>
        <w:widowControl w:val="0"/>
        <w:kinsoku/>
        <w:wordWrap/>
        <w:overflowPunct/>
        <w:topLinePunct w:val="0"/>
        <w:autoSpaceDE/>
        <w:autoSpaceDN/>
        <w:bidi w:val="0"/>
        <w:spacing w:line="560" w:lineRule="exact"/>
        <w:ind w:left="0" w:leftChars="0" w:right="0"/>
        <w:jc w:val="right"/>
        <w:rPr>
          <w:rFonts w:hint="eastAsia"/>
          <w:lang w:val="zh-TW" w:eastAsia="zh-CN"/>
        </w:rPr>
      </w:pPr>
    </w:p>
    <w:p w14:paraId="35483331">
      <w:pPr>
        <w:pStyle w:val="3"/>
        <w:keepNext w:val="0"/>
        <w:keepLines w:val="0"/>
        <w:pageBreakBefore w:val="0"/>
        <w:widowControl w:val="0"/>
        <w:kinsoku/>
        <w:wordWrap w:val="0"/>
        <w:overflowPunct/>
        <w:topLinePunct w:val="0"/>
        <w:autoSpaceDE/>
        <w:autoSpaceDN/>
        <w:bidi w:val="0"/>
        <w:adjustRightInd/>
        <w:snapToGrid/>
        <w:spacing w:after="0" w:line="560" w:lineRule="exact"/>
        <w:ind w:left="0" w:leftChars="0" w:right="840" w:rightChars="400"/>
        <w:jc w:val="righ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zh-TW" w:eastAsia="zh-CN" w:bidi="ar-SA"/>
        </w:rPr>
        <w:t>陆河县农业农村局</w:t>
      </w:r>
    </w:p>
    <w:p w14:paraId="68442C0C">
      <w:pPr>
        <w:pStyle w:val="3"/>
        <w:keepNext w:val="0"/>
        <w:keepLines w:val="0"/>
        <w:pageBreakBefore w:val="0"/>
        <w:widowControl w:val="0"/>
        <w:kinsoku/>
        <w:wordWrap w:val="0"/>
        <w:overflowPunct/>
        <w:topLinePunct w:val="0"/>
        <w:autoSpaceDE/>
        <w:autoSpaceDN/>
        <w:bidi w:val="0"/>
        <w:adjustRightInd/>
        <w:snapToGrid/>
        <w:spacing w:after="0" w:line="560" w:lineRule="exact"/>
        <w:ind w:left="0" w:leftChars="0" w:right="840" w:rightChars="400"/>
        <w:jc w:val="righ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2025年10月24日</w:t>
      </w:r>
    </w:p>
    <w:p w14:paraId="69471D68"/>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AC54">
    <w:pPr>
      <w:pStyle w:val="5"/>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492553">
                          <w:pPr>
                            <w:pStyle w:val="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492553">
                    <w:pPr>
                      <w:pStyle w:val="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55433"/>
    <w:multiLevelType w:val="singleLevel"/>
    <w:tmpl w:val="DA055433"/>
    <w:lvl w:ilvl="0" w:tentative="0">
      <w:start w:val="1"/>
      <w:numFmt w:val="chineseCounting"/>
      <w:suff w:val="nothing"/>
      <w:lvlText w:val="（%1）"/>
      <w:lvlJc w:val="left"/>
      <w:rPr>
        <w:rFonts w:hint="eastAsia"/>
      </w:rPr>
    </w:lvl>
  </w:abstractNum>
  <w:abstractNum w:abstractNumId="1">
    <w:nsid w:val="7A127974"/>
    <w:multiLevelType w:val="singleLevel"/>
    <w:tmpl w:val="7A12797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MGUyNmIyNjVmZThlZmQ3YjljOGNlZmJjNDI1ZjMifQ=="/>
  </w:docVars>
  <w:rsids>
    <w:rsidRoot w:val="3AF52503"/>
    <w:rsid w:val="01714809"/>
    <w:rsid w:val="02013C18"/>
    <w:rsid w:val="068B7FAC"/>
    <w:rsid w:val="091C14FF"/>
    <w:rsid w:val="0DDE7810"/>
    <w:rsid w:val="0EA04C89"/>
    <w:rsid w:val="0EE4486D"/>
    <w:rsid w:val="11F35B2F"/>
    <w:rsid w:val="170336CA"/>
    <w:rsid w:val="177644D0"/>
    <w:rsid w:val="1BBC6BE4"/>
    <w:rsid w:val="1EB11D01"/>
    <w:rsid w:val="1EF108E0"/>
    <w:rsid w:val="21154D5A"/>
    <w:rsid w:val="2120725A"/>
    <w:rsid w:val="217F6677"/>
    <w:rsid w:val="23C16AD3"/>
    <w:rsid w:val="293E2974"/>
    <w:rsid w:val="2A3F58FC"/>
    <w:rsid w:val="2A6B7798"/>
    <w:rsid w:val="2AE46C6D"/>
    <w:rsid w:val="2B230887"/>
    <w:rsid w:val="2CD4241C"/>
    <w:rsid w:val="34441786"/>
    <w:rsid w:val="3485702C"/>
    <w:rsid w:val="35CB37E1"/>
    <w:rsid w:val="39D86F22"/>
    <w:rsid w:val="3AF52503"/>
    <w:rsid w:val="422449A5"/>
    <w:rsid w:val="445F7115"/>
    <w:rsid w:val="4AAB785E"/>
    <w:rsid w:val="4F9D7B44"/>
    <w:rsid w:val="55780E38"/>
    <w:rsid w:val="5A1F5D26"/>
    <w:rsid w:val="5B22774E"/>
    <w:rsid w:val="5B6436DC"/>
    <w:rsid w:val="5CBC3D00"/>
    <w:rsid w:val="5DC56BE4"/>
    <w:rsid w:val="61CD6067"/>
    <w:rsid w:val="66742BFD"/>
    <w:rsid w:val="67EB5499"/>
    <w:rsid w:val="6A484E25"/>
    <w:rsid w:val="6BFF59B7"/>
    <w:rsid w:val="6EC24A7A"/>
    <w:rsid w:val="6F213E96"/>
    <w:rsid w:val="70620A4E"/>
    <w:rsid w:val="718801FD"/>
    <w:rsid w:val="71A212BE"/>
    <w:rsid w:val="71DC7B9E"/>
    <w:rsid w:val="73E831D5"/>
    <w:rsid w:val="74F6547D"/>
    <w:rsid w:val="756920F3"/>
    <w:rsid w:val="7A911ED0"/>
    <w:rsid w:val="7BC438EE"/>
    <w:rsid w:val="7D0B1F01"/>
    <w:rsid w:val="7E9C0E44"/>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widowControl w:val="0"/>
      <w:jc w:val="left"/>
      <w:outlineLvl w:val="2"/>
    </w:pPr>
    <w:rPr>
      <w:rFonts w:hint="eastAsia" w:ascii="宋体" w:hAnsi="宋体" w:eastAsia="宋体" w:cs="Times New Roman"/>
      <w:b/>
      <w:kern w:val="0"/>
      <w:sz w:val="27"/>
      <w:szCs w:val="27"/>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next w:val="4"/>
    <w:qFormat/>
    <w:uiPriority w:val="99"/>
    <w:pPr>
      <w:widowControl w:val="0"/>
      <w:spacing w:after="120" w:line="240" w:lineRule="auto"/>
      <w:jc w:val="both"/>
    </w:pPr>
    <w:rPr>
      <w:rFonts w:ascii="Calibri" w:hAnsi="Calibri" w:eastAsia="宋体" w:cs="Times New Roman"/>
      <w:spacing w:val="0"/>
      <w:kern w:val="2"/>
      <w:sz w:val="21"/>
      <w:szCs w:val="24"/>
      <w:lang w:val="en-US" w:eastAsia="zh-CN" w:bidi="ar-SA"/>
    </w:rPr>
  </w:style>
  <w:style w:type="paragraph" w:styleId="4">
    <w:name w:val="toc 5"/>
    <w:next w:val="1"/>
    <w:qFormat/>
    <w:uiPriority w:val="0"/>
    <w:pPr>
      <w:widowControl w:val="0"/>
      <w:spacing w:before="0" w:after="0"/>
      <w:ind w:left="1680" w:right="0"/>
      <w:jc w:val="both"/>
    </w:pPr>
    <w:rPr>
      <w:rFonts w:ascii="Times New Roman" w:hAnsi="Times New Roman" w:eastAsia="宋体" w:cs="Times New Roman"/>
      <w:kern w:val="2"/>
      <w:sz w:val="21"/>
      <w:szCs w:val="24"/>
      <w:lang w:val="en-US" w:eastAsia="zh-CN" w:bidi="ar-SA"/>
    </w:rPr>
  </w:style>
  <w:style w:type="paragraph" w:styleId="5">
    <w:name w:val="footer"/>
    <w:unhideWhenUsed/>
    <w:qFormat/>
    <w:uiPriority w:val="0"/>
    <w:pPr>
      <w:widowControl w:val="0"/>
      <w:tabs>
        <w:tab w:val="center" w:pos="4153"/>
        <w:tab w:val="right" w:pos="8306"/>
      </w:tabs>
      <w:jc w:val="both"/>
    </w:pPr>
    <w:rPr>
      <w:rFonts w:ascii="Times New Roman" w:hAnsi="Times New Roman" w:eastAsia="宋体" w:cs="Times New Roman"/>
      <w:kern w:val="2"/>
      <w:sz w:val="18"/>
      <w:szCs w:val="18"/>
      <w:lang w:val="en-US" w:eastAsia="zh-CN" w:bidi="ar-SA"/>
    </w:rPr>
  </w:style>
  <w:style w:type="paragraph" w:styleId="6">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color w:val="333333"/>
      <w:kern w:val="0"/>
      <w:sz w:val="24"/>
      <w:szCs w:val="24"/>
      <w:lang w:val="en-US" w:eastAsia="zh-CN" w:bidi="ar"/>
    </w:rPr>
  </w:style>
  <w:style w:type="character" w:styleId="9">
    <w:name w:val="Emphasis"/>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2326</Words>
  <Characters>2346</Characters>
  <Lines>0</Lines>
  <Paragraphs>0</Paragraphs>
  <TotalTime>27</TotalTime>
  <ScaleCrop>false</ScaleCrop>
  <LinksUpToDate>false</LinksUpToDate>
  <CharactersWithSpaces>2432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2024-01-18T02:41:00Z</dcterms:created>
  <dc:creator>小猪舟比</dc:creator>
  <cp:lastModifiedBy>邱燕(2022215042)</cp:lastModifiedBy>
  <cp:lastPrinted>2024-02-18T02:31:00Z</cp:lastPrinted>
  <dcterms:modified xsi:type="dcterms:W3CDTF">2025-10-24T02:23:13Z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B8B8EC3DCE8F41DCB600F69C8E09216D_11</vt:lpwstr>
  </property>
  <property fmtid="{D5CDD505-2E9C-101B-9397-08002B2CF9AE}" pid="4" name="KSOTemplateDocerSaveRecord">
    <vt:lpwstr>eyJoZGlkIjoiNjk5ZjdlYWUyMWQ4N2E5YTk1MTg2MzUxMGFkMWM2YTgiLCJ1c2VySWQiOiIxNDg2NzA0NjU4In0=</vt:lpwstr>
  </property>
</Properties>
</file>