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A9B27">
      <w:pPr>
        <w:spacing w:line="600" w:lineRule="exact"/>
        <w:jc w:val="left"/>
        <w:rPr>
          <w:rFonts w:ascii="仿宋" w:hAnsi="仿宋" w:eastAsia="仿宋" w:cs="方正小标宋简体"/>
          <w:sz w:val="32"/>
          <w:szCs w:val="32"/>
        </w:rPr>
      </w:pPr>
    </w:p>
    <w:p w14:paraId="21C79D3C">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陆河县县属国有企业机构设置</w:t>
      </w:r>
    </w:p>
    <w:p w14:paraId="7DBC0162">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与人员编制管理办法</w:t>
      </w:r>
    </w:p>
    <w:p w14:paraId="32D1832E">
      <w:pPr>
        <w:spacing w:line="600" w:lineRule="exact"/>
        <w:jc w:val="center"/>
        <w:rPr>
          <w:rFonts w:hint="eastAsia" w:ascii="黑体" w:hAnsi="黑体" w:eastAsia="黑体" w:cs="黑体"/>
          <w:sz w:val="32"/>
          <w:szCs w:val="32"/>
        </w:rPr>
      </w:pPr>
      <w:bookmarkStart w:id="0" w:name="_GoBack"/>
      <w:bookmarkEnd w:id="0"/>
    </w:p>
    <w:p w14:paraId="2B0DD63A">
      <w:pPr>
        <w:spacing w:line="600" w:lineRule="exact"/>
        <w:jc w:val="center"/>
        <w:rPr>
          <w:rFonts w:ascii="黑体" w:hAnsi="黑体" w:eastAsia="黑体" w:cs="黑体"/>
          <w:sz w:val="32"/>
          <w:szCs w:val="32"/>
        </w:rPr>
      </w:pPr>
      <w:r>
        <w:rPr>
          <w:rFonts w:hint="eastAsia" w:ascii="黑体" w:hAnsi="黑体" w:eastAsia="黑体" w:cs="黑体"/>
          <w:sz w:val="32"/>
          <w:szCs w:val="32"/>
        </w:rPr>
        <w:t>第一章 总则</w:t>
      </w:r>
    </w:p>
    <w:p w14:paraId="5D378A01">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第一条 为进一步优化县属国有企业机构设置管理，切实提高人员编制使用效益，促进企业提升效率、持续稳定健康发展，结合县属国有企业实际，制定本办法。</w:t>
      </w:r>
    </w:p>
    <w:p w14:paraId="4DCD2C75">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第二条 本办法适用于县政府授权县国资局履行直接监管职责的县属国有及国有控股企业及其所属的国有全资和控股企业(以下简称县属国有企业及所属企业)，县国资局委托监管企业、未列入县国资监管县属国有企业参照本办法执行。</w:t>
      </w:r>
    </w:p>
    <w:p w14:paraId="5F96A847">
      <w:pPr>
        <w:spacing w:line="600" w:lineRule="exact"/>
        <w:ind w:firstLine="640" w:firstLineChars="200"/>
        <w:rPr>
          <w:sz w:val="32"/>
          <w:szCs w:val="32"/>
        </w:rPr>
      </w:pPr>
      <w:r>
        <w:rPr>
          <w:rFonts w:hint="eastAsia" w:ascii="仿宋" w:hAnsi="仿宋" w:eastAsia="仿宋" w:cs="仿宋"/>
          <w:sz w:val="32"/>
          <w:szCs w:val="32"/>
        </w:rPr>
        <w:t>第三条 县属国有企业机构设置与人员编制管理的内容包括企业设置、内设机构、领导职数、员工编制、审批程序等。</w:t>
      </w:r>
    </w:p>
    <w:p w14:paraId="077080CC">
      <w:pPr>
        <w:spacing w:line="600" w:lineRule="exact"/>
        <w:ind w:firstLine="640" w:firstLineChars="200"/>
        <w:jc w:val="center"/>
        <w:rPr>
          <w:rFonts w:hint="eastAsia" w:ascii="黑体" w:hAnsi="黑体" w:eastAsia="黑体" w:cs="黑体"/>
          <w:sz w:val="32"/>
          <w:szCs w:val="32"/>
        </w:rPr>
      </w:pPr>
    </w:p>
    <w:p w14:paraId="5B543230">
      <w:pPr>
        <w:spacing w:line="60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第二章 管理体制和原则</w:t>
      </w:r>
    </w:p>
    <w:p w14:paraId="7F4629A0">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第四条 县属国有企业的设立和整合重组需经县国资局审核、县政府批准，县属国有企业新设全资或控股子公司及以下企业由县属国有企业提出方案，报县国资局审批。</w:t>
      </w:r>
    </w:p>
    <w:p w14:paraId="4744DB00">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第五条 县属国有企业机构设置与人员编制的日常管理、核定和监督由县国资局负责。县属国有企业所属企业机构设置与人员编制由县属国有企业审核，报县国资局备案后执行。</w:t>
      </w:r>
    </w:p>
    <w:p w14:paraId="4D9E2C16">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第六条 县属国有企业及所属企业机构设置与人员编制管理工作应遵循如下原则</w:t>
      </w:r>
      <w:r>
        <w:rPr>
          <w:rFonts w:hint="eastAsia" w:ascii="仿宋" w:hAnsi="仿宋" w:eastAsia="仿宋" w:cs="仿宋"/>
          <w:sz w:val="32"/>
          <w:szCs w:val="32"/>
          <w:lang w:eastAsia="zh-CN"/>
        </w:rPr>
        <w:t>：</w:t>
      </w:r>
    </w:p>
    <w:p w14:paraId="64333A54">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（一）总量控制</w:t>
      </w:r>
    </w:p>
    <w:p w14:paraId="2FDDF749">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县属国有企业机构设置和人员编制应按照企业功能定位、业务范围、资产规模、经营效益和所承担的投资建设任务、提供社会公共服务等因素，实行统筹安排，总量控制。</w:t>
      </w:r>
    </w:p>
    <w:p w14:paraId="5546C721">
      <w:pPr>
        <w:numPr>
          <w:ilvl w:val="0"/>
          <w:numId w:val="1"/>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精简效能原则</w:t>
      </w:r>
    </w:p>
    <w:p w14:paraId="70D30779">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按照精简、优化、提升的要求，合理确定国有企业设立，内设机构、人员编制和领导职数的配置。优化工作岗位配备，做到职责明确，人岗相适，人尽其才，精干高效。</w:t>
      </w:r>
    </w:p>
    <w:p w14:paraId="61066D88">
      <w:pPr>
        <w:numPr>
          <w:ilvl w:val="0"/>
          <w:numId w:val="1"/>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动态管理原则</w:t>
      </w:r>
    </w:p>
    <w:p w14:paraId="3C18832F">
      <w:pPr>
        <w:spacing w:line="600" w:lineRule="exact"/>
        <w:ind w:firstLine="640" w:firstLineChars="200"/>
        <w:rPr>
          <w:sz w:val="32"/>
          <w:szCs w:val="32"/>
        </w:rPr>
      </w:pPr>
      <w:r>
        <w:rPr>
          <w:rFonts w:hint="eastAsia" w:ascii="仿宋" w:hAnsi="仿宋" w:eastAsia="仿宋" w:cs="仿宋"/>
          <w:sz w:val="32"/>
          <w:szCs w:val="32"/>
        </w:rPr>
        <w:t>根据企业自身职能、规模、任务和业务发展等变化，适时调整县属国有企业的机构设置与人员编制，做到“有增有减、动态调控”，以适应企业发展的需要。</w:t>
      </w:r>
    </w:p>
    <w:p w14:paraId="101B7C8D">
      <w:pPr>
        <w:spacing w:line="600" w:lineRule="exact"/>
        <w:ind w:firstLine="640" w:firstLineChars="200"/>
        <w:jc w:val="center"/>
        <w:rPr>
          <w:rFonts w:hint="eastAsia" w:ascii="黑体" w:hAnsi="黑体" w:eastAsia="黑体" w:cs="黑体"/>
          <w:sz w:val="32"/>
          <w:szCs w:val="32"/>
        </w:rPr>
      </w:pPr>
    </w:p>
    <w:p w14:paraId="480F9475">
      <w:pPr>
        <w:spacing w:line="60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第三章 企业机构设置</w:t>
      </w:r>
    </w:p>
    <w:p w14:paraId="79F28E5B">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第七条 县属国有企业应根据其承担的工作任务、资产规模、企业类别和管控模式等因素科学合理设置内设机构。</w:t>
      </w:r>
    </w:p>
    <w:p w14:paraId="2747DE89">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第八条 县属国有企业内设机构的设置方案应当说明下列事项</w:t>
      </w:r>
      <w:r>
        <w:rPr>
          <w:rFonts w:hint="eastAsia" w:ascii="仿宋" w:hAnsi="仿宋" w:eastAsia="仿宋" w:cs="仿宋"/>
          <w:sz w:val="32"/>
          <w:szCs w:val="32"/>
          <w:lang w:eastAsia="zh-CN"/>
        </w:rPr>
        <w:t>：</w:t>
      </w:r>
    </w:p>
    <w:p w14:paraId="650B3497">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（一）设立内设机构的必要性</w:t>
      </w:r>
      <w:r>
        <w:rPr>
          <w:rFonts w:hint="eastAsia" w:ascii="仿宋" w:hAnsi="仿宋" w:eastAsia="仿宋" w:cs="仿宋"/>
          <w:sz w:val="32"/>
          <w:szCs w:val="32"/>
          <w:lang w:eastAsia="zh-CN"/>
        </w:rPr>
        <w:t>；</w:t>
      </w:r>
    </w:p>
    <w:p w14:paraId="1B63083C">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（二）内设机构的名称和职能</w:t>
      </w:r>
      <w:r>
        <w:rPr>
          <w:rFonts w:hint="eastAsia" w:ascii="仿宋" w:hAnsi="仿宋" w:eastAsia="仿宋" w:cs="仿宋"/>
          <w:sz w:val="32"/>
          <w:szCs w:val="32"/>
          <w:lang w:eastAsia="zh-CN"/>
        </w:rPr>
        <w:t>；</w:t>
      </w:r>
    </w:p>
    <w:p w14:paraId="7600E40F">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（三）其他需要说明的事项</w:t>
      </w:r>
      <w:r>
        <w:rPr>
          <w:rFonts w:hint="eastAsia" w:ascii="仿宋" w:hAnsi="仿宋" w:eastAsia="仿宋" w:cs="仿宋"/>
          <w:sz w:val="32"/>
          <w:szCs w:val="32"/>
          <w:lang w:eastAsia="zh-CN"/>
        </w:rPr>
        <w:t>。</w:t>
      </w:r>
    </w:p>
    <w:p w14:paraId="308B53F0">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第九条 县属国有企业内设机构统称部，名称应简明扼要，能体现企业特色和功能定位，并与所承担的职责相匹配。</w:t>
      </w:r>
    </w:p>
    <w:p w14:paraId="741C790F">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第十条 县属国有企业内设机构应按照精简效能的原则科学合理设置。县属国有企业的内设机构一般设3-5个，承担任务较重、资产规模较大的国有企业，可酌情增加数量，原则上不超过7个。</w:t>
      </w:r>
    </w:p>
    <w:p w14:paraId="006B0DF3">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第十一条 县属国有企业内设机构的设置应以职能为依据，职能相近或相似、任务较少和工作量不大的应综合设置。对机构设置中出现的职能重叠、相近、交叉等情况，须进行归并整合。</w:t>
      </w:r>
    </w:p>
    <w:p w14:paraId="53371488">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第十二条 加强生产经营业务管理职能部门设置，精简后勤保障职能内设机构。</w:t>
      </w:r>
    </w:p>
    <w:p w14:paraId="4F65A534">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第十三条 县属国有企业党的工作机构按党章和有关规定设置，纪检、监察机构的设置按有关文件规定执行，工会等群团组织按有关法律规定执行。</w:t>
      </w:r>
    </w:p>
    <w:p w14:paraId="0A2188BD">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第十四条 县属国有企业增设内设机构必须具备下列条件之一</w:t>
      </w:r>
      <w:r>
        <w:rPr>
          <w:rFonts w:hint="eastAsia" w:ascii="仿宋" w:hAnsi="仿宋" w:eastAsia="仿宋" w:cs="仿宋"/>
          <w:sz w:val="32"/>
          <w:szCs w:val="32"/>
          <w:lang w:eastAsia="zh-CN"/>
        </w:rPr>
        <w:t>：</w:t>
      </w:r>
    </w:p>
    <w:p w14:paraId="65AE4B22">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（一）企业经营、管理任务显著增加</w:t>
      </w:r>
      <w:r>
        <w:rPr>
          <w:rFonts w:hint="eastAsia" w:ascii="仿宋" w:hAnsi="仿宋" w:eastAsia="仿宋" w:cs="仿宋"/>
          <w:sz w:val="32"/>
          <w:szCs w:val="32"/>
          <w:lang w:eastAsia="zh-CN"/>
        </w:rPr>
        <w:t>；</w:t>
      </w:r>
    </w:p>
    <w:p w14:paraId="42C4F422">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（二）企业资本或资产规模大幅增加</w:t>
      </w:r>
      <w:r>
        <w:rPr>
          <w:rFonts w:hint="eastAsia" w:ascii="仿宋" w:hAnsi="仿宋" w:eastAsia="仿宋" w:cs="仿宋"/>
          <w:sz w:val="32"/>
          <w:szCs w:val="32"/>
          <w:lang w:eastAsia="zh-CN"/>
        </w:rPr>
        <w:t>；</w:t>
      </w:r>
    </w:p>
    <w:p w14:paraId="6303005B">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（三）其他确需增设机构的因素</w:t>
      </w:r>
      <w:r>
        <w:rPr>
          <w:rFonts w:hint="eastAsia" w:ascii="仿宋" w:hAnsi="仿宋" w:eastAsia="仿宋" w:cs="仿宋"/>
          <w:sz w:val="32"/>
          <w:szCs w:val="32"/>
          <w:lang w:eastAsia="zh-CN"/>
        </w:rPr>
        <w:t>。</w:t>
      </w:r>
    </w:p>
    <w:p w14:paraId="00803B1B">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第十五条 企业经营、管理任务减少，资本、资产规模明显减小的，应相应调减内设机构个数。</w:t>
      </w:r>
    </w:p>
    <w:p w14:paraId="338B0FB0">
      <w:pPr>
        <w:spacing w:line="600" w:lineRule="exact"/>
        <w:ind w:firstLine="640" w:firstLineChars="200"/>
        <w:jc w:val="center"/>
        <w:rPr>
          <w:rFonts w:hint="eastAsia" w:ascii="黑体" w:hAnsi="黑体" w:eastAsia="黑体" w:cs="黑体"/>
          <w:sz w:val="32"/>
          <w:szCs w:val="32"/>
        </w:rPr>
      </w:pPr>
    </w:p>
    <w:p w14:paraId="6AACC2A8">
      <w:pPr>
        <w:spacing w:line="60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第四章 人员核定及领导职数</w:t>
      </w:r>
    </w:p>
    <w:p w14:paraId="2C69C30F">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第十六条 县属国有企业以完成政府性任务、提供公共服务的产品数量和质量、主业范围、经营效益、发展需求为人员核定基本依据，核定人员编制。</w:t>
      </w:r>
    </w:p>
    <w:p w14:paraId="421571E0">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第十七条 县属国有企业及所属企业领导职数根据其承担的工作任务、经营范围、资产规模、效益状况以及员工人数等因素来确定</w:t>
      </w:r>
      <w:r>
        <w:rPr>
          <w:rFonts w:hint="eastAsia" w:ascii="仿宋" w:hAnsi="仿宋" w:eastAsia="仿宋" w:cs="仿宋"/>
          <w:sz w:val="32"/>
          <w:szCs w:val="32"/>
          <w:lang w:eastAsia="zh-CN"/>
        </w:rPr>
        <w:t>：</w:t>
      </w:r>
    </w:p>
    <w:p w14:paraId="7D54FC96">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（一）县属国有企业支部班子成员一般为3至</w:t>
      </w:r>
      <w:r>
        <w:rPr>
          <w:rFonts w:hint="eastAsia" w:ascii="仿宋" w:hAnsi="仿宋" w:eastAsia="仿宋" w:cs="仿宋"/>
          <w:sz w:val="32"/>
          <w:szCs w:val="32"/>
          <w:lang w:val="en-US" w:eastAsia="zh-CN"/>
        </w:rPr>
        <w:t>7</w:t>
      </w:r>
      <w:r>
        <w:rPr>
          <w:rFonts w:hint="eastAsia" w:ascii="仿宋" w:hAnsi="仿宋" w:eastAsia="仿宋" w:cs="仿宋"/>
          <w:sz w:val="32"/>
          <w:szCs w:val="32"/>
        </w:rPr>
        <w:t>人，董事会成员一般为3至</w:t>
      </w:r>
      <w:r>
        <w:rPr>
          <w:rFonts w:hint="eastAsia" w:ascii="仿宋" w:hAnsi="仿宋" w:eastAsia="仿宋" w:cs="仿宋"/>
          <w:sz w:val="32"/>
          <w:szCs w:val="32"/>
          <w:lang w:val="en-US" w:eastAsia="zh-CN"/>
        </w:rPr>
        <w:t>7</w:t>
      </w:r>
      <w:r>
        <w:rPr>
          <w:rFonts w:hint="eastAsia" w:ascii="仿宋" w:hAnsi="仿宋" w:eastAsia="仿宋" w:cs="仿宋"/>
          <w:sz w:val="32"/>
          <w:szCs w:val="32"/>
        </w:rPr>
        <w:t>人，经理层成员一般为</w:t>
      </w:r>
      <w:r>
        <w:rPr>
          <w:rFonts w:hint="eastAsia" w:ascii="仿宋" w:hAnsi="仿宋" w:eastAsia="仿宋" w:cs="仿宋"/>
          <w:sz w:val="32"/>
          <w:szCs w:val="32"/>
          <w:lang w:val="en-US" w:eastAsia="zh-CN"/>
        </w:rPr>
        <w:t>3</w:t>
      </w:r>
      <w:r>
        <w:rPr>
          <w:rFonts w:hint="eastAsia" w:ascii="仿宋" w:hAnsi="仿宋" w:eastAsia="仿宋" w:cs="仿宋"/>
          <w:sz w:val="32"/>
          <w:szCs w:val="32"/>
        </w:rPr>
        <w:t>至</w:t>
      </w:r>
      <w:r>
        <w:rPr>
          <w:rFonts w:hint="eastAsia" w:ascii="仿宋" w:hAnsi="仿宋" w:eastAsia="仿宋" w:cs="仿宋"/>
          <w:sz w:val="32"/>
          <w:szCs w:val="32"/>
          <w:lang w:val="en-US" w:eastAsia="zh-CN"/>
        </w:rPr>
        <w:t>4</w:t>
      </w:r>
      <w:r>
        <w:rPr>
          <w:rFonts w:hint="eastAsia" w:ascii="仿宋" w:hAnsi="仿宋" w:eastAsia="仿宋" w:cs="仿宋"/>
          <w:sz w:val="32"/>
          <w:szCs w:val="32"/>
        </w:rPr>
        <w:t>人。列入县委管理的领导人员职数一般不得超过</w:t>
      </w:r>
      <w:r>
        <w:rPr>
          <w:rFonts w:hint="eastAsia" w:ascii="仿宋" w:hAnsi="仿宋" w:eastAsia="仿宋" w:cs="仿宋"/>
          <w:sz w:val="32"/>
          <w:szCs w:val="32"/>
          <w:lang w:val="en-US" w:eastAsia="zh-CN"/>
        </w:rPr>
        <w:t>7</w:t>
      </w:r>
      <w:r>
        <w:rPr>
          <w:rFonts w:hint="eastAsia" w:ascii="仿宋" w:hAnsi="仿宋" w:eastAsia="仿宋" w:cs="仿宋"/>
          <w:sz w:val="32"/>
          <w:szCs w:val="32"/>
        </w:rPr>
        <w:t>人。支委会、董事会和经理层成员实行“双向进入、交叉任职”</w:t>
      </w:r>
      <w:r>
        <w:rPr>
          <w:rFonts w:hint="eastAsia" w:ascii="仿宋" w:hAnsi="仿宋" w:eastAsia="仿宋" w:cs="仿宋"/>
          <w:sz w:val="32"/>
          <w:szCs w:val="32"/>
          <w:lang w:eastAsia="zh-CN"/>
        </w:rPr>
        <w:t>；</w:t>
      </w:r>
    </w:p>
    <w:p w14:paraId="435FE0F6">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（二）县属国有企业中层职数，根据内设机构工作人员的具体数量确定，一般3名及以下工作人员的设1正职，4-6名的设2职(一正一副)，7名以上的设3职(一正二副)</w:t>
      </w:r>
      <w:r>
        <w:rPr>
          <w:rFonts w:hint="eastAsia" w:ascii="仿宋" w:hAnsi="仿宋" w:eastAsia="仿宋" w:cs="仿宋"/>
          <w:sz w:val="32"/>
          <w:szCs w:val="32"/>
          <w:lang w:eastAsia="zh-CN"/>
        </w:rPr>
        <w:t>；</w:t>
      </w:r>
    </w:p>
    <w:p w14:paraId="4C4E69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三）县属国有企业所属企业按单位的人员编制、经营范围、效益状况、工作任务等情况分类核定领导职数(不含县属国有企业领导兼职)，一般人员编制在50名以下的，原则上配1正2副；人员编制在50名至100名的，原则上配1正3副；人员编制在100名以上的，或经营范围较广、资产规模较大、员工人数较多的可根据实际情况，领导职数可增加1-2名</w:t>
      </w:r>
      <w:r>
        <w:rPr>
          <w:rFonts w:hint="eastAsia" w:ascii="仿宋" w:hAnsi="仿宋" w:eastAsia="仿宋" w:cs="仿宋"/>
          <w:sz w:val="32"/>
          <w:szCs w:val="32"/>
          <w:lang w:eastAsia="zh-CN"/>
        </w:rPr>
        <w:t>。</w:t>
      </w:r>
    </w:p>
    <w:p w14:paraId="4327B9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第十八条 县属国有企业及所属企业员工实行岗位、职位管理。企业内设机构的中层管理人员一般可称部长、副部长，并以此设置岗位。</w:t>
      </w:r>
    </w:p>
    <w:p w14:paraId="47B6A8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第十九条 县属国有企业要求调整人员编制，应当说明下列事项，并提供相关材料</w:t>
      </w:r>
      <w:r>
        <w:rPr>
          <w:rFonts w:hint="eastAsia" w:ascii="仿宋" w:hAnsi="仿宋" w:eastAsia="仿宋" w:cs="仿宋"/>
          <w:sz w:val="32"/>
          <w:szCs w:val="32"/>
          <w:lang w:eastAsia="zh-CN"/>
        </w:rPr>
        <w:t>：</w:t>
      </w:r>
    </w:p>
    <w:p w14:paraId="5797B0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（一）企业上年度有关效益利润情况</w:t>
      </w:r>
      <w:r>
        <w:rPr>
          <w:rFonts w:hint="eastAsia" w:ascii="仿宋" w:hAnsi="仿宋" w:eastAsia="仿宋" w:cs="仿宋"/>
          <w:sz w:val="32"/>
          <w:szCs w:val="32"/>
          <w:lang w:eastAsia="zh-CN"/>
        </w:rPr>
        <w:t>；</w:t>
      </w:r>
    </w:p>
    <w:p w14:paraId="60CF6F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（二）调整人员编制的主要理由及岗位分布情况</w:t>
      </w:r>
      <w:r>
        <w:rPr>
          <w:rFonts w:hint="eastAsia" w:ascii="仿宋" w:hAnsi="仿宋" w:eastAsia="仿宋" w:cs="仿宋"/>
          <w:sz w:val="32"/>
          <w:szCs w:val="32"/>
          <w:lang w:eastAsia="zh-CN"/>
        </w:rPr>
        <w:t>；</w:t>
      </w:r>
    </w:p>
    <w:p w14:paraId="63CF6D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sz w:val="32"/>
          <w:szCs w:val="32"/>
          <w:lang w:eastAsia="zh-CN"/>
        </w:rPr>
      </w:pPr>
      <w:r>
        <w:rPr>
          <w:rFonts w:hint="eastAsia" w:ascii="仿宋" w:hAnsi="仿宋" w:eastAsia="仿宋" w:cs="仿宋"/>
          <w:sz w:val="32"/>
          <w:szCs w:val="32"/>
        </w:rPr>
        <w:t>（三）其他需要说明的事项</w:t>
      </w:r>
      <w:r>
        <w:rPr>
          <w:rFonts w:hint="eastAsia" w:ascii="仿宋" w:hAnsi="仿宋" w:eastAsia="仿宋" w:cs="仿宋"/>
          <w:sz w:val="32"/>
          <w:szCs w:val="32"/>
          <w:lang w:eastAsia="zh-CN"/>
        </w:rPr>
        <w:t>。</w:t>
      </w:r>
    </w:p>
    <w:p w14:paraId="0CE1CA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p>
    <w:p w14:paraId="05DFF2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黑体" w:hAnsi="黑体" w:eastAsia="黑体" w:cs="黑体"/>
          <w:sz w:val="32"/>
          <w:szCs w:val="32"/>
        </w:rPr>
      </w:pPr>
      <w:r>
        <w:rPr>
          <w:rFonts w:hint="eastAsia" w:ascii="黑体" w:hAnsi="黑体" w:eastAsia="黑体" w:cs="黑体"/>
          <w:sz w:val="32"/>
          <w:szCs w:val="32"/>
        </w:rPr>
        <w:t>第五章 审批程序</w:t>
      </w:r>
    </w:p>
    <w:p w14:paraId="1C12AA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第二十条 县属国有企业内设机构、人员编制和中层领导职数配置调整，应当按照下列程序进行</w:t>
      </w:r>
      <w:r>
        <w:rPr>
          <w:rFonts w:hint="eastAsia" w:ascii="仿宋" w:hAnsi="仿宋" w:eastAsia="仿宋" w:cs="仿宋"/>
          <w:sz w:val="32"/>
          <w:szCs w:val="32"/>
          <w:lang w:eastAsia="zh-CN"/>
        </w:rPr>
        <w:t>：</w:t>
      </w:r>
    </w:p>
    <w:p w14:paraId="1725BD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（一）县属国有企业提出方案，向县国资局申报</w:t>
      </w:r>
      <w:r>
        <w:rPr>
          <w:rFonts w:hint="eastAsia" w:ascii="仿宋" w:hAnsi="仿宋" w:eastAsia="仿宋" w:cs="仿宋"/>
          <w:sz w:val="32"/>
          <w:szCs w:val="32"/>
          <w:lang w:eastAsia="zh-CN"/>
        </w:rPr>
        <w:t>；</w:t>
      </w:r>
    </w:p>
    <w:p w14:paraId="06B26B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（二）县国资局审批</w:t>
      </w:r>
      <w:r>
        <w:rPr>
          <w:rFonts w:hint="eastAsia" w:ascii="仿宋" w:hAnsi="仿宋" w:eastAsia="仿宋" w:cs="仿宋"/>
          <w:sz w:val="32"/>
          <w:szCs w:val="32"/>
          <w:lang w:eastAsia="zh-CN"/>
        </w:rPr>
        <w:t>。</w:t>
      </w:r>
    </w:p>
    <w:p w14:paraId="074CCC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第二十一条 县属国有企业所属企业内设机构、人员编制和中层领导职数的配置调整，应当按照下列程序进行</w:t>
      </w:r>
      <w:r>
        <w:rPr>
          <w:rFonts w:hint="eastAsia" w:ascii="仿宋" w:hAnsi="仿宋" w:eastAsia="仿宋" w:cs="仿宋"/>
          <w:sz w:val="32"/>
          <w:szCs w:val="32"/>
          <w:lang w:eastAsia="zh-CN"/>
        </w:rPr>
        <w:t>：</w:t>
      </w:r>
    </w:p>
    <w:p w14:paraId="08702F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（一）县属国有企业所属企业提出方案，向县属国有企业申报</w:t>
      </w:r>
      <w:r>
        <w:rPr>
          <w:rFonts w:hint="eastAsia" w:ascii="仿宋" w:hAnsi="仿宋" w:eastAsia="仿宋" w:cs="仿宋"/>
          <w:sz w:val="32"/>
          <w:szCs w:val="32"/>
          <w:lang w:eastAsia="zh-CN"/>
        </w:rPr>
        <w:t>；</w:t>
      </w:r>
    </w:p>
    <w:p w14:paraId="5F946B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（二）县属国有企业审核后报县国资局备案</w:t>
      </w:r>
      <w:r>
        <w:rPr>
          <w:rFonts w:hint="eastAsia" w:ascii="仿宋" w:hAnsi="仿宋" w:eastAsia="仿宋" w:cs="仿宋"/>
          <w:sz w:val="32"/>
          <w:szCs w:val="32"/>
          <w:lang w:eastAsia="zh-CN"/>
        </w:rPr>
        <w:t>；</w:t>
      </w:r>
    </w:p>
    <w:p w14:paraId="29C1BA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sz w:val="32"/>
          <w:szCs w:val="32"/>
          <w:lang w:eastAsia="zh-CN"/>
        </w:rPr>
      </w:pPr>
      <w:r>
        <w:rPr>
          <w:rFonts w:hint="eastAsia" w:ascii="仿宋" w:hAnsi="仿宋" w:eastAsia="仿宋" w:cs="仿宋"/>
          <w:sz w:val="32"/>
          <w:szCs w:val="32"/>
        </w:rPr>
        <w:t>（三）县国资局备案后通知企业执行</w:t>
      </w:r>
      <w:r>
        <w:rPr>
          <w:rFonts w:hint="eastAsia" w:ascii="仿宋" w:hAnsi="仿宋" w:eastAsia="仿宋" w:cs="仿宋"/>
          <w:sz w:val="32"/>
          <w:szCs w:val="32"/>
          <w:lang w:eastAsia="zh-CN"/>
        </w:rPr>
        <w:t>。</w:t>
      </w:r>
    </w:p>
    <w:p w14:paraId="0103BE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p>
    <w:p w14:paraId="535E80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黑体" w:hAnsi="黑体" w:eastAsia="黑体" w:cs="黑体"/>
          <w:sz w:val="32"/>
          <w:szCs w:val="32"/>
        </w:rPr>
      </w:pPr>
      <w:r>
        <w:rPr>
          <w:rFonts w:hint="eastAsia" w:ascii="黑体" w:hAnsi="黑体" w:eastAsia="黑体" w:cs="黑体"/>
          <w:sz w:val="32"/>
          <w:szCs w:val="32"/>
        </w:rPr>
        <w:t>第六章 监督检查</w:t>
      </w:r>
    </w:p>
    <w:p w14:paraId="6E70F3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第二十二条 县国资局负责对县属国有企业及所属企业机构设置和人员编制管理工作的执行情况进行监督检查，并将各企业执行情况列入企业负责人经营业绩考核内容。各县属国有企业负责所属企业机构设置和人员编制工作的日常监督管理工作。</w:t>
      </w:r>
    </w:p>
    <w:p w14:paraId="46014F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第二十三条 有下列行为之一的，县国资局应责令其限期纠正；逾期不纠正或造成不良后果的，由有关部门对企业主要负责人和直接责任人依照有关规定给予通报批评或行政处分</w:t>
      </w:r>
      <w:r>
        <w:rPr>
          <w:rFonts w:hint="eastAsia" w:ascii="仿宋" w:hAnsi="仿宋" w:eastAsia="仿宋" w:cs="仿宋"/>
          <w:sz w:val="32"/>
          <w:szCs w:val="32"/>
          <w:lang w:eastAsia="zh-CN"/>
        </w:rPr>
        <w:t>：</w:t>
      </w:r>
    </w:p>
    <w:p w14:paraId="182408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（一）在申请增加机构和人员中有弄虚作假行为的</w:t>
      </w:r>
      <w:r>
        <w:rPr>
          <w:rFonts w:hint="eastAsia" w:ascii="仿宋" w:hAnsi="仿宋" w:eastAsia="仿宋" w:cs="仿宋"/>
          <w:sz w:val="32"/>
          <w:szCs w:val="32"/>
          <w:lang w:eastAsia="zh-CN"/>
        </w:rPr>
        <w:t>；</w:t>
      </w:r>
    </w:p>
    <w:p w14:paraId="23865C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（二）擅自调整内设机构的</w:t>
      </w:r>
      <w:r>
        <w:rPr>
          <w:rFonts w:hint="eastAsia" w:ascii="仿宋" w:hAnsi="仿宋" w:eastAsia="仿宋" w:cs="仿宋"/>
          <w:sz w:val="32"/>
          <w:szCs w:val="32"/>
          <w:lang w:eastAsia="zh-CN"/>
        </w:rPr>
        <w:t>；</w:t>
      </w:r>
    </w:p>
    <w:p w14:paraId="062616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（三）擅自超过规定的职数配备管理人员的</w:t>
      </w:r>
      <w:r>
        <w:rPr>
          <w:rFonts w:hint="eastAsia" w:ascii="仿宋" w:hAnsi="仿宋" w:eastAsia="仿宋" w:cs="仿宋"/>
          <w:sz w:val="32"/>
          <w:szCs w:val="32"/>
          <w:lang w:eastAsia="zh-CN"/>
        </w:rPr>
        <w:t>；</w:t>
      </w:r>
    </w:p>
    <w:p w14:paraId="587887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（四）擅自超编录用人员的</w:t>
      </w:r>
      <w:r>
        <w:rPr>
          <w:rFonts w:hint="eastAsia" w:ascii="仿宋" w:hAnsi="仿宋" w:eastAsia="仿宋" w:cs="仿宋"/>
          <w:sz w:val="32"/>
          <w:szCs w:val="32"/>
          <w:lang w:eastAsia="zh-CN"/>
        </w:rPr>
        <w:t>；</w:t>
      </w:r>
    </w:p>
    <w:p w14:paraId="50CE5E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（五）设置或调整所属企业机构和人员编制不按规定进</w:t>
      </w:r>
    </w:p>
    <w:p w14:paraId="430C03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行报备的</w:t>
      </w:r>
      <w:r>
        <w:rPr>
          <w:rFonts w:hint="eastAsia" w:ascii="仿宋" w:hAnsi="仿宋" w:eastAsia="仿宋" w:cs="仿宋"/>
          <w:sz w:val="32"/>
          <w:szCs w:val="32"/>
          <w:lang w:eastAsia="zh-CN"/>
        </w:rPr>
        <w:t>；</w:t>
      </w:r>
    </w:p>
    <w:p w14:paraId="696732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（六）违反本办法的其他行为</w:t>
      </w:r>
      <w:r>
        <w:rPr>
          <w:rFonts w:hint="eastAsia" w:ascii="仿宋" w:hAnsi="仿宋" w:eastAsia="仿宋" w:cs="仿宋"/>
          <w:sz w:val="32"/>
          <w:szCs w:val="32"/>
          <w:lang w:eastAsia="zh-CN"/>
        </w:rPr>
        <w:t>。</w:t>
      </w:r>
    </w:p>
    <w:p w14:paraId="6C4227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p>
    <w:p w14:paraId="2E8DB3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黑体" w:hAnsi="黑体" w:eastAsia="黑体" w:cs="黑体"/>
          <w:sz w:val="32"/>
          <w:szCs w:val="32"/>
        </w:rPr>
      </w:pPr>
      <w:r>
        <w:rPr>
          <w:rFonts w:hint="eastAsia" w:ascii="黑体" w:hAnsi="黑体" w:eastAsia="黑体" w:cs="黑体"/>
          <w:sz w:val="32"/>
          <w:szCs w:val="32"/>
        </w:rPr>
        <w:t>第七章 附则</w:t>
      </w:r>
    </w:p>
    <w:p w14:paraId="2A03AE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第二十四条 本规定自</w:t>
      </w:r>
      <w:r>
        <w:rPr>
          <w:rFonts w:hint="eastAsia" w:ascii="仿宋" w:hAnsi="仿宋" w:eastAsia="仿宋" w:cs="仿宋"/>
          <w:sz w:val="32"/>
          <w:szCs w:val="32"/>
          <w:lang w:val="en-US" w:eastAsia="zh-CN"/>
        </w:rPr>
        <w:t>印发之日起施行</w:t>
      </w:r>
      <w:r>
        <w:rPr>
          <w:rFonts w:hint="eastAsia" w:ascii="仿宋" w:hAnsi="仿宋" w:eastAsia="仿宋" w:cs="仿宋"/>
          <w:sz w:val="32"/>
          <w:szCs w:val="32"/>
        </w:rPr>
        <w:t>，有效期三年。</w:t>
      </w:r>
    </w:p>
    <w:p w14:paraId="72A87A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第二十五条 本办法由县国资局负责解释。</w:t>
      </w: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3628570"/>
    </w:sdtPr>
    <w:sdtEndPr>
      <w:rPr>
        <w:rFonts w:ascii="宋体" w:hAnsi="宋体"/>
        <w:sz w:val="28"/>
        <w:szCs w:val="28"/>
      </w:rPr>
    </w:sdtEndPr>
    <w:sdtContent>
      <w:p w14:paraId="7C4B314A">
        <w:pPr>
          <w:pStyle w:val="4"/>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sdtContent>
  </w:sdt>
  <w:p w14:paraId="15666D0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0684315"/>
    </w:sdtPr>
    <w:sdtEndPr>
      <w:rPr>
        <w:rFonts w:ascii="宋体" w:hAnsi="宋体"/>
        <w:sz w:val="28"/>
        <w:szCs w:val="28"/>
      </w:rPr>
    </w:sdtEndPr>
    <w:sdtContent>
      <w:p w14:paraId="19273E2F">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sdtContent>
  </w:sdt>
  <w:p w14:paraId="2FCFF795">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84B47A"/>
    <w:multiLevelType w:val="singleLevel"/>
    <w:tmpl w:val="E884B47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attachedTemplate r:id="rId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14765BFB"/>
    <w:rsid w:val="00000A63"/>
    <w:rsid w:val="0000129E"/>
    <w:rsid w:val="000313E8"/>
    <w:rsid w:val="000323F8"/>
    <w:rsid w:val="00032B27"/>
    <w:rsid w:val="00037158"/>
    <w:rsid w:val="000453B9"/>
    <w:rsid w:val="0005553F"/>
    <w:rsid w:val="000644F7"/>
    <w:rsid w:val="00082A78"/>
    <w:rsid w:val="00095327"/>
    <w:rsid w:val="000A6DC1"/>
    <w:rsid w:val="000A762B"/>
    <w:rsid w:val="000D2DD6"/>
    <w:rsid w:val="000E0C6D"/>
    <w:rsid w:val="000E5160"/>
    <w:rsid w:val="00105A22"/>
    <w:rsid w:val="0013082A"/>
    <w:rsid w:val="00133BF9"/>
    <w:rsid w:val="00152622"/>
    <w:rsid w:val="00163421"/>
    <w:rsid w:val="001854D7"/>
    <w:rsid w:val="001B5935"/>
    <w:rsid w:val="001C449B"/>
    <w:rsid w:val="001D51B5"/>
    <w:rsid w:val="001D5B0E"/>
    <w:rsid w:val="00210F70"/>
    <w:rsid w:val="0021246A"/>
    <w:rsid w:val="002153E3"/>
    <w:rsid w:val="002261B1"/>
    <w:rsid w:val="00230144"/>
    <w:rsid w:val="00247207"/>
    <w:rsid w:val="00260A32"/>
    <w:rsid w:val="00265C80"/>
    <w:rsid w:val="00267227"/>
    <w:rsid w:val="002707FB"/>
    <w:rsid w:val="00271461"/>
    <w:rsid w:val="00272050"/>
    <w:rsid w:val="0027679A"/>
    <w:rsid w:val="002C2312"/>
    <w:rsid w:val="002E33D7"/>
    <w:rsid w:val="00303BE8"/>
    <w:rsid w:val="0034753A"/>
    <w:rsid w:val="0035020E"/>
    <w:rsid w:val="003520D2"/>
    <w:rsid w:val="0037592D"/>
    <w:rsid w:val="0039275F"/>
    <w:rsid w:val="00396227"/>
    <w:rsid w:val="003C2EFA"/>
    <w:rsid w:val="00407F34"/>
    <w:rsid w:val="00416546"/>
    <w:rsid w:val="00417A2D"/>
    <w:rsid w:val="0042663B"/>
    <w:rsid w:val="00450C0B"/>
    <w:rsid w:val="0046278A"/>
    <w:rsid w:val="004705A7"/>
    <w:rsid w:val="00475B8F"/>
    <w:rsid w:val="004813BF"/>
    <w:rsid w:val="00487EF7"/>
    <w:rsid w:val="004A452C"/>
    <w:rsid w:val="004A4A5A"/>
    <w:rsid w:val="004A5B2D"/>
    <w:rsid w:val="004D30E5"/>
    <w:rsid w:val="004F46B6"/>
    <w:rsid w:val="00505BC3"/>
    <w:rsid w:val="00510FB2"/>
    <w:rsid w:val="00512A37"/>
    <w:rsid w:val="00550608"/>
    <w:rsid w:val="00563511"/>
    <w:rsid w:val="00573DD7"/>
    <w:rsid w:val="005807A2"/>
    <w:rsid w:val="005A013A"/>
    <w:rsid w:val="005A35BF"/>
    <w:rsid w:val="005F277A"/>
    <w:rsid w:val="00601066"/>
    <w:rsid w:val="00615673"/>
    <w:rsid w:val="00615C29"/>
    <w:rsid w:val="0061701F"/>
    <w:rsid w:val="0065076F"/>
    <w:rsid w:val="00653A28"/>
    <w:rsid w:val="00657DF1"/>
    <w:rsid w:val="006605D8"/>
    <w:rsid w:val="00690A3C"/>
    <w:rsid w:val="00693AF7"/>
    <w:rsid w:val="006B1B76"/>
    <w:rsid w:val="006B2597"/>
    <w:rsid w:val="006B5B39"/>
    <w:rsid w:val="006D1D9E"/>
    <w:rsid w:val="006D730F"/>
    <w:rsid w:val="006E2BD5"/>
    <w:rsid w:val="006E31A3"/>
    <w:rsid w:val="006F625D"/>
    <w:rsid w:val="007060C6"/>
    <w:rsid w:val="00722ADE"/>
    <w:rsid w:val="0072529C"/>
    <w:rsid w:val="00764901"/>
    <w:rsid w:val="00775DE0"/>
    <w:rsid w:val="00787156"/>
    <w:rsid w:val="007913E6"/>
    <w:rsid w:val="00796CB6"/>
    <w:rsid w:val="007B52C9"/>
    <w:rsid w:val="007C2668"/>
    <w:rsid w:val="007D405D"/>
    <w:rsid w:val="007E7BD8"/>
    <w:rsid w:val="008154A2"/>
    <w:rsid w:val="00816519"/>
    <w:rsid w:val="008405D1"/>
    <w:rsid w:val="008416B6"/>
    <w:rsid w:val="00847078"/>
    <w:rsid w:val="0085573E"/>
    <w:rsid w:val="00856BB7"/>
    <w:rsid w:val="0087687F"/>
    <w:rsid w:val="008B205B"/>
    <w:rsid w:val="008C719A"/>
    <w:rsid w:val="008F7C1C"/>
    <w:rsid w:val="00903153"/>
    <w:rsid w:val="00903B9A"/>
    <w:rsid w:val="0099438A"/>
    <w:rsid w:val="00997D8C"/>
    <w:rsid w:val="009B0D45"/>
    <w:rsid w:val="009F42D2"/>
    <w:rsid w:val="00A06131"/>
    <w:rsid w:val="00A073C0"/>
    <w:rsid w:val="00A31913"/>
    <w:rsid w:val="00A327D0"/>
    <w:rsid w:val="00A467BF"/>
    <w:rsid w:val="00A53C6C"/>
    <w:rsid w:val="00A76AA7"/>
    <w:rsid w:val="00A82D13"/>
    <w:rsid w:val="00A87D3C"/>
    <w:rsid w:val="00A94A68"/>
    <w:rsid w:val="00AE56F1"/>
    <w:rsid w:val="00AF5366"/>
    <w:rsid w:val="00AF615B"/>
    <w:rsid w:val="00AF656B"/>
    <w:rsid w:val="00AF7195"/>
    <w:rsid w:val="00AF7ECD"/>
    <w:rsid w:val="00B00345"/>
    <w:rsid w:val="00B0063B"/>
    <w:rsid w:val="00B01FCE"/>
    <w:rsid w:val="00B15ABA"/>
    <w:rsid w:val="00B306AF"/>
    <w:rsid w:val="00B316DE"/>
    <w:rsid w:val="00B4380F"/>
    <w:rsid w:val="00B47671"/>
    <w:rsid w:val="00B5399D"/>
    <w:rsid w:val="00B67590"/>
    <w:rsid w:val="00B711B2"/>
    <w:rsid w:val="00B7239E"/>
    <w:rsid w:val="00B9138D"/>
    <w:rsid w:val="00B94575"/>
    <w:rsid w:val="00BB2E7B"/>
    <w:rsid w:val="00BD0001"/>
    <w:rsid w:val="00BE65D6"/>
    <w:rsid w:val="00BF1D52"/>
    <w:rsid w:val="00BF4356"/>
    <w:rsid w:val="00C016C9"/>
    <w:rsid w:val="00C03CD0"/>
    <w:rsid w:val="00C05F82"/>
    <w:rsid w:val="00C1616A"/>
    <w:rsid w:val="00C31239"/>
    <w:rsid w:val="00C31858"/>
    <w:rsid w:val="00C37737"/>
    <w:rsid w:val="00C44355"/>
    <w:rsid w:val="00C51E1A"/>
    <w:rsid w:val="00C60BFB"/>
    <w:rsid w:val="00C63A49"/>
    <w:rsid w:val="00C66384"/>
    <w:rsid w:val="00C84E70"/>
    <w:rsid w:val="00C90E0B"/>
    <w:rsid w:val="00CA5A7D"/>
    <w:rsid w:val="00CB26AA"/>
    <w:rsid w:val="00CC4551"/>
    <w:rsid w:val="00CE22F5"/>
    <w:rsid w:val="00D11762"/>
    <w:rsid w:val="00D31047"/>
    <w:rsid w:val="00D313A7"/>
    <w:rsid w:val="00D65105"/>
    <w:rsid w:val="00D800EB"/>
    <w:rsid w:val="00D809BB"/>
    <w:rsid w:val="00D90937"/>
    <w:rsid w:val="00D92E60"/>
    <w:rsid w:val="00D96A13"/>
    <w:rsid w:val="00DB2B29"/>
    <w:rsid w:val="00DC4EF0"/>
    <w:rsid w:val="00DE319A"/>
    <w:rsid w:val="00DF3590"/>
    <w:rsid w:val="00DF3B7D"/>
    <w:rsid w:val="00DF3DD2"/>
    <w:rsid w:val="00DF5594"/>
    <w:rsid w:val="00E001D0"/>
    <w:rsid w:val="00E17D69"/>
    <w:rsid w:val="00E223E5"/>
    <w:rsid w:val="00E25361"/>
    <w:rsid w:val="00E33A8D"/>
    <w:rsid w:val="00E36C63"/>
    <w:rsid w:val="00E44326"/>
    <w:rsid w:val="00E465AA"/>
    <w:rsid w:val="00E755F5"/>
    <w:rsid w:val="00E76A1A"/>
    <w:rsid w:val="00EA7471"/>
    <w:rsid w:val="00EB5D73"/>
    <w:rsid w:val="00EF4F51"/>
    <w:rsid w:val="00F0477B"/>
    <w:rsid w:val="00F17CF6"/>
    <w:rsid w:val="00F3372B"/>
    <w:rsid w:val="00F45565"/>
    <w:rsid w:val="00F6198D"/>
    <w:rsid w:val="00F713F7"/>
    <w:rsid w:val="00F77F0F"/>
    <w:rsid w:val="00F831A0"/>
    <w:rsid w:val="00F87E0E"/>
    <w:rsid w:val="00F94493"/>
    <w:rsid w:val="00F9505F"/>
    <w:rsid w:val="00FB34E4"/>
    <w:rsid w:val="00FB5697"/>
    <w:rsid w:val="00FC22C8"/>
    <w:rsid w:val="00FE35CE"/>
    <w:rsid w:val="00FF0F00"/>
    <w:rsid w:val="00FF537A"/>
    <w:rsid w:val="01981D96"/>
    <w:rsid w:val="01FA635C"/>
    <w:rsid w:val="02457391"/>
    <w:rsid w:val="02B26E88"/>
    <w:rsid w:val="02DE3150"/>
    <w:rsid w:val="03140366"/>
    <w:rsid w:val="032B4711"/>
    <w:rsid w:val="041D0E5E"/>
    <w:rsid w:val="05835E9B"/>
    <w:rsid w:val="063D0EE3"/>
    <w:rsid w:val="08002A71"/>
    <w:rsid w:val="08293A79"/>
    <w:rsid w:val="096F0F13"/>
    <w:rsid w:val="0980207A"/>
    <w:rsid w:val="0BA91BE3"/>
    <w:rsid w:val="0C295F8D"/>
    <w:rsid w:val="0CF964C3"/>
    <w:rsid w:val="0D010A85"/>
    <w:rsid w:val="0D601EE7"/>
    <w:rsid w:val="0EB27059"/>
    <w:rsid w:val="0F1A674D"/>
    <w:rsid w:val="0F1B5AFD"/>
    <w:rsid w:val="0F3A3930"/>
    <w:rsid w:val="0F89238A"/>
    <w:rsid w:val="0FA001F9"/>
    <w:rsid w:val="10413E0E"/>
    <w:rsid w:val="10EC4C17"/>
    <w:rsid w:val="10F45AE8"/>
    <w:rsid w:val="11A1215F"/>
    <w:rsid w:val="11C561E5"/>
    <w:rsid w:val="12496BAF"/>
    <w:rsid w:val="135A78C9"/>
    <w:rsid w:val="14765BFB"/>
    <w:rsid w:val="14A40FA8"/>
    <w:rsid w:val="15070D0E"/>
    <w:rsid w:val="17524EC6"/>
    <w:rsid w:val="177C78AC"/>
    <w:rsid w:val="17AA06CF"/>
    <w:rsid w:val="18A72F78"/>
    <w:rsid w:val="1B7E7F4C"/>
    <w:rsid w:val="1BB22B25"/>
    <w:rsid w:val="1CBF07F9"/>
    <w:rsid w:val="1E6F6354"/>
    <w:rsid w:val="1F6E2BB2"/>
    <w:rsid w:val="1FCC5F3E"/>
    <w:rsid w:val="200047A2"/>
    <w:rsid w:val="219141AD"/>
    <w:rsid w:val="220E37E6"/>
    <w:rsid w:val="23FF5196"/>
    <w:rsid w:val="271F531A"/>
    <w:rsid w:val="2A2E58CA"/>
    <w:rsid w:val="2BD86458"/>
    <w:rsid w:val="2C5D6034"/>
    <w:rsid w:val="2CCB4FF5"/>
    <w:rsid w:val="2D7058C1"/>
    <w:rsid w:val="2E753A66"/>
    <w:rsid w:val="2FAD7288"/>
    <w:rsid w:val="2FCE4CFA"/>
    <w:rsid w:val="2FD57D5C"/>
    <w:rsid w:val="2FF777CA"/>
    <w:rsid w:val="306F4EEA"/>
    <w:rsid w:val="31A56933"/>
    <w:rsid w:val="31F60C76"/>
    <w:rsid w:val="32161DE8"/>
    <w:rsid w:val="32954B34"/>
    <w:rsid w:val="33DE59E1"/>
    <w:rsid w:val="35187615"/>
    <w:rsid w:val="38F93A18"/>
    <w:rsid w:val="396A21CD"/>
    <w:rsid w:val="39DC567D"/>
    <w:rsid w:val="3ABA661C"/>
    <w:rsid w:val="3AFB6FC4"/>
    <w:rsid w:val="3B763AB0"/>
    <w:rsid w:val="3BD02473"/>
    <w:rsid w:val="3CAB0B82"/>
    <w:rsid w:val="3CCC088A"/>
    <w:rsid w:val="3D184845"/>
    <w:rsid w:val="3E0D5F27"/>
    <w:rsid w:val="3EBB6116"/>
    <w:rsid w:val="3FB921EC"/>
    <w:rsid w:val="40921BB0"/>
    <w:rsid w:val="41BD2092"/>
    <w:rsid w:val="426E5306"/>
    <w:rsid w:val="42AC3471"/>
    <w:rsid w:val="45F45F26"/>
    <w:rsid w:val="474D13DB"/>
    <w:rsid w:val="48253DFB"/>
    <w:rsid w:val="48B815AF"/>
    <w:rsid w:val="48F772ED"/>
    <w:rsid w:val="49813206"/>
    <w:rsid w:val="49C94CFF"/>
    <w:rsid w:val="4A9847E0"/>
    <w:rsid w:val="4C0F2801"/>
    <w:rsid w:val="4CB54F36"/>
    <w:rsid w:val="4D701FCF"/>
    <w:rsid w:val="4DC358FC"/>
    <w:rsid w:val="4EDA6065"/>
    <w:rsid w:val="4F2C12BC"/>
    <w:rsid w:val="4FE12F61"/>
    <w:rsid w:val="4FFE2590"/>
    <w:rsid w:val="50027EF7"/>
    <w:rsid w:val="50DB3EF2"/>
    <w:rsid w:val="524B01DB"/>
    <w:rsid w:val="52A1329F"/>
    <w:rsid w:val="52E36421"/>
    <w:rsid w:val="52EB429B"/>
    <w:rsid w:val="541416C7"/>
    <w:rsid w:val="55346084"/>
    <w:rsid w:val="55716F0A"/>
    <w:rsid w:val="56460255"/>
    <w:rsid w:val="56646FAF"/>
    <w:rsid w:val="56F3681E"/>
    <w:rsid w:val="574171A6"/>
    <w:rsid w:val="58AF190D"/>
    <w:rsid w:val="59241D82"/>
    <w:rsid w:val="59330889"/>
    <w:rsid w:val="598C3505"/>
    <w:rsid w:val="5A746938"/>
    <w:rsid w:val="5A84585E"/>
    <w:rsid w:val="5AD66065"/>
    <w:rsid w:val="5AE35E2C"/>
    <w:rsid w:val="5C530388"/>
    <w:rsid w:val="5C9E744B"/>
    <w:rsid w:val="5CD62395"/>
    <w:rsid w:val="5E997156"/>
    <w:rsid w:val="5EE6729F"/>
    <w:rsid w:val="5F5027FB"/>
    <w:rsid w:val="60D157AA"/>
    <w:rsid w:val="611143DE"/>
    <w:rsid w:val="61204699"/>
    <w:rsid w:val="624B3246"/>
    <w:rsid w:val="626F2B45"/>
    <w:rsid w:val="62D23D94"/>
    <w:rsid w:val="632E7B6A"/>
    <w:rsid w:val="651F2703"/>
    <w:rsid w:val="6535762A"/>
    <w:rsid w:val="65864EF2"/>
    <w:rsid w:val="65895EAE"/>
    <w:rsid w:val="66D053E2"/>
    <w:rsid w:val="67CC57B8"/>
    <w:rsid w:val="69C20744"/>
    <w:rsid w:val="6A5612BA"/>
    <w:rsid w:val="6BC23E53"/>
    <w:rsid w:val="6CF36A2A"/>
    <w:rsid w:val="6D535020"/>
    <w:rsid w:val="6D8D7059"/>
    <w:rsid w:val="6F27494B"/>
    <w:rsid w:val="702F7B85"/>
    <w:rsid w:val="708B15AE"/>
    <w:rsid w:val="70C277EA"/>
    <w:rsid w:val="71205459"/>
    <w:rsid w:val="716C29A8"/>
    <w:rsid w:val="71F60E20"/>
    <w:rsid w:val="73A74F76"/>
    <w:rsid w:val="73D028E2"/>
    <w:rsid w:val="74261ACE"/>
    <w:rsid w:val="7499762A"/>
    <w:rsid w:val="754F1E9B"/>
    <w:rsid w:val="76324BC2"/>
    <w:rsid w:val="773D2FF7"/>
    <w:rsid w:val="77B33839"/>
    <w:rsid w:val="77B4326B"/>
    <w:rsid w:val="77FA56DA"/>
    <w:rsid w:val="79580037"/>
    <w:rsid w:val="796C2F2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spacing w:before="100" w:beforeAutospacing="1" w:after="100" w:afterAutospacing="1"/>
    </w:pPr>
    <w:rPr>
      <w:rFonts w:ascii="宋体" w:hAnsi="宋体" w:cs="宋体"/>
      <w:sz w:val="24"/>
      <w:szCs w:val="24"/>
    </w:rPr>
  </w:style>
  <w:style w:type="paragraph" w:styleId="7">
    <w:name w:val="annotation subject"/>
    <w:basedOn w:val="2"/>
    <w:next w:val="2"/>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脚 Char"/>
    <w:basedOn w:val="9"/>
    <w:link w:val="4"/>
    <w:qFormat/>
    <w:locked/>
    <w:uiPriority w:val="99"/>
    <w:rPr>
      <w:rFonts w:ascii="Calibri" w:hAnsi="Calibri" w:cs="Times New Roman"/>
      <w:kern w:val="2"/>
      <w:sz w:val="18"/>
      <w:szCs w:val="18"/>
    </w:rPr>
  </w:style>
  <w:style w:type="character" w:customStyle="1" w:styleId="12">
    <w:name w:val="页眉 Char"/>
    <w:basedOn w:val="9"/>
    <w:link w:val="5"/>
    <w:qFormat/>
    <w:locked/>
    <w:uiPriority w:val="99"/>
    <w:rPr>
      <w:rFonts w:ascii="Calibri" w:hAnsi="Calibri" w:cs="Times New Roman"/>
      <w:kern w:val="2"/>
      <w:sz w:val="18"/>
      <w:szCs w:val="18"/>
    </w:rPr>
  </w:style>
  <w:style w:type="character" w:customStyle="1" w:styleId="13">
    <w:name w:val="bjh-p"/>
    <w:basedOn w:val="9"/>
    <w:qFormat/>
    <w:uiPriority w:val="99"/>
    <w:rPr>
      <w:rFonts w:cs="Times New Roman"/>
    </w:rPr>
  </w:style>
  <w:style w:type="paragraph" w:customStyle="1" w:styleId="14">
    <w:name w:val="列出段落1"/>
    <w:basedOn w:val="1"/>
    <w:qFormat/>
    <w:uiPriority w:val="99"/>
    <w:pPr>
      <w:spacing w:after="200"/>
      <w:ind w:firstLine="420" w:firstLineChars="200"/>
    </w:pPr>
    <w:rPr>
      <w:rFonts w:ascii="Times New Roman" w:hAnsi="Times New Roman"/>
    </w:rPr>
  </w:style>
  <w:style w:type="character" w:customStyle="1" w:styleId="15">
    <w:name w:val="批注文字 Char"/>
    <w:basedOn w:val="9"/>
    <w:link w:val="2"/>
    <w:semiHidden/>
    <w:qFormat/>
    <w:uiPriority w:val="99"/>
    <w:rPr>
      <w:rFonts w:eastAsia="宋体"/>
      <w:kern w:val="2"/>
      <w:sz w:val="21"/>
      <w:szCs w:val="22"/>
    </w:rPr>
  </w:style>
  <w:style w:type="character" w:customStyle="1" w:styleId="16">
    <w:name w:val="批注主题 Char"/>
    <w:basedOn w:val="15"/>
    <w:link w:val="7"/>
    <w:semiHidden/>
    <w:qFormat/>
    <w:uiPriority w:val="99"/>
    <w:rPr>
      <w:rFonts w:eastAsia="宋体"/>
      <w:b/>
      <w:bCs/>
      <w:kern w:val="2"/>
      <w:sz w:val="21"/>
      <w:szCs w:val="22"/>
    </w:rPr>
  </w:style>
  <w:style w:type="character" w:customStyle="1" w:styleId="17">
    <w:name w:val="批注框文本 Char"/>
    <w:basedOn w:val="9"/>
    <w:link w:val="3"/>
    <w:semiHidden/>
    <w:qFormat/>
    <w:uiPriority w:val="99"/>
    <w:rPr>
      <w:rFonts w:eastAsia="宋体"/>
      <w:kern w:val="2"/>
      <w:sz w:val="18"/>
      <w:szCs w:val="18"/>
    </w:rPr>
  </w:style>
  <w:style w:type="paragraph" w:customStyle="1" w:styleId="18">
    <w:name w:val="vsbcontent_start"/>
    <w:basedOn w:val="1"/>
    <w:qFormat/>
    <w:uiPriority w:val="0"/>
    <w:pPr>
      <w:widowControl/>
      <w:jc w:val="left"/>
    </w:pPr>
    <w:rPr>
      <w:rFonts w:ascii="宋体" w:hAnsi="宋体" w:cs="宋体"/>
      <w:kern w:val="0"/>
      <w:sz w:val="24"/>
      <w:szCs w:val="24"/>
    </w:rPr>
  </w:style>
  <w:style w:type="paragraph" w:customStyle="1" w:styleId="19">
    <w:name w:val="vsbcontent_end"/>
    <w:basedOn w:val="1"/>
    <w:qFormat/>
    <w:uiPriority w:val="0"/>
    <w:pPr>
      <w:widowControl/>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es_1.0.0.3\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Sky123.Org</Company>
  <Pages>6</Pages>
  <Words>2394</Words>
  <Characters>2406</Characters>
  <Lines>17</Lines>
  <Paragraphs>5</Paragraphs>
  <TotalTime>28</TotalTime>
  <ScaleCrop>false</ScaleCrop>
  <LinksUpToDate>false</LinksUpToDate>
  <CharactersWithSpaces>2438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2018-06-29T01:20:00Z</dcterms:created>
  <dc:creator>lenovo</dc:creator>
  <cp:lastModifiedBy>。</cp:lastModifiedBy>
  <cp:lastPrinted>2026-04-22T02:35:58Z</cp:lastPrinted>
  <dcterms:modified xsi:type="dcterms:W3CDTF">2026-04-22T02:39:03Z</dcterms:modified>
  <dc:title>市属国有“僵尸企业”托管实施办法</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eyJoZGlkIjoiMmI0NTBmMGRjYmVlYmU3Y2NiMmQzNzQ1MjFmMjRmNmUiLCJ1c2VySWQiOiIyNTczNzQ1NjAifQ==</vt:lpwstr>
  </property>
  <property fmtid="{D5CDD505-2E9C-101B-9397-08002B2CF9AE}" pid="4" name="ICV">
    <vt:lpwstr>A1DC5AC5BD8848EEA0CEEC0F98549F68_12</vt:lpwstr>
  </property>
</Properties>
</file>