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rPr>
          <w:b/>
          <w:sz w:val="72"/>
        </w:rPr>
      </w:pPr>
      <w:r>
        <w:rPr>
          <w:sz w:val="30"/>
        </w:rPr>
        <mc:AlternateContent>
          <mc:Choice Requires="wps">
            <w:drawing>
              <wp:anchor distT="0" distB="0" distL="114300" distR="114300" simplePos="0" relativeHeight="251628544" behindDoc="0" locked="0" layoutInCell="1" allowOverlap="1">
                <wp:simplePos x="0" y="0"/>
                <wp:positionH relativeFrom="column">
                  <wp:posOffset>3557905</wp:posOffset>
                </wp:positionH>
                <wp:positionV relativeFrom="paragraph">
                  <wp:posOffset>31750</wp:posOffset>
                </wp:positionV>
                <wp:extent cx="1600200" cy="792480"/>
                <wp:effectExtent l="0" t="0" r="0" b="7620"/>
                <wp:wrapNone/>
                <wp:docPr id="554" name="矩形 2"/>
                <wp:cNvGraphicFramePr/>
                <a:graphic xmlns:a="http://schemas.openxmlformats.org/drawingml/2006/main">
                  <a:graphicData uri="http://schemas.microsoft.com/office/word/2010/wordprocessingShape">
                    <wps:wsp>
                      <wps:cNvSpPr>
                        <a:spLocks noChangeArrowheads="1"/>
                      </wps:cNvSpPr>
                      <wps:spPr bwMode="auto">
                        <a:xfrm>
                          <a:off x="0" y="0"/>
                          <a:ext cx="1600200" cy="792480"/>
                        </a:xfrm>
                        <a:prstGeom prst="rect">
                          <a:avLst/>
                        </a:prstGeom>
                        <a:solidFill>
                          <a:srgbClr val="FFFFFF"/>
                        </a:solidFill>
                        <a:ln w="9525">
                          <a:solidFill>
                            <a:srgbClr val="000000"/>
                          </a:solidFill>
                          <a:miter lim="800000"/>
                        </a:ln>
                      </wps:spPr>
                      <wps:txbx>
                        <w:txbxContent>
                          <w:p>
                            <w:pPr>
                              <w:adjustRightInd w:val="0"/>
                              <w:snapToGrid w:val="0"/>
                              <w:rPr>
                                <w:rFonts w:hAnsi="宋体"/>
                              </w:rPr>
                            </w:pPr>
                            <w:r>
                              <w:rPr>
                                <w:rFonts w:hint="eastAsia" w:hAnsi="宋体"/>
                              </w:rPr>
                              <w:t>报告表编号</w:t>
                            </w:r>
                          </w:p>
                          <w:p>
                            <w:pPr>
                              <w:adjustRightInd w:val="0"/>
                              <w:snapToGrid w:val="0"/>
                              <w:rPr>
                                <w:rFonts w:ascii="宋体" w:hAnsi="宋体"/>
                              </w:rPr>
                            </w:pPr>
                            <w:r>
                              <w:rPr>
                                <w:rFonts w:hint="eastAsia" w:ascii="宋体" w:hAnsi="宋体"/>
                                <w:u w:val="single"/>
                              </w:rPr>
                              <w:t xml:space="preserve">           </w:t>
                            </w:r>
                            <w:r>
                              <w:rPr>
                                <w:rFonts w:hint="eastAsia" w:ascii="宋体" w:hAnsi="宋体"/>
                              </w:rPr>
                              <w:t xml:space="preserve"> 年</w:t>
                            </w:r>
                          </w:p>
                          <w:p>
                            <w:pPr>
                              <w:adjustRightInd w:val="0"/>
                              <w:snapToGrid w:val="0"/>
                              <w:rPr>
                                <w:rFonts w:hAnsi="宋体"/>
                              </w:rPr>
                            </w:pPr>
                            <w:r>
                              <w:rPr>
                                <w:rFonts w:hint="eastAsia" w:hAnsi="宋体"/>
                              </w:rPr>
                              <w:t>编号：</w:t>
                            </w:r>
                            <w:r>
                              <w:rPr>
                                <w:rFonts w:hint="eastAsia" w:ascii="宋体" w:hAnsi="宋体"/>
                                <w:u w:val="single"/>
                              </w:rPr>
                              <w:t xml:space="preserve">          </w:t>
                            </w:r>
                            <w:r>
                              <w:rPr>
                                <w:rFonts w:hint="eastAsia" w:ascii="宋体" w:hAnsi="宋体"/>
                              </w:rPr>
                              <w:t xml:space="preserve"> </w:t>
                            </w:r>
                            <w:r>
                              <w:rPr>
                                <w:rFonts w:hint="eastAsia" w:hAnsi="宋体"/>
                              </w:rPr>
                              <w:t xml:space="preserve">            </w:t>
                            </w: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80.15pt;margin-top:2.5pt;height:62.4pt;width:126pt;z-index:251628544;mso-width-relative:page;mso-height-relative:page;" fillcolor="#FFFFFF" filled="t" stroked="t" coordsize="21600,21600" o:gfxdata="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2KxARtYAAAAJ&#10;AQAADwAAAAAAAAABACAAAAAiAAAAZHJzL2Rvd25yZXYueG1sUEsBAhQAFAAAAAgAh07iQD3zAuce&#10;AgAALgQAAA4AAAAAAAAAAQAgAAAAJQEAAGRycy9lMm9Eb2MueG1sUEsFBgAAAAAGAAYAWQEAALUF&#10;AAAAAA==&#10;">
                <v:fill on="t" focussize="0,0"/>
                <v:stroke color="#000000" miterlimit="8" joinstyle="miter"/>
                <v:imagedata o:title=""/>
                <o:lock v:ext="edit" aspectratio="f"/>
                <v:textbox>
                  <w:txbxContent>
                    <w:p>
                      <w:pPr>
                        <w:adjustRightInd w:val="0"/>
                        <w:snapToGrid w:val="0"/>
                        <w:rPr>
                          <w:rFonts w:hAnsi="宋体"/>
                        </w:rPr>
                      </w:pPr>
                      <w:r>
                        <w:rPr>
                          <w:rFonts w:hint="eastAsia" w:hAnsi="宋体"/>
                        </w:rPr>
                        <w:t>报告表编号</w:t>
                      </w:r>
                    </w:p>
                    <w:p>
                      <w:pPr>
                        <w:adjustRightInd w:val="0"/>
                        <w:snapToGrid w:val="0"/>
                        <w:rPr>
                          <w:rFonts w:ascii="宋体" w:hAnsi="宋体"/>
                        </w:rPr>
                      </w:pPr>
                      <w:r>
                        <w:rPr>
                          <w:rFonts w:hint="eastAsia" w:ascii="宋体" w:hAnsi="宋体"/>
                          <w:u w:val="single"/>
                        </w:rPr>
                        <w:t xml:space="preserve">           </w:t>
                      </w:r>
                      <w:r>
                        <w:rPr>
                          <w:rFonts w:hint="eastAsia" w:ascii="宋体" w:hAnsi="宋体"/>
                        </w:rPr>
                        <w:t xml:space="preserve"> 年</w:t>
                      </w:r>
                    </w:p>
                    <w:p>
                      <w:pPr>
                        <w:adjustRightInd w:val="0"/>
                        <w:snapToGrid w:val="0"/>
                        <w:rPr>
                          <w:rFonts w:hAnsi="宋体"/>
                        </w:rPr>
                      </w:pPr>
                      <w:r>
                        <w:rPr>
                          <w:rFonts w:hint="eastAsia" w:hAnsi="宋体"/>
                        </w:rPr>
                        <w:t>编号：</w:t>
                      </w:r>
                      <w:r>
                        <w:rPr>
                          <w:rFonts w:hint="eastAsia" w:ascii="宋体" w:hAnsi="宋体"/>
                          <w:u w:val="single"/>
                        </w:rPr>
                        <w:t xml:space="preserve">          </w:t>
                      </w:r>
                      <w:r>
                        <w:rPr>
                          <w:rFonts w:hint="eastAsia" w:ascii="宋体" w:hAnsi="宋体"/>
                        </w:rPr>
                        <w:t xml:space="preserve"> </w:t>
                      </w:r>
                      <w:r>
                        <w:rPr>
                          <w:rFonts w:hint="eastAsia" w:hAnsi="宋体"/>
                        </w:rPr>
                        <w:t xml:space="preserve">            </w:t>
                      </w:r>
                    </w:p>
                  </w:txbxContent>
                </v:textbox>
              </v:rect>
            </w:pict>
          </mc:Fallback>
        </mc:AlternateContent>
      </w:r>
    </w:p>
    <w:p>
      <w:pPr>
        <w:adjustRightInd w:val="0"/>
        <w:snapToGrid w:val="0"/>
        <w:jc w:val="center"/>
        <w:rPr>
          <w:b/>
          <w:sz w:val="72"/>
        </w:rPr>
      </w:pPr>
    </w:p>
    <w:p>
      <w:pPr>
        <w:adjustRightInd w:val="0"/>
        <w:snapToGrid w:val="0"/>
        <w:jc w:val="center"/>
        <w:rPr>
          <w:b/>
          <w:sz w:val="72"/>
        </w:rPr>
      </w:pPr>
    </w:p>
    <w:p>
      <w:pPr>
        <w:adjustRightInd w:val="0"/>
        <w:snapToGrid w:val="0"/>
        <w:jc w:val="center"/>
        <w:rPr>
          <w:b/>
          <w:sz w:val="72"/>
        </w:rPr>
      </w:pPr>
    </w:p>
    <w:p>
      <w:pPr>
        <w:jc w:val="center"/>
        <w:rPr>
          <w:b/>
          <w:sz w:val="72"/>
        </w:rPr>
      </w:pPr>
      <w:r>
        <w:rPr>
          <w:b/>
          <w:sz w:val="72"/>
        </w:rPr>
        <w:t>建设项目环境影响报告表</w:t>
      </w:r>
    </w:p>
    <w:p>
      <w:pPr>
        <w:rPr>
          <w:sz w:val="30"/>
        </w:rPr>
      </w:pPr>
    </w:p>
    <w:p>
      <w:pPr>
        <w:rPr>
          <w:sz w:val="30"/>
        </w:rPr>
      </w:pPr>
    </w:p>
    <w:p>
      <w:pPr>
        <w:rPr>
          <w:sz w:val="30"/>
        </w:rPr>
      </w:pPr>
    </w:p>
    <w:p>
      <w:pPr>
        <w:rPr>
          <w:sz w:val="30"/>
        </w:rPr>
      </w:pPr>
    </w:p>
    <w:p>
      <w:pPr>
        <w:jc w:val="left"/>
        <w:rPr>
          <w:sz w:val="30"/>
        </w:rPr>
      </w:pPr>
    </w:p>
    <w:p>
      <w:pPr>
        <w:rPr>
          <w:sz w:val="30"/>
        </w:rPr>
      </w:pPr>
    </w:p>
    <w:p>
      <w:pPr>
        <w:rPr>
          <w:sz w:val="30"/>
        </w:rPr>
      </w:pPr>
    </w:p>
    <w:p>
      <w:pPr>
        <w:rPr>
          <w:sz w:val="30"/>
        </w:rPr>
      </w:pPr>
    </w:p>
    <w:p>
      <w:pPr>
        <w:adjustRightInd w:val="0"/>
        <w:snapToGrid w:val="0"/>
        <w:spacing w:line="360" w:lineRule="auto"/>
        <w:ind w:left="1351" w:leftChars="9" w:hanging="1332" w:hangingChars="444"/>
        <w:rPr>
          <w:sz w:val="30"/>
        </w:rPr>
      </w:pPr>
    </w:p>
    <w:p>
      <w:pPr>
        <w:spacing w:line="360" w:lineRule="auto"/>
        <w:ind w:left="420" w:leftChars="200"/>
        <w:rPr>
          <w:b/>
          <w:sz w:val="32"/>
          <w:szCs w:val="32"/>
          <w:u w:val="single"/>
        </w:rPr>
      </w:pPr>
      <w:r>
        <w:rPr>
          <w:b/>
          <w:sz w:val="32"/>
          <w:szCs w:val="32"/>
        </w:rPr>
        <w:t>项目名称：</w:t>
      </w:r>
      <w:bookmarkStart w:id="0" w:name="_Hlk511485097"/>
      <w:r>
        <w:rPr>
          <w:rFonts w:hint="eastAsia"/>
          <w:b/>
          <w:sz w:val="32"/>
          <w:szCs w:val="32"/>
          <w:u w:val="single"/>
        </w:rPr>
        <w:t>陆河县雄发高岭土精细加工建设项目</w:t>
      </w:r>
    </w:p>
    <w:bookmarkEnd w:id="0"/>
    <w:p>
      <w:pPr>
        <w:spacing w:line="360" w:lineRule="auto"/>
        <w:ind w:left="420" w:leftChars="200"/>
        <w:rPr>
          <w:sz w:val="32"/>
          <w:szCs w:val="32"/>
        </w:rPr>
      </w:pPr>
    </w:p>
    <w:p>
      <w:pPr>
        <w:spacing w:line="360" w:lineRule="auto"/>
        <w:ind w:left="420" w:leftChars="200"/>
        <w:rPr>
          <w:b/>
          <w:sz w:val="32"/>
          <w:szCs w:val="32"/>
        </w:rPr>
      </w:pPr>
      <w:r>
        <w:rPr>
          <w:b/>
          <w:sz w:val="32"/>
          <w:szCs w:val="32"/>
        </w:rPr>
        <w:t>建设单位（盖章）：</w:t>
      </w:r>
      <w:r>
        <w:rPr>
          <w:rFonts w:hint="eastAsia"/>
          <w:b/>
          <w:sz w:val="32"/>
          <w:szCs w:val="32"/>
          <w:u w:val="single"/>
        </w:rPr>
        <w:t>陆河县雄发环保科技</w:t>
      </w:r>
      <w:r>
        <w:rPr>
          <w:b/>
          <w:sz w:val="32"/>
          <w:szCs w:val="32"/>
          <w:u w:val="single"/>
        </w:rPr>
        <w:t>有限公司</w:t>
      </w:r>
    </w:p>
    <w:p>
      <w:pPr>
        <w:rPr>
          <w:sz w:val="30"/>
        </w:rPr>
      </w:pPr>
    </w:p>
    <w:p>
      <w:pPr>
        <w:rPr>
          <w:sz w:val="30"/>
        </w:rPr>
      </w:pPr>
    </w:p>
    <w:p>
      <w:pPr>
        <w:rPr>
          <w:sz w:val="30"/>
        </w:rPr>
      </w:pPr>
    </w:p>
    <w:p>
      <w:pPr>
        <w:rPr>
          <w:sz w:val="30"/>
        </w:rPr>
      </w:pPr>
    </w:p>
    <w:p>
      <w:pPr>
        <w:rPr>
          <w:sz w:val="30"/>
        </w:rPr>
      </w:pPr>
    </w:p>
    <w:p>
      <w:pPr>
        <w:rPr>
          <w:sz w:val="30"/>
        </w:rPr>
      </w:pPr>
    </w:p>
    <w:p>
      <w:pPr>
        <w:rPr>
          <w:sz w:val="30"/>
        </w:rPr>
      </w:pPr>
    </w:p>
    <w:p>
      <w:pPr>
        <w:rPr>
          <w:sz w:val="30"/>
        </w:rPr>
      </w:pPr>
    </w:p>
    <w:p>
      <w:pPr>
        <w:rPr>
          <w:sz w:val="30"/>
        </w:rPr>
      </w:pPr>
    </w:p>
    <w:p>
      <w:pPr>
        <w:rPr>
          <w:sz w:val="30"/>
        </w:rPr>
      </w:pPr>
    </w:p>
    <w:p>
      <w:pPr>
        <w:spacing w:line="360" w:lineRule="auto"/>
        <w:jc w:val="center"/>
        <w:rPr>
          <w:b/>
          <w:bCs/>
          <w:sz w:val="32"/>
        </w:rPr>
      </w:pPr>
      <w:r>
        <w:rPr>
          <w:b/>
          <w:bCs/>
          <w:sz w:val="32"/>
        </w:rPr>
        <w:t>编制日期：2019年8月</w:t>
      </w:r>
    </w:p>
    <w:p>
      <w:pPr>
        <w:spacing w:line="360" w:lineRule="auto"/>
        <w:jc w:val="center"/>
        <w:rPr>
          <w:b/>
          <w:bCs/>
          <w:sz w:val="32"/>
        </w:rPr>
      </w:pPr>
      <w:r>
        <w:rPr>
          <w:rFonts w:hint="eastAsia"/>
          <w:b/>
          <w:bCs/>
          <w:sz w:val="32"/>
        </w:rPr>
        <w:t>国</w:t>
      </w:r>
      <w:r>
        <w:rPr>
          <w:b/>
          <w:bCs/>
          <w:sz w:val="32"/>
        </w:rPr>
        <w:t>家环境保护总局制</w:t>
      </w:r>
    </w:p>
    <w:p>
      <w:pPr>
        <w:spacing w:line="360" w:lineRule="auto"/>
        <w:ind w:left="420" w:leftChars="200"/>
        <w:jc w:val="center"/>
        <w:rPr>
          <w:sz w:val="32"/>
          <w:szCs w:val="32"/>
        </w:rPr>
        <w:sectPr>
          <w:pgSz w:w="11906" w:h="16838"/>
          <w:pgMar w:top="1440" w:right="1797" w:bottom="1440" w:left="1797" w:header="851" w:footer="992" w:gutter="0"/>
          <w:pgNumType w:start="1"/>
          <w:cols w:space="720" w:num="1"/>
          <w:docGrid w:linePitch="312" w:charSpace="0"/>
        </w:sectPr>
      </w:pPr>
    </w:p>
    <w:p>
      <w:pPr>
        <w:spacing w:line="360" w:lineRule="auto"/>
        <w:rPr>
          <w:rFonts w:eastAsia="仿宋_GB2312"/>
          <w:b/>
          <w:sz w:val="24"/>
          <w:szCs w:val="30"/>
        </w:rPr>
      </w:pPr>
    </w:p>
    <w:p>
      <w:pPr>
        <w:spacing w:line="360" w:lineRule="auto"/>
        <w:rPr>
          <w:rFonts w:eastAsia="仿宋_GB2312"/>
          <w:b/>
          <w:sz w:val="24"/>
          <w:szCs w:val="30"/>
        </w:rPr>
      </w:pPr>
    </w:p>
    <w:p>
      <w:pPr>
        <w:spacing w:line="360" w:lineRule="auto"/>
        <w:jc w:val="center"/>
        <w:outlineLvl w:val="0"/>
        <w:rPr>
          <w:rFonts w:eastAsia="仿宋_GB2312"/>
          <w:b/>
          <w:sz w:val="24"/>
          <w:szCs w:val="30"/>
        </w:rPr>
      </w:pPr>
      <w:r>
        <w:rPr>
          <w:rFonts w:hint="eastAsia" w:eastAsia="仿宋_GB2312"/>
          <w:b/>
          <w:sz w:val="24"/>
          <w:szCs w:val="30"/>
        </w:rPr>
        <w:t>《建设项目环境影响报告表》编制说明</w:t>
      </w:r>
    </w:p>
    <w:p>
      <w:pPr>
        <w:pStyle w:val="8"/>
        <w:spacing w:line="360" w:lineRule="auto"/>
        <w:ind w:right="0" w:firstLine="560" w:firstLineChars="200"/>
        <w:jc w:val="left"/>
        <w:rPr>
          <w:rFonts w:eastAsia="仿宋_GB2312"/>
          <w:szCs w:val="28"/>
        </w:rPr>
      </w:pPr>
    </w:p>
    <w:p>
      <w:pPr>
        <w:pStyle w:val="8"/>
        <w:spacing w:line="360" w:lineRule="auto"/>
        <w:ind w:right="0" w:firstLine="480" w:firstLineChars="200"/>
        <w:jc w:val="left"/>
        <w:rPr>
          <w:rFonts w:eastAsia="仿宋_GB2312"/>
          <w:sz w:val="24"/>
          <w:szCs w:val="28"/>
        </w:rPr>
      </w:pPr>
      <w:r>
        <w:rPr>
          <w:rFonts w:hint="eastAsia" w:eastAsia="仿宋_GB2312"/>
          <w:sz w:val="24"/>
          <w:szCs w:val="28"/>
        </w:rPr>
        <w:t>《建设项目环境影响报告表》由具有从事环境影响评价工作资质的单位编制。</w:t>
      </w:r>
    </w:p>
    <w:p>
      <w:pPr>
        <w:numPr>
          <w:ilvl w:val="0"/>
          <w:numId w:val="1"/>
        </w:numPr>
        <w:tabs>
          <w:tab w:val="left" w:pos="0"/>
          <w:tab w:val="clear" w:pos="735"/>
        </w:tabs>
        <w:spacing w:line="360" w:lineRule="auto"/>
        <w:ind w:left="0" w:firstLine="480" w:firstLineChars="200"/>
        <w:jc w:val="left"/>
        <w:rPr>
          <w:rFonts w:eastAsia="仿宋_GB2312"/>
          <w:sz w:val="24"/>
          <w:szCs w:val="28"/>
        </w:rPr>
      </w:pPr>
      <w:r>
        <w:rPr>
          <w:rFonts w:hint="eastAsia" w:eastAsia="仿宋_GB2312"/>
          <w:sz w:val="24"/>
          <w:szCs w:val="28"/>
        </w:rPr>
        <w:t>项目名称</w:t>
      </w:r>
      <w:r>
        <w:rPr>
          <w:rFonts w:eastAsia="仿宋_GB2312"/>
          <w:sz w:val="24"/>
          <w:szCs w:val="28"/>
        </w:rPr>
        <w:t>——</w:t>
      </w:r>
      <w:r>
        <w:rPr>
          <w:rFonts w:hint="eastAsia" w:eastAsia="仿宋_GB2312"/>
          <w:sz w:val="24"/>
          <w:szCs w:val="28"/>
        </w:rPr>
        <w:t>指项目立项批复时的名称</w:t>
      </w:r>
      <w:r>
        <w:rPr>
          <w:rFonts w:eastAsia="仿宋_GB2312"/>
          <w:sz w:val="24"/>
          <w:szCs w:val="28"/>
        </w:rPr>
        <w:t>,</w:t>
      </w:r>
      <w:r>
        <w:rPr>
          <w:rFonts w:hint="eastAsia" w:eastAsia="仿宋_GB2312"/>
          <w:sz w:val="24"/>
          <w:szCs w:val="28"/>
        </w:rPr>
        <w:t>应不超过</w:t>
      </w:r>
      <w:r>
        <w:rPr>
          <w:rFonts w:eastAsia="仿宋_GB2312"/>
          <w:sz w:val="24"/>
          <w:szCs w:val="28"/>
        </w:rPr>
        <w:t>30</w:t>
      </w:r>
      <w:r>
        <w:rPr>
          <w:rFonts w:hint="eastAsia" w:eastAsia="仿宋_GB2312"/>
          <w:sz w:val="24"/>
          <w:szCs w:val="28"/>
        </w:rPr>
        <w:t>个字（两个英文字段作为一个汉字）。</w:t>
      </w:r>
    </w:p>
    <w:p>
      <w:pPr>
        <w:numPr>
          <w:ilvl w:val="0"/>
          <w:numId w:val="1"/>
        </w:numPr>
        <w:spacing w:line="360" w:lineRule="auto"/>
        <w:ind w:left="0" w:firstLine="480" w:firstLineChars="200"/>
        <w:jc w:val="left"/>
        <w:rPr>
          <w:rFonts w:eastAsia="仿宋_GB2312"/>
          <w:sz w:val="24"/>
          <w:szCs w:val="28"/>
        </w:rPr>
      </w:pPr>
      <w:r>
        <w:rPr>
          <w:rFonts w:hint="eastAsia" w:eastAsia="仿宋_GB2312"/>
          <w:sz w:val="24"/>
          <w:szCs w:val="28"/>
        </w:rPr>
        <w:t>建设地点</w:t>
      </w:r>
      <w:r>
        <w:rPr>
          <w:rFonts w:eastAsia="仿宋_GB2312"/>
          <w:sz w:val="24"/>
          <w:szCs w:val="28"/>
        </w:rPr>
        <w:t>——</w:t>
      </w:r>
      <w:r>
        <w:rPr>
          <w:rFonts w:hint="eastAsia" w:eastAsia="仿宋_GB2312"/>
          <w:sz w:val="24"/>
          <w:szCs w:val="28"/>
        </w:rPr>
        <w:t>指项目所在地。</w:t>
      </w:r>
    </w:p>
    <w:p>
      <w:pPr>
        <w:numPr>
          <w:ilvl w:val="0"/>
          <w:numId w:val="1"/>
        </w:numPr>
        <w:spacing w:line="360" w:lineRule="auto"/>
        <w:ind w:left="0" w:firstLine="480" w:firstLineChars="200"/>
        <w:jc w:val="left"/>
        <w:rPr>
          <w:rFonts w:eastAsia="仿宋_GB2312"/>
          <w:sz w:val="24"/>
          <w:szCs w:val="28"/>
        </w:rPr>
      </w:pPr>
      <w:r>
        <w:rPr>
          <w:rFonts w:hint="eastAsia" w:eastAsia="仿宋_GB2312"/>
          <w:sz w:val="24"/>
          <w:szCs w:val="28"/>
        </w:rPr>
        <w:t>行业类别</w:t>
      </w:r>
      <w:r>
        <w:rPr>
          <w:rFonts w:eastAsia="仿宋_GB2312"/>
          <w:sz w:val="24"/>
          <w:szCs w:val="28"/>
        </w:rPr>
        <w:t>——</w:t>
      </w:r>
      <w:r>
        <w:rPr>
          <w:rFonts w:hint="eastAsia" w:eastAsia="仿宋_GB2312"/>
          <w:sz w:val="24"/>
          <w:szCs w:val="28"/>
        </w:rPr>
        <w:t>按国标填写。</w:t>
      </w:r>
    </w:p>
    <w:p>
      <w:pPr>
        <w:numPr>
          <w:ilvl w:val="0"/>
          <w:numId w:val="1"/>
        </w:numPr>
        <w:spacing w:line="360" w:lineRule="auto"/>
        <w:ind w:left="0" w:firstLine="480" w:firstLineChars="200"/>
        <w:jc w:val="left"/>
        <w:rPr>
          <w:rFonts w:eastAsia="仿宋_GB2312"/>
          <w:sz w:val="24"/>
          <w:szCs w:val="28"/>
        </w:rPr>
      </w:pPr>
      <w:r>
        <w:rPr>
          <w:rFonts w:hint="eastAsia" w:eastAsia="仿宋_GB2312"/>
          <w:sz w:val="24"/>
          <w:szCs w:val="28"/>
        </w:rPr>
        <w:t>总投资</w:t>
      </w:r>
      <w:r>
        <w:rPr>
          <w:rFonts w:eastAsia="仿宋_GB2312"/>
          <w:sz w:val="24"/>
          <w:szCs w:val="28"/>
        </w:rPr>
        <w:t>——</w:t>
      </w:r>
      <w:r>
        <w:rPr>
          <w:rFonts w:hint="eastAsia" w:eastAsia="仿宋_GB2312"/>
          <w:sz w:val="24"/>
          <w:szCs w:val="28"/>
        </w:rPr>
        <w:t>指项目投资总额。</w:t>
      </w:r>
    </w:p>
    <w:p>
      <w:pPr>
        <w:numPr>
          <w:ilvl w:val="0"/>
          <w:numId w:val="1"/>
        </w:numPr>
        <w:tabs>
          <w:tab w:val="left" w:pos="0"/>
          <w:tab w:val="clear" w:pos="735"/>
        </w:tabs>
        <w:spacing w:line="360" w:lineRule="auto"/>
        <w:ind w:left="0" w:firstLine="480" w:firstLineChars="200"/>
        <w:jc w:val="left"/>
        <w:rPr>
          <w:rFonts w:eastAsia="仿宋_GB2312"/>
          <w:sz w:val="24"/>
          <w:szCs w:val="28"/>
        </w:rPr>
      </w:pPr>
      <w:r>
        <w:rPr>
          <w:rFonts w:hint="eastAsia" w:eastAsia="仿宋_GB2312"/>
          <w:sz w:val="24"/>
          <w:szCs w:val="28"/>
        </w:rPr>
        <w:t>主要环境保护目标</w:t>
      </w:r>
      <w:r>
        <w:rPr>
          <w:rFonts w:eastAsia="仿宋_GB2312"/>
          <w:sz w:val="24"/>
          <w:szCs w:val="28"/>
        </w:rPr>
        <w:t>——</w:t>
      </w:r>
      <w:r>
        <w:rPr>
          <w:rFonts w:hint="eastAsia" w:eastAsia="仿宋_GB2312"/>
          <w:sz w:val="24"/>
          <w:szCs w:val="28"/>
        </w:rPr>
        <w:t>指项目区周围一定范围内集中居民住宅区、学校、医院、保护文物、风景名胜区、水源地和生态敏感点等，应尽可能给出保护目标、性质、规模和距场界距离等。</w:t>
      </w:r>
    </w:p>
    <w:p>
      <w:pPr>
        <w:numPr>
          <w:ilvl w:val="0"/>
          <w:numId w:val="1"/>
        </w:numPr>
        <w:tabs>
          <w:tab w:val="left" w:pos="0"/>
          <w:tab w:val="clear" w:pos="735"/>
        </w:tabs>
        <w:spacing w:line="360" w:lineRule="auto"/>
        <w:ind w:left="0" w:firstLine="480" w:firstLineChars="200"/>
        <w:jc w:val="left"/>
        <w:rPr>
          <w:rFonts w:eastAsia="仿宋_GB2312"/>
          <w:sz w:val="24"/>
          <w:szCs w:val="28"/>
        </w:rPr>
      </w:pPr>
      <w:r>
        <w:rPr>
          <w:rFonts w:hint="eastAsia" w:eastAsia="仿宋_GB2312"/>
          <w:sz w:val="24"/>
          <w:szCs w:val="28"/>
        </w:rPr>
        <w:t>结论与建议</w:t>
      </w:r>
      <w:r>
        <w:rPr>
          <w:rFonts w:eastAsia="仿宋_GB2312"/>
          <w:sz w:val="24"/>
          <w:szCs w:val="28"/>
        </w:rPr>
        <w:t>——</w:t>
      </w:r>
      <w:r>
        <w:rPr>
          <w:rFonts w:hint="eastAsia" w:eastAsia="仿宋_GB2312"/>
          <w:sz w:val="24"/>
          <w:szCs w:val="28"/>
        </w:rPr>
        <w:t>给出本项目清洁生产、达标排放和总量控制的分析结果，确定污染防治措施的有效性，</w:t>
      </w:r>
      <w:r>
        <w:rPr>
          <w:rFonts w:hint="eastAsia" w:eastAsia="仿宋_GB2312"/>
          <w:spacing w:val="-10"/>
          <w:sz w:val="24"/>
          <w:szCs w:val="28"/>
        </w:rPr>
        <w:t>说明本项目对环境造成的影响，给出建设项目环境可行性的明确结论。</w:t>
      </w:r>
      <w:r>
        <w:rPr>
          <w:rFonts w:hint="eastAsia" w:eastAsia="仿宋_GB2312"/>
          <w:sz w:val="24"/>
          <w:szCs w:val="28"/>
        </w:rPr>
        <w:t>同时提出减少环境影响的其他建议。</w:t>
      </w:r>
    </w:p>
    <w:p>
      <w:pPr>
        <w:numPr>
          <w:ilvl w:val="0"/>
          <w:numId w:val="1"/>
        </w:numPr>
        <w:tabs>
          <w:tab w:val="left" w:pos="0"/>
          <w:tab w:val="clear" w:pos="735"/>
        </w:tabs>
        <w:spacing w:line="360" w:lineRule="auto"/>
        <w:ind w:left="0" w:firstLine="480" w:firstLineChars="200"/>
        <w:jc w:val="left"/>
        <w:rPr>
          <w:rFonts w:eastAsia="仿宋_GB2312"/>
          <w:spacing w:val="-10"/>
          <w:sz w:val="24"/>
          <w:szCs w:val="28"/>
        </w:rPr>
      </w:pPr>
      <w:r>
        <w:rPr>
          <w:rFonts w:hint="eastAsia" w:eastAsia="仿宋_GB2312"/>
          <w:sz w:val="24"/>
          <w:szCs w:val="28"/>
        </w:rPr>
        <w:t>预审意见</w:t>
      </w:r>
      <w:r>
        <w:rPr>
          <w:rFonts w:eastAsia="仿宋_GB2312"/>
          <w:sz w:val="24"/>
          <w:szCs w:val="28"/>
        </w:rPr>
        <w:t>——</w:t>
      </w:r>
      <w:r>
        <w:rPr>
          <w:rFonts w:hint="eastAsia" w:eastAsia="仿宋_GB2312"/>
          <w:sz w:val="24"/>
          <w:szCs w:val="28"/>
        </w:rPr>
        <w:t>由行业主管部门填写答复意见，无主管部门项目</w:t>
      </w:r>
      <w:r>
        <w:rPr>
          <w:rFonts w:hint="eastAsia" w:eastAsia="仿宋_GB2312"/>
          <w:spacing w:val="-10"/>
          <w:sz w:val="24"/>
          <w:szCs w:val="28"/>
        </w:rPr>
        <w:t>，可不填。</w:t>
      </w:r>
    </w:p>
    <w:p>
      <w:pPr>
        <w:numPr>
          <w:ilvl w:val="0"/>
          <w:numId w:val="1"/>
        </w:numPr>
        <w:tabs>
          <w:tab w:val="left" w:pos="0"/>
          <w:tab w:val="clear" w:pos="735"/>
        </w:tabs>
        <w:spacing w:line="360" w:lineRule="auto"/>
        <w:ind w:left="0" w:firstLine="480" w:firstLineChars="200"/>
        <w:jc w:val="left"/>
        <w:rPr>
          <w:rFonts w:eastAsia="仿宋_GB2312"/>
          <w:sz w:val="24"/>
          <w:szCs w:val="28"/>
        </w:rPr>
        <w:sectPr>
          <w:footerReference r:id="rId3" w:type="default"/>
          <w:pgSz w:w="11906" w:h="16838"/>
          <w:pgMar w:top="1440" w:right="1797" w:bottom="1440" w:left="1797" w:header="851" w:footer="992" w:gutter="0"/>
          <w:pgNumType w:start="1"/>
          <w:cols w:space="720" w:num="1"/>
          <w:docGrid w:linePitch="312" w:charSpace="0"/>
        </w:sectPr>
      </w:pPr>
      <w:r>
        <w:rPr>
          <w:rFonts w:hint="eastAsia" w:eastAsia="仿宋_GB2312"/>
          <w:sz w:val="24"/>
          <w:szCs w:val="28"/>
        </w:rPr>
        <w:t>审批意见</w:t>
      </w:r>
      <w:r>
        <w:rPr>
          <w:rFonts w:eastAsia="仿宋_GB2312"/>
          <w:sz w:val="24"/>
          <w:szCs w:val="28"/>
        </w:rPr>
        <w:t>——</w:t>
      </w:r>
      <w:r>
        <w:rPr>
          <w:rFonts w:hint="eastAsia" w:eastAsia="仿宋_GB2312"/>
          <w:sz w:val="24"/>
          <w:szCs w:val="28"/>
        </w:rPr>
        <w:t>由负责审批该项目的环境保护行政主管部门批复。</w:t>
      </w:r>
      <w:r>
        <w:rPr>
          <w:rFonts w:eastAsia="仿宋_GB2312"/>
          <w:sz w:val="24"/>
          <w:szCs w:val="28"/>
        </w:rPr>
        <w:br w:type="page"/>
      </w:r>
    </w:p>
    <w:p>
      <w:pPr>
        <w:ind w:left="-283" w:leftChars="-135"/>
        <w:outlineLvl w:val="0"/>
        <w:rPr>
          <w:b/>
          <w:sz w:val="28"/>
          <w:szCs w:val="28"/>
        </w:rPr>
      </w:pPr>
      <w:r>
        <w:rPr>
          <w:b/>
          <w:sz w:val="28"/>
          <w:szCs w:val="28"/>
        </w:rPr>
        <w:t>建设项目基本情况</w:t>
      </w:r>
    </w:p>
    <w:tbl>
      <w:tblPr>
        <w:tblStyle w:val="25"/>
        <w:tblW w:w="8931"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3"/>
        <w:gridCol w:w="1581"/>
        <w:gridCol w:w="1435"/>
        <w:gridCol w:w="1542"/>
        <w:gridCol w:w="223"/>
        <w:gridCol w:w="1177"/>
        <w:gridCol w:w="1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3" w:type="dxa"/>
            <w:vAlign w:val="center"/>
          </w:tcPr>
          <w:p>
            <w:pPr>
              <w:spacing w:line="400" w:lineRule="exact"/>
              <w:jc w:val="center"/>
              <w:rPr>
                <w:sz w:val="24"/>
              </w:rPr>
            </w:pPr>
            <w:r>
              <w:rPr>
                <w:sz w:val="24"/>
              </w:rPr>
              <w:t>项目名称</w:t>
            </w:r>
          </w:p>
        </w:tc>
        <w:tc>
          <w:tcPr>
            <w:tcW w:w="6968" w:type="dxa"/>
            <w:gridSpan w:val="6"/>
            <w:vAlign w:val="center"/>
          </w:tcPr>
          <w:p>
            <w:pPr>
              <w:pStyle w:val="35"/>
              <w:spacing w:line="400" w:lineRule="exact"/>
              <w:jc w:val="center"/>
              <w:rPr>
                <w:bCs/>
                <w:spacing w:val="-6"/>
                <w:sz w:val="24"/>
                <w:szCs w:val="24"/>
              </w:rPr>
            </w:pPr>
            <w:r>
              <w:rPr>
                <w:rFonts w:hint="eastAsia"/>
                <w:bCs/>
                <w:sz w:val="24"/>
                <w:szCs w:val="24"/>
              </w:rPr>
              <w:t>陆河县雄发高岭土精细加工建设项目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3" w:type="dxa"/>
            <w:vAlign w:val="center"/>
          </w:tcPr>
          <w:p>
            <w:pPr>
              <w:spacing w:line="400" w:lineRule="exact"/>
              <w:jc w:val="center"/>
              <w:rPr>
                <w:sz w:val="24"/>
              </w:rPr>
            </w:pPr>
            <w:r>
              <w:rPr>
                <w:sz w:val="24"/>
              </w:rPr>
              <w:t>建设单位</w:t>
            </w:r>
          </w:p>
        </w:tc>
        <w:tc>
          <w:tcPr>
            <w:tcW w:w="6968" w:type="dxa"/>
            <w:gridSpan w:val="6"/>
            <w:vAlign w:val="center"/>
          </w:tcPr>
          <w:p>
            <w:pPr>
              <w:pStyle w:val="35"/>
              <w:spacing w:line="400" w:lineRule="exact"/>
              <w:jc w:val="center"/>
              <w:rPr>
                <w:sz w:val="24"/>
                <w:szCs w:val="24"/>
              </w:rPr>
            </w:pPr>
            <w:r>
              <w:rPr>
                <w:rFonts w:hint="eastAsia"/>
                <w:bCs/>
                <w:sz w:val="24"/>
                <w:szCs w:val="24"/>
              </w:rPr>
              <w:t>陆河县雄发环保科技</w:t>
            </w:r>
            <w:r>
              <w:rPr>
                <w:rFonts w:hint="eastAsia"/>
                <w:sz w:val="24"/>
                <w:szCs w:val="24"/>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3" w:type="dxa"/>
            <w:vAlign w:val="center"/>
          </w:tcPr>
          <w:p>
            <w:pPr>
              <w:spacing w:line="400" w:lineRule="exact"/>
              <w:jc w:val="center"/>
              <w:rPr>
                <w:sz w:val="24"/>
              </w:rPr>
            </w:pPr>
            <w:r>
              <w:rPr>
                <w:sz w:val="24"/>
              </w:rPr>
              <w:t>法人代表</w:t>
            </w:r>
          </w:p>
        </w:tc>
        <w:tc>
          <w:tcPr>
            <w:tcW w:w="3016" w:type="dxa"/>
            <w:gridSpan w:val="2"/>
            <w:vAlign w:val="center"/>
          </w:tcPr>
          <w:p>
            <w:pPr>
              <w:spacing w:line="460" w:lineRule="exact"/>
              <w:jc w:val="center"/>
              <w:rPr>
                <w:sz w:val="24"/>
              </w:rPr>
            </w:pPr>
            <w:r>
              <w:rPr>
                <w:rFonts w:hint="eastAsia"/>
                <w:sz w:val="24"/>
              </w:rPr>
              <w:t>秦煜雄</w:t>
            </w:r>
          </w:p>
        </w:tc>
        <w:tc>
          <w:tcPr>
            <w:tcW w:w="1765" w:type="dxa"/>
            <w:gridSpan w:val="2"/>
            <w:vAlign w:val="center"/>
          </w:tcPr>
          <w:p>
            <w:pPr>
              <w:spacing w:line="460" w:lineRule="exact"/>
              <w:jc w:val="center"/>
              <w:rPr>
                <w:sz w:val="24"/>
              </w:rPr>
            </w:pPr>
            <w:r>
              <w:rPr>
                <w:sz w:val="24"/>
              </w:rPr>
              <w:t>联系人</w:t>
            </w:r>
          </w:p>
        </w:tc>
        <w:tc>
          <w:tcPr>
            <w:tcW w:w="2187" w:type="dxa"/>
            <w:gridSpan w:val="2"/>
            <w:vAlign w:val="center"/>
          </w:tcPr>
          <w:p>
            <w:pPr>
              <w:spacing w:line="460" w:lineRule="exact"/>
              <w:jc w:val="center"/>
              <w:rPr>
                <w:sz w:val="24"/>
              </w:rPr>
            </w:pPr>
            <w:r>
              <w:rPr>
                <w:rFonts w:hint="eastAsia"/>
                <w:sz w:val="24"/>
              </w:rPr>
              <w:t>秦煜雄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3" w:type="dxa"/>
            <w:vAlign w:val="center"/>
          </w:tcPr>
          <w:p>
            <w:pPr>
              <w:spacing w:line="400" w:lineRule="exact"/>
              <w:jc w:val="center"/>
              <w:rPr>
                <w:sz w:val="24"/>
              </w:rPr>
            </w:pPr>
            <w:r>
              <w:rPr>
                <w:sz w:val="24"/>
              </w:rPr>
              <w:t>通迅地址</w:t>
            </w:r>
          </w:p>
        </w:tc>
        <w:tc>
          <w:tcPr>
            <w:tcW w:w="6968" w:type="dxa"/>
            <w:gridSpan w:val="6"/>
            <w:vAlign w:val="center"/>
          </w:tcPr>
          <w:p>
            <w:pPr>
              <w:pStyle w:val="35"/>
              <w:spacing w:line="400" w:lineRule="exact"/>
              <w:jc w:val="center"/>
              <w:rPr>
                <w:spacing w:val="-6"/>
                <w:sz w:val="24"/>
                <w:szCs w:val="24"/>
              </w:rPr>
            </w:pPr>
            <w:r>
              <w:rPr>
                <w:rFonts w:hint="eastAsia"/>
                <w:bCs/>
                <w:spacing w:val="-6"/>
                <w:sz w:val="24"/>
              </w:rPr>
              <w:t>陆河县新田镇麻地村委山茶顶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3" w:type="dxa"/>
            <w:vAlign w:val="center"/>
          </w:tcPr>
          <w:p>
            <w:pPr>
              <w:spacing w:line="400" w:lineRule="exact"/>
              <w:jc w:val="center"/>
              <w:rPr>
                <w:sz w:val="24"/>
              </w:rPr>
            </w:pPr>
            <w:r>
              <w:rPr>
                <w:sz w:val="24"/>
              </w:rPr>
              <w:t>联系电话</w:t>
            </w:r>
          </w:p>
        </w:tc>
        <w:tc>
          <w:tcPr>
            <w:tcW w:w="1581" w:type="dxa"/>
            <w:vAlign w:val="center"/>
          </w:tcPr>
          <w:p>
            <w:pPr>
              <w:spacing w:line="400" w:lineRule="exact"/>
              <w:jc w:val="center"/>
              <w:rPr>
                <w:sz w:val="24"/>
              </w:rPr>
            </w:pPr>
            <w:r>
              <w:rPr>
                <w:sz w:val="24"/>
              </w:rPr>
              <w:t>13622929667</w:t>
            </w:r>
          </w:p>
        </w:tc>
        <w:tc>
          <w:tcPr>
            <w:tcW w:w="1435" w:type="dxa"/>
            <w:vAlign w:val="center"/>
          </w:tcPr>
          <w:p>
            <w:pPr>
              <w:spacing w:line="400" w:lineRule="exact"/>
              <w:jc w:val="center"/>
              <w:rPr>
                <w:sz w:val="24"/>
              </w:rPr>
            </w:pPr>
            <w:r>
              <w:rPr>
                <w:sz w:val="24"/>
              </w:rPr>
              <w:t>传真</w:t>
            </w:r>
          </w:p>
        </w:tc>
        <w:tc>
          <w:tcPr>
            <w:tcW w:w="1765" w:type="dxa"/>
            <w:gridSpan w:val="2"/>
            <w:vAlign w:val="center"/>
          </w:tcPr>
          <w:p>
            <w:pPr>
              <w:spacing w:line="400" w:lineRule="exact"/>
              <w:jc w:val="center"/>
              <w:rPr>
                <w:sz w:val="24"/>
              </w:rPr>
            </w:pPr>
            <w:r>
              <w:rPr>
                <w:rFonts w:hint="eastAsia"/>
                <w:sz w:val="24"/>
              </w:rPr>
              <w:t>/</w:t>
            </w:r>
          </w:p>
        </w:tc>
        <w:tc>
          <w:tcPr>
            <w:tcW w:w="1177" w:type="dxa"/>
            <w:vAlign w:val="center"/>
          </w:tcPr>
          <w:p>
            <w:pPr>
              <w:spacing w:line="400" w:lineRule="exact"/>
              <w:jc w:val="center"/>
              <w:rPr>
                <w:sz w:val="24"/>
              </w:rPr>
            </w:pPr>
            <w:r>
              <w:rPr>
                <w:sz w:val="24"/>
              </w:rPr>
              <w:t>邮政编码</w:t>
            </w:r>
          </w:p>
        </w:tc>
        <w:tc>
          <w:tcPr>
            <w:tcW w:w="1010" w:type="dxa"/>
            <w:vAlign w:val="center"/>
          </w:tcPr>
          <w:p>
            <w:pPr>
              <w:spacing w:line="400" w:lineRule="exact"/>
              <w:jc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3" w:type="dxa"/>
            <w:vAlign w:val="center"/>
          </w:tcPr>
          <w:p>
            <w:pPr>
              <w:spacing w:line="400" w:lineRule="exact"/>
              <w:jc w:val="center"/>
              <w:rPr>
                <w:sz w:val="24"/>
              </w:rPr>
            </w:pPr>
            <w:r>
              <w:rPr>
                <w:sz w:val="24"/>
              </w:rPr>
              <w:t>建设地点</w:t>
            </w:r>
          </w:p>
        </w:tc>
        <w:tc>
          <w:tcPr>
            <w:tcW w:w="6968" w:type="dxa"/>
            <w:gridSpan w:val="6"/>
            <w:vAlign w:val="center"/>
          </w:tcPr>
          <w:p>
            <w:pPr>
              <w:pStyle w:val="35"/>
              <w:spacing w:line="400" w:lineRule="exact"/>
              <w:jc w:val="center"/>
              <w:rPr>
                <w:spacing w:val="-6"/>
                <w:sz w:val="24"/>
                <w:szCs w:val="24"/>
              </w:rPr>
            </w:pPr>
            <w:r>
              <w:rPr>
                <w:rFonts w:hint="eastAsia"/>
                <w:bCs/>
                <w:spacing w:val="-6"/>
                <w:sz w:val="24"/>
              </w:rPr>
              <w:t>陆河县新田镇麻地村委山茶顶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3" w:type="dxa"/>
            <w:vAlign w:val="center"/>
          </w:tcPr>
          <w:p>
            <w:pPr>
              <w:jc w:val="center"/>
              <w:rPr>
                <w:sz w:val="24"/>
              </w:rPr>
            </w:pPr>
            <w:r>
              <w:rPr>
                <w:sz w:val="24"/>
              </w:rPr>
              <w:t>立项审批部门</w:t>
            </w:r>
          </w:p>
        </w:tc>
        <w:tc>
          <w:tcPr>
            <w:tcW w:w="3016" w:type="dxa"/>
            <w:gridSpan w:val="2"/>
            <w:vAlign w:val="center"/>
          </w:tcPr>
          <w:p>
            <w:pPr>
              <w:spacing w:line="400" w:lineRule="exact"/>
              <w:jc w:val="center"/>
              <w:rPr>
                <w:sz w:val="24"/>
              </w:rPr>
            </w:pPr>
            <w:r>
              <w:rPr>
                <w:rFonts w:hint="eastAsia"/>
                <w:sz w:val="24"/>
              </w:rPr>
              <w:t>/</w:t>
            </w:r>
          </w:p>
        </w:tc>
        <w:tc>
          <w:tcPr>
            <w:tcW w:w="1542" w:type="dxa"/>
            <w:vAlign w:val="center"/>
          </w:tcPr>
          <w:p>
            <w:pPr>
              <w:spacing w:line="400" w:lineRule="exact"/>
              <w:jc w:val="center"/>
              <w:rPr>
                <w:sz w:val="24"/>
              </w:rPr>
            </w:pPr>
            <w:r>
              <w:rPr>
                <w:sz w:val="24"/>
              </w:rPr>
              <w:t>批准文号</w:t>
            </w:r>
          </w:p>
        </w:tc>
        <w:tc>
          <w:tcPr>
            <w:tcW w:w="2410" w:type="dxa"/>
            <w:gridSpan w:val="3"/>
            <w:vAlign w:val="center"/>
          </w:tcPr>
          <w:p>
            <w:pPr>
              <w:spacing w:line="400" w:lineRule="exact"/>
              <w:jc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3" w:type="dxa"/>
            <w:vAlign w:val="center"/>
          </w:tcPr>
          <w:p>
            <w:pPr>
              <w:spacing w:line="400" w:lineRule="exact"/>
              <w:jc w:val="center"/>
              <w:rPr>
                <w:sz w:val="24"/>
              </w:rPr>
            </w:pPr>
            <w:r>
              <w:rPr>
                <w:sz w:val="24"/>
              </w:rPr>
              <w:t>建设性质</w:t>
            </w:r>
          </w:p>
        </w:tc>
        <w:tc>
          <w:tcPr>
            <w:tcW w:w="3016" w:type="dxa"/>
            <w:gridSpan w:val="2"/>
            <w:vAlign w:val="center"/>
          </w:tcPr>
          <w:p>
            <w:pPr>
              <w:spacing w:line="400" w:lineRule="exact"/>
              <w:jc w:val="center"/>
              <w:rPr>
                <w:sz w:val="24"/>
              </w:rPr>
            </w:pPr>
            <w:r>
              <w:rPr>
                <w:sz w:val="24"/>
              </w:rPr>
              <w:sym w:font="Wingdings" w:char="F0FC"/>
            </w:r>
            <w:r>
              <w:rPr>
                <w:sz w:val="24"/>
              </w:rPr>
              <w:t>新建</w:t>
            </w:r>
            <w:r>
              <w:rPr>
                <w:rFonts w:hint="eastAsia"/>
                <w:sz w:val="24"/>
              </w:rPr>
              <w:t xml:space="preserve">  </w:t>
            </w:r>
            <w:r>
              <w:rPr>
                <w:sz w:val="24"/>
              </w:rPr>
              <w:t>改扩建</w:t>
            </w:r>
            <w:r>
              <w:rPr>
                <w:rFonts w:hint="eastAsia"/>
                <w:sz w:val="24"/>
              </w:rPr>
              <w:t xml:space="preserve">  </w:t>
            </w:r>
            <w:r>
              <w:rPr>
                <w:sz w:val="24"/>
              </w:rPr>
              <w:t>技改</w:t>
            </w:r>
          </w:p>
        </w:tc>
        <w:tc>
          <w:tcPr>
            <w:tcW w:w="1542" w:type="dxa"/>
            <w:vAlign w:val="center"/>
          </w:tcPr>
          <w:p>
            <w:pPr>
              <w:spacing w:line="400" w:lineRule="exact"/>
              <w:jc w:val="center"/>
              <w:rPr>
                <w:sz w:val="24"/>
              </w:rPr>
            </w:pPr>
            <w:r>
              <w:rPr>
                <w:sz w:val="24"/>
              </w:rPr>
              <w:t>行业类别</w:t>
            </w:r>
          </w:p>
          <w:p>
            <w:pPr>
              <w:spacing w:line="400" w:lineRule="exact"/>
              <w:jc w:val="center"/>
              <w:rPr>
                <w:sz w:val="24"/>
              </w:rPr>
            </w:pPr>
            <w:r>
              <w:rPr>
                <w:sz w:val="24"/>
              </w:rPr>
              <w:t>及代码</w:t>
            </w:r>
          </w:p>
        </w:tc>
        <w:tc>
          <w:tcPr>
            <w:tcW w:w="2410" w:type="dxa"/>
            <w:gridSpan w:val="3"/>
            <w:vAlign w:val="center"/>
          </w:tcPr>
          <w:p>
            <w:pPr>
              <w:spacing w:line="280" w:lineRule="exact"/>
              <w:jc w:val="center"/>
              <w:rPr>
                <w:spacing w:val="-6"/>
                <w:sz w:val="24"/>
              </w:rPr>
            </w:pPr>
            <w:r>
              <w:rPr>
                <w:kern w:val="0"/>
                <w:sz w:val="24"/>
              </w:rPr>
              <w:t>C3099 其他非金属矿物制品制造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3" w:type="dxa"/>
            <w:vAlign w:val="center"/>
          </w:tcPr>
          <w:p>
            <w:pPr>
              <w:snapToGrid w:val="0"/>
              <w:spacing w:line="400" w:lineRule="exact"/>
              <w:jc w:val="center"/>
              <w:rPr>
                <w:sz w:val="24"/>
              </w:rPr>
            </w:pPr>
            <w:r>
              <w:rPr>
                <w:sz w:val="24"/>
              </w:rPr>
              <w:t>占地面积</w:t>
            </w:r>
          </w:p>
          <w:p>
            <w:pPr>
              <w:snapToGrid w:val="0"/>
              <w:spacing w:line="400" w:lineRule="exact"/>
              <w:jc w:val="center"/>
              <w:rPr>
                <w:sz w:val="24"/>
              </w:rPr>
            </w:pPr>
            <w:r>
              <w:rPr>
                <w:sz w:val="24"/>
              </w:rPr>
              <w:t>（平方米）</w:t>
            </w:r>
          </w:p>
        </w:tc>
        <w:tc>
          <w:tcPr>
            <w:tcW w:w="3016" w:type="dxa"/>
            <w:gridSpan w:val="2"/>
            <w:vAlign w:val="center"/>
          </w:tcPr>
          <w:p>
            <w:pPr>
              <w:spacing w:line="400" w:lineRule="exact"/>
              <w:jc w:val="center"/>
              <w:rPr>
                <w:sz w:val="24"/>
              </w:rPr>
            </w:pPr>
            <w:r>
              <w:rPr>
                <w:sz w:val="24"/>
              </w:rPr>
              <w:t>3333.3</w:t>
            </w:r>
          </w:p>
        </w:tc>
        <w:tc>
          <w:tcPr>
            <w:tcW w:w="1542" w:type="dxa"/>
            <w:vAlign w:val="center"/>
          </w:tcPr>
          <w:p>
            <w:pPr>
              <w:spacing w:line="400" w:lineRule="exact"/>
              <w:jc w:val="center"/>
              <w:rPr>
                <w:sz w:val="24"/>
              </w:rPr>
            </w:pPr>
            <w:r>
              <w:rPr>
                <w:sz w:val="24"/>
              </w:rPr>
              <w:t>绿化面积</w:t>
            </w:r>
          </w:p>
          <w:p>
            <w:pPr>
              <w:spacing w:line="400" w:lineRule="exact"/>
              <w:jc w:val="center"/>
              <w:rPr>
                <w:spacing w:val="-10"/>
                <w:sz w:val="24"/>
              </w:rPr>
            </w:pPr>
            <w:r>
              <w:rPr>
                <w:spacing w:val="-10"/>
                <w:sz w:val="24"/>
              </w:rPr>
              <w:t>（平方米）</w:t>
            </w:r>
          </w:p>
        </w:tc>
        <w:tc>
          <w:tcPr>
            <w:tcW w:w="2410" w:type="dxa"/>
            <w:gridSpan w:val="3"/>
            <w:vAlign w:val="center"/>
          </w:tcPr>
          <w:p>
            <w:pPr>
              <w:spacing w:line="400" w:lineRule="exact"/>
              <w:jc w:val="center"/>
              <w:rPr>
                <w:sz w:val="24"/>
              </w:rPr>
            </w:pPr>
            <w:r>
              <w:rPr>
                <w:rFonts w:hint="eastAsia"/>
                <w:sz w:val="24"/>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3" w:type="dxa"/>
            <w:vAlign w:val="center"/>
          </w:tcPr>
          <w:p>
            <w:pPr>
              <w:snapToGrid w:val="0"/>
              <w:spacing w:line="400" w:lineRule="exact"/>
              <w:jc w:val="center"/>
              <w:rPr>
                <w:sz w:val="24"/>
              </w:rPr>
            </w:pPr>
            <w:r>
              <w:rPr>
                <w:sz w:val="24"/>
              </w:rPr>
              <w:t>总投资</w:t>
            </w:r>
          </w:p>
          <w:p>
            <w:pPr>
              <w:snapToGrid w:val="0"/>
              <w:spacing w:line="400" w:lineRule="exact"/>
              <w:jc w:val="center"/>
              <w:rPr>
                <w:sz w:val="24"/>
              </w:rPr>
            </w:pPr>
            <w:r>
              <w:rPr>
                <w:sz w:val="24"/>
              </w:rPr>
              <w:t>（万元）</w:t>
            </w:r>
          </w:p>
        </w:tc>
        <w:tc>
          <w:tcPr>
            <w:tcW w:w="1581" w:type="dxa"/>
            <w:vAlign w:val="center"/>
          </w:tcPr>
          <w:p>
            <w:pPr>
              <w:spacing w:line="400" w:lineRule="exact"/>
              <w:jc w:val="center"/>
              <w:rPr>
                <w:spacing w:val="-10"/>
                <w:sz w:val="24"/>
              </w:rPr>
            </w:pPr>
            <w:r>
              <w:rPr>
                <w:spacing w:val="-10"/>
                <w:sz w:val="24"/>
              </w:rPr>
              <w:t>200</w:t>
            </w:r>
          </w:p>
        </w:tc>
        <w:tc>
          <w:tcPr>
            <w:tcW w:w="1435" w:type="dxa"/>
            <w:vAlign w:val="center"/>
          </w:tcPr>
          <w:p>
            <w:pPr>
              <w:spacing w:line="400" w:lineRule="exact"/>
              <w:jc w:val="center"/>
              <w:rPr>
                <w:sz w:val="24"/>
              </w:rPr>
            </w:pPr>
            <w:r>
              <w:rPr>
                <w:sz w:val="24"/>
              </w:rPr>
              <w:t>其中：环保投资（万元）</w:t>
            </w:r>
          </w:p>
        </w:tc>
        <w:tc>
          <w:tcPr>
            <w:tcW w:w="1542" w:type="dxa"/>
            <w:vAlign w:val="center"/>
          </w:tcPr>
          <w:p>
            <w:pPr>
              <w:spacing w:line="400" w:lineRule="exact"/>
              <w:jc w:val="center"/>
              <w:rPr>
                <w:sz w:val="24"/>
              </w:rPr>
            </w:pPr>
            <w:r>
              <w:rPr>
                <w:sz w:val="24"/>
              </w:rPr>
              <w:t>20</w:t>
            </w:r>
          </w:p>
        </w:tc>
        <w:tc>
          <w:tcPr>
            <w:tcW w:w="1400" w:type="dxa"/>
            <w:gridSpan w:val="2"/>
            <w:vAlign w:val="center"/>
          </w:tcPr>
          <w:p>
            <w:pPr>
              <w:spacing w:line="400" w:lineRule="exact"/>
              <w:jc w:val="center"/>
              <w:rPr>
                <w:spacing w:val="-10"/>
                <w:sz w:val="24"/>
              </w:rPr>
            </w:pPr>
            <w:r>
              <w:rPr>
                <w:spacing w:val="-10"/>
                <w:sz w:val="24"/>
              </w:rPr>
              <w:t>环保投资占总投资比例</w:t>
            </w:r>
          </w:p>
        </w:tc>
        <w:tc>
          <w:tcPr>
            <w:tcW w:w="1010" w:type="dxa"/>
            <w:vAlign w:val="center"/>
          </w:tcPr>
          <w:p>
            <w:pPr>
              <w:spacing w:line="400" w:lineRule="exact"/>
              <w:jc w:val="center"/>
              <w:rPr>
                <w:sz w:val="24"/>
              </w:rPr>
            </w:pPr>
            <w:r>
              <w:rPr>
                <w:rFonts w:hint="eastAsia"/>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3" w:type="dxa"/>
            <w:vAlign w:val="center"/>
          </w:tcPr>
          <w:p>
            <w:pPr>
              <w:snapToGrid w:val="0"/>
              <w:spacing w:line="400" w:lineRule="exact"/>
              <w:jc w:val="center"/>
              <w:rPr>
                <w:sz w:val="24"/>
              </w:rPr>
            </w:pPr>
            <w:r>
              <w:rPr>
                <w:sz w:val="24"/>
              </w:rPr>
              <w:t>评价经费</w:t>
            </w:r>
          </w:p>
          <w:p>
            <w:pPr>
              <w:snapToGrid w:val="0"/>
              <w:spacing w:line="400" w:lineRule="exact"/>
              <w:jc w:val="center"/>
              <w:rPr>
                <w:sz w:val="24"/>
              </w:rPr>
            </w:pPr>
            <w:r>
              <w:rPr>
                <w:sz w:val="24"/>
              </w:rPr>
              <w:t>（万元）</w:t>
            </w:r>
          </w:p>
        </w:tc>
        <w:tc>
          <w:tcPr>
            <w:tcW w:w="1581" w:type="dxa"/>
            <w:vAlign w:val="center"/>
          </w:tcPr>
          <w:p>
            <w:pPr>
              <w:spacing w:line="400" w:lineRule="exact"/>
              <w:jc w:val="center"/>
              <w:rPr>
                <w:sz w:val="24"/>
              </w:rPr>
            </w:pPr>
            <w:r>
              <w:rPr>
                <w:rFonts w:hint="eastAsia"/>
                <w:sz w:val="24"/>
              </w:rPr>
              <w:t>/</w:t>
            </w:r>
          </w:p>
        </w:tc>
        <w:tc>
          <w:tcPr>
            <w:tcW w:w="1435" w:type="dxa"/>
            <w:vAlign w:val="center"/>
          </w:tcPr>
          <w:p>
            <w:pPr>
              <w:spacing w:line="400" w:lineRule="exact"/>
              <w:jc w:val="center"/>
              <w:rPr>
                <w:sz w:val="24"/>
              </w:rPr>
            </w:pPr>
            <w:r>
              <w:rPr>
                <w:sz w:val="24"/>
              </w:rPr>
              <w:t>投产日期</w:t>
            </w:r>
          </w:p>
        </w:tc>
        <w:tc>
          <w:tcPr>
            <w:tcW w:w="3952" w:type="dxa"/>
            <w:gridSpan w:val="4"/>
            <w:vAlign w:val="center"/>
          </w:tcPr>
          <w:p>
            <w:pPr>
              <w:spacing w:line="400" w:lineRule="exact"/>
              <w:jc w:val="center"/>
              <w:rPr>
                <w:sz w:val="24"/>
              </w:rPr>
            </w:pPr>
            <w:r>
              <w:rPr>
                <w:sz w:val="24"/>
              </w:rPr>
              <w:t>2019</w:t>
            </w:r>
            <w:r>
              <w:rPr>
                <w:rFonts w:hint="eastAsia"/>
                <w:sz w:val="24"/>
              </w:rPr>
              <w:t>年</w:t>
            </w:r>
            <w:r>
              <w:rPr>
                <w:sz w:val="24"/>
              </w:rPr>
              <w:t>10</w:t>
            </w:r>
            <w:r>
              <w:rPr>
                <w:rFonts w:hint="eastAsia"/>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8931" w:type="dxa"/>
            <w:gridSpan w:val="7"/>
            <w:vAlign w:val="center"/>
          </w:tcPr>
          <w:p>
            <w:pPr>
              <w:spacing w:before="120" w:beforeLines="50" w:line="360" w:lineRule="auto"/>
              <w:rPr>
                <w:rFonts w:asciiTheme="minorEastAsia" w:hAnsiTheme="minorEastAsia" w:eastAsiaTheme="minorEastAsia"/>
                <w:b/>
                <w:sz w:val="24"/>
              </w:rPr>
            </w:pPr>
            <w:r>
              <w:rPr>
                <w:rFonts w:hint="eastAsia" w:asciiTheme="minorEastAsia" w:hAnsiTheme="minorEastAsia" w:eastAsiaTheme="minorEastAsia"/>
                <w:b/>
                <w:sz w:val="24"/>
              </w:rPr>
              <w:t>工程内容及规模：</w:t>
            </w:r>
          </w:p>
          <w:p>
            <w:pPr>
              <w:spacing w:line="360" w:lineRule="auto"/>
              <w:ind w:firstLine="482" w:firstLineChars="200"/>
              <w:rPr>
                <w:b/>
                <w:sz w:val="24"/>
              </w:rPr>
            </w:pPr>
            <w:r>
              <w:rPr>
                <w:rFonts w:hint="eastAsia"/>
                <w:b/>
                <w:sz w:val="24"/>
              </w:rPr>
              <w:t>一、</w:t>
            </w:r>
            <w:r>
              <w:rPr>
                <w:b/>
                <w:sz w:val="24"/>
              </w:rPr>
              <w:t>项目由来</w:t>
            </w:r>
          </w:p>
          <w:p>
            <w:pPr>
              <w:spacing w:line="360" w:lineRule="auto"/>
              <w:ind w:firstLine="480" w:firstLineChars="200"/>
              <w:rPr>
                <w:bCs/>
                <w:sz w:val="24"/>
                <w:highlight w:val="yellow"/>
              </w:rPr>
            </w:pPr>
            <w:r>
              <w:rPr>
                <w:rFonts w:hint="eastAsia"/>
                <w:bCs/>
                <w:sz w:val="24"/>
              </w:rPr>
              <w:t>陆河县雄发环保科技</w:t>
            </w:r>
            <w:r>
              <w:rPr>
                <w:rFonts w:hint="eastAsia"/>
                <w:sz w:val="24"/>
              </w:rPr>
              <w:t>有限公司位于</w:t>
            </w:r>
            <w:r>
              <w:rPr>
                <w:rFonts w:hint="eastAsia"/>
                <w:bCs/>
                <w:spacing w:val="-6"/>
                <w:sz w:val="24"/>
              </w:rPr>
              <w:t>陆河县新田镇麻地村委山茶顶</w:t>
            </w:r>
            <w:r>
              <w:rPr>
                <w:rFonts w:hint="eastAsia"/>
                <w:sz w:val="24"/>
              </w:rPr>
              <w:t>（中心地理位置：东经</w:t>
            </w:r>
            <w:r>
              <w:rPr>
                <w:sz w:val="24"/>
              </w:rPr>
              <w:t>115.539464</w:t>
            </w:r>
            <w:r>
              <w:rPr>
                <w:rFonts w:hint="eastAsia"/>
                <w:sz w:val="24"/>
              </w:rPr>
              <w:t>°，北纬</w:t>
            </w:r>
            <w:r>
              <w:rPr>
                <w:sz w:val="24"/>
              </w:rPr>
              <w:t>23.169501</w:t>
            </w:r>
            <w:r>
              <w:rPr>
                <w:rFonts w:hint="eastAsia"/>
                <w:sz w:val="24"/>
              </w:rPr>
              <w:t>°）投资建设“</w:t>
            </w:r>
            <w:r>
              <w:rPr>
                <w:rFonts w:hint="eastAsia"/>
                <w:bCs/>
                <w:sz w:val="24"/>
              </w:rPr>
              <w:t>陆河县雄发高岭土精细加工建设项目</w:t>
            </w:r>
            <w:r>
              <w:rPr>
                <w:rFonts w:hint="eastAsia"/>
                <w:sz w:val="24"/>
              </w:rPr>
              <w:t>”（以下简称“本项目”）。</w:t>
            </w:r>
            <w:r>
              <w:rPr>
                <w:rFonts w:hint="eastAsia"/>
                <w:bCs/>
                <w:sz w:val="24"/>
              </w:rPr>
              <w:t>总投资</w:t>
            </w:r>
            <w:r>
              <w:rPr>
                <w:bCs/>
                <w:sz w:val="24"/>
              </w:rPr>
              <w:t>2</w:t>
            </w:r>
            <w:r>
              <w:rPr>
                <w:rFonts w:hint="eastAsia"/>
                <w:bCs/>
                <w:sz w:val="24"/>
              </w:rPr>
              <w:t>00万元，其中环保投资</w:t>
            </w:r>
            <w:r>
              <w:rPr>
                <w:bCs/>
                <w:sz w:val="24"/>
              </w:rPr>
              <w:t>2</w:t>
            </w:r>
            <w:r>
              <w:rPr>
                <w:rFonts w:hint="eastAsia"/>
                <w:bCs/>
                <w:sz w:val="24"/>
              </w:rPr>
              <w:t>0万元，</w:t>
            </w:r>
            <w:r>
              <w:rPr>
                <w:bCs/>
                <w:sz w:val="24"/>
              </w:rPr>
              <w:t>建筑面积500m</w:t>
            </w:r>
            <w:r>
              <w:rPr>
                <w:bCs/>
                <w:sz w:val="24"/>
                <w:vertAlign w:val="superscript"/>
              </w:rPr>
              <w:t>2</w:t>
            </w:r>
            <w:r>
              <w:rPr>
                <w:rFonts w:hint="eastAsia"/>
                <w:bCs/>
                <w:sz w:val="24"/>
              </w:rPr>
              <w:t>，</w:t>
            </w:r>
            <w:r>
              <w:rPr>
                <w:bCs/>
                <w:sz w:val="24"/>
              </w:rPr>
              <w:t>占地面积约</w:t>
            </w:r>
            <w:r>
              <w:rPr>
                <w:sz w:val="24"/>
              </w:rPr>
              <w:t>3333.3</w:t>
            </w:r>
            <w:r>
              <w:rPr>
                <w:bCs/>
                <w:sz w:val="24"/>
              </w:rPr>
              <w:t>m</w:t>
            </w:r>
            <w:r>
              <w:rPr>
                <w:bCs/>
                <w:sz w:val="24"/>
                <w:vertAlign w:val="superscript"/>
              </w:rPr>
              <w:t>2</w:t>
            </w:r>
            <w:r>
              <w:rPr>
                <w:rFonts w:hint="eastAsia"/>
                <w:bCs/>
                <w:sz w:val="24"/>
              </w:rPr>
              <w:t>。</w:t>
            </w:r>
          </w:p>
          <w:p>
            <w:pPr>
              <w:spacing w:line="360" w:lineRule="auto"/>
              <w:ind w:firstLine="480" w:firstLineChars="200"/>
              <w:rPr>
                <w:bCs/>
                <w:sz w:val="24"/>
              </w:rPr>
            </w:pPr>
            <w:r>
              <w:rPr>
                <w:rFonts w:hint="eastAsia"/>
                <w:bCs/>
                <w:sz w:val="24"/>
              </w:rPr>
              <w:t>项目年产加工高岭土精细粉末4万吨。</w:t>
            </w:r>
          </w:p>
          <w:p>
            <w:pPr>
              <w:spacing w:line="360" w:lineRule="auto"/>
              <w:ind w:firstLine="480" w:firstLineChars="200"/>
              <w:rPr>
                <w:sz w:val="24"/>
              </w:rPr>
            </w:pPr>
            <w:r>
              <w:rPr>
                <w:sz w:val="24"/>
              </w:rPr>
              <w:t>根据《中华人民共和国环境影响评价法》(中华人民共和国主席令（第四十八号）) （2016年7月2日），以及国家环保部《建设项目环境影响评价分类管理名录》（2017 年，2018年4月修改单）的规定</w:t>
            </w:r>
            <w:r>
              <w:rPr>
                <w:rFonts w:hint="eastAsia"/>
                <w:sz w:val="24"/>
              </w:rPr>
              <w:t>，本项目属于四十</w:t>
            </w:r>
            <w:r>
              <w:rPr>
                <w:sz w:val="24"/>
              </w:rPr>
              <w:t>五、非金属矿采选业、137土砂石、石材开采加工中其他不涉及环境敏感区的项目</w:t>
            </w:r>
            <w:r>
              <w:rPr>
                <w:rFonts w:hint="eastAsia"/>
                <w:sz w:val="24"/>
              </w:rPr>
              <w:t>，应编制环境影响报告表。</w:t>
            </w:r>
          </w:p>
          <w:p>
            <w:pPr>
              <w:spacing w:line="360" w:lineRule="auto"/>
              <w:ind w:firstLine="480" w:firstLineChars="200"/>
              <w:rPr>
                <w:sz w:val="24"/>
              </w:rPr>
            </w:pPr>
            <w:r>
              <w:rPr>
                <w:rFonts w:hint="eastAsia"/>
                <w:bCs/>
                <w:sz w:val="24"/>
              </w:rPr>
              <w:t>陆河县雄发环保科技</w:t>
            </w:r>
            <w:r>
              <w:rPr>
                <w:rFonts w:hint="eastAsia"/>
                <w:sz w:val="24"/>
              </w:rPr>
              <w:t>有限公司（以下简称“</w:t>
            </w:r>
            <w:r>
              <w:rPr>
                <w:sz w:val="24"/>
              </w:rPr>
              <w:t>建设</w:t>
            </w:r>
            <w:r>
              <w:rPr>
                <w:rFonts w:hint="eastAsia"/>
                <w:sz w:val="24"/>
              </w:rPr>
              <w:t>单位”）</w:t>
            </w:r>
            <w:r>
              <w:rPr>
                <w:sz w:val="24"/>
              </w:rPr>
              <w:t>委托</w:t>
            </w:r>
            <w:r>
              <w:rPr>
                <w:rFonts w:hint="eastAsia"/>
                <w:sz w:val="24"/>
              </w:rPr>
              <w:t>本司承担本项目的</w:t>
            </w:r>
            <w:r>
              <w:rPr>
                <w:sz w:val="24"/>
              </w:rPr>
              <w:t>环境影响评价工作。</w:t>
            </w:r>
            <w:r>
              <w:rPr>
                <w:rFonts w:hint="eastAsia"/>
                <w:sz w:val="24"/>
              </w:rPr>
              <w:t>我单位在接到委托后，组织有关环评技术人员进行现场踏勘及资料收集工作。根据环境影响评价技术导则的有关规定，编制完成了本项目环境影响评价报告表。</w:t>
            </w:r>
          </w:p>
          <w:p>
            <w:pPr>
              <w:spacing w:line="360" w:lineRule="auto"/>
              <w:ind w:firstLine="482" w:firstLineChars="200"/>
              <w:rPr>
                <w:b/>
                <w:kern w:val="0"/>
                <w:sz w:val="24"/>
              </w:rPr>
            </w:pPr>
            <w:r>
              <w:rPr>
                <w:b/>
                <w:kern w:val="0"/>
                <w:sz w:val="24"/>
              </w:rPr>
              <w:t>二、项目内容及规模</w:t>
            </w:r>
          </w:p>
          <w:p>
            <w:pPr>
              <w:spacing w:line="360" w:lineRule="auto"/>
              <w:ind w:firstLine="482" w:firstLineChars="200"/>
              <w:rPr>
                <w:b/>
                <w:kern w:val="0"/>
                <w:sz w:val="24"/>
              </w:rPr>
            </w:pPr>
            <w:r>
              <w:rPr>
                <w:b/>
                <w:kern w:val="0"/>
                <w:sz w:val="24"/>
              </w:rPr>
              <w:t>1、</w:t>
            </w:r>
            <w:r>
              <w:rPr>
                <w:rFonts w:hint="eastAsia"/>
                <w:b/>
                <w:kern w:val="0"/>
                <w:sz w:val="24"/>
              </w:rPr>
              <w:t>工程规模</w:t>
            </w:r>
          </w:p>
          <w:p>
            <w:pPr>
              <w:spacing w:line="360" w:lineRule="auto"/>
              <w:ind w:firstLine="480" w:firstLineChars="200"/>
              <w:rPr>
                <w:bCs/>
                <w:sz w:val="24"/>
              </w:rPr>
            </w:pPr>
            <w:r>
              <w:rPr>
                <w:rFonts w:hint="eastAsia"/>
                <w:sz w:val="24"/>
              </w:rPr>
              <w:t>本项目位于</w:t>
            </w:r>
            <w:r>
              <w:rPr>
                <w:rFonts w:hint="eastAsia"/>
                <w:bCs/>
                <w:spacing w:val="-6"/>
                <w:sz w:val="24"/>
              </w:rPr>
              <w:t>陆河县新田镇麻地村委山茶顶</w:t>
            </w:r>
            <w:r>
              <w:rPr>
                <w:rFonts w:hint="eastAsia"/>
                <w:sz w:val="24"/>
              </w:rPr>
              <w:t>，租用已建成厂房进行生产，本项目</w:t>
            </w:r>
            <w:r>
              <w:rPr>
                <w:rFonts w:hint="eastAsia"/>
                <w:bCs/>
                <w:sz w:val="24"/>
              </w:rPr>
              <w:t>总投资</w:t>
            </w:r>
            <w:r>
              <w:rPr>
                <w:bCs/>
                <w:sz w:val="24"/>
              </w:rPr>
              <w:t>2</w:t>
            </w:r>
            <w:r>
              <w:rPr>
                <w:rFonts w:hint="eastAsia"/>
                <w:bCs/>
                <w:sz w:val="24"/>
              </w:rPr>
              <w:t>00万元，其中环保投资</w:t>
            </w:r>
            <w:r>
              <w:rPr>
                <w:bCs/>
                <w:sz w:val="24"/>
              </w:rPr>
              <w:t>2</w:t>
            </w:r>
            <w:r>
              <w:rPr>
                <w:rFonts w:hint="eastAsia"/>
                <w:bCs/>
                <w:sz w:val="24"/>
              </w:rPr>
              <w:t>0万元，</w:t>
            </w:r>
            <w:r>
              <w:rPr>
                <w:bCs/>
                <w:sz w:val="24"/>
              </w:rPr>
              <w:t>建筑面积500m</w:t>
            </w:r>
            <w:r>
              <w:rPr>
                <w:bCs/>
                <w:sz w:val="24"/>
                <w:vertAlign w:val="superscript"/>
              </w:rPr>
              <w:t>2</w:t>
            </w:r>
            <w:r>
              <w:rPr>
                <w:rFonts w:hint="eastAsia"/>
                <w:bCs/>
                <w:sz w:val="24"/>
              </w:rPr>
              <w:t>，</w:t>
            </w:r>
            <w:r>
              <w:rPr>
                <w:bCs/>
                <w:sz w:val="24"/>
              </w:rPr>
              <w:t>占地面积约</w:t>
            </w:r>
            <w:r>
              <w:rPr>
                <w:sz w:val="24"/>
              </w:rPr>
              <w:t>3333.3</w:t>
            </w:r>
            <w:r>
              <w:rPr>
                <w:bCs/>
                <w:sz w:val="24"/>
              </w:rPr>
              <w:t>m</w:t>
            </w:r>
            <w:r>
              <w:rPr>
                <w:bCs/>
                <w:sz w:val="24"/>
                <w:vertAlign w:val="superscript"/>
              </w:rPr>
              <w:t>2</w:t>
            </w:r>
            <w:r>
              <w:rPr>
                <w:bCs/>
                <w:sz w:val="24"/>
              </w:rPr>
              <w:t>。</w:t>
            </w:r>
            <w:r>
              <w:rPr>
                <w:rFonts w:hint="eastAsia"/>
                <w:sz w:val="24"/>
              </w:rPr>
              <w:t>建筑情况详见下表，项目地理位置图见附图1，平面布置图见附图</w:t>
            </w:r>
            <w:r>
              <w:rPr>
                <w:sz w:val="24"/>
              </w:rPr>
              <w:t>4</w:t>
            </w:r>
            <w:r>
              <w:rPr>
                <w:rFonts w:hint="eastAsia"/>
                <w:sz w:val="24"/>
              </w:rPr>
              <w:t>。</w:t>
            </w:r>
          </w:p>
          <w:p>
            <w:pPr>
              <w:spacing w:line="360" w:lineRule="auto"/>
              <w:ind w:firstLine="480" w:firstLineChars="200"/>
              <w:rPr>
                <w:sz w:val="24"/>
              </w:rPr>
            </w:pPr>
            <w:r>
              <w:rPr>
                <w:rFonts w:hint="eastAsia"/>
                <w:sz w:val="24"/>
              </w:rPr>
              <w:t>项目建设情况详见下表。</w:t>
            </w:r>
          </w:p>
          <w:p>
            <w:pPr>
              <w:jc w:val="center"/>
              <w:rPr>
                <w:b/>
                <w:szCs w:val="21"/>
              </w:rPr>
            </w:pPr>
            <w:r>
              <w:rPr>
                <w:rFonts w:hint="eastAsia"/>
                <w:b/>
                <w:szCs w:val="21"/>
              </w:rPr>
              <w:t>表1 建设内容一览表</w:t>
            </w:r>
          </w:p>
          <w:tbl>
            <w:tblPr>
              <w:tblStyle w:val="25"/>
              <w:tblW w:w="87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417"/>
              <w:gridCol w:w="1872"/>
              <w:gridCol w:w="1556"/>
              <w:gridCol w:w="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trPr>
              <w:tc>
                <w:tcPr>
                  <w:tcW w:w="742" w:type="dxa"/>
                  <w:shd w:val="clear" w:color="auto" w:fill="auto"/>
                  <w:vAlign w:val="center"/>
                </w:tcPr>
                <w:p>
                  <w:pPr>
                    <w:jc w:val="center"/>
                    <w:rPr>
                      <w:b/>
                      <w:szCs w:val="21"/>
                    </w:rPr>
                  </w:pPr>
                  <w:r>
                    <w:rPr>
                      <w:rFonts w:hint="eastAsia"/>
                      <w:b/>
                      <w:szCs w:val="21"/>
                    </w:rPr>
                    <w:t>工程类别</w:t>
                  </w:r>
                </w:p>
              </w:tc>
              <w:tc>
                <w:tcPr>
                  <w:tcW w:w="1417" w:type="dxa"/>
                  <w:shd w:val="clear" w:color="auto" w:fill="auto"/>
                  <w:vAlign w:val="center"/>
                </w:tcPr>
                <w:p>
                  <w:pPr>
                    <w:jc w:val="center"/>
                    <w:rPr>
                      <w:b/>
                      <w:szCs w:val="21"/>
                    </w:rPr>
                  </w:pPr>
                  <w:r>
                    <w:rPr>
                      <w:rFonts w:hint="eastAsia"/>
                      <w:b/>
                      <w:szCs w:val="21"/>
                    </w:rPr>
                    <w:t>工程内容</w:t>
                  </w:r>
                </w:p>
              </w:tc>
              <w:tc>
                <w:tcPr>
                  <w:tcW w:w="1872" w:type="dxa"/>
                  <w:vAlign w:val="center"/>
                </w:tcPr>
                <w:p>
                  <w:pPr>
                    <w:jc w:val="center"/>
                    <w:rPr>
                      <w:b/>
                      <w:szCs w:val="21"/>
                    </w:rPr>
                  </w:pPr>
                  <w:r>
                    <w:rPr>
                      <w:rFonts w:hint="eastAsia"/>
                      <w:b/>
                      <w:szCs w:val="21"/>
                    </w:rPr>
                    <w:t>规模</w:t>
                  </w:r>
                </w:p>
              </w:tc>
              <w:tc>
                <w:tcPr>
                  <w:tcW w:w="4674" w:type="dxa"/>
                  <w:gridSpan w:val="2"/>
                  <w:shd w:val="clear" w:color="auto" w:fill="auto"/>
                  <w:vAlign w:val="center"/>
                </w:tcPr>
                <w:p>
                  <w:pPr>
                    <w:jc w:val="center"/>
                    <w:rPr>
                      <w:b/>
                      <w:szCs w:val="21"/>
                    </w:rPr>
                  </w:pPr>
                  <w:r>
                    <w:rPr>
                      <w:rFonts w:hint="eastAsia"/>
                      <w:b/>
                      <w:szCs w:val="21"/>
                    </w:rPr>
                    <w:t>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742" w:type="dxa"/>
                  <w:shd w:val="clear" w:color="auto" w:fill="auto"/>
                  <w:vAlign w:val="center"/>
                </w:tcPr>
                <w:p>
                  <w:pPr>
                    <w:jc w:val="center"/>
                    <w:rPr>
                      <w:szCs w:val="21"/>
                    </w:rPr>
                  </w:pPr>
                  <w:r>
                    <w:rPr>
                      <w:rFonts w:hint="eastAsia"/>
                      <w:szCs w:val="21"/>
                    </w:rPr>
                    <w:t>主体工程</w:t>
                  </w:r>
                </w:p>
              </w:tc>
              <w:tc>
                <w:tcPr>
                  <w:tcW w:w="1417" w:type="dxa"/>
                  <w:shd w:val="clear" w:color="auto" w:fill="auto"/>
                  <w:vAlign w:val="center"/>
                </w:tcPr>
                <w:p>
                  <w:pPr>
                    <w:jc w:val="center"/>
                    <w:rPr>
                      <w:szCs w:val="21"/>
                    </w:rPr>
                  </w:pPr>
                  <w:r>
                    <w:rPr>
                      <w:rFonts w:hint="eastAsia"/>
                      <w:szCs w:val="21"/>
                    </w:rPr>
                    <w:t>原料车间（原料区+投料车间）</w:t>
                  </w:r>
                </w:p>
              </w:tc>
              <w:tc>
                <w:tcPr>
                  <w:tcW w:w="1872" w:type="dxa"/>
                  <w:vAlign w:val="center"/>
                </w:tcPr>
                <w:p>
                  <w:pPr>
                    <w:jc w:val="center"/>
                    <w:rPr>
                      <w:szCs w:val="21"/>
                    </w:rPr>
                  </w:pPr>
                  <w:r>
                    <w:rPr>
                      <w:szCs w:val="21"/>
                    </w:rPr>
                    <w:t>1</w:t>
                  </w:r>
                  <w:r>
                    <w:rPr>
                      <w:rFonts w:hint="eastAsia"/>
                      <w:szCs w:val="21"/>
                    </w:rPr>
                    <w:t>层，建筑面积约4</w:t>
                  </w:r>
                  <w:r>
                    <w:rPr>
                      <w:szCs w:val="21"/>
                    </w:rPr>
                    <w:t>50m</w:t>
                  </w:r>
                  <w:r>
                    <w:rPr>
                      <w:szCs w:val="21"/>
                      <w:vertAlign w:val="superscript"/>
                    </w:rPr>
                    <w:t>2</w:t>
                  </w:r>
                </w:p>
              </w:tc>
              <w:tc>
                <w:tcPr>
                  <w:tcW w:w="4674" w:type="dxa"/>
                  <w:gridSpan w:val="2"/>
                  <w:shd w:val="clear" w:color="auto" w:fill="auto"/>
                  <w:vAlign w:val="center"/>
                </w:tcPr>
                <w:p>
                  <w:pPr>
                    <w:jc w:val="center"/>
                    <w:rPr>
                      <w:szCs w:val="21"/>
                    </w:rPr>
                  </w:pPr>
                  <w:r>
                    <w:rPr>
                      <w:rFonts w:hint="eastAsia"/>
                      <w:szCs w:val="21"/>
                    </w:rPr>
                    <w:t>材料加工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42" w:type="dxa"/>
                  <w:vMerge w:val="restart"/>
                  <w:shd w:val="clear" w:color="auto" w:fill="auto"/>
                  <w:vAlign w:val="center"/>
                </w:tcPr>
                <w:p>
                  <w:pPr>
                    <w:jc w:val="center"/>
                    <w:rPr>
                      <w:szCs w:val="21"/>
                    </w:rPr>
                  </w:pPr>
                  <w:r>
                    <w:rPr>
                      <w:rFonts w:hint="eastAsia"/>
                      <w:szCs w:val="21"/>
                    </w:rPr>
                    <w:t>辅助工程</w:t>
                  </w:r>
                </w:p>
              </w:tc>
              <w:tc>
                <w:tcPr>
                  <w:tcW w:w="1417" w:type="dxa"/>
                  <w:shd w:val="clear" w:color="auto" w:fill="auto"/>
                  <w:vAlign w:val="center"/>
                </w:tcPr>
                <w:p>
                  <w:pPr>
                    <w:jc w:val="center"/>
                    <w:rPr>
                      <w:szCs w:val="21"/>
                    </w:rPr>
                  </w:pPr>
                  <w:r>
                    <w:rPr>
                      <w:rFonts w:hint="eastAsia"/>
                      <w:szCs w:val="21"/>
                    </w:rPr>
                    <w:t>办公楼</w:t>
                  </w:r>
                </w:p>
              </w:tc>
              <w:tc>
                <w:tcPr>
                  <w:tcW w:w="1872" w:type="dxa"/>
                  <w:vAlign w:val="center"/>
                </w:tcPr>
                <w:p>
                  <w:pPr>
                    <w:jc w:val="center"/>
                    <w:rPr>
                      <w:szCs w:val="21"/>
                    </w:rPr>
                  </w:pPr>
                  <w:r>
                    <w:rPr>
                      <w:szCs w:val="21"/>
                    </w:rPr>
                    <w:t>1</w:t>
                  </w:r>
                  <w:r>
                    <w:rPr>
                      <w:rFonts w:hint="eastAsia"/>
                      <w:szCs w:val="21"/>
                    </w:rPr>
                    <w:t>层，建筑面积共约</w:t>
                  </w:r>
                  <w:r>
                    <w:rPr>
                      <w:szCs w:val="21"/>
                    </w:rPr>
                    <w:t>5</w:t>
                  </w:r>
                  <w:r>
                    <w:rPr>
                      <w:rFonts w:hint="eastAsia"/>
                      <w:szCs w:val="21"/>
                    </w:rPr>
                    <w:t>0</w:t>
                  </w:r>
                  <w:r>
                    <w:rPr>
                      <w:szCs w:val="21"/>
                    </w:rPr>
                    <w:t>m</w:t>
                  </w:r>
                  <w:r>
                    <w:rPr>
                      <w:szCs w:val="21"/>
                      <w:vertAlign w:val="superscript"/>
                    </w:rPr>
                    <w:t>2</w:t>
                  </w:r>
                </w:p>
              </w:tc>
              <w:tc>
                <w:tcPr>
                  <w:tcW w:w="4674" w:type="dxa"/>
                  <w:gridSpan w:val="2"/>
                  <w:shd w:val="clear" w:color="auto" w:fill="auto"/>
                  <w:vAlign w:val="center"/>
                </w:tcPr>
                <w:p>
                  <w:pPr>
                    <w:jc w:val="center"/>
                    <w:rPr>
                      <w:szCs w:val="21"/>
                    </w:rPr>
                  </w:pPr>
                  <w:r>
                    <w:rPr>
                      <w:rFonts w:hint="eastAsia"/>
                      <w:szCs w:val="21"/>
                    </w:rPr>
                    <w:t>办公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42" w:type="dxa"/>
                  <w:vMerge w:val="continue"/>
                  <w:shd w:val="clear" w:color="auto" w:fill="auto"/>
                  <w:vAlign w:val="center"/>
                </w:tcPr>
                <w:p>
                  <w:pPr>
                    <w:jc w:val="center"/>
                    <w:rPr>
                      <w:szCs w:val="21"/>
                    </w:rPr>
                  </w:pPr>
                </w:p>
              </w:tc>
              <w:tc>
                <w:tcPr>
                  <w:tcW w:w="1417" w:type="dxa"/>
                  <w:shd w:val="clear" w:color="auto" w:fill="auto"/>
                  <w:vAlign w:val="center"/>
                </w:tcPr>
                <w:p>
                  <w:pPr>
                    <w:jc w:val="center"/>
                    <w:rPr>
                      <w:szCs w:val="21"/>
                    </w:rPr>
                  </w:pPr>
                  <w:r>
                    <w:rPr>
                      <w:rFonts w:hint="eastAsia"/>
                      <w:szCs w:val="21"/>
                    </w:rPr>
                    <w:t>原料区</w:t>
                  </w:r>
                </w:p>
              </w:tc>
              <w:tc>
                <w:tcPr>
                  <w:tcW w:w="1872" w:type="dxa"/>
                  <w:vAlign w:val="center"/>
                </w:tcPr>
                <w:p>
                  <w:pPr>
                    <w:jc w:val="center"/>
                    <w:rPr>
                      <w:szCs w:val="21"/>
                    </w:rPr>
                  </w:pPr>
                  <w:r>
                    <w:rPr>
                      <w:rFonts w:hint="eastAsia"/>
                      <w:szCs w:val="21"/>
                    </w:rPr>
                    <w:t>1层，建筑面积共约5</w:t>
                  </w:r>
                  <w:r>
                    <w:rPr>
                      <w:szCs w:val="21"/>
                    </w:rPr>
                    <w:t>0</w:t>
                  </w:r>
                  <w:r>
                    <w:rPr>
                      <w:rFonts w:hint="eastAsia"/>
                      <w:szCs w:val="21"/>
                    </w:rPr>
                    <w:t>0</w:t>
                  </w:r>
                  <w:r>
                    <w:rPr>
                      <w:szCs w:val="21"/>
                    </w:rPr>
                    <w:t>m</w:t>
                  </w:r>
                  <w:r>
                    <w:rPr>
                      <w:szCs w:val="21"/>
                      <w:vertAlign w:val="superscript"/>
                    </w:rPr>
                    <w:t>2</w:t>
                  </w:r>
                </w:p>
              </w:tc>
              <w:tc>
                <w:tcPr>
                  <w:tcW w:w="4674" w:type="dxa"/>
                  <w:gridSpan w:val="2"/>
                  <w:shd w:val="clear" w:color="auto" w:fill="auto"/>
                  <w:vAlign w:val="center"/>
                </w:tcPr>
                <w:p>
                  <w:pPr>
                    <w:jc w:val="center"/>
                    <w:rPr>
                      <w:szCs w:val="21"/>
                    </w:rPr>
                  </w:pPr>
                  <w:r>
                    <w:rPr>
                      <w:rFonts w:hint="eastAsia"/>
                      <w:szCs w:val="21"/>
                    </w:rPr>
                    <w:t>堆放原材料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42" w:type="dxa"/>
                  <w:vMerge w:val="continue"/>
                  <w:shd w:val="clear" w:color="auto" w:fill="auto"/>
                  <w:vAlign w:val="center"/>
                </w:tcPr>
                <w:p>
                  <w:pPr>
                    <w:jc w:val="center"/>
                    <w:rPr>
                      <w:szCs w:val="21"/>
                    </w:rPr>
                  </w:pPr>
                </w:p>
              </w:tc>
              <w:tc>
                <w:tcPr>
                  <w:tcW w:w="1417" w:type="dxa"/>
                  <w:shd w:val="clear" w:color="auto" w:fill="auto"/>
                  <w:vAlign w:val="center"/>
                </w:tcPr>
                <w:p>
                  <w:pPr>
                    <w:jc w:val="center"/>
                    <w:rPr>
                      <w:szCs w:val="21"/>
                    </w:rPr>
                  </w:pPr>
                  <w:r>
                    <w:rPr>
                      <w:rFonts w:hint="eastAsia"/>
                      <w:szCs w:val="21"/>
                    </w:rPr>
                    <w:t>产品车间</w:t>
                  </w:r>
                </w:p>
              </w:tc>
              <w:tc>
                <w:tcPr>
                  <w:tcW w:w="1872" w:type="dxa"/>
                  <w:vAlign w:val="center"/>
                </w:tcPr>
                <w:p>
                  <w:pPr>
                    <w:jc w:val="center"/>
                    <w:rPr>
                      <w:szCs w:val="21"/>
                    </w:rPr>
                  </w:pPr>
                  <w:r>
                    <w:rPr>
                      <w:rFonts w:hint="eastAsia"/>
                      <w:szCs w:val="21"/>
                    </w:rPr>
                    <w:t>1层，建筑面积共约</w:t>
                  </w:r>
                  <w:r>
                    <w:rPr>
                      <w:szCs w:val="21"/>
                    </w:rPr>
                    <w:t>80</w:t>
                  </w:r>
                  <w:r>
                    <w:rPr>
                      <w:rFonts w:hint="eastAsia"/>
                      <w:szCs w:val="21"/>
                    </w:rPr>
                    <w:t>0</w:t>
                  </w:r>
                  <w:r>
                    <w:rPr>
                      <w:szCs w:val="21"/>
                    </w:rPr>
                    <w:t>m</w:t>
                  </w:r>
                  <w:r>
                    <w:rPr>
                      <w:szCs w:val="21"/>
                      <w:vertAlign w:val="superscript"/>
                    </w:rPr>
                    <w:t>2</w:t>
                  </w:r>
                </w:p>
              </w:tc>
              <w:tc>
                <w:tcPr>
                  <w:tcW w:w="4674" w:type="dxa"/>
                  <w:gridSpan w:val="2"/>
                  <w:shd w:val="clear" w:color="auto" w:fill="auto"/>
                  <w:vAlign w:val="center"/>
                </w:tcPr>
                <w:p>
                  <w:pPr>
                    <w:jc w:val="center"/>
                    <w:rPr>
                      <w:szCs w:val="21"/>
                    </w:rPr>
                  </w:pPr>
                  <w:r>
                    <w:rPr>
                      <w:rFonts w:hint="eastAsia"/>
                      <w:szCs w:val="21"/>
                    </w:rPr>
                    <w:t>堆放成品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42" w:type="dxa"/>
                  <w:vMerge w:val="restart"/>
                  <w:shd w:val="clear" w:color="auto" w:fill="auto"/>
                  <w:vAlign w:val="center"/>
                </w:tcPr>
                <w:p>
                  <w:pPr>
                    <w:jc w:val="center"/>
                    <w:rPr>
                      <w:szCs w:val="21"/>
                    </w:rPr>
                  </w:pPr>
                  <w:r>
                    <w:rPr>
                      <w:rFonts w:hint="eastAsia"/>
                      <w:szCs w:val="21"/>
                    </w:rPr>
                    <w:t>公用工程</w:t>
                  </w:r>
                </w:p>
              </w:tc>
              <w:tc>
                <w:tcPr>
                  <w:tcW w:w="1417" w:type="dxa"/>
                  <w:shd w:val="clear" w:color="auto" w:fill="auto"/>
                  <w:vAlign w:val="center"/>
                </w:tcPr>
                <w:p>
                  <w:pPr>
                    <w:jc w:val="center"/>
                    <w:rPr>
                      <w:szCs w:val="21"/>
                    </w:rPr>
                  </w:pPr>
                  <w:r>
                    <w:rPr>
                      <w:rFonts w:hint="eastAsia"/>
                      <w:szCs w:val="21"/>
                    </w:rPr>
                    <w:t>供水系统</w:t>
                  </w:r>
                </w:p>
              </w:tc>
              <w:tc>
                <w:tcPr>
                  <w:tcW w:w="1872" w:type="dxa"/>
                  <w:vAlign w:val="center"/>
                </w:tcPr>
                <w:p>
                  <w:pPr>
                    <w:jc w:val="center"/>
                    <w:rPr>
                      <w:szCs w:val="21"/>
                    </w:rPr>
                  </w:pPr>
                  <w:r>
                    <w:rPr>
                      <w:bCs/>
                      <w:szCs w:val="21"/>
                      <w:lang w:val="zh-CN"/>
                    </w:rPr>
                    <w:t>268968</w:t>
                  </w:r>
                  <w:r>
                    <w:rPr>
                      <w:rFonts w:hint="eastAsia"/>
                      <w:szCs w:val="21"/>
                    </w:rPr>
                    <w:t>m</w:t>
                  </w:r>
                  <w:r>
                    <w:rPr>
                      <w:rFonts w:hint="eastAsia"/>
                      <w:szCs w:val="21"/>
                      <w:vertAlign w:val="superscript"/>
                    </w:rPr>
                    <w:t>3</w:t>
                  </w:r>
                  <w:r>
                    <w:rPr>
                      <w:rFonts w:hint="eastAsia"/>
                      <w:szCs w:val="21"/>
                    </w:rPr>
                    <w:t>/a</w:t>
                  </w:r>
                </w:p>
              </w:tc>
              <w:tc>
                <w:tcPr>
                  <w:tcW w:w="4674" w:type="dxa"/>
                  <w:gridSpan w:val="2"/>
                  <w:shd w:val="clear" w:color="auto" w:fill="auto"/>
                  <w:vAlign w:val="center"/>
                </w:tcPr>
                <w:p>
                  <w:pPr>
                    <w:jc w:val="center"/>
                    <w:rPr>
                      <w:szCs w:val="21"/>
                    </w:rPr>
                  </w:pPr>
                  <w:r>
                    <w:rPr>
                      <w:rFonts w:hint="eastAsia" w:ascii="宋体" w:cs="宋体"/>
                      <w:kern w:val="0"/>
                      <w:szCs w:val="21"/>
                    </w:rPr>
                    <w:t>由市政供水管网供给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42" w:type="dxa"/>
                  <w:vMerge w:val="continue"/>
                  <w:shd w:val="clear" w:color="auto" w:fill="auto"/>
                  <w:vAlign w:val="center"/>
                </w:tcPr>
                <w:p>
                  <w:pPr>
                    <w:jc w:val="center"/>
                    <w:rPr>
                      <w:szCs w:val="21"/>
                    </w:rPr>
                  </w:pPr>
                </w:p>
              </w:tc>
              <w:tc>
                <w:tcPr>
                  <w:tcW w:w="1417" w:type="dxa"/>
                  <w:shd w:val="clear" w:color="auto" w:fill="auto"/>
                  <w:vAlign w:val="center"/>
                </w:tcPr>
                <w:p>
                  <w:pPr>
                    <w:jc w:val="center"/>
                    <w:rPr>
                      <w:szCs w:val="21"/>
                    </w:rPr>
                  </w:pPr>
                  <w:r>
                    <w:rPr>
                      <w:rFonts w:hint="eastAsia"/>
                      <w:szCs w:val="21"/>
                    </w:rPr>
                    <w:t>排水系统</w:t>
                  </w:r>
                </w:p>
              </w:tc>
              <w:tc>
                <w:tcPr>
                  <w:tcW w:w="1872" w:type="dxa"/>
                  <w:vAlign w:val="center"/>
                </w:tcPr>
                <w:p>
                  <w:pPr>
                    <w:jc w:val="center"/>
                    <w:rPr>
                      <w:szCs w:val="21"/>
                    </w:rPr>
                  </w:pPr>
                  <w:r>
                    <w:rPr>
                      <w:szCs w:val="21"/>
                    </w:rPr>
                    <w:t>151.2</w:t>
                  </w:r>
                  <w:r>
                    <w:rPr>
                      <w:rFonts w:hint="eastAsia"/>
                      <w:szCs w:val="21"/>
                    </w:rPr>
                    <w:t>m</w:t>
                  </w:r>
                  <w:r>
                    <w:rPr>
                      <w:rFonts w:hint="eastAsia"/>
                      <w:szCs w:val="21"/>
                      <w:vertAlign w:val="superscript"/>
                    </w:rPr>
                    <w:t>3</w:t>
                  </w:r>
                  <w:r>
                    <w:rPr>
                      <w:rFonts w:hint="eastAsia"/>
                      <w:szCs w:val="21"/>
                    </w:rPr>
                    <w:t>/a</w:t>
                  </w:r>
                </w:p>
              </w:tc>
              <w:tc>
                <w:tcPr>
                  <w:tcW w:w="4674" w:type="dxa"/>
                  <w:gridSpan w:val="2"/>
                  <w:shd w:val="clear" w:color="auto" w:fill="auto"/>
                  <w:vAlign w:val="center"/>
                </w:tcPr>
                <w:p>
                  <w:pPr>
                    <w:jc w:val="center"/>
                    <w:rPr>
                      <w:szCs w:val="21"/>
                    </w:rPr>
                  </w:pPr>
                  <w:r>
                    <w:rPr>
                      <w:rFonts w:hint="eastAsia" w:ascii="宋体" w:hAnsi="宋体" w:cs="宋体"/>
                      <w:szCs w:val="22"/>
                    </w:rPr>
                    <w:t>用于周边农田、林地灌溉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42" w:type="dxa"/>
                  <w:vMerge w:val="continue"/>
                  <w:shd w:val="clear" w:color="auto" w:fill="auto"/>
                  <w:vAlign w:val="center"/>
                </w:tcPr>
                <w:p>
                  <w:pPr>
                    <w:jc w:val="center"/>
                    <w:rPr>
                      <w:szCs w:val="21"/>
                    </w:rPr>
                  </w:pPr>
                </w:p>
              </w:tc>
              <w:tc>
                <w:tcPr>
                  <w:tcW w:w="1417" w:type="dxa"/>
                  <w:shd w:val="clear" w:color="auto" w:fill="auto"/>
                  <w:vAlign w:val="center"/>
                </w:tcPr>
                <w:p>
                  <w:pPr>
                    <w:jc w:val="center"/>
                    <w:rPr>
                      <w:szCs w:val="21"/>
                    </w:rPr>
                  </w:pPr>
                  <w:r>
                    <w:rPr>
                      <w:rFonts w:hint="eastAsia"/>
                      <w:szCs w:val="21"/>
                    </w:rPr>
                    <w:t>供电系统</w:t>
                  </w:r>
                </w:p>
              </w:tc>
              <w:tc>
                <w:tcPr>
                  <w:tcW w:w="1872" w:type="dxa"/>
                  <w:vAlign w:val="center"/>
                </w:tcPr>
                <w:p>
                  <w:pPr>
                    <w:jc w:val="center"/>
                    <w:rPr>
                      <w:szCs w:val="21"/>
                    </w:rPr>
                  </w:pPr>
                  <w:r>
                    <w:rPr>
                      <w:rFonts w:hint="eastAsia"/>
                      <w:szCs w:val="21"/>
                    </w:rPr>
                    <w:t>——</w:t>
                  </w:r>
                </w:p>
              </w:tc>
              <w:tc>
                <w:tcPr>
                  <w:tcW w:w="4674" w:type="dxa"/>
                  <w:gridSpan w:val="2"/>
                  <w:shd w:val="clear" w:color="auto" w:fill="auto"/>
                  <w:vAlign w:val="center"/>
                </w:tcPr>
                <w:p>
                  <w:pPr>
                    <w:jc w:val="center"/>
                    <w:rPr>
                      <w:szCs w:val="21"/>
                    </w:rPr>
                  </w:pPr>
                  <w:r>
                    <w:rPr>
                      <w:rFonts w:hint="eastAsia"/>
                      <w:szCs w:val="21"/>
                    </w:rPr>
                    <w:t>市政供电，无备用发电机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42" w:type="dxa"/>
                  <w:vMerge w:val="restart"/>
                  <w:shd w:val="clear" w:color="auto" w:fill="auto"/>
                  <w:vAlign w:val="center"/>
                </w:tcPr>
                <w:p>
                  <w:pPr>
                    <w:jc w:val="center"/>
                    <w:rPr>
                      <w:szCs w:val="21"/>
                    </w:rPr>
                  </w:pPr>
                  <w:r>
                    <w:rPr>
                      <w:rFonts w:hint="eastAsia"/>
                      <w:szCs w:val="21"/>
                    </w:rPr>
                    <w:t>环保工程</w:t>
                  </w:r>
                </w:p>
              </w:tc>
              <w:tc>
                <w:tcPr>
                  <w:tcW w:w="1417" w:type="dxa"/>
                  <w:shd w:val="clear" w:color="auto" w:fill="auto"/>
                  <w:vAlign w:val="center"/>
                </w:tcPr>
                <w:p>
                  <w:pPr>
                    <w:jc w:val="center"/>
                    <w:rPr>
                      <w:szCs w:val="21"/>
                    </w:rPr>
                  </w:pPr>
                  <w:r>
                    <w:rPr>
                      <w:rFonts w:hint="eastAsia"/>
                      <w:szCs w:val="21"/>
                    </w:rPr>
                    <w:t>污水治理</w:t>
                  </w:r>
                </w:p>
              </w:tc>
              <w:tc>
                <w:tcPr>
                  <w:tcW w:w="1872" w:type="dxa"/>
                  <w:vAlign w:val="center"/>
                </w:tcPr>
                <w:p>
                  <w:pPr>
                    <w:jc w:val="center"/>
                    <w:rPr>
                      <w:szCs w:val="21"/>
                    </w:rPr>
                  </w:pPr>
                  <w:r>
                    <w:rPr>
                      <w:rFonts w:hint="eastAsia"/>
                      <w:szCs w:val="21"/>
                    </w:rPr>
                    <w:t>——</w:t>
                  </w:r>
                </w:p>
              </w:tc>
              <w:tc>
                <w:tcPr>
                  <w:tcW w:w="1556" w:type="dxa"/>
                  <w:shd w:val="clear" w:color="auto" w:fill="auto"/>
                  <w:vAlign w:val="center"/>
                </w:tcPr>
                <w:p>
                  <w:pPr>
                    <w:jc w:val="center"/>
                    <w:rPr>
                      <w:szCs w:val="21"/>
                    </w:rPr>
                  </w:pPr>
                  <w:r>
                    <w:rPr>
                      <w:rFonts w:hint="eastAsia"/>
                      <w:szCs w:val="21"/>
                    </w:rPr>
                    <w:t>生活污水</w:t>
                  </w:r>
                </w:p>
              </w:tc>
              <w:tc>
                <w:tcPr>
                  <w:tcW w:w="3118" w:type="dxa"/>
                  <w:shd w:val="clear" w:color="auto" w:fill="auto"/>
                  <w:vAlign w:val="center"/>
                </w:tcPr>
                <w:p>
                  <w:pPr>
                    <w:jc w:val="center"/>
                    <w:rPr>
                      <w:szCs w:val="21"/>
                    </w:rPr>
                  </w:pPr>
                  <w:r>
                    <w:rPr>
                      <w:rFonts w:hint="eastAsia"/>
                      <w:szCs w:val="21"/>
                    </w:rPr>
                    <w:t>项目生活污水包括办公生活污水。办公生活污水经三级化粪池预处理后排入灌溉水沟</w:t>
                  </w:r>
                  <w:r>
                    <w:rPr>
                      <w:bCs/>
                      <w:szCs w:val="21"/>
                    </w:rPr>
                    <w:t>。</w:t>
                  </w:r>
                  <w:r>
                    <w:rPr>
                      <w:szCs w:val="21"/>
                    </w:rPr>
                    <w:t>厂区不设置生活污水排放口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42" w:type="dxa"/>
                  <w:vMerge w:val="continue"/>
                  <w:shd w:val="clear" w:color="auto" w:fill="auto"/>
                  <w:vAlign w:val="center"/>
                </w:tcPr>
                <w:p>
                  <w:pPr>
                    <w:jc w:val="center"/>
                    <w:rPr>
                      <w:szCs w:val="21"/>
                    </w:rPr>
                  </w:pPr>
                </w:p>
              </w:tc>
              <w:tc>
                <w:tcPr>
                  <w:tcW w:w="1417" w:type="dxa"/>
                  <w:vMerge w:val="restart"/>
                  <w:shd w:val="clear" w:color="auto" w:fill="auto"/>
                  <w:vAlign w:val="center"/>
                </w:tcPr>
                <w:p>
                  <w:pPr>
                    <w:jc w:val="center"/>
                    <w:rPr>
                      <w:szCs w:val="21"/>
                    </w:rPr>
                  </w:pPr>
                  <w:r>
                    <w:rPr>
                      <w:rFonts w:hint="eastAsia"/>
                      <w:szCs w:val="21"/>
                    </w:rPr>
                    <w:t>废气治理</w:t>
                  </w:r>
                </w:p>
              </w:tc>
              <w:tc>
                <w:tcPr>
                  <w:tcW w:w="1872" w:type="dxa"/>
                  <w:vAlign w:val="center"/>
                </w:tcPr>
                <w:p>
                  <w:pPr>
                    <w:jc w:val="center"/>
                    <w:rPr>
                      <w:szCs w:val="21"/>
                    </w:rPr>
                  </w:pPr>
                  <w:r>
                    <w:rPr>
                      <w:rFonts w:hint="eastAsia"/>
                      <w:szCs w:val="21"/>
                    </w:rPr>
                    <w:t>——</w:t>
                  </w:r>
                </w:p>
              </w:tc>
              <w:tc>
                <w:tcPr>
                  <w:tcW w:w="1556" w:type="dxa"/>
                  <w:shd w:val="clear" w:color="auto" w:fill="auto"/>
                  <w:vAlign w:val="center"/>
                </w:tcPr>
                <w:p>
                  <w:pPr>
                    <w:jc w:val="center"/>
                    <w:rPr>
                      <w:szCs w:val="21"/>
                    </w:rPr>
                  </w:pPr>
                  <w:r>
                    <w:rPr>
                      <w:rFonts w:hint="eastAsia" w:ascii="宋体" w:cs="宋体"/>
                      <w:kern w:val="0"/>
                      <w:szCs w:val="21"/>
                    </w:rPr>
                    <w:t>投料工序扬尘</w:t>
                  </w:r>
                </w:p>
              </w:tc>
              <w:tc>
                <w:tcPr>
                  <w:tcW w:w="3118" w:type="dxa"/>
                  <w:shd w:val="clear" w:color="auto" w:fill="auto"/>
                  <w:vAlign w:val="center"/>
                </w:tcPr>
                <w:p>
                  <w:pPr>
                    <w:jc w:val="center"/>
                    <w:rPr>
                      <w:szCs w:val="21"/>
                    </w:rPr>
                  </w:pPr>
                  <w:r>
                    <w:rPr>
                      <w:rFonts w:hint="eastAsia" w:ascii="宋体" w:cs="宋体"/>
                      <w:kern w:val="0"/>
                      <w:szCs w:val="21"/>
                    </w:rPr>
                    <w:t>喷雾降尘装置, 加装彩钢板, 密封阻挡隔尘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42" w:type="dxa"/>
                  <w:vMerge w:val="continue"/>
                  <w:shd w:val="clear" w:color="auto" w:fill="auto"/>
                  <w:vAlign w:val="center"/>
                </w:tcPr>
                <w:p>
                  <w:pPr>
                    <w:jc w:val="center"/>
                    <w:rPr>
                      <w:szCs w:val="21"/>
                    </w:rPr>
                  </w:pPr>
                </w:p>
              </w:tc>
              <w:tc>
                <w:tcPr>
                  <w:tcW w:w="1417" w:type="dxa"/>
                  <w:vMerge w:val="continue"/>
                  <w:shd w:val="clear" w:color="auto" w:fill="auto"/>
                  <w:vAlign w:val="center"/>
                </w:tcPr>
                <w:p>
                  <w:pPr>
                    <w:jc w:val="center"/>
                    <w:rPr>
                      <w:szCs w:val="21"/>
                    </w:rPr>
                  </w:pPr>
                </w:p>
              </w:tc>
              <w:tc>
                <w:tcPr>
                  <w:tcW w:w="1872" w:type="dxa"/>
                  <w:vAlign w:val="center"/>
                </w:tcPr>
                <w:p>
                  <w:pPr>
                    <w:jc w:val="center"/>
                    <w:rPr>
                      <w:szCs w:val="21"/>
                    </w:rPr>
                  </w:pPr>
                  <w:r>
                    <w:rPr>
                      <w:rFonts w:hint="eastAsia"/>
                      <w:szCs w:val="21"/>
                    </w:rPr>
                    <w:t>——</w:t>
                  </w:r>
                </w:p>
              </w:tc>
              <w:tc>
                <w:tcPr>
                  <w:tcW w:w="1556" w:type="dxa"/>
                  <w:shd w:val="clear" w:color="auto" w:fill="auto"/>
                  <w:vAlign w:val="center"/>
                </w:tcPr>
                <w:p>
                  <w:pPr>
                    <w:jc w:val="center"/>
                    <w:rPr>
                      <w:szCs w:val="21"/>
                    </w:rPr>
                  </w:pPr>
                  <w:r>
                    <w:rPr>
                      <w:rFonts w:hint="eastAsia" w:ascii="宋体" w:cs="宋体"/>
                      <w:kern w:val="0"/>
                      <w:szCs w:val="21"/>
                    </w:rPr>
                    <w:t>堆场粉尘</w:t>
                  </w:r>
                </w:p>
              </w:tc>
              <w:tc>
                <w:tcPr>
                  <w:tcW w:w="3118" w:type="dxa"/>
                  <w:shd w:val="clear" w:color="auto" w:fill="auto"/>
                  <w:vAlign w:val="center"/>
                </w:tcPr>
                <w:p>
                  <w:pPr>
                    <w:jc w:val="center"/>
                    <w:rPr>
                      <w:szCs w:val="21"/>
                    </w:rPr>
                  </w:pPr>
                  <w:r>
                    <w:rPr>
                      <w:rFonts w:hint="eastAsia" w:ascii="宋体" w:cs="宋体"/>
                      <w:kern w:val="0"/>
                      <w:szCs w:val="21"/>
                    </w:rPr>
                    <w:t>定期洒水降尘, 加装彩钢板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42" w:type="dxa"/>
                  <w:vMerge w:val="continue"/>
                  <w:shd w:val="clear" w:color="auto" w:fill="auto"/>
                  <w:vAlign w:val="center"/>
                </w:tcPr>
                <w:p>
                  <w:pPr>
                    <w:jc w:val="center"/>
                    <w:rPr>
                      <w:szCs w:val="21"/>
                    </w:rPr>
                  </w:pPr>
                </w:p>
              </w:tc>
              <w:tc>
                <w:tcPr>
                  <w:tcW w:w="1417" w:type="dxa"/>
                  <w:vMerge w:val="continue"/>
                  <w:shd w:val="clear" w:color="auto" w:fill="auto"/>
                  <w:vAlign w:val="center"/>
                </w:tcPr>
                <w:p>
                  <w:pPr>
                    <w:jc w:val="center"/>
                    <w:rPr>
                      <w:szCs w:val="21"/>
                    </w:rPr>
                  </w:pPr>
                </w:p>
              </w:tc>
              <w:tc>
                <w:tcPr>
                  <w:tcW w:w="1872" w:type="dxa"/>
                  <w:vAlign w:val="center"/>
                </w:tcPr>
                <w:p>
                  <w:pPr>
                    <w:jc w:val="center"/>
                    <w:rPr>
                      <w:szCs w:val="21"/>
                    </w:rPr>
                  </w:pPr>
                  <w:r>
                    <w:rPr>
                      <w:rFonts w:hint="eastAsia"/>
                      <w:szCs w:val="21"/>
                    </w:rPr>
                    <w:t>——</w:t>
                  </w:r>
                </w:p>
              </w:tc>
              <w:tc>
                <w:tcPr>
                  <w:tcW w:w="1556" w:type="dxa"/>
                  <w:shd w:val="clear" w:color="auto" w:fill="auto"/>
                  <w:vAlign w:val="center"/>
                </w:tcPr>
                <w:p>
                  <w:pPr>
                    <w:jc w:val="center"/>
                    <w:rPr>
                      <w:szCs w:val="21"/>
                    </w:rPr>
                  </w:pPr>
                  <w:r>
                    <w:rPr>
                      <w:kern w:val="0"/>
                      <w:szCs w:val="21"/>
                    </w:rPr>
                    <w:t>卸料粉尘</w:t>
                  </w:r>
                </w:p>
              </w:tc>
              <w:tc>
                <w:tcPr>
                  <w:tcW w:w="3118" w:type="dxa"/>
                  <w:shd w:val="clear" w:color="auto" w:fill="auto"/>
                  <w:vAlign w:val="center"/>
                </w:tcPr>
                <w:p>
                  <w:pPr>
                    <w:jc w:val="center"/>
                    <w:rPr>
                      <w:szCs w:val="21"/>
                    </w:rPr>
                  </w:pPr>
                  <w:r>
                    <w:rPr>
                      <w:rFonts w:hint="eastAsia" w:ascii="宋体" w:cs="宋体"/>
                      <w:kern w:val="0"/>
                      <w:szCs w:val="21"/>
                    </w:rPr>
                    <w:t>部分封闭并附纤维过滤袋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42" w:type="dxa"/>
                  <w:vMerge w:val="continue"/>
                  <w:shd w:val="clear" w:color="auto" w:fill="auto"/>
                  <w:vAlign w:val="center"/>
                </w:tcPr>
                <w:p>
                  <w:pPr>
                    <w:jc w:val="center"/>
                    <w:rPr>
                      <w:szCs w:val="21"/>
                    </w:rPr>
                  </w:pPr>
                </w:p>
              </w:tc>
              <w:tc>
                <w:tcPr>
                  <w:tcW w:w="1417" w:type="dxa"/>
                  <w:shd w:val="clear" w:color="auto" w:fill="auto"/>
                  <w:vAlign w:val="center"/>
                </w:tcPr>
                <w:p>
                  <w:pPr>
                    <w:jc w:val="center"/>
                    <w:rPr>
                      <w:szCs w:val="21"/>
                    </w:rPr>
                  </w:pPr>
                  <w:r>
                    <w:rPr>
                      <w:rFonts w:hint="eastAsia"/>
                      <w:szCs w:val="21"/>
                    </w:rPr>
                    <w:t>噪声治理</w:t>
                  </w:r>
                </w:p>
              </w:tc>
              <w:tc>
                <w:tcPr>
                  <w:tcW w:w="1872" w:type="dxa"/>
                  <w:vAlign w:val="center"/>
                </w:tcPr>
                <w:p>
                  <w:pPr>
                    <w:jc w:val="center"/>
                    <w:rPr>
                      <w:szCs w:val="21"/>
                    </w:rPr>
                  </w:pPr>
                  <w:r>
                    <w:rPr>
                      <w:rFonts w:hint="eastAsia"/>
                      <w:szCs w:val="21"/>
                    </w:rPr>
                    <w:t>——</w:t>
                  </w:r>
                </w:p>
              </w:tc>
              <w:tc>
                <w:tcPr>
                  <w:tcW w:w="1556" w:type="dxa"/>
                  <w:shd w:val="clear" w:color="auto" w:fill="auto"/>
                  <w:vAlign w:val="center"/>
                </w:tcPr>
                <w:p>
                  <w:pPr>
                    <w:jc w:val="center"/>
                    <w:rPr>
                      <w:szCs w:val="21"/>
                    </w:rPr>
                  </w:pPr>
                  <w:r>
                    <w:rPr>
                      <w:rFonts w:hint="eastAsia"/>
                      <w:szCs w:val="21"/>
                    </w:rPr>
                    <w:t>设备噪声</w:t>
                  </w:r>
                </w:p>
              </w:tc>
              <w:tc>
                <w:tcPr>
                  <w:tcW w:w="3118" w:type="dxa"/>
                  <w:shd w:val="clear" w:color="auto" w:fill="auto"/>
                  <w:vAlign w:val="center"/>
                </w:tcPr>
                <w:p>
                  <w:pPr>
                    <w:jc w:val="center"/>
                    <w:rPr>
                      <w:szCs w:val="21"/>
                    </w:rPr>
                  </w:pPr>
                  <w:r>
                    <w:rPr>
                      <w:rFonts w:hint="eastAsia"/>
                      <w:szCs w:val="21"/>
                    </w:rPr>
                    <w:t>减振、隔声、距离衰减</w:t>
                  </w:r>
                  <w:r>
                    <w:rPr>
                      <w:szCs w:val="21"/>
                    </w:rPr>
                    <w:t>等</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42" w:type="dxa"/>
                  <w:vMerge w:val="continue"/>
                  <w:shd w:val="clear" w:color="auto" w:fill="auto"/>
                  <w:vAlign w:val="center"/>
                </w:tcPr>
                <w:p>
                  <w:pPr>
                    <w:jc w:val="center"/>
                    <w:rPr>
                      <w:szCs w:val="21"/>
                    </w:rPr>
                  </w:pPr>
                </w:p>
              </w:tc>
              <w:tc>
                <w:tcPr>
                  <w:tcW w:w="1417" w:type="dxa"/>
                  <w:vMerge w:val="restart"/>
                  <w:shd w:val="clear" w:color="auto" w:fill="auto"/>
                  <w:vAlign w:val="center"/>
                </w:tcPr>
                <w:p>
                  <w:pPr>
                    <w:jc w:val="center"/>
                    <w:rPr>
                      <w:szCs w:val="21"/>
                    </w:rPr>
                  </w:pPr>
                  <w:r>
                    <w:rPr>
                      <w:rFonts w:hint="eastAsia"/>
                      <w:szCs w:val="21"/>
                    </w:rPr>
                    <w:t>固废治理</w:t>
                  </w:r>
                </w:p>
              </w:tc>
              <w:tc>
                <w:tcPr>
                  <w:tcW w:w="1872" w:type="dxa"/>
                  <w:vAlign w:val="center"/>
                </w:tcPr>
                <w:p>
                  <w:pPr>
                    <w:jc w:val="center"/>
                    <w:rPr>
                      <w:szCs w:val="21"/>
                    </w:rPr>
                  </w:pPr>
                  <w:r>
                    <w:rPr>
                      <w:rFonts w:hint="eastAsia"/>
                      <w:szCs w:val="21"/>
                    </w:rPr>
                    <w:t>——</w:t>
                  </w:r>
                </w:p>
              </w:tc>
              <w:tc>
                <w:tcPr>
                  <w:tcW w:w="1556" w:type="dxa"/>
                  <w:shd w:val="clear" w:color="auto" w:fill="auto"/>
                  <w:vAlign w:val="center"/>
                </w:tcPr>
                <w:p>
                  <w:pPr>
                    <w:jc w:val="center"/>
                    <w:rPr>
                      <w:szCs w:val="21"/>
                    </w:rPr>
                  </w:pPr>
                  <w:r>
                    <w:rPr>
                      <w:rFonts w:hint="eastAsia"/>
                      <w:bCs/>
                      <w:szCs w:val="21"/>
                    </w:rPr>
                    <w:t>泥沙</w:t>
                  </w:r>
                </w:p>
              </w:tc>
              <w:tc>
                <w:tcPr>
                  <w:tcW w:w="3118" w:type="dxa"/>
                  <w:vMerge w:val="restart"/>
                  <w:shd w:val="clear" w:color="auto" w:fill="auto"/>
                  <w:vAlign w:val="center"/>
                </w:tcPr>
                <w:p>
                  <w:pPr>
                    <w:jc w:val="center"/>
                    <w:rPr>
                      <w:szCs w:val="21"/>
                    </w:rPr>
                  </w:pPr>
                  <w:r>
                    <w:rPr>
                      <w:rFonts w:hint="eastAsia" w:ascii="宋体" w:cs="宋体"/>
                      <w:kern w:val="0"/>
                      <w:szCs w:val="21"/>
                    </w:rPr>
                    <w:t>出售给相关厂家回收利用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42" w:type="dxa"/>
                  <w:vMerge w:val="continue"/>
                  <w:shd w:val="clear" w:color="auto" w:fill="auto"/>
                  <w:vAlign w:val="center"/>
                </w:tcPr>
                <w:p>
                  <w:pPr>
                    <w:jc w:val="center"/>
                    <w:rPr>
                      <w:szCs w:val="21"/>
                    </w:rPr>
                  </w:pPr>
                </w:p>
              </w:tc>
              <w:tc>
                <w:tcPr>
                  <w:tcW w:w="1417" w:type="dxa"/>
                  <w:vMerge w:val="continue"/>
                  <w:shd w:val="clear" w:color="auto" w:fill="auto"/>
                  <w:vAlign w:val="center"/>
                </w:tcPr>
                <w:p>
                  <w:pPr>
                    <w:jc w:val="center"/>
                    <w:rPr>
                      <w:szCs w:val="21"/>
                    </w:rPr>
                  </w:pPr>
                </w:p>
              </w:tc>
              <w:tc>
                <w:tcPr>
                  <w:tcW w:w="1872" w:type="dxa"/>
                  <w:vAlign w:val="center"/>
                </w:tcPr>
                <w:p>
                  <w:pPr>
                    <w:jc w:val="center"/>
                    <w:rPr>
                      <w:szCs w:val="21"/>
                    </w:rPr>
                  </w:pPr>
                  <w:r>
                    <w:rPr>
                      <w:rFonts w:hint="eastAsia"/>
                      <w:szCs w:val="21"/>
                    </w:rPr>
                    <w:t>——</w:t>
                  </w:r>
                </w:p>
              </w:tc>
              <w:tc>
                <w:tcPr>
                  <w:tcW w:w="1556" w:type="dxa"/>
                  <w:shd w:val="clear" w:color="auto" w:fill="auto"/>
                  <w:vAlign w:val="center"/>
                </w:tcPr>
                <w:p>
                  <w:pPr>
                    <w:jc w:val="center"/>
                    <w:rPr>
                      <w:szCs w:val="21"/>
                    </w:rPr>
                  </w:pPr>
                  <w:r>
                    <w:rPr>
                      <w:rFonts w:hint="eastAsia"/>
                      <w:szCs w:val="21"/>
                    </w:rPr>
                    <w:t>沉淀池淤泥</w:t>
                  </w:r>
                </w:p>
              </w:tc>
              <w:tc>
                <w:tcPr>
                  <w:tcW w:w="3118" w:type="dxa"/>
                  <w:vMerge w:val="continue"/>
                  <w:shd w:val="clear" w:color="auto" w:fill="auto"/>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42" w:type="dxa"/>
                  <w:vMerge w:val="continue"/>
                  <w:shd w:val="clear" w:color="auto" w:fill="auto"/>
                  <w:vAlign w:val="center"/>
                </w:tcPr>
                <w:p>
                  <w:pPr>
                    <w:jc w:val="center"/>
                    <w:rPr>
                      <w:szCs w:val="21"/>
                    </w:rPr>
                  </w:pPr>
                </w:p>
              </w:tc>
              <w:tc>
                <w:tcPr>
                  <w:tcW w:w="1417" w:type="dxa"/>
                  <w:vMerge w:val="continue"/>
                  <w:shd w:val="clear" w:color="auto" w:fill="auto"/>
                  <w:vAlign w:val="center"/>
                </w:tcPr>
                <w:p>
                  <w:pPr>
                    <w:jc w:val="center"/>
                    <w:rPr>
                      <w:szCs w:val="21"/>
                    </w:rPr>
                  </w:pPr>
                </w:p>
              </w:tc>
              <w:tc>
                <w:tcPr>
                  <w:tcW w:w="1872" w:type="dxa"/>
                  <w:vAlign w:val="center"/>
                </w:tcPr>
                <w:p>
                  <w:pPr>
                    <w:jc w:val="center"/>
                    <w:rPr>
                      <w:szCs w:val="21"/>
                    </w:rPr>
                  </w:pPr>
                  <w:r>
                    <w:rPr>
                      <w:rFonts w:hint="eastAsia"/>
                      <w:szCs w:val="21"/>
                    </w:rPr>
                    <w:t>——</w:t>
                  </w:r>
                </w:p>
              </w:tc>
              <w:tc>
                <w:tcPr>
                  <w:tcW w:w="1556" w:type="dxa"/>
                  <w:shd w:val="clear" w:color="auto" w:fill="auto"/>
                  <w:vAlign w:val="center"/>
                </w:tcPr>
                <w:p>
                  <w:pPr>
                    <w:jc w:val="center"/>
                    <w:rPr>
                      <w:szCs w:val="21"/>
                    </w:rPr>
                  </w:pPr>
                  <w:r>
                    <w:rPr>
                      <w:szCs w:val="21"/>
                    </w:rPr>
                    <w:t>生活垃圾</w:t>
                  </w:r>
                </w:p>
              </w:tc>
              <w:tc>
                <w:tcPr>
                  <w:tcW w:w="3118" w:type="dxa"/>
                  <w:shd w:val="clear" w:color="auto" w:fill="auto"/>
                  <w:vAlign w:val="center"/>
                </w:tcPr>
                <w:p>
                  <w:pPr>
                    <w:jc w:val="center"/>
                    <w:rPr>
                      <w:szCs w:val="21"/>
                    </w:rPr>
                  </w:pPr>
                  <w:r>
                    <w:rPr>
                      <w:szCs w:val="21"/>
                    </w:rPr>
                    <w:t>由环卫部门收集处理</w:t>
                  </w:r>
                </w:p>
              </w:tc>
            </w:tr>
          </w:tbl>
          <w:p>
            <w:pPr>
              <w:snapToGrid w:val="0"/>
              <w:spacing w:before="240" w:line="360" w:lineRule="auto"/>
              <w:ind w:firstLine="482" w:firstLineChars="200"/>
              <w:rPr>
                <w:b/>
                <w:sz w:val="24"/>
              </w:rPr>
            </w:pPr>
            <w:r>
              <w:rPr>
                <w:b/>
                <w:sz w:val="24"/>
              </w:rPr>
              <w:t>2、</w:t>
            </w:r>
            <w:r>
              <w:rPr>
                <w:rFonts w:hint="eastAsia"/>
                <w:b/>
                <w:sz w:val="24"/>
              </w:rPr>
              <w:t>项目产能规模</w:t>
            </w:r>
          </w:p>
          <w:p>
            <w:pPr>
              <w:autoSpaceDE w:val="0"/>
              <w:autoSpaceDN w:val="0"/>
              <w:adjustRightInd w:val="0"/>
              <w:spacing w:line="360" w:lineRule="auto"/>
              <w:ind w:firstLine="480" w:firstLineChars="200"/>
              <w:jc w:val="left"/>
              <w:rPr>
                <w:rFonts w:ascii="TimesNewRomanPSMT" w:hAnsi="TimesNewRomanPSMT" w:cs="TimesNewRomanPSMT"/>
                <w:kern w:val="0"/>
                <w:sz w:val="24"/>
              </w:rPr>
            </w:pPr>
            <w:r>
              <w:rPr>
                <w:rFonts w:hint="eastAsia" w:ascii="宋体" w:cs="宋体"/>
                <w:kern w:val="0"/>
                <w:sz w:val="24"/>
              </w:rPr>
              <w:t>本项目主要从事陶瓷石料的制造和销售，年加工高岭土</w:t>
            </w:r>
            <w:r>
              <w:rPr>
                <w:rFonts w:ascii="TimesNewRomanPSMT" w:hAnsi="TimesNewRomanPSMT" w:cs="TimesNewRomanPSMT"/>
                <w:kern w:val="0"/>
                <w:sz w:val="24"/>
              </w:rPr>
              <w:t>4.6</w:t>
            </w:r>
            <w:r>
              <w:rPr>
                <w:rFonts w:hint="eastAsia" w:ascii="宋体" w:cs="宋体"/>
                <w:kern w:val="0"/>
                <w:sz w:val="24"/>
              </w:rPr>
              <w:t>万吨，生产高纯度高岭土</w:t>
            </w:r>
            <w:r>
              <w:rPr>
                <w:rFonts w:ascii="TimesNewRomanPSMT" w:hAnsi="TimesNewRomanPSMT" w:cs="TimesNewRomanPSMT"/>
                <w:kern w:val="0"/>
                <w:sz w:val="24"/>
              </w:rPr>
              <w:t>4</w:t>
            </w:r>
            <w:r>
              <w:rPr>
                <w:rFonts w:hint="eastAsia" w:ascii="宋体" w:cs="宋体"/>
                <w:kern w:val="0"/>
                <w:sz w:val="24"/>
              </w:rPr>
              <w:t>万吨。</w:t>
            </w:r>
            <w:r>
              <w:rPr>
                <w:sz w:val="24"/>
              </w:rPr>
              <w:t>本项目</w:t>
            </w:r>
            <w:r>
              <w:rPr>
                <w:rFonts w:hint="eastAsia"/>
                <w:sz w:val="24"/>
              </w:rPr>
              <w:t>主要生产产品的详细情况见表2。</w:t>
            </w:r>
          </w:p>
          <w:p>
            <w:pPr>
              <w:adjustRightInd w:val="0"/>
              <w:snapToGrid w:val="0"/>
              <w:ind w:firstLine="422" w:firstLineChars="200"/>
              <w:jc w:val="center"/>
              <w:rPr>
                <w:b/>
                <w:szCs w:val="21"/>
              </w:rPr>
            </w:pPr>
            <w:r>
              <w:rPr>
                <w:b/>
                <w:szCs w:val="21"/>
              </w:rPr>
              <w:t>表</w:t>
            </w:r>
            <w:r>
              <w:rPr>
                <w:rFonts w:hint="eastAsia"/>
                <w:b/>
                <w:szCs w:val="21"/>
              </w:rPr>
              <w:t>2</w:t>
            </w:r>
            <w:r>
              <w:rPr>
                <w:b/>
                <w:szCs w:val="21"/>
              </w:rPr>
              <w:t xml:space="preserve"> </w:t>
            </w:r>
            <w:r>
              <w:rPr>
                <w:rFonts w:hint="eastAsia"/>
                <w:b/>
                <w:szCs w:val="21"/>
              </w:rPr>
              <w:t>项目产品及产量</w:t>
            </w:r>
          </w:p>
          <w:tbl>
            <w:tblPr>
              <w:tblStyle w:val="25"/>
              <w:tblW w:w="870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2"/>
              <w:gridCol w:w="2675"/>
              <w:gridCol w:w="4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12" w:type="dxa"/>
                  <w:vAlign w:val="center"/>
                </w:tcPr>
                <w:p>
                  <w:pPr>
                    <w:jc w:val="center"/>
                    <w:rPr>
                      <w:b/>
                    </w:rPr>
                  </w:pPr>
                  <w:r>
                    <w:rPr>
                      <w:rFonts w:hint="eastAsia"/>
                      <w:b/>
                    </w:rPr>
                    <w:t>序号</w:t>
                  </w:r>
                </w:p>
              </w:tc>
              <w:tc>
                <w:tcPr>
                  <w:tcW w:w="2675" w:type="dxa"/>
                  <w:vAlign w:val="center"/>
                </w:tcPr>
                <w:p>
                  <w:pPr>
                    <w:jc w:val="center"/>
                    <w:rPr>
                      <w:b/>
                    </w:rPr>
                  </w:pPr>
                  <w:r>
                    <w:rPr>
                      <w:rFonts w:hint="eastAsia"/>
                      <w:b/>
                    </w:rPr>
                    <w:t>产品名称</w:t>
                  </w:r>
                </w:p>
              </w:tc>
              <w:tc>
                <w:tcPr>
                  <w:tcW w:w="4422" w:type="dxa"/>
                  <w:vAlign w:val="center"/>
                </w:tcPr>
                <w:p>
                  <w:pPr>
                    <w:jc w:val="center"/>
                    <w:rPr>
                      <w:b/>
                    </w:rPr>
                  </w:pPr>
                  <w:r>
                    <w:rPr>
                      <w:rFonts w:hint="eastAsia"/>
                      <w:b/>
                    </w:rPr>
                    <w:t>年产量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12" w:type="dxa"/>
                  <w:vAlign w:val="center"/>
                </w:tcPr>
                <w:p>
                  <w:pPr>
                    <w:jc w:val="center"/>
                    <w:rPr>
                      <w:szCs w:val="21"/>
                    </w:rPr>
                  </w:pPr>
                  <w:r>
                    <w:rPr>
                      <w:szCs w:val="21"/>
                    </w:rPr>
                    <w:t>1</w:t>
                  </w:r>
                </w:p>
              </w:tc>
              <w:tc>
                <w:tcPr>
                  <w:tcW w:w="2675" w:type="dxa"/>
                  <w:vAlign w:val="center"/>
                </w:tcPr>
                <w:p>
                  <w:pPr>
                    <w:jc w:val="center"/>
                    <w:rPr>
                      <w:szCs w:val="20"/>
                    </w:rPr>
                  </w:pPr>
                  <w:r>
                    <w:rPr>
                      <w:rFonts w:hint="eastAsia" w:ascii="宋体" w:cs="宋体"/>
                      <w:kern w:val="0"/>
                      <w:sz w:val="24"/>
                    </w:rPr>
                    <w:t>高纯度高岭土</w:t>
                  </w:r>
                </w:p>
              </w:tc>
              <w:tc>
                <w:tcPr>
                  <w:tcW w:w="4422" w:type="dxa"/>
                  <w:vAlign w:val="center"/>
                </w:tcPr>
                <w:p>
                  <w:pPr>
                    <w:jc w:val="center"/>
                    <w:rPr>
                      <w:szCs w:val="20"/>
                    </w:rPr>
                  </w:pPr>
                  <w:r>
                    <w:rPr>
                      <w:bCs/>
                    </w:rPr>
                    <w:t>4</w:t>
                  </w:r>
                  <w:r>
                    <w:rPr>
                      <w:rFonts w:hint="eastAsia"/>
                      <w:bCs/>
                    </w:rPr>
                    <w:t>吨</w:t>
                  </w:r>
                </w:p>
              </w:tc>
            </w:tr>
          </w:tbl>
          <w:p>
            <w:pPr>
              <w:autoSpaceDE w:val="0"/>
              <w:autoSpaceDN w:val="0"/>
              <w:adjustRightInd w:val="0"/>
              <w:spacing w:line="360" w:lineRule="auto"/>
              <w:ind w:firstLine="480" w:firstLineChars="200"/>
              <w:rPr>
                <w:kern w:val="0"/>
                <w:sz w:val="24"/>
              </w:rPr>
            </w:pPr>
            <w:r>
              <w:rPr>
                <w:kern w:val="0"/>
                <w:sz w:val="24"/>
              </w:rPr>
              <w:t>备注：项目采购原料含水率为13%，固体份为87%，原料采购量为</w:t>
            </w:r>
            <w:r>
              <w:rPr>
                <w:rFonts w:hint="eastAsia"/>
                <w:kern w:val="0"/>
                <w:sz w:val="24"/>
              </w:rPr>
              <w:t>4</w:t>
            </w:r>
            <w:r>
              <w:rPr>
                <w:kern w:val="0"/>
                <w:sz w:val="24"/>
              </w:rPr>
              <w:t>.6万t/a，则原料固份量为46000×0.87=40000t/a，固份中70%为高纯度高岭土，28%为泥沙，另2%为过滤沉淀池沉渣，项目产品经压滤后，含水率为30%，则根据固含量计算产品高纯度高岭土量为40000t/a。</w:t>
            </w:r>
          </w:p>
          <w:p>
            <w:pPr>
              <w:spacing w:before="120" w:beforeLines="50" w:line="360" w:lineRule="auto"/>
              <w:ind w:firstLine="482" w:firstLineChars="200"/>
              <w:rPr>
                <w:b/>
                <w:sz w:val="24"/>
              </w:rPr>
            </w:pPr>
            <w:r>
              <w:rPr>
                <w:rFonts w:hint="eastAsia"/>
                <w:b/>
                <w:sz w:val="24"/>
              </w:rPr>
              <w:t>3</w:t>
            </w:r>
            <w:r>
              <w:rPr>
                <w:b/>
                <w:sz w:val="24"/>
              </w:rPr>
              <w:t>、主要</w:t>
            </w:r>
            <w:r>
              <w:rPr>
                <w:rFonts w:hint="eastAsia"/>
                <w:b/>
                <w:sz w:val="24"/>
              </w:rPr>
              <w:t>原辅料及用量</w:t>
            </w:r>
          </w:p>
          <w:p>
            <w:pPr>
              <w:autoSpaceDE w:val="0"/>
              <w:autoSpaceDN w:val="0"/>
              <w:adjustRightInd w:val="0"/>
              <w:spacing w:line="360" w:lineRule="auto"/>
              <w:ind w:firstLine="480" w:firstLineChars="200"/>
              <w:rPr>
                <w:rFonts w:ascii="宋体" w:cs="宋体"/>
                <w:kern w:val="0"/>
                <w:sz w:val="24"/>
              </w:rPr>
            </w:pPr>
            <w:r>
              <w:rPr>
                <w:rFonts w:hint="eastAsia"/>
                <w:kern w:val="0"/>
                <w:sz w:val="24"/>
              </w:rPr>
              <w:t>本项目主要原辅料及用量见表3。</w:t>
            </w:r>
          </w:p>
          <w:p>
            <w:pPr>
              <w:adjustRightInd w:val="0"/>
              <w:snapToGrid w:val="0"/>
              <w:ind w:firstLine="422" w:firstLineChars="200"/>
              <w:jc w:val="center"/>
              <w:rPr>
                <w:rFonts w:eastAsiaTheme="minorEastAsia"/>
                <w:b/>
                <w:szCs w:val="21"/>
              </w:rPr>
            </w:pPr>
            <w:r>
              <w:rPr>
                <w:rFonts w:eastAsiaTheme="minorEastAsia"/>
                <w:b/>
                <w:szCs w:val="21"/>
              </w:rPr>
              <w:t>表3 项目主要原辅料及用量</w:t>
            </w:r>
          </w:p>
          <w:tbl>
            <w:tblPr>
              <w:tblStyle w:val="25"/>
              <w:tblW w:w="853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4"/>
              <w:gridCol w:w="1732"/>
              <w:gridCol w:w="1417"/>
              <w:gridCol w:w="1275"/>
              <w:gridCol w:w="1275"/>
              <w:gridCol w:w="1275"/>
              <w:gridCol w:w="1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514" w:type="dxa"/>
                  <w:vAlign w:val="center"/>
                </w:tcPr>
                <w:p>
                  <w:pPr>
                    <w:pStyle w:val="102"/>
                    <w:ind w:firstLine="0" w:firstLineChars="0"/>
                    <w:jc w:val="center"/>
                    <w:rPr>
                      <w:b/>
                      <w:sz w:val="21"/>
                      <w:szCs w:val="21"/>
                    </w:rPr>
                  </w:pPr>
                  <w:r>
                    <w:rPr>
                      <w:b/>
                      <w:sz w:val="21"/>
                      <w:szCs w:val="21"/>
                    </w:rPr>
                    <w:t>序号</w:t>
                  </w:r>
                </w:p>
              </w:tc>
              <w:tc>
                <w:tcPr>
                  <w:tcW w:w="1732" w:type="dxa"/>
                  <w:vAlign w:val="center"/>
                </w:tcPr>
                <w:p>
                  <w:pPr>
                    <w:pStyle w:val="102"/>
                    <w:ind w:firstLine="0" w:firstLineChars="0"/>
                    <w:jc w:val="center"/>
                    <w:rPr>
                      <w:b/>
                      <w:sz w:val="21"/>
                      <w:szCs w:val="21"/>
                    </w:rPr>
                  </w:pPr>
                  <w:r>
                    <w:rPr>
                      <w:b/>
                      <w:sz w:val="21"/>
                      <w:szCs w:val="21"/>
                    </w:rPr>
                    <w:t>原、辅材料名称</w:t>
                  </w:r>
                </w:p>
              </w:tc>
              <w:tc>
                <w:tcPr>
                  <w:tcW w:w="1417" w:type="dxa"/>
                  <w:vAlign w:val="center"/>
                </w:tcPr>
                <w:p>
                  <w:pPr>
                    <w:pStyle w:val="102"/>
                    <w:ind w:firstLine="0" w:firstLineChars="0"/>
                    <w:jc w:val="center"/>
                    <w:rPr>
                      <w:b/>
                      <w:sz w:val="21"/>
                      <w:szCs w:val="21"/>
                    </w:rPr>
                  </w:pPr>
                  <w:r>
                    <w:rPr>
                      <w:b/>
                      <w:sz w:val="21"/>
                      <w:szCs w:val="21"/>
                    </w:rPr>
                    <w:t>原材料年用量</w:t>
                  </w:r>
                </w:p>
              </w:tc>
              <w:tc>
                <w:tcPr>
                  <w:tcW w:w="1275" w:type="dxa"/>
                  <w:vAlign w:val="center"/>
                </w:tcPr>
                <w:p>
                  <w:pPr>
                    <w:pStyle w:val="102"/>
                    <w:ind w:firstLine="0" w:firstLineChars="0"/>
                    <w:jc w:val="center"/>
                    <w:rPr>
                      <w:b/>
                      <w:sz w:val="21"/>
                      <w:szCs w:val="21"/>
                    </w:rPr>
                  </w:pPr>
                  <w:r>
                    <w:rPr>
                      <w:rFonts w:hint="eastAsia"/>
                      <w:b/>
                      <w:sz w:val="21"/>
                      <w:szCs w:val="21"/>
                    </w:rPr>
                    <w:t>主要</w:t>
                  </w:r>
                  <w:r>
                    <w:rPr>
                      <w:b/>
                      <w:sz w:val="21"/>
                      <w:szCs w:val="21"/>
                    </w:rPr>
                    <w:t>成分</w:t>
                  </w:r>
                </w:p>
              </w:tc>
              <w:tc>
                <w:tcPr>
                  <w:tcW w:w="1275" w:type="dxa"/>
                  <w:vAlign w:val="center"/>
                </w:tcPr>
                <w:p>
                  <w:pPr>
                    <w:pStyle w:val="102"/>
                    <w:ind w:firstLine="0" w:firstLineChars="0"/>
                    <w:jc w:val="center"/>
                    <w:rPr>
                      <w:b/>
                      <w:sz w:val="21"/>
                      <w:szCs w:val="21"/>
                    </w:rPr>
                  </w:pPr>
                  <w:r>
                    <w:rPr>
                      <w:b/>
                      <w:sz w:val="21"/>
                      <w:szCs w:val="21"/>
                    </w:rPr>
                    <w:t>储存方式</w:t>
                  </w:r>
                </w:p>
              </w:tc>
              <w:tc>
                <w:tcPr>
                  <w:tcW w:w="1275" w:type="dxa"/>
                  <w:vAlign w:val="center"/>
                </w:tcPr>
                <w:p>
                  <w:pPr>
                    <w:pStyle w:val="102"/>
                    <w:ind w:firstLine="0" w:firstLineChars="0"/>
                    <w:jc w:val="center"/>
                    <w:rPr>
                      <w:b/>
                      <w:sz w:val="21"/>
                      <w:szCs w:val="21"/>
                    </w:rPr>
                  </w:pPr>
                  <w:r>
                    <w:rPr>
                      <w:rFonts w:hint="eastAsia"/>
                      <w:b/>
                      <w:sz w:val="21"/>
                      <w:szCs w:val="21"/>
                    </w:rPr>
                    <w:t>最大</w:t>
                  </w:r>
                  <w:r>
                    <w:rPr>
                      <w:b/>
                      <w:sz w:val="21"/>
                      <w:szCs w:val="21"/>
                    </w:rPr>
                    <w:t>存储量</w:t>
                  </w:r>
                </w:p>
              </w:tc>
              <w:tc>
                <w:tcPr>
                  <w:tcW w:w="1046" w:type="dxa"/>
                  <w:vAlign w:val="center"/>
                </w:tcPr>
                <w:p>
                  <w:pPr>
                    <w:pStyle w:val="102"/>
                    <w:ind w:firstLine="0" w:firstLineChars="0"/>
                    <w:jc w:val="center"/>
                    <w:rPr>
                      <w:b/>
                      <w:sz w:val="21"/>
                      <w:szCs w:val="21"/>
                    </w:rPr>
                  </w:pPr>
                  <w:r>
                    <w:rPr>
                      <w:b/>
                      <w:sz w:val="21"/>
                      <w:szCs w:val="21"/>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514" w:type="dxa"/>
                  <w:vAlign w:val="center"/>
                </w:tcPr>
                <w:p>
                  <w:pPr>
                    <w:pStyle w:val="102"/>
                    <w:ind w:firstLine="0" w:firstLineChars="0"/>
                    <w:jc w:val="center"/>
                    <w:rPr>
                      <w:sz w:val="21"/>
                      <w:szCs w:val="21"/>
                    </w:rPr>
                  </w:pPr>
                  <w:r>
                    <w:rPr>
                      <w:sz w:val="21"/>
                      <w:szCs w:val="21"/>
                    </w:rPr>
                    <w:t>1</w:t>
                  </w:r>
                </w:p>
              </w:tc>
              <w:tc>
                <w:tcPr>
                  <w:tcW w:w="1732" w:type="dxa"/>
                  <w:vAlign w:val="center"/>
                </w:tcPr>
                <w:p>
                  <w:pPr>
                    <w:widowControl/>
                    <w:adjustRightInd w:val="0"/>
                    <w:snapToGrid w:val="0"/>
                    <w:jc w:val="center"/>
                    <w:rPr>
                      <w:szCs w:val="21"/>
                    </w:rPr>
                  </w:pPr>
                  <w:r>
                    <w:rPr>
                      <w:rFonts w:hint="eastAsia" w:ascii="宋体" w:cs="宋体"/>
                      <w:kern w:val="0"/>
                      <w:szCs w:val="21"/>
                    </w:rPr>
                    <w:t>高纯度高岭土</w:t>
                  </w:r>
                </w:p>
              </w:tc>
              <w:tc>
                <w:tcPr>
                  <w:tcW w:w="1417" w:type="dxa"/>
                  <w:vAlign w:val="center"/>
                </w:tcPr>
                <w:p>
                  <w:pPr>
                    <w:widowControl/>
                    <w:adjustRightInd w:val="0"/>
                    <w:snapToGrid w:val="0"/>
                    <w:jc w:val="center"/>
                    <w:rPr>
                      <w:szCs w:val="21"/>
                    </w:rPr>
                  </w:pPr>
                  <w:r>
                    <w:rPr>
                      <w:szCs w:val="21"/>
                    </w:rPr>
                    <w:t>4.6</w:t>
                  </w:r>
                  <w:r>
                    <w:rPr>
                      <w:rFonts w:hint="eastAsia"/>
                      <w:szCs w:val="21"/>
                    </w:rPr>
                    <w:t>万吨</w:t>
                  </w:r>
                </w:p>
              </w:tc>
              <w:tc>
                <w:tcPr>
                  <w:tcW w:w="1275" w:type="dxa"/>
                  <w:vAlign w:val="center"/>
                </w:tcPr>
                <w:p>
                  <w:pPr>
                    <w:pStyle w:val="102"/>
                    <w:ind w:firstLine="0" w:firstLineChars="0"/>
                    <w:jc w:val="center"/>
                    <w:rPr>
                      <w:sz w:val="21"/>
                      <w:szCs w:val="21"/>
                    </w:rPr>
                  </w:pPr>
                  <w:r>
                    <w:rPr>
                      <w:rFonts w:hint="eastAsia"/>
                      <w:sz w:val="21"/>
                      <w:szCs w:val="21"/>
                    </w:rPr>
                    <w:t>砂矿</w:t>
                  </w:r>
                </w:p>
              </w:tc>
              <w:tc>
                <w:tcPr>
                  <w:tcW w:w="1275" w:type="dxa"/>
                  <w:vAlign w:val="center"/>
                </w:tcPr>
                <w:p>
                  <w:pPr>
                    <w:pStyle w:val="102"/>
                    <w:ind w:firstLine="0" w:firstLineChars="0"/>
                    <w:jc w:val="center"/>
                    <w:rPr>
                      <w:sz w:val="21"/>
                      <w:szCs w:val="21"/>
                    </w:rPr>
                  </w:pPr>
                  <w:r>
                    <w:rPr>
                      <w:sz w:val="21"/>
                      <w:szCs w:val="21"/>
                    </w:rPr>
                    <w:t>仓库堆放</w:t>
                  </w:r>
                </w:p>
              </w:tc>
              <w:tc>
                <w:tcPr>
                  <w:tcW w:w="1275" w:type="dxa"/>
                  <w:vAlign w:val="center"/>
                </w:tcPr>
                <w:p>
                  <w:pPr>
                    <w:widowControl/>
                    <w:adjustRightInd w:val="0"/>
                    <w:snapToGrid w:val="0"/>
                    <w:jc w:val="center"/>
                    <w:rPr>
                      <w:szCs w:val="21"/>
                    </w:rPr>
                  </w:pPr>
                  <w:r>
                    <w:rPr>
                      <w:szCs w:val="21"/>
                    </w:rPr>
                    <w:t>2000</w:t>
                  </w:r>
                  <w:r>
                    <w:rPr>
                      <w:rFonts w:hint="eastAsia"/>
                      <w:szCs w:val="21"/>
                    </w:rPr>
                    <w:t>吨</w:t>
                  </w:r>
                </w:p>
              </w:tc>
              <w:tc>
                <w:tcPr>
                  <w:tcW w:w="1046" w:type="dxa"/>
                  <w:vAlign w:val="center"/>
                </w:tcPr>
                <w:p>
                  <w:pPr>
                    <w:pStyle w:val="102"/>
                    <w:ind w:firstLine="0" w:firstLineChars="0"/>
                    <w:jc w:val="center"/>
                    <w:rPr>
                      <w:sz w:val="21"/>
                      <w:szCs w:val="21"/>
                    </w:rPr>
                  </w:pPr>
                  <w:r>
                    <w:rPr>
                      <w:rFonts w:hint="eastAsia"/>
                      <w:sz w:val="21"/>
                      <w:szCs w:val="21"/>
                    </w:rPr>
                    <w:t>外</w:t>
                  </w:r>
                  <w:r>
                    <w:rPr>
                      <w:sz w:val="21"/>
                      <w:szCs w:val="21"/>
                    </w:rPr>
                    <w:t>购</w:t>
                  </w:r>
                </w:p>
              </w:tc>
            </w:tr>
          </w:tbl>
          <w:p>
            <w:pPr>
              <w:spacing w:before="240" w:line="360" w:lineRule="auto"/>
              <w:ind w:firstLine="482" w:firstLineChars="200"/>
              <w:rPr>
                <w:b/>
                <w:sz w:val="24"/>
              </w:rPr>
            </w:pPr>
            <w:r>
              <w:rPr>
                <w:rFonts w:hint="eastAsia"/>
                <w:b/>
                <w:sz w:val="24"/>
              </w:rPr>
              <w:t>4</w:t>
            </w:r>
            <w:r>
              <w:rPr>
                <w:b/>
                <w:sz w:val="24"/>
              </w:rPr>
              <w:t>、主要</w:t>
            </w:r>
            <w:r>
              <w:rPr>
                <w:rFonts w:hint="eastAsia"/>
                <w:b/>
                <w:sz w:val="24"/>
              </w:rPr>
              <w:t>生产</w:t>
            </w:r>
            <w:r>
              <w:rPr>
                <w:b/>
                <w:sz w:val="24"/>
              </w:rPr>
              <w:t>设备</w:t>
            </w:r>
          </w:p>
          <w:p>
            <w:pPr>
              <w:adjustRightInd w:val="0"/>
              <w:snapToGrid w:val="0"/>
              <w:spacing w:line="360" w:lineRule="auto"/>
              <w:ind w:firstLine="480" w:firstLineChars="200"/>
              <w:rPr>
                <w:kern w:val="0"/>
                <w:sz w:val="24"/>
              </w:rPr>
            </w:pPr>
            <w:r>
              <w:rPr>
                <w:rFonts w:hint="eastAsia"/>
                <w:kern w:val="0"/>
                <w:sz w:val="24"/>
              </w:rPr>
              <w:t>本项目主要使用设备见表</w:t>
            </w:r>
            <w:r>
              <w:rPr>
                <w:kern w:val="0"/>
                <w:sz w:val="24"/>
              </w:rPr>
              <w:t>4</w:t>
            </w:r>
            <w:r>
              <w:rPr>
                <w:rFonts w:hint="eastAsia"/>
                <w:kern w:val="0"/>
                <w:sz w:val="24"/>
              </w:rPr>
              <w:t>。</w:t>
            </w:r>
          </w:p>
          <w:p>
            <w:pPr>
              <w:snapToGrid w:val="0"/>
              <w:jc w:val="center"/>
              <w:rPr>
                <w:b/>
                <w:szCs w:val="21"/>
              </w:rPr>
            </w:pPr>
            <w:r>
              <w:rPr>
                <w:rFonts w:hint="eastAsia"/>
                <w:b/>
                <w:szCs w:val="21"/>
              </w:rPr>
              <w:t>表</w:t>
            </w:r>
            <w:r>
              <w:rPr>
                <w:b/>
                <w:szCs w:val="21"/>
              </w:rPr>
              <w:t>4</w:t>
            </w:r>
            <w:r>
              <w:rPr>
                <w:rFonts w:hint="eastAsia"/>
                <w:b/>
                <w:szCs w:val="21"/>
              </w:rPr>
              <w:t xml:space="preserve"> 本项目主要设备和数量</w:t>
            </w:r>
          </w:p>
          <w:tbl>
            <w:tblPr>
              <w:tblStyle w:val="25"/>
              <w:tblW w:w="87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7"/>
              <w:gridCol w:w="2866"/>
              <w:gridCol w:w="1417"/>
              <w:gridCol w:w="2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47" w:type="dxa"/>
                  <w:vAlign w:val="center"/>
                </w:tcPr>
                <w:p>
                  <w:pPr>
                    <w:jc w:val="center"/>
                    <w:rPr>
                      <w:b/>
                      <w:szCs w:val="21"/>
                    </w:rPr>
                  </w:pPr>
                  <w:r>
                    <w:rPr>
                      <w:rFonts w:hint="eastAsia"/>
                      <w:b/>
                      <w:szCs w:val="21"/>
                    </w:rPr>
                    <w:t>序号</w:t>
                  </w:r>
                </w:p>
              </w:tc>
              <w:tc>
                <w:tcPr>
                  <w:tcW w:w="2866" w:type="dxa"/>
                  <w:vAlign w:val="center"/>
                </w:tcPr>
                <w:p>
                  <w:pPr>
                    <w:jc w:val="center"/>
                    <w:rPr>
                      <w:b/>
                      <w:szCs w:val="21"/>
                    </w:rPr>
                  </w:pPr>
                  <w:r>
                    <w:rPr>
                      <w:rFonts w:hint="eastAsia"/>
                      <w:b/>
                      <w:szCs w:val="21"/>
                    </w:rPr>
                    <w:t>设备名称</w:t>
                  </w:r>
                </w:p>
              </w:tc>
              <w:tc>
                <w:tcPr>
                  <w:tcW w:w="1417" w:type="dxa"/>
                  <w:vAlign w:val="center"/>
                </w:tcPr>
                <w:p>
                  <w:pPr>
                    <w:jc w:val="center"/>
                    <w:rPr>
                      <w:b/>
                      <w:szCs w:val="21"/>
                    </w:rPr>
                  </w:pPr>
                  <w:r>
                    <w:rPr>
                      <w:rFonts w:hint="eastAsia"/>
                      <w:b/>
                      <w:szCs w:val="21"/>
                    </w:rPr>
                    <w:t>数量/台</w:t>
                  </w:r>
                </w:p>
              </w:tc>
              <w:tc>
                <w:tcPr>
                  <w:tcW w:w="2975" w:type="dxa"/>
                  <w:vAlign w:val="center"/>
                </w:tcPr>
                <w:p>
                  <w:pPr>
                    <w:jc w:val="center"/>
                    <w:rPr>
                      <w:b/>
                      <w:szCs w:val="21"/>
                    </w:rPr>
                  </w:pPr>
                  <w:r>
                    <w:rPr>
                      <w:rFonts w:hint="eastAsia"/>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47" w:type="dxa"/>
                  <w:vAlign w:val="center"/>
                </w:tcPr>
                <w:p>
                  <w:pPr>
                    <w:jc w:val="center"/>
                    <w:rPr>
                      <w:szCs w:val="21"/>
                    </w:rPr>
                  </w:pPr>
                  <w:r>
                    <w:rPr>
                      <w:rFonts w:hint="eastAsia"/>
                      <w:szCs w:val="21"/>
                    </w:rPr>
                    <w:t>1</w:t>
                  </w:r>
                </w:p>
              </w:tc>
              <w:tc>
                <w:tcPr>
                  <w:tcW w:w="2866" w:type="dxa"/>
                  <w:vAlign w:val="center"/>
                </w:tcPr>
                <w:p>
                  <w:pPr>
                    <w:widowControl/>
                    <w:adjustRightInd w:val="0"/>
                    <w:snapToGrid w:val="0"/>
                    <w:jc w:val="center"/>
                    <w:rPr>
                      <w:szCs w:val="21"/>
                    </w:rPr>
                  </w:pPr>
                  <w:r>
                    <w:rPr>
                      <w:rFonts w:hint="eastAsia"/>
                      <w:szCs w:val="21"/>
                    </w:rPr>
                    <w:t>鄂式破碎机</w:t>
                  </w:r>
                </w:p>
              </w:tc>
              <w:tc>
                <w:tcPr>
                  <w:tcW w:w="1417" w:type="dxa"/>
                  <w:vAlign w:val="center"/>
                </w:tcPr>
                <w:p>
                  <w:pPr>
                    <w:widowControl/>
                    <w:adjustRightInd w:val="0"/>
                    <w:snapToGrid w:val="0"/>
                    <w:jc w:val="center"/>
                    <w:rPr>
                      <w:szCs w:val="21"/>
                    </w:rPr>
                  </w:pPr>
                  <w:r>
                    <w:rPr>
                      <w:rFonts w:hint="eastAsia"/>
                      <w:szCs w:val="21"/>
                    </w:rPr>
                    <w:t>1</w:t>
                  </w:r>
                </w:p>
              </w:tc>
              <w:tc>
                <w:tcPr>
                  <w:tcW w:w="2975" w:type="dxa"/>
                  <w:vAlign w:val="center"/>
                </w:tcPr>
                <w:p>
                  <w:pPr>
                    <w:widowControl/>
                    <w:adjustRightInd w:val="0"/>
                    <w:snapToGrid w:val="0"/>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47" w:type="dxa"/>
                  <w:vAlign w:val="center"/>
                </w:tcPr>
                <w:p>
                  <w:pPr>
                    <w:jc w:val="center"/>
                    <w:rPr>
                      <w:szCs w:val="21"/>
                    </w:rPr>
                  </w:pPr>
                  <w:r>
                    <w:rPr>
                      <w:rFonts w:hint="eastAsia"/>
                      <w:szCs w:val="21"/>
                    </w:rPr>
                    <w:t>2</w:t>
                  </w:r>
                </w:p>
              </w:tc>
              <w:tc>
                <w:tcPr>
                  <w:tcW w:w="2866" w:type="dxa"/>
                  <w:vAlign w:val="center"/>
                </w:tcPr>
                <w:p>
                  <w:pPr>
                    <w:widowControl/>
                    <w:adjustRightInd w:val="0"/>
                    <w:snapToGrid w:val="0"/>
                    <w:jc w:val="center"/>
                    <w:rPr>
                      <w:szCs w:val="21"/>
                    </w:rPr>
                  </w:pPr>
                  <w:r>
                    <w:rPr>
                      <w:rFonts w:hint="eastAsia"/>
                      <w:szCs w:val="21"/>
                    </w:rPr>
                    <w:t>细碎机</w:t>
                  </w:r>
                </w:p>
              </w:tc>
              <w:tc>
                <w:tcPr>
                  <w:tcW w:w="1417" w:type="dxa"/>
                  <w:vAlign w:val="center"/>
                </w:tcPr>
                <w:p>
                  <w:pPr>
                    <w:widowControl/>
                    <w:adjustRightInd w:val="0"/>
                    <w:snapToGrid w:val="0"/>
                    <w:jc w:val="center"/>
                    <w:rPr>
                      <w:szCs w:val="21"/>
                    </w:rPr>
                  </w:pPr>
                  <w:r>
                    <w:rPr>
                      <w:rFonts w:hint="eastAsia"/>
                      <w:szCs w:val="21"/>
                    </w:rPr>
                    <w:t>2</w:t>
                  </w:r>
                </w:p>
              </w:tc>
              <w:tc>
                <w:tcPr>
                  <w:tcW w:w="2975" w:type="dxa"/>
                  <w:vAlign w:val="center"/>
                </w:tcPr>
                <w:p>
                  <w:pPr>
                    <w:widowControl/>
                    <w:adjustRightInd w:val="0"/>
                    <w:snapToGrid w:val="0"/>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47" w:type="dxa"/>
                  <w:vAlign w:val="center"/>
                </w:tcPr>
                <w:p>
                  <w:pPr>
                    <w:jc w:val="center"/>
                    <w:rPr>
                      <w:szCs w:val="21"/>
                    </w:rPr>
                  </w:pPr>
                  <w:r>
                    <w:rPr>
                      <w:rFonts w:hint="eastAsia"/>
                      <w:szCs w:val="21"/>
                    </w:rPr>
                    <w:t>3</w:t>
                  </w:r>
                </w:p>
              </w:tc>
              <w:tc>
                <w:tcPr>
                  <w:tcW w:w="2866" w:type="dxa"/>
                  <w:vAlign w:val="center"/>
                </w:tcPr>
                <w:p>
                  <w:pPr>
                    <w:widowControl/>
                    <w:adjustRightInd w:val="0"/>
                    <w:snapToGrid w:val="0"/>
                    <w:jc w:val="center"/>
                    <w:rPr>
                      <w:szCs w:val="21"/>
                    </w:rPr>
                  </w:pPr>
                  <w:r>
                    <w:rPr>
                      <w:rFonts w:hint="eastAsia"/>
                      <w:szCs w:val="21"/>
                    </w:rPr>
                    <w:t>捣浆机</w:t>
                  </w:r>
                </w:p>
              </w:tc>
              <w:tc>
                <w:tcPr>
                  <w:tcW w:w="1417" w:type="dxa"/>
                  <w:vAlign w:val="center"/>
                </w:tcPr>
                <w:p>
                  <w:pPr>
                    <w:widowControl/>
                    <w:adjustRightInd w:val="0"/>
                    <w:snapToGrid w:val="0"/>
                    <w:jc w:val="center"/>
                    <w:rPr>
                      <w:szCs w:val="21"/>
                    </w:rPr>
                  </w:pPr>
                  <w:r>
                    <w:rPr>
                      <w:rFonts w:hint="eastAsia"/>
                      <w:szCs w:val="21"/>
                    </w:rPr>
                    <w:t>1</w:t>
                  </w:r>
                </w:p>
              </w:tc>
              <w:tc>
                <w:tcPr>
                  <w:tcW w:w="2975" w:type="dxa"/>
                  <w:vAlign w:val="center"/>
                </w:tcPr>
                <w:p>
                  <w:pPr>
                    <w:widowControl/>
                    <w:adjustRightInd w:val="0"/>
                    <w:snapToGrid w:val="0"/>
                    <w:jc w:val="center"/>
                    <w:rPr>
                      <w:szCs w:val="21"/>
                    </w:rPr>
                  </w:pPr>
                  <w:r>
                    <w:rPr>
                      <w:rFonts w:hint="eastAsia"/>
                      <w:szCs w:val="21"/>
                    </w:rPr>
                    <w:t>双轮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47" w:type="dxa"/>
                  <w:vAlign w:val="center"/>
                </w:tcPr>
                <w:p>
                  <w:pPr>
                    <w:jc w:val="center"/>
                    <w:rPr>
                      <w:szCs w:val="21"/>
                    </w:rPr>
                  </w:pPr>
                  <w:r>
                    <w:rPr>
                      <w:rFonts w:hint="eastAsia"/>
                      <w:szCs w:val="21"/>
                    </w:rPr>
                    <w:t>4</w:t>
                  </w:r>
                </w:p>
              </w:tc>
              <w:tc>
                <w:tcPr>
                  <w:tcW w:w="2866" w:type="dxa"/>
                  <w:vAlign w:val="center"/>
                </w:tcPr>
                <w:p>
                  <w:pPr>
                    <w:widowControl/>
                    <w:adjustRightInd w:val="0"/>
                    <w:snapToGrid w:val="0"/>
                    <w:jc w:val="center"/>
                    <w:rPr>
                      <w:szCs w:val="21"/>
                    </w:rPr>
                  </w:pPr>
                  <w:r>
                    <w:rPr>
                      <w:rFonts w:hint="eastAsia"/>
                      <w:szCs w:val="21"/>
                    </w:rPr>
                    <w:t>自定中心振动筛</w:t>
                  </w:r>
                </w:p>
              </w:tc>
              <w:tc>
                <w:tcPr>
                  <w:tcW w:w="1417" w:type="dxa"/>
                  <w:vAlign w:val="center"/>
                </w:tcPr>
                <w:p>
                  <w:pPr>
                    <w:widowControl/>
                    <w:adjustRightInd w:val="0"/>
                    <w:snapToGrid w:val="0"/>
                    <w:jc w:val="center"/>
                    <w:rPr>
                      <w:szCs w:val="21"/>
                    </w:rPr>
                  </w:pPr>
                  <w:r>
                    <w:rPr>
                      <w:szCs w:val="21"/>
                    </w:rPr>
                    <w:t>1</w:t>
                  </w:r>
                </w:p>
              </w:tc>
              <w:tc>
                <w:tcPr>
                  <w:tcW w:w="2975" w:type="dxa"/>
                  <w:vAlign w:val="center"/>
                </w:tcPr>
                <w:p>
                  <w:pPr>
                    <w:widowControl/>
                    <w:adjustRightInd w:val="0"/>
                    <w:snapToGrid w:val="0"/>
                    <w:jc w:val="center"/>
                    <w:rPr>
                      <w:szCs w:val="21"/>
                    </w:rPr>
                  </w:pPr>
                  <w:r>
                    <w:rPr>
                      <w:rFonts w:hint="eastAsia"/>
                      <w:szCs w:val="21"/>
                    </w:rPr>
                    <w:t>1</w:t>
                  </w:r>
                  <w:r>
                    <w:rPr>
                      <w:szCs w:val="21"/>
                    </w:rPr>
                    <w:t>220mm X 2500mm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47" w:type="dxa"/>
                  <w:vAlign w:val="center"/>
                </w:tcPr>
                <w:p>
                  <w:pPr>
                    <w:jc w:val="center"/>
                    <w:rPr>
                      <w:szCs w:val="21"/>
                    </w:rPr>
                  </w:pPr>
                  <w:r>
                    <w:rPr>
                      <w:rFonts w:hint="eastAsia"/>
                      <w:szCs w:val="21"/>
                    </w:rPr>
                    <w:t>5</w:t>
                  </w:r>
                </w:p>
              </w:tc>
              <w:tc>
                <w:tcPr>
                  <w:tcW w:w="2866" w:type="dxa"/>
                  <w:vAlign w:val="center"/>
                </w:tcPr>
                <w:p>
                  <w:pPr>
                    <w:widowControl/>
                    <w:adjustRightInd w:val="0"/>
                    <w:snapToGrid w:val="0"/>
                    <w:jc w:val="center"/>
                    <w:rPr>
                      <w:szCs w:val="21"/>
                    </w:rPr>
                  </w:pPr>
                  <w:r>
                    <w:rPr>
                      <w:rFonts w:hint="eastAsia"/>
                      <w:szCs w:val="21"/>
                    </w:rPr>
                    <w:t>水力旋流器</w:t>
                  </w:r>
                </w:p>
              </w:tc>
              <w:tc>
                <w:tcPr>
                  <w:tcW w:w="1417" w:type="dxa"/>
                  <w:vAlign w:val="center"/>
                </w:tcPr>
                <w:p>
                  <w:pPr>
                    <w:widowControl/>
                    <w:adjustRightInd w:val="0"/>
                    <w:snapToGrid w:val="0"/>
                    <w:jc w:val="center"/>
                    <w:rPr>
                      <w:szCs w:val="21"/>
                    </w:rPr>
                  </w:pPr>
                  <w:r>
                    <w:rPr>
                      <w:rFonts w:hint="eastAsia"/>
                      <w:szCs w:val="21"/>
                    </w:rPr>
                    <w:t>1</w:t>
                  </w:r>
                </w:p>
              </w:tc>
              <w:tc>
                <w:tcPr>
                  <w:tcW w:w="2975" w:type="dxa"/>
                  <w:vAlign w:val="center"/>
                </w:tcPr>
                <w:p>
                  <w:pPr>
                    <w:widowControl/>
                    <w:adjustRightInd w:val="0"/>
                    <w:snapToGrid w:val="0"/>
                    <w:jc w:val="center"/>
                    <w:rPr>
                      <w:szCs w:val="21"/>
                    </w:rPr>
                  </w:pPr>
                  <w:r>
                    <w:rPr>
                      <w:rFonts w:hint="eastAsia"/>
                      <w:szCs w:val="21"/>
                    </w:rPr>
                    <w:t>2</w:t>
                  </w:r>
                  <w:r>
                    <w:rPr>
                      <w:szCs w:val="21"/>
                    </w:rPr>
                    <w:t>50</w:t>
                  </w:r>
                  <w:r>
                    <w:rPr>
                      <w:rFonts w:hint="eastAsia"/>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47" w:type="dxa"/>
                  <w:vAlign w:val="center"/>
                </w:tcPr>
                <w:p>
                  <w:pPr>
                    <w:jc w:val="center"/>
                    <w:rPr>
                      <w:szCs w:val="21"/>
                    </w:rPr>
                  </w:pPr>
                  <w:r>
                    <w:rPr>
                      <w:rFonts w:hint="eastAsia"/>
                      <w:szCs w:val="21"/>
                    </w:rPr>
                    <w:t>6</w:t>
                  </w:r>
                </w:p>
              </w:tc>
              <w:tc>
                <w:tcPr>
                  <w:tcW w:w="2866" w:type="dxa"/>
                  <w:vAlign w:val="center"/>
                </w:tcPr>
                <w:p>
                  <w:pPr>
                    <w:widowControl/>
                    <w:adjustRightInd w:val="0"/>
                    <w:snapToGrid w:val="0"/>
                    <w:jc w:val="center"/>
                    <w:rPr>
                      <w:szCs w:val="21"/>
                    </w:rPr>
                  </w:pPr>
                  <w:r>
                    <w:rPr>
                      <w:rFonts w:hint="eastAsia"/>
                      <w:szCs w:val="21"/>
                    </w:rPr>
                    <w:t>压滤机</w:t>
                  </w:r>
                </w:p>
              </w:tc>
              <w:tc>
                <w:tcPr>
                  <w:tcW w:w="1417" w:type="dxa"/>
                  <w:vAlign w:val="center"/>
                </w:tcPr>
                <w:p>
                  <w:pPr>
                    <w:widowControl/>
                    <w:adjustRightInd w:val="0"/>
                    <w:snapToGrid w:val="0"/>
                    <w:jc w:val="center"/>
                    <w:rPr>
                      <w:szCs w:val="21"/>
                    </w:rPr>
                  </w:pPr>
                  <w:r>
                    <w:rPr>
                      <w:rFonts w:hint="eastAsia"/>
                      <w:szCs w:val="21"/>
                    </w:rPr>
                    <w:t>1</w:t>
                  </w:r>
                </w:p>
              </w:tc>
              <w:tc>
                <w:tcPr>
                  <w:tcW w:w="2975" w:type="dxa"/>
                  <w:vAlign w:val="center"/>
                </w:tcPr>
                <w:p>
                  <w:pPr>
                    <w:widowControl/>
                    <w:adjustRightInd w:val="0"/>
                    <w:snapToGrid w:val="0"/>
                    <w:jc w:val="center"/>
                    <w:rPr>
                      <w:szCs w:val="21"/>
                    </w:rPr>
                  </w:pPr>
                  <w:r>
                    <w:rPr>
                      <w:rFonts w:hint="eastAsia"/>
                      <w:szCs w:val="21"/>
                    </w:rPr>
                    <w:t>8</w:t>
                  </w:r>
                  <w:r>
                    <w:rPr>
                      <w:szCs w:val="21"/>
                    </w:rPr>
                    <w:t>00mmX 800mm AG2</w:t>
                  </w:r>
                  <w:r>
                    <w:rPr>
                      <w:rFonts w:hint="eastAsia"/>
                      <w:szCs w:val="21"/>
                    </w:rPr>
                    <w:t>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47" w:type="dxa"/>
                  <w:vAlign w:val="center"/>
                </w:tcPr>
                <w:p>
                  <w:pPr>
                    <w:jc w:val="center"/>
                    <w:rPr>
                      <w:szCs w:val="21"/>
                    </w:rPr>
                  </w:pPr>
                  <w:r>
                    <w:rPr>
                      <w:rFonts w:hint="eastAsia"/>
                      <w:szCs w:val="21"/>
                    </w:rPr>
                    <w:t>7</w:t>
                  </w:r>
                </w:p>
              </w:tc>
              <w:tc>
                <w:tcPr>
                  <w:tcW w:w="2866" w:type="dxa"/>
                  <w:vAlign w:val="center"/>
                </w:tcPr>
                <w:p>
                  <w:pPr>
                    <w:widowControl/>
                    <w:adjustRightInd w:val="0"/>
                    <w:snapToGrid w:val="0"/>
                    <w:jc w:val="center"/>
                    <w:rPr>
                      <w:szCs w:val="21"/>
                    </w:rPr>
                  </w:pPr>
                  <w:r>
                    <w:rPr>
                      <w:rFonts w:hint="eastAsia"/>
                      <w:szCs w:val="21"/>
                    </w:rPr>
                    <w:t>水力旋流器</w:t>
                  </w:r>
                </w:p>
              </w:tc>
              <w:tc>
                <w:tcPr>
                  <w:tcW w:w="1417" w:type="dxa"/>
                  <w:vAlign w:val="center"/>
                </w:tcPr>
                <w:p>
                  <w:pPr>
                    <w:widowControl/>
                    <w:adjustRightInd w:val="0"/>
                    <w:snapToGrid w:val="0"/>
                    <w:jc w:val="center"/>
                    <w:rPr>
                      <w:szCs w:val="21"/>
                    </w:rPr>
                  </w:pPr>
                  <w:r>
                    <w:rPr>
                      <w:rFonts w:hint="eastAsia"/>
                      <w:szCs w:val="21"/>
                    </w:rPr>
                    <w:t>1</w:t>
                  </w:r>
                </w:p>
              </w:tc>
              <w:tc>
                <w:tcPr>
                  <w:tcW w:w="2975" w:type="dxa"/>
                  <w:vAlign w:val="center"/>
                </w:tcPr>
                <w:p>
                  <w:pPr>
                    <w:widowControl/>
                    <w:adjustRightInd w:val="0"/>
                    <w:snapToGrid w:val="0"/>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47" w:type="dxa"/>
                  <w:vAlign w:val="center"/>
                </w:tcPr>
                <w:p>
                  <w:pPr>
                    <w:jc w:val="center"/>
                    <w:rPr>
                      <w:szCs w:val="21"/>
                    </w:rPr>
                  </w:pPr>
                  <w:r>
                    <w:rPr>
                      <w:rFonts w:hint="eastAsia"/>
                      <w:szCs w:val="21"/>
                    </w:rPr>
                    <w:t>8</w:t>
                  </w:r>
                </w:p>
              </w:tc>
              <w:tc>
                <w:tcPr>
                  <w:tcW w:w="2866" w:type="dxa"/>
                  <w:vAlign w:val="center"/>
                </w:tcPr>
                <w:p>
                  <w:pPr>
                    <w:widowControl/>
                    <w:adjustRightInd w:val="0"/>
                    <w:snapToGrid w:val="0"/>
                    <w:jc w:val="center"/>
                    <w:rPr>
                      <w:szCs w:val="21"/>
                    </w:rPr>
                  </w:pPr>
                  <w:r>
                    <w:rPr>
                      <w:rFonts w:hint="eastAsia"/>
                      <w:szCs w:val="21"/>
                    </w:rPr>
                    <w:t>搅拌机</w:t>
                  </w:r>
                </w:p>
              </w:tc>
              <w:tc>
                <w:tcPr>
                  <w:tcW w:w="1417" w:type="dxa"/>
                  <w:vAlign w:val="center"/>
                </w:tcPr>
                <w:p>
                  <w:pPr>
                    <w:widowControl/>
                    <w:adjustRightInd w:val="0"/>
                    <w:snapToGrid w:val="0"/>
                    <w:jc w:val="center"/>
                    <w:rPr>
                      <w:szCs w:val="21"/>
                    </w:rPr>
                  </w:pPr>
                  <w:r>
                    <w:rPr>
                      <w:szCs w:val="21"/>
                    </w:rPr>
                    <w:t>1</w:t>
                  </w:r>
                </w:p>
              </w:tc>
              <w:tc>
                <w:tcPr>
                  <w:tcW w:w="2975" w:type="dxa"/>
                  <w:vAlign w:val="center"/>
                </w:tcPr>
                <w:p>
                  <w:pPr>
                    <w:widowControl/>
                    <w:adjustRightInd w:val="0"/>
                    <w:snapToGrid w:val="0"/>
                    <w:jc w:val="center"/>
                    <w:rPr>
                      <w:szCs w:val="21"/>
                    </w:rPr>
                  </w:pPr>
                  <w:r>
                    <w:rPr>
                      <w:rFonts w:hint="eastAsia"/>
                      <w:szCs w:val="21"/>
                    </w:rPr>
                    <w:t>2</w:t>
                  </w:r>
                  <w:r>
                    <w:rPr>
                      <w:szCs w:val="21"/>
                    </w:rPr>
                    <w:t>000</w:t>
                  </w:r>
                  <w:r>
                    <w:rPr>
                      <w:rFonts w:hint="eastAsia"/>
                      <w:szCs w:val="21"/>
                    </w:rPr>
                    <w:t>m</w:t>
                  </w:r>
                  <w:r>
                    <w:rPr>
                      <w:szCs w:val="21"/>
                    </w:rPr>
                    <w:t>m</w:t>
                  </w:r>
                  <w:r>
                    <w:rPr>
                      <w:rFonts w:hint="eastAsia"/>
                      <w:szCs w:val="21"/>
                    </w:rPr>
                    <w:t>单叶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47" w:type="dxa"/>
                  <w:vAlign w:val="center"/>
                </w:tcPr>
                <w:p>
                  <w:pPr>
                    <w:jc w:val="center"/>
                    <w:rPr>
                      <w:szCs w:val="21"/>
                    </w:rPr>
                  </w:pPr>
                  <w:r>
                    <w:rPr>
                      <w:rFonts w:hint="eastAsia"/>
                      <w:szCs w:val="21"/>
                    </w:rPr>
                    <w:t>9</w:t>
                  </w:r>
                </w:p>
              </w:tc>
              <w:tc>
                <w:tcPr>
                  <w:tcW w:w="2866" w:type="dxa"/>
                  <w:vAlign w:val="center"/>
                </w:tcPr>
                <w:p>
                  <w:pPr>
                    <w:widowControl/>
                    <w:adjustRightInd w:val="0"/>
                    <w:snapToGrid w:val="0"/>
                    <w:jc w:val="center"/>
                    <w:rPr>
                      <w:szCs w:val="21"/>
                    </w:rPr>
                  </w:pPr>
                  <w:r>
                    <w:rPr>
                      <w:rFonts w:hint="eastAsia"/>
                      <w:szCs w:val="21"/>
                    </w:rPr>
                    <w:t>浓缩机</w:t>
                  </w:r>
                </w:p>
              </w:tc>
              <w:tc>
                <w:tcPr>
                  <w:tcW w:w="1417" w:type="dxa"/>
                  <w:vAlign w:val="center"/>
                </w:tcPr>
                <w:p>
                  <w:pPr>
                    <w:widowControl/>
                    <w:adjustRightInd w:val="0"/>
                    <w:snapToGrid w:val="0"/>
                    <w:jc w:val="center"/>
                    <w:rPr>
                      <w:szCs w:val="21"/>
                    </w:rPr>
                  </w:pPr>
                  <w:r>
                    <w:rPr>
                      <w:szCs w:val="21"/>
                    </w:rPr>
                    <w:t>3</w:t>
                  </w:r>
                </w:p>
              </w:tc>
              <w:tc>
                <w:tcPr>
                  <w:tcW w:w="2975" w:type="dxa"/>
                  <w:vAlign w:val="center"/>
                </w:tcPr>
                <w:p>
                  <w:pPr>
                    <w:widowControl/>
                    <w:adjustRightInd w:val="0"/>
                    <w:snapToGrid w:val="0"/>
                    <w:jc w:val="center"/>
                    <w:rPr>
                      <w:szCs w:val="21"/>
                    </w:rPr>
                  </w:pPr>
                  <w:r>
                    <w:rPr>
                      <w:rFonts w:hint="eastAsia"/>
                      <w:szCs w:val="21"/>
                    </w:rPr>
                    <w:t>T</w:t>
                  </w:r>
                  <w:r>
                    <w:rPr>
                      <w:szCs w:val="21"/>
                    </w:rPr>
                    <w:t>NB-9M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47" w:type="dxa"/>
                  <w:vAlign w:val="center"/>
                </w:tcPr>
                <w:p>
                  <w:pPr>
                    <w:jc w:val="center"/>
                    <w:rPr>
                      <w:szCs w:val="21"/>
                    </w:rPr>
                  </w:pPr>
                  <w:r>
                    <w:rPr>
                      <w:rFonts w:hint="eastAsia"/>
                      <w:szCs w:val="21"/>
                    </w:rPr>
                    <w:t>10</w:t>
                  </w:r>
                </w:p>
              </w:tc>
              <w:tc>
                <w:tcPr>
                  <w:tcW w:w="2866" w:type="dxa"/>
                  <w:vAlign w:val="center"/>
                </w:tcPr>
                <w:p>
                  <w:pPr>
                    <w:widowControl/>
                    <w:adjustRightInd w:val="0"/>
                    <w:snapToGrid w:val="0"/>
                    <w:jc w:val="center"/>
                    <w:rPr>
                      <w:szCs w:val="21"/>
                    </w:rPr>
                  </w:pPr>
                  <w:r>
                    <w:rPr>
                      <w:rFonts w:hint="eastAsia"/>
                      <w:szCs w:val="21"/>
                    </w:rPr>
                    <w:t>高速分散机</w:t>
                  </w:r>
                </w:p>
              </w:tc>
              <w:tc>
                <w:tcPr>
                  <w:tcW w:w="1417" w:type="dxa"/>
                  <w:vAlign w:val="center"/>
                </w:tcPr>
                <w:p>
                  <w:pPr>
                    <w:widowControl/>
                    <w:adjustRightInd w:val="0"/>
                    <w:snapToGrid w:val="0"/>
                    <w:jc w:val="center"/>
                    <w:rPr>
                      <w:szCs w:val="21"/>
                    </w:rPr>
                  </w:pPr>
                  <w:r>
                    <w:rPr>
                      <w:szCs w:val="21"/>
                    </w:rPr>
                    <w:t>1</w:t>
                  </w:r>
                </w:p>
              </w:tc>
              <w:tc>
                <w:tcPr>
                  <w:tcW w:w="2975" w:type="dxa"/>
                  <w:vAlign w:val="center"/>
                </w:tcPr>
                <w:p>
                  <w:pPr>
                    <w:widowControl/>
                    <w:adjustRightInd w:val="0"/>
                    <w:snapToGrid w:val="0"/>
                    <w:jc w:val="center"/>
                    <w:rPr>
                      <w:szCs w:val="21"/>
                    </w:rPr>
                  </w:pPr>
                  <w:r>
                    <w:rPr>
                      <w:rFonts w:hint="eastAsia"/>
                      <w:szCs w:val="21"/>
                    </w:rPr>
                    <w:t>G</w:t>
                  </w:r>
                  <w:r>
                    <w:rPr>
                      <w:szCs w:val="21"/>
                    </w:rPr>
                    <w:t>FJ-22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47" w:type="dxa"/>
                  <w:vAlign w:val="center"/>
                </w:tcPr>
                <w:p>
                  <w:pPr>
                    <w:jc w:val="center"/>
                    <w:rPr>
                      <w:szCs w:val="21"/>
                    </w:rPr>
                  </w:pPr>
                  <w:r>
                    <w:rPr>
                      <w:rFonts w:hint="eastAsia"/>
                      <w:kern w:val="0"/>
                      <w:szCs w:val="21"/>
                    </w:rPr>
                    <w:t>11</w:t>
                  </w:r>
                </w:p>
              </w:tc>
              <w:tc>
                <w:tcPr>
                  <w:tcW w:w="2866" w:type="dxa"/>
                  <w:vAlign w:val="center"/>
                </w:tcPr>
                <w:p>
                  <w:pPr>
                    <w:widowControl/>
                    <w:adjustRightInd w:val="0"/>
                    <w:snapToGrid w:val="0"/>
                    <w:jc w:val="center"/>
                    <w:rPr>
                      <w:szCs w:val="21"/>
                    </w:rPr>
                  </w:pPr>
                  <w:r>
                    <w:rPr>
                      <w:rFonts w:hint="eastAsia"/>
                      <w:szCs w:val="21"/>
                    </w:rPr>
                    <w:t>电动隔渣筛</w:t>
                  </w:r>
                </w:p>
              </w:tc>
              <w:tc>
                <w:tcPr>
                  <w:tcW w:w="1417" w:type="dxa"/>
                  <w:vAlign w:val="center"/>
                </w:tcPr>
                <w:p>
                  <w:pPr>
                    <w:widowControl/>
                    <w:adjustRightInd w:val="0"/>
                    <w:snapToGrid w:val="0"/>
                    <w:jc w:val="center"/>
                    <w:rPr>
                      <w:szCs w:val="21"/>
                    </w:rPr>
                  </w:pPr>
                  <w:r>
                    <w:rPr>
                      <w:rFonts w:hint="eastAsia"/>
                      <w:szCs w:val="21"/>
                    </w:rPr>
                    <w:t>1</w:t>
                  </w:r>
                </w:p>
              </w:tc>
              <w:tc>
                <w:tcPr>
                  <w:tcW w:w="2975" w:type="dxa"/>
                  <w:vAlign w:val="center"/>
                </w:tcPr>
                <w:p>
                  <w:pPr>
                    <w:widowControl/>
                    <w:adjustRightInd w:val="0"/>
                    <w:snapToGrid w:val="0"/>
                    <w:jc w:val="center"/>
                    <w:rPr>
                      <w:szCs w:val="21"/>
                    </w:rPr>
                  </w:pPr>
                  <w:r>
                    <w:rPr>
                      <w:rFonts w:hint="eastAsia"/>
                      <w:szCs w:val="21"/>
                    </w:rPr>
                    <w:t>T</w:t>
                  </w:r>
                  <w:r>
                    <w:rPr>
                      <w:szCs w:val="21"/>
                    </w:rPr>
                    <w:t>CS540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47" w:type="dxa"/>
                  <w:vAlign w:val="center"/>
                </w:tcPr>
                <w:p>
                  <w:pPr>
                    <w:jc w:val="center"/>
                    <w:rPr>
                      <w:szCs w:val="21"/>
                    </w:rPr>
                  </w:pPr>
                  <w:r>
                    <w:rPr>
                      <w:rFonts w:hint="eastAsia"/>
                      <w:kern w:val="0"/>
                      <w:szCs w:val="21"/>
                    </w:rPr>
                    <w:t>12</w:t>
                  </w:r>
                </w:p>
              </w:tc>
              <w:tc>
                <w:tcPr>
                  <w:tcW w:w="2866" w:type="dxa"/>
                  <w:vAlign w:val="center"/>
                </w:tcPr>
                <w:p>
                  <w:pPr>
                    <w:widowControl/>
                    <w:adjustRightInd w:val="0"/>
                    <w:snapToGrid w:val="0"/>
                    <w:jc w:val="center"/>
                    <w:rPr>
                      <w:szCs w:val="21"/>
                    </w:rPr>
                  </w:pPr>
                  <w:r>
                    <w:rPr>
                      <w:rFonts w:hint="eastAsia"/>
                      <w:szCs w:val="21"/>
                    </w:rPr>
                    <w:t>喷嘴碟片离心机</w:t>
                  </w:r>
                </w:p>
              </w:tc>
              <w:tc>
                <w:tcPr>
                  <w:tcW w:w="1417" w:type="dxa"/>
                  <w:vAlign w:val="center"/>
                </w:tcPr>
                <w:p>
                  <w:pPr>
                    <w:widowControl/>
                    <w:adjustRightInd w:val="0"/>
                    <w:snapToGrid w:val="0"/>
                    <w:jc w:val="center"/>
                    <w:rPr>
                      <w:szCs w:val="21"/>
                    </w:rPr>
                  </w:pPr>
                  <w:r>
                    <w:rPr>
                      <w:szCs w:val="21"/>
                    </w:rPr>
                    <w:t>1</w:t>
                  </w:r>
                </w:p>
              </w:tc>
              <w:tc>
                <w:tcPr>
                  <w:tcW w:w="2975" w:type="dxa"/>
                  <w:vAlign w:val="center"/>
                </w:tcPr>
                <w:p>
                  <w:pPr>
                    <w:widowControl/>
                    <w:adjustRightInd w:val="0"/>
                    <w:snapToGrid w:val="0"/>
                    <w:jc w:val="center"/>
                    <w:rPr>
                      <w:szCs w:val="21"/>
                    </w:rPr>
                  </w:pPr>
                  <w:r>
                    <w:rPr>
                      <w:rFonts w:hint="eastAsia"/>
                      <w:szCs w:val="21"/>
                    </w:rPr>
                    <w:t>Q</w:t>
                  </w:r>
                  <w:r>
                    <w:rPr>
                      <w:szCs w:val="21"/>
                    </w:rPr>
                    <w:t>X210B-34G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47" w:type="dxa"/>
                  <w:vAlign w:val="center"/>
                </w:tcPr>
                <w:p>
                  <w:pPr>
                    <w:jc w:val="center"/>
                    <w:rPr>
                      <w:szCs w:val="21"/>
                    </w:rPr>
                  </w:pPr>
                  <w:r>
                    <w:rPr>
                      <w:rFonts w:hint="eastAsia"/>
                      <w:kern w:val="0"/>
                      <w:szCs w:val="21"/>
                    </w:rPr>
                    <w:t>13</w:t>
                  </w:r>
                </w:p>
              </w:tc>
              <w:tc>
                <w:tcPr>
                  <w:tcW w:w="2866" w:type="dxa"/>
                  <w:vAlign w:val="center"/>
                </w:tcPr>
                <w:p>
                  <w:pPr>
                    <w:widowControl/>
                    <w:adjustRightInd w:val="0"/>
                    <w:snapToGrid w:val="0"/>
                    <w:jc w:val="center"/>
                    <w:rPr>
                      <w:szCs w:val="21"/>
                    </w:rPr>
                  </w:pPr>
                  <w:r>
                    <w:rPr>
                      <w:rFonts w:hint="eastAsia"/>
                      <w:szCs w:val="21"/>
                    </w:rPr>
                    <w:t>卧式螺旋离心机</w:t>
                  </w:r>
                </w:p>
              </w:tc>
              <w:tc>
                <w:tcPr>
                  <w:tcW w:w="1417" w:type="dxa"/>
                  <w:vAlign w:val="center"/>
                </w:tcPr>
                <w:p>
                  <w:pPr>
                    <w:widowControl/>
                    <w:adjustRightInd w:val="0"/>
                    <w:snapToGrid w:val="0"/>
                    <w:jc w:val="center"/>
                    <w:rPr>
                      <w:szCs w:val="21"/>
                    </w:rPr>
                  </w:pPr>
                  <w:r>
                    <w:rPr>
                      <w:rFonts w:hint="eastAsia"/>
                      <w:szCs w:val="21"/>
                    </w:rPr>
                    <w:t>1</w:t>
                  </w:r>
                </w:p>
              </w:tc>
              <w:tc>
                <w:tcPr>
                  <w:tcW w:w="2975" w:type="dxa"/>
                  <w:vAlign w:val="center"/>
                </w:tcPr>
                <w:p>
                  <w:pPr>
                    <w:widowControl/>
                    <w:adjustRightInd w:val="0"/>
                    <w:snapToGrid w:val="0"/>
                    <w:jc w:val="center"/>
                    <w:rPr>
                      <w:szCs w:val="21"/>
                    </w:rPr>
                  </w:pPr>
                  <w:r>
                    <w:rPr>
                      <w:rFonts w:hint="eastAsia"/>
                      <w:szCs w:val="21"/>
                    </w:rPr>
                    <w:t>C</w:t>
                  </w:r>
                  <w:r>
                    <w:rPr>
                      <w:szCs w:val="21"/>
                    </w:rPr>
                    <w:t>HNX416B-31G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47" w:type="dxa"/>
                  <w:vAlign w:val="center"/>
                </w:tcPr>
                <w:p>
                  <w:pPr>
                    <w:widowControl/>
                    <w:jc w:val="center"/>
                    <w:rPr>
                      <w:kern w:val="0"/>
                      <w:szCs w:val="21"/>
                    </w:rPr>
                  </w:pPr>
                  <w:r>
                    <w:rPr>
                      <w:rFonts w:hint="eastAsia"/>
                      <w:kern w:val="0"/>
                      <w:szCs w:val="21"/>
                    </w:rPr>
                    <w:t>14</w:t>
                  </w:r>
                </w:p>
              </w:tc>
              <w:tc>
                <w:tcPr>
                  <w:tcW w:w="2866" w:type="dxa"/>
                  <w:vAlign w:val="center"/>
                </w:tcPr>
                <w:p>
                  <w:pPr>
                    <w:widowControl/>
                    <w:adjustRightInd w:val="0"/>
                    <w:snapToGrid w:val="0"/>
                    <w:jc w:val="center"/>
                    <w:rPr>
                      <w:szCs w:val="21"/>
                    </w:rPr>
                  </w:pPr>
                  <w:r>
                    <w:rPr>
                      <w:rFonts w:hint="eastAsia"/>
                      <w:szCs w:val="21"/>
                    </w:rPr>
                    <w:t>鼓式真空过滤机</w:t>
                  </w:r>
                </w:p>
              </w:tc>
              <w:tc>
                <w:tcPr>
                  <w:tcW w:w="1417" w:type="dxa"/>
                  <w:vAlign w:val="center"/>
                </w:tcPr>
                <w:p>
                  <w:pPr>
                    <w:widowControl/>
                    <w:adjustRightInd w:val="0"/>
                    <w:snapToGrid w:val="0"/>
                    <w:jc w:val="center"/>
                    <w:rPr>
                      <w:szCs w:val="21"/>
                    </w:rPr>
                  </w:pPr>
                  <w:r>
                    <w:rPr>
                      <w:szCs w:val="21"/>
                    </w:rPr>
                    <w:t>1</w:t>
                  </w:r>
                </w:p>
              </w:tc>
              <w:tc>
                <w:tcPr>
                  <w:tcW w:w="2975" w:type="dxa"/>
                  <w:vAlign w:val="center"/>
                </w:tcPr>
                <w:p>
                  <w:pPr>
                    <w:widowControl/>
                    <w:adjustRightInd w:val="0"/>
                    <w:snapToGrid w:val="0"/>
                    <w:jc w:val="center"/>
                    <w:rPr>
                      <w:szCs w:val="21"/>
                    </w:rPr>
                  </w:pPr>
                  <w:r>
                    <w:rPr>
                      <w:rFonts w:hint="eastAsia"/>
                      <w:szCs w:val="21"/>
                    </w:rPr>
                    <w:t>2</w:t>
                  </w:r>
                  <w:r>
                    <w:rPr>
                      <w:szCs w:val="21"/>
                    </w:rPr>
                    <w:t>440mmX24260mm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47" w:type="dxa"/>
                  <w:vAlign w:val="center"/>
                </w:tcPr>
                <w:p>
                  <w:pPr>
                    <w:widowControl/>
                    <w:jc w:val="center"/>
                    <w:rPr>
                      <w:kern w:val="0"/>
                      <w:szCs w:val="21"/>
                    </w:rPr>
                  </w:pPr>
                  <w:r>
                    <w:rPr>
                      <w:rFonts w:hint="eastAsia"/>
                      <w:kern w:val="0"/>
                      <w:szCs w:val="21"/>
                    </w:rPr>
                    <w:t>15</w:t>
                  </w:r>
                </w:p>
              </w:tc>
              <w:tc>
                <w:tcPr>
                  <w:tcW w:w="2866" w:type="dxa"/>
                  <w:vAlign w:val="center"/>
                </w:tcPr>
                <w:p>
                  <w:pPr>
                    <w:widowControl/>
                    <w:adjustRightInd w:val="0"/>
                    <w:snapToGrid w:val="0"/>
                    <w:jc w:val="center"/>
                    <w:rPr>
                      <w:szCs w:val="21"/>
                    </w:rPr>
                  </w:pPr>
                  <w:r>
                    <w:rPr>
                      <w:rFonts w:hint="eastAsia"/>
                      <w:szCs w:val="21"/>
                    </w:rPr>
                    <w:t>剥片机</w:t>
                  </w:r>
                </w:p>
              </w:tc>
              <w:tc>
                <w:tcPr>
                  <w:tcW w:w="1417" w:type="dxa"/>
                  <w:vAlign w:val="center"/>
                </w:tcPr>
                <w:p>
                  <w:pPr>
                    <w:widowControl/>
                    <w:adjustRightInd w:val="0"/>
                    <w:snapToGrid w:val="0"/>
                    <w:jc w:val="center"/>
                    <w:rPr>
                      <w:szCs w:val="21"/>
                    </w:rPr>
                  </w:pPr>
                  <w:r>
                    <w:rPr>
                      <w:szCs w:val="21"/>
                    </w:rPr>
                    <w:t>1</w:t>
                  </w:r>
                </w:p>
              </w:tc>
              <w:tc>
                <w:tcPr>
                  <w:tcW w:w="2975" w:type="dxa"/>
                  <w:vAlign w:val="center"/>
                </w:tcPr>
                <w:p>
                  <w:pPr>
                    <w:widowControl/>
                    <w:adjustRightInd w:val="0"/>
                    <w:snapToGrid w:val="0"/>
                    <w:jc w:val="center"/>
                    <w:rPr>
                      <w:szCs w:val="21"/>
                    </w:rPr>
                  </w:pPr>
                  <w:r>
                    <w:rPr>
                      <w:rFonts w:hint="eastAsia"/>
                      <w:szCs w:val="21"/>
                    </w:rPr>
                    <w:t>5</w:t>
                  </w:r>
                  <w:r>
                    <w:rPr>
                      <w:szCs w:val="21"/>
                    </w:rPr>
                    <w:t>6X56</w:t>
                  </w:r>
                  <w:r>
                    <w:rPr>
                      <w:rFonts w:hint="eastAsia"/>
                      <w:szCs w:val="21"/>
                    </w:rPr>
                    <w:t>英寸双槽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47" w:type="dxa"/>
                  <w:vAlign w:val="center"/>
                </w:tcPr>
                <w:p>
                  <w:pPr>
                    <w:widowControl/>
                    <w:jc w:val="center"/>
                    <w:rPr>
                      <w:kern w:val="0"/>
                      <w:szCs w:val="21"/>
                    </w:rPr>
                  </w:pPr>
                  <w:r>
                    <w:rPr>
                      <w:rFonts w:hint="eastAsia"/>
                      <w:kern w:val="0"/>
                      <w:szCs w:val="21"/>
                    </w:rPr>
                    <w:t>1</w:t>
                  </w:r>
                  <w:r>
                    <w:rPr>
                      <w:kern w:val="0"/>
                      <w:szCs w:val="21"/>
                    </w:rPr>
                    <w:t>6</w:t>
                  </w:r>
                </w:p>
              </w:tc>
              <w:tc>
                <w:tcPr>
                  <w:tcW w:w="2866" w:type="dxa"/>
                  <w:vAlign w:val="center"/>
                </w:tcPr>
                <w:p>
                  <w:pPr>
                    <w:widowControl/>
                    <w:adjustRightInd w:val="0"/>
                    <w:snapToGrid w:val="0"/>
                    <w:jc w:val="center"/>
                    <w:rPr>
                      <w:szCs w:val="21"/>
                    </w:rPr>
                  </w:pPr>
                  <w:r>
                    <w:rPr>
                      <w:rFonts w:hint="eastAsia"/>
                      <w:szCs w:val="21"/>
                    </w:rPr>
                    <w:t>喷雾干燥机组</w:t>
                  </w:r>
                </w:p>
              </w:tc>
              <w:tc>
                <w:tcPr>
                  <w:tcW w:w="1417" w:type="dxa"/>
                  <w:vAlign w:val="center"/>
                </w:tcPr>
                <w:p>
                  <w:pPr>
                    <w:widowControl/>
                    <w:adjustRightInd w:val="0"/>
                    <w:snapToGrid w:val="0"/>
                    <w:jc w:val="center"/>
                    <w:rPr>
                      <w:szCs w:val="21"/>
                    </w:rPr>
                  </w:pPr>
                  <w:r>
                    <w:rPr>
                      <w:szCs w:val="21"/>
                    </w:rPr>
                    <w:t>1</w:t>
                  </w:r>
                </w:p>
              </w:tc>
              <w:tc>
                <w:tcPr>
                  <w:tcW w:w="2975" w:type="dxa"/>
                  <w:vAlign w:val="center"/>
                </w:tcPr>
                <w:p>
                  <w:pPr>
                    <w:widowControl/>
                    <w:adjustRightInd w:val="0"/>
                    <w:snapToGrid w:val="0"/>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47" w:type="dxa"/>
                  <w:vAlign w:val="center"/>
                </w:tcPr>
                <w:p>
                  <w:pPr>
                    <w:widowControl/>
                    <w:jc w:val="center"/>
                    <w:rPr>
                      <w:kern w:val="0"/>
                      <w:szCs w:val="21"/>
                    </w:rPr>
                  </w:pPr>
                  <w:r>
                    <w:rPr>
                      <w:rFonts w:hint="eastAsia"/>
                      <w:kern w:val="0"/>
                      <w:szCs w:val="21"/>
                    </w:rPr>
                    <w:t>1</w:t>
                  </w:r>
                  <w:r>
                    <w:rPr>
                      <w:kern w:val="0"/>
                      <w:szCs w:val="21"/>
                    </w:rPr>
                    <w:t>7</w:t>
                  </w:r>
                </w:p>
              </w:tc>
              <w:tc>
                <w:tcPr>
                  <w:tcW w:w="2866" w:type="dxa"/>
                  <w:vAlign w:val="center"/>
                </w:tcPr>
                <w:p>
                  <w:pPr>
                    <w:widowControl/>
                    <w:adjustRightInd w:val="0"/>
                    <w:snapToGrid w:val="0"/>
                    <w:jc w:val="center"/>
                    <w:rPr>
                      <w:szCs w:val="21"/>
                    </w:rPr>
                  </w:pPr>
                  <w:r>
                    <w:rPr>
                      <w:rFonts w:hint="eastAsia"/>
                      <w:szCs w:val="21"/>
                    </w:rPr>
                    <w:t>自动包装机</w:t>
                  </w:r>
                </w:p>
              </w:tc>
              <w:tc>
                <w:tcPr>
                  <w:tcW w:w="1417" w:type="dxa"/>
                  <w:vAlign w:val="center"/>
                </w:tcPr>
                <w:p>
                  <w:pPr>
                    <w:widowControl/>
                    <w:adjustRightInd w:val="0"/>
                    <w:snapToGrid w:val="0"/>
                    <w:jc w:val="center"/>
                    <w:rPr>
                      <w:szCs w:val="21"/>
                    </w:rPr>
                  </w:pPr>
                  <w:r>
                    <w:rPr>
                      <w:rFonts w:hint="eastAsia"/>
                      <w:szCs w:val="21"/>
                    </w:rPr>
                    <w:t>1</w:t>
                  </w:r>
                </w:p>
              </w:tc>
              <w:tc>
                <w:tcPr>
                  <w:tcW w:w="2975" w:type="dxa"/>
                  <w:vAlign w:val="center"/>
                </w:tcPr>
                <w:p>
                  <w:pPr>
                    <w:widowControl/>
                    <w:adjustRightInd w:val="0"/>
                    <w:snapToGrid w:val="0"/>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47" w:type="dxa"/>
                  <w:vAlign w:val="center"/>
                </w:tcPr>
                <w:p>
                  <w:pPr>
                    <w:widowControl/>
                    <w:jc w:val="center"/>
                    <w:rPr>
                      <w:kern w:val="0"/>
                      <w:szCs w:val="21"/>
                    </w:rPr>
                  </w:pPr>
                  <w:r>
                    <w:rPr>
                      <w:rFonts w:hint="eastAsia"/>
                      <w:kern w:val="0"/>
                      <w:szCs w:val="21"/>
                    </w:rPr>
                    <w:t>1</w:t>
                  </w:r>
                  <w:r>
                    <w:rPr>
                      <w:kern w:val="0"/>
                      <w:szCs w:val="21"/>
                    </w:rPr>
                    <w:t>8</w:t>
                  </w:r>
                </w:p>
              </w:tc>
              <w:tc>
                <w:tcPr>
                  <w:tcW w:w="2866" w:type="dxa"/>
                  <w:vAlign w:val="center"/>
                </w:tcPr>
                <w:p>
                  <w:pPr>
                    <w:widowControl/>
                    <w:adjustRightInd w:val="0"/>
                    <w:snapToGrid w:val="0"/>
                    <w:jc w:val="center"/>
                    <w:rPr>
                      <w:szCs w:val="21"/>
                    </w:rPr>
                  </w:pPr>
                  <w:r>
                    <w:rPr>
                      <w:rFonts w:hint="eastAsia" w:ascii="宋体" w:cs="宋体"/>
                      <w:kern w:val="0"/>
                      <w:szCs w:val="21"/>
                    </w:rPr>
                    <w:t>喂料机</w:t>
                  </w:r>
                </w:p>
              </w:tc>
              <w:tc>
                <w:tcPr>
                  <w:tcW w:w="1417" w:type="dxa"/>
                  <w:vAlign w:val="center"/>
                </w:tcPr>
                <w:p>
                  <w:pPr>
                    <w:widowControl/>
                    <w:adjustRightInd w:val="0"/>
                    <w:snapToGrid w:val="0"/>
                    <w:jc w:val="center"/>
                    <w:rPr>
                      <w:szCs w:val="21"/>
                    </w:rPr>
                  </w:pPr>
                  <w:r>
                    <w:rPr>
                      <w:rFonts w:hint="eastAsia"/>
                      <w:szCs w:val="21"/>
                    </w:rPr>
                    <w:t>1</w:t>
                  </w:r>
                </w:p>
              </w:tc>
              <w:tc>
                <w:tcPr>
                  <w:tcW w:w="2975" w:type="dxa"/>
                  <w:vAlign w:val="center"/>
                </w:tcPr>
                <w:p>
                  <w:pPr>
                    <w:widowControl/>
                    <w:adjustRightInd w:val="0"/>
                    <w:snapToGrid w:val="0"/>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47" w:type="dxa"/>
                  <w:vAlign w:val="center"/>
                </w:tcPr>
                <w:p>
                  <w:pPr>
                    <w:widowControl/>
                    <w:jc w:val="center"/>
                    <w:rPr>
                      <w:kern w:val="0"/>
                      <w:szCs w:val="21"/>
                    </w:rPr>
                  </w:pPr>
                  <w:r>
                    <w:rPr>
                      <w:rFonts w:hint="eastAsia"/>
                      <w:kern w:val="0"/>
                      <w:szCs w:val="21"/>
                    </w:rPr>
                    <w:t>1</w:t>
                  </w:r>
                  <w:r>
                    <w:rPr>
                      <w:kern w:val="0"/>
                      <w:szCs w:val="21"/>
                    </w:rPr>
                    <w:t>9</w:t>
                  </w:r>
                </w:p>
              </w:tc>
              <w:tc>
                <w:tcPr>
                  <w:tcW w:w="2866" w:type="dxa"/>
                  <w:vAlign w:val="center"/>
                </w:tcPr>
                <w:p>
                  <w:pPr>
                    <w:widowControl/>
                    <w:adjustRightInd w:val="0"/>
                    <w:snapToGrid w:val="0"/>
                    <w:jc w:val="center"/>
                    <w:rPr>
                      <w:rFonts w:ascii="宋体" w:cs="宋体"/>
                      <w:kern w:val="0"/>
                      <w:szCs w:val="21"/>
                    </w:rPr>
                  </w:pPr>
                  <w:r>
                    <w:rPr>
                      <w:rFonts w:hint="eastAsia" w:ascii="宋体" w:cs="宋体"/>
                      <w:kern w:val="0"/>
                      <w:szCs w:val="21"/>
                    </w:rPr>
                    <w:t>洗沙一体机</w:t>
                  </w:r>
                </w:p>
              </w:tc>
              <w:tc>
                <w:tcPr>
                  <w:tcW w:w="1417" w:type="dxa"/>
                  <w:vAlign w:val="center"/>
                </w:tcPr>
                <w:p>
                  <w:pPr>
                    <w:widowControl/>
                    <w:adjustRightInd w:val="0"/>
                    <w:snapToGrid w:val="0"/>
                    <w:jc w:val="center"/>
                    <w:rPr>
                      <w:szCs w:val="21"/>
                    </w:rPr>
                  </w:pPr>
                  <w:r>
                    <w:rPr>
                      <w:rFonts w:hint="eastAsia"/>
                      <w:szCs w:val="21"/>
                    </w:rPr>
                    <w:t>1</w:t>
                  </w:r>
                </w:p>
              </w:tc>
              <w:tc>
                <w:tcPr>
                  <w:tcW w:w="2975" w:type="dxa"/>
                  <w:vAlign w:val="center"/>
                </w:tcPr>
                <w:p>
                  <w:pPr>
                    <w:widowControl/>
                    <w:adjustRightInd w:val="0"/>
                    <w:snapToGrid w:val="0"/>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47" w:type="dxa"/>
                  <w:vAlign w:val="center"/>
                </w:tcPr>
                <w:p>
                  <w:pPr>
                    <w:widowControl/>
                    <w:jc w:val="center"/>
                    <w:rPr>
                      <w:kern w:val="0"/>
                      <w:szCs w:val="21"/>
                    </w:rPr>
                  </w:pPr>
                  <w:r>
                    <w:rPr>
                      <w:rFonts w:hint="eastAsia"/>
                      <w:kern w:val="0"/>
                      <w:szCs w:val="21"/>
                    </w:rPr>
                    <w:t>2</w:t>
                  </w:r>
                  <w:r>
                    <w:rPr>
                      <w:kern w:val="0"/>
                      <w:szCs w:val="21"/>
                    </w:rPr>
                    <w:t>0</w:t>
                  </w:r>
                </w:p>
              </w:tc>
              <w:tc>
                <w:tcPr>
                  <w:tcW w:w="2866" w:type="dxa"/>
                  <w:vAlign w:val="center"/>
                </w:tcPr>
                <w:p>
                  <w:pPr>
                    <w:widowControl/>
                    <w:adjustRightInd w:val="0"/>
                    <w:snapToGrid w:val="0"/>
                    <w:jc w:val="center"/>
                    <w:rPr>
                      <w:rFonts w:ascii="宋体" w:cs="宋体"/>
                      <w:kern w:val="0"/>
                      <w:szCs w:val="21"/>
                    </w:rPr>
                  </w:pPr>
                  <w:r>
                    <w:rPr>
                      <w:rFonts w:hint="eastAsia" w:ascii="宋体" w:cs="宋体"/>
                      <w:kern w:val="0"/>
                      <w:szCs w:val="21"/>
                    </w:rPr>
                    <w:t>沉淀水池</w:t>
                  </w:r>
                </w:p>
              </w:tc>
              <w:tc>
                <w:tcPr>
                  <w:tcW w:w="1417" w:type="dxa"/>
                  <w:vAlign w:val="center"/>
                </w:tcPr>
                <w:p>
                  <w:pPr>
                    <w:widowControl/>
                    <w:adjustRightInd w:val="0"/>
                    <w:snapToGrid w:val="0"/>
                    <w:jc w:val="center"/>
                    <w:rPr>
                      <w:szCs w:val="21"/>
                    </w:rPr>
                  </w:pPr>
                  <w:r>
                    <w:rPr>
                      <w:rFonts w:ascii="TimesNewRomanPSMT" w:eastAsia="TimesNewRomanPSMT" w:cs="TimesNewRomanPSMT"/>
                      <w:kern w:val="0"/>
                      <w:szCs w:val="21"/>
                    </w:rPr>
                    <w:t>2</w:t>
                  </w:r>
                </w:p>
              </w:tc>
              <w:tc>
                <w:tcPr>
                  <w:tcW w:w="2975" w:type="dxa"/>
                  <w:vAlign w:val="center"/>
                </w:tcPr>
                <w:p>
                  <w:pPr>
                    <w:widowControl/>
                    <w:adjustRightInd w:val="0"/>
                    <w:snapToGrid w:val="0"/>
                    <w:jc w:val="center"/>
                    <w:rPr>
                      <w:szCs w:val="21"/>
                    </w:rPr>
                  </w:pPr>
                  <w:r>
                    <w:rPr>
                      <w:rFonts w:eastAsia="TimesNewRomanPSMT"/>
                      <w:kern w:val="0"/>
                      <w:szCs w:val="21"/>
                    </w:rPr>
                    <w:t>16m</w:t>
                  </w:r>
                  <w:r>
                    <w:rPr>
                      <w:kern w:val="0"/>
                      <w:szCs w:val="21"/>
                    </w:rPr>
                    <w:t>×</w:t>
                  </w:r>
                  <w:r>
                    <w:rPr>
                      <w:rFonts w:eastAsia="TimesNewRomanPSMT"/>
                      <w:kern w:val="0"/>
                      <w:szCs w:val="21"/>
                    </w:rPr>
                    <w:t>13m</w:t>
                  </w:r>
                  <w:r>
                    <w:rPr>
                      <w:kern w:val="0"/>
                      <w:szCs w:val="21"/>
                    </w:rPr>
                    <w:t>×</w:t>
                  </w:r>
                  <w:r>
                    <w:rPr>
                      <w:rFonts w:eastAsia="TimesNewRomanPSMT"/>
                      <w:kern w:val="0"/>
                      <w:szCs w:val="21"/>
                    </w:rPr>
                    <w:t>2.2m</w:t>
                  </w:r>
                  <w:r>
                    <w:rPr>
                      <w:kern w:val="0"/>
                      <w:szCs w:val="21"/>
                    </w:rPr>
                    <w:t>（</w:t>
                  </w:r>
                  <w:r>
                    <w:rPr>
                      <w:rFonts w:eastAsia="TimesNewRomanPSMT"/>
                      <w:kern w:val="0"/>
                      <w:szCs w:val="21"/>
                    </w:rPr>
                    <w:t>457.6m</w:t>
                  </w:r>
                  <w:r>
                    <w:rPr>
                      <w:rFonts w:eastAsia="TimesNewRomanPSMT"/>
                      <w:kern w:val="0"/>
                      <w:szCs w:val="21"/>
                      <w:vertAlign w:val="superscript"/>
                    </w:rPr>
                    <w:t>3</w:t>
                  </w:r>
                  <w:r>
                    <w:rPr>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47" w:type="dxa"/>
                  <w:vAlign w:val="center"/>
                </w:tcPr>
                <w:p>
                  <w:pPr>
                    <w:widowControl/>
                    <w:jc w:val="center"/>
                    <w:rPr>
                      <w:kern w:val="0"/>
                      <w:szCs w:val="21"/>
                    </w:rPr>
                  </w:pPr>
                  <w:r>
                    <w:rPr>
                      <w:rFonts w:hint="eastAsia"/>
                      <w:kern w:val="0"/>
                      <w:szCs w:val="21"/>
                    </w:rPr>
                    <w:t>2</w:t>
                  </w:r>
                  <w:r>
                    <w:rPr>
                      <w:kern w:val="0"/>
                      <w:szCs w:val="21"/>
                    </w:rPr>
                    <w:t>1</w:t>
                  </w:r>
                </w:p>
              </w:tc>
              <w:tc>
                <w:tcPr>
                  <w:tcW w:w="2866" w:type="dxa"/>
                  <w:vAlign w:val="center"/>
                </w:tcPr>
                <w:p>
                  <w:pPr>
                    <w:widowControl/>
                    <w:adjustRightInd w:val="0"/>
                    <w:snapToGrid w:val="0"/>
                    <w:jc w:val="center"/>
                    <w:rPr>
                      <w:rFonts w:ascii="宋体" w:cs="宋体"/>
                      <w:kern w:val="0"/>
                      <w:szCs w:val="21"/>
                    </w:rPr>
                  </w:pPr>
                  <w:r>
                    <w:rPr>
                      <w:rFonts w:hint="eastAsia" w:ascii="宋体" w:cs="宋体"/>
                      <w:kern w:val="0"/>
                      <w:szCs w:val="21"/>
                    </w:rPr>
                    <w:t>沉淀水池</w:t>
                  </w:r>
                </w:p>
              </w:tc>
              <w:tc>
                <w:tcPr>
                  <w:tcW w:w="1417" w:type="dxa"/>
                  <w:vAlign w:val="center"/>
                </w:tcPr>
                <w:p>
                  <w:pPr>
                    <w:widowControl/>
                    <w:adjustRightInd w:val="0"/>
                    <w:snapToGrid w:val="0"/>
                    <w:jc w:val="center"/>
                    <w:rPr>
                      <w:szCs w:val="21"/>
                    </w:rPr>
                  </w:pPr>
                  <w:r>
                    <w:rPr>
                      <w:rFonts w:hint="eastAsia"/>
                      <w:szCs w:val="21"/>
                    </w:rPr>
                    <w:t>1</w:t>
                  </w:r>
                </w:p>
              </w:tc>
              <w:tc>
                <w:tcPr>
                  <w:tcW w:w="2975" w:type="dxa"/>
                  <w:vAlign w:val="center"/>
                </w:tcPr>
                <w:p>
                  <w:pPr>
                    <w:widowControl/>
                    <w:adjustRightInd w:val="0"/>
                    <w:snapToGrid w:val="0"/>
                    <w:jc w:val="center"/>
                    <w:rPr>
                      <w:szCs w:val="21"/>
                    </w:rPr>
                  </w:pPr>
                  <w:r>
                    <w:rPr>
                      <w:rFonts w:eastAsia="TimesNewRomanPSMT"/>
                      <w:kern w:val="0"/>
                      <w:szCs w:val="21"/>
                    </w:rPr>
                    <w:t>5.1m</w:t>
                  </w:r>
                  <w:r>
                    <w:rPr>
                      <w:kern w:val="0"/>
                      <w:szCs w:val="21"/>
                    </w:rPr>
                    <w:t>×</w:t>
                  </w:r>
                  <w:r>
                    <w:rPr>
                      <w:rFonts w:eastAsia="TimesNewRomanPSMT"/>
                      <w:kern w:val="0"/>
                      <w:szCs w:val="21"/>
                    </w:rPr>
                    <w:t>21m</w:t>
                  </w:r>
                  <w:r>
                    <w:rPr>
                      <w:kern w:val="0"/>
                      <w:szCs w:val="21"/>
                    </w:rPr>
                    <w:t>×</w:t>
                  </w:r>
                  <w:r>
                    <w:rPr>
                      <w:rFonts w:eastAsia="TimesNewRomanPSMT"/>
                      <w:kern w:val="0"/>
                      <w:szCs w:val="21"/>
                    </w:rPr>
                    <w:t>3.6m</w:t>
                  </w:r>
                  <w:r>
                    <w:rPr>
                      <w:kern w:val="0"/>
                      <w:szCs w:val="21"/>
                    </w:rPr>
                    <w:t>（</w:t>
                  </w:r>
                  <w:r>
                    <w:rPr>
                      <w:rFonts w:eastAsia="TimesNewRomanPSMT"/>
                      <w:kern w:val="0"/>
                      <w:szCs w:val="21"/>
                    </w:rPr>
                    <w:t>378m</w:t>
                  </w:r>
                  <w:r>
                    <w:rPr>
                      <w:rFonts w:eastAsia="TimesNewRomanPSMT"/>
                      <w:kern w:val="0"/>
                      <w:szCs w:val="21"/>
                      <w:vertAlign w:val="superscript"/>
                    </w:rPr>
                    <w:t>3</w:t>
                  </w:r>
                  <w:r>
                    <w:rPr>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47" w:type="dxa"/>
                  <w:vAlign w:val="center"/>
                </w:tcPr>
                <w:p>
                  <w:pPr>
                    <w:widowControl/>
                    <w:jc w:val="center"/>
                    <w:rPr>
                      <w:kern w:val="0"/>
                      <w:szCs w:val="21"/>
                    </w:rPr>
                  </w:pPr>
                  <w:r>
                    <w:rPr>
                      <w:rFonts w:hint="eastAsia"/>
                      <w:kern w:val="0"/>
                      <w:szCs w:val="21"/>
                    </w:rPr>
                    <w:t>2</w:t>
                  </w:r>
                  <w:r>
                    <w:rPr>
                      <w:kern w:val="0"/>
                      <w:szCs w:val="21"/>
                    </w:rPr>
                    <w:t>2</w:t>
                  </w:r>
                </w:p>
              </w:tc>
              <w:tc>
                <w:tcPr>
                  <w:tcW w:w="2866" w:type="dxa"/>
                  <w:vAlign w:val="center"/>
                </w:tcPr>
                <w:p>
                  <w:pPr>
                    <w:widowControl/>
                    <w:adjustRightInd w:val="0"/>
                    <w:snapToGrid w:val="0"/>
                    <w:jc w:val="center"/>
                    <w:rPr>
                      <w:rFonts w:ascii="宋体" w:cs="宋体"/>
                      <w:kern w:val="0"/>
                      <w:szCs w:val="21"/>
                    </w:rPr>
                  </w:pPr>
                  <w:r>
                    <w:rPr>
                      <w:rFonts w:hint="eastAsia" w:ascii="宋体" w:cs="宋体"/>
                      <w:kern w:val="0"/>
                      <w:szCs w:val="21"/>
                    </w:rPr>
                    <w:t>成品仓</w:t>
                  </w:r>
                </w:p>
              </w:tc>
              <w:tc>
                <w:tcPr>
                  <w:tcW w:w="1417" w:type="dxa"/>
                  <w:vAlign w:val="center"/>
                </w:tcPr>
                <w:p>
                  <w:pPr>
                    <w:widowControl/>
                    <w:adjustRightInd w:val="0"/>
                    <w:snapToGrid w:val="0"/>
                    <w:jc w:val="center"/>
                    <w:rPr>
                      <w:szCs w:val="21"/>
                    </w:rPr>
                  </w:pPr>
                  <w:r>
                    <w:rPr>
                      <w:rFonts w:hint="eastAsia"/>
                      <w:szCs w:val="21"/>
                    </w:rPr>
                    <w:t>1</w:t>
                  </w:r>
                </w:p>
              </w:tc>
              <w:tc>
                <w:tcPr>
                  <w:tcW w:w="2975" w:type="dxa"/>
                  <w:vAlign w:val="center"/>
                </w:tcPr>
                <w:p>
                  <w:pPr>
                    <w:widowControl/>
                    <w:adjustRightInd w:val="0"/>
                    <w:snapToGrid w:val="0"/>
                    <w:jc w:val="center"/>
                    <w:rPr>
                      <w:szCs w:val="21"/>
                    </w:rPr>
                  </w:pPr>
                  <w:r>
                    <w:rPr>
                      <w:rFonts w:eastAsia="TimesNewRomanPSMT"/>
                      <w:kern w:val="0"/>
                      <w:szCs w:val="21"/>
                    </w:rPr>
                    <w:t>9m</w:t>
                  </w:r>
                  <w:r>
                    <w:rPr>
                      <w:kern w:val="0"/>
                      <w:szCs w:val="21"/>
                    </w:rPr>
                    <w:t>×</w:t>
                  </w:r>
                  <w:r>
                    <w:rPr>
                      <w:rFonts w:eastAsia="TimesNewRomanPSMT"/>
                      <w:kern w:val="0"/>
                      <w:szCs w:val="21"/>
                    </w:rPr>
                    <w:t>7m</w:t>
                  </w:r>
                  <w:r>
                    <w:rPr>
                      <w:kern w:val="0"/>
                      <w:szCs w:val="21"/>
                    </w:rPr>
                    <w:t>×</w:t>
                  </w:r>
                  <w:r>
                    <w:rPr>
                      <w:rFonts w:eastAsia="TimesNewRomanPSMT"/>
                      <w:kern w:val="0"/>
                      <w:szCs w:val="21"/>
                    </w:rPr>
                    <w:t>1.8m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47" w:type="dxa"/>
                  <w:vAlign w:val="center"/>
                </w:tcPr>
                <w:p>
                  <w:pPr>
                    <w:widowControl/>
                    <w:jc w:val="center"/>
                    <w:rPr>
                      <w:kern w:val="0"/>
                      <w:szCs w:val="21"/>
                    </w:rPr>
                  </w:pPr>
                  <w:r>
                    <w:rPr>
                      <w:rFonts w:hint="eastAsia"/>
                      <w:kern w:val="0"/>
                      <w:szCs w:val="21"/>
                    </w:rPr>
                    <w:t>2</w:t>
                  </w:r>
                  <w:r>
                    <w:rPr>
                      <w:kern w:val="0"/>
                      <w:szCs w:val="21"/>
                    </w:rPr>
                    <w:t>3</w:t>
                  </w:r>
                </w:p>
              </w:tc>
              <w:tc>
                <w:tcPr>
                  <w:tcW w:w="2866" w:type="dxa"/>
                  <w:vAlign w:val="center"/>
                </w:tcPr>
                <w:p>
                  <w:pPr>
                    <w:widowControl/>
                    <w:adjustRightInd w:val="0"/>
                    <w:snapToGrid w:val="0"/>
                    <w:jc w:val="center"/>
                    <w:rPr>
                      <w:rFonts w:ascii="宋体" w:cs="宋体"/>
                      <w:kern w:val="0"/>
                      <w:szCs w:val="21"/>
                    </w:rPr>
                  </w:pPr>
                  <w:r>
                    <w:rPr>
                      <w:rFonts w:hint="eastAsia" w:ascii="宋体" w:cs="宋体"/>
                      <w:kern w:val="0"/>
                      <w:szCs w:val="21"/>
                    </w:rPr>
                    <w:t>沉淀水池</w:t>
                  </w:r>
                </w:p>
              </w:tc>
              <w:tc>
                <w:tcPr>
                  <w:tcW w:w="1417" w:type="dxa"/>
                  <w:vAlign w:val="center"/>
                </w:tcPr>
                <w:p>
                  <w:pPr>
                    <w:widowControl/>
                    <w:adjustRightInd w:val="0"/>
                    <w:snapToGrid w:val="0"/>
                    <w:jc w:val="center"/>
                    <w:rPr>
                      <w:szCs w:val="21"/>
                    </w:rPr>
                  </w:pPr>
                  <w:r>
                    <w:rPr>
                      <w:rFonts w:hint="eastAsia"/>
                      <w:szCs w:val="21"/>
                    </w:rPr>
                    <w:t>1</w:t>
                  </w:r>
                </w:p>
              </w:tc>
              <w:tc>
                <w:tcPr>
                  <w:tcW w:w="2975" w:type="dxa"/>
                  <w:vAlign w:val="center"/>
                </w:tcPr>
                <w:p>
                  <w:pPr>
                    <w:widowControl/>
                    <w:adjustRightInd w:val="0"/>
                    <w:snapToGrid w:val="0"/>
                    <w:jc w:val="center"/>
                    <w:rPr>
                      <w:szCs w:val="21"/>
                    </w:rPr>
                  </w:pPr>
                  <w:r>
                    <w:rPr>
                      <w:rFonts w:eastAsia="TimesNewRomanPSMT"/>
                      <w:kern w:val="0"/>
                      <w:szCs w:val="21"/>
                    </w:rPr>
                    <w:t>15m</w:t>
                  </w:r>
                  <w:r>
                    <w:rPr>
                      <w:kern w:val="0"/>
                      <w:szCs w:val="21"/>
                    </w:rPr>
                    <w:t>×</w:t>
                  </w:r>
                  <w:r>
                    <w:rPr>
                      <w:rFonts w:eastAsia="TimesNewRomanPSMT"/>
                      <w:kern w:val="0"/>
                      <w:szCs w:val="21"/>
                    </w:rPr>
                    <w:t>4.5m</w:t>
                  </w:r>
                  <w:r>
                    <w:rPr>
                      <w:kern w:val="0"/>
                      <w:szCs w:val="21"/>
                    </w:rPr>
                    <w:t>×</w:t>
                  </w:r>
                  <w:r>
                    <w:rPr>
                      <w:rFonts w:eastAsia="TimesNewRomanPSMT"/>
                      <w:kern w:val="0"/>
                      <w:szCs w:val="21"/>
                    </w:rPr>
                    <w:t>0.5m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47" w:type="dxa"/>
                  <w:vAlign w:val="center"/>
                </w:tcPr>
                <w:p>
                  <w:pPr>
                    <w:widowControl/>
                    <w:jc w:val="center"/>
                    <w:rPr>
                      <w:kern w:val="0"/>
                      <w:szCs w:val="21"/>
                    </w:rPr>
                  </w:pPr>
                  <w:r>
                    <w:rPr>
                      <w:rFonts w:hint="eastAsia"/>
                      <w:kern w:val="0"/>
                      <w:szCs w:val="21"/>
                    </w:rPr>
                    <w:t>2</w:t>
                  </w:r>
                  <w:r>
                    <w:rPr>
                      <w:kern w:val="0"/>
                      <w:szCs w:val="21"/>
                    </w:rPr>
                    <w:t>4</w:t>
                  </w:r>
                </w:p>
              </w:tc>
              <w:tc>
                <w:tcPr>
                  <w:tcW w:w="2866" w:type="dxa"/>
                  <w:vAlign w:val="center"/>
                </w:tcPr>
                <w:p>
                  <w:pPr>
                    <w:widowControl/>
                    <w:adjustRightInd w:val="0"/>
                    <w:snapToGrid w:val="0"/>
                    <w:jc w:val="center"/>
                    <w:rPr>
                      <w:rFonts w:ascii="宋体" w:cs="宋体"/>
                      <w:kern w:val="0"/>
                      <w:szCs w:val="21"/>
                    </w:rPr>
                  </w:pPr>
                  <w:r>
                    <w:rPr>
                      <w:rFonts w:hint="eastAsia" w:ascii="宋体" w:cs="宋体"/>
                      <w:kern w:val="0"/>
                      <w:szCs w:val="21"/>
                    </w:rPr>
                    <w:t>回收池</w:t>
                  </w:r>
                </w:p>
              </w:tc>
              <w:tc>
                <w:tcPr>
                  <w:tcW w:w="1417" w:type="dxa"/>
                  <w:vAlign w:val="center"/>
                </w:tcPr>
                <w:p>
                  <w:pPr>
                    <w:widowControl/>
                    <w:adjustRightInd w:val="0"/>
                    <w:snapToGrid w:val="0"/>
                    <w:jc w:val="center"/>
                    <w:rPr>
                      <w:szCs w:val="21"/>
                    </w:rPr>
                  </w:pPr>
                  <w:r>
                    <w:rPr>
                      <w:rFonts w:hint="eastAsia"/>
                      <w:szCs w:val="21"/>
                    </w:rPr>
                    <w:t>2</w:t>
                  </w:r>
                </w:p>
              </w:tc>
              <w:tc>
                <w:tcPr>
                  <w:tcW w:w="2975" w:type="dxa"/>
                  <w:vAlign w:val="center"/>
                </w:tcPr>
                <w:p>
                  <w:pPr>
                    <w:widowControl/>
                    <w:adjustRightInd w:val="0"/>
                    <w:snapToGrid w:val="0"/>
                    <w:jc w:val="center"/>
                    <w:rPr>
                      <w:szCs w:val="21"/>
                    </w:rPr>
                  </w:pPr>
                  <w:r>
                    <w:rPr>
                      <w:rFonts w:eastAsia="TimesNewRomanPSMT"/>
                      <w:kern w:val="0"/>
                      <w:szCs w:val="21"/>
                    </w:rPr>
                    <w:t>1m</w:t>
                  </w:r>
                  <w:r>
                    <w:rPr>
                      <w:kern w:val="0"/>
                      <w:szCs w:val="21"/>
                    </w:rPr>
                    <w:t>×</w:t>
                  </w:r>
                  <w:r>
                    <w:rPr>
                      <w:rFonts w:eastAsia="TimesNewRomanPSMT"/>
                      <w:kern w:val="0"/>
                      <w:szCs w:val="21"/>
                    </w:rPr>
                    <w:t>1m</w:t>
                  </w:r>
                  <w:r>
                    <w:rPr>
                      <w:kern w:val="0"/>
                      <w:szCs w:val="21"/>
                    </w:rPr>
                    <w:t>×</w:t>
                  </w:r>
                  <w:r>
                    <w:rPr>
                      <w:rFonts w:eastAsia="TimesNewRomanPSMT"/>
                      <w:kern w:val="0"/>
                      <w:szCs w:val="21"/>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47" w:type="dxa"/>
                  <w:vAlign w:val="center"/>
                </w:tcPr>
                <w:p>
                  <w:pPr>
                    <w:widowControl/>
                    <w:jc w:val="center"/>
                    <w:rPr>
                      <w:kern w:val="0"/>
                      <w:szCs w:val="21"/>
                    </w:rPr>
                  </w:pPr>
                  <w:r>
                    <w:rPr>
                      <w:rFonts w:hint="eastAsia"/>
                      <w:kern w:val="0"/>
                      <w:szCs w:val="21"/>
                    </w:rPr>
                    <w:t>2</w:t>
                  </w:r>
                  <w:r>
                    <w:rPr>
                      <w:kern w:val="0"/>
                      <w:szCs w:val="21"/>
                    </w:rPr>
                    <w:t>5</w:t>
                  </w:r>
                </w:p>
              </w:tc>
              <w:tc>
                <w:tcPr>
                  <w:tcW w:w="2866" w:type="dxa"/>
                  <w:vAlign w:val="center"/>
                </w:tcPr>
                <w:p>
                  <w:pPr>
                    <w:widowControl/>
                    <w:adjustRightInd w:val="0"/>
                    <w:snapToGrid w:val="0"/>
                    <w:jc w:val="center"/>
                    <w:rPr>
                      <w:rFonts w:ascii="宋体" w:cs="宋体"/>
                      <w:kern w:val="0"/>
                      <w:szCs w:val="21"/>
                    </w:rPr>
                  </w:pPr>
                  <w:r>
                    <w:rPr>
                      <w:rFonts w:hint="eastAsia" w:ascii="宋体" w:cs="宋体"/>
                      <w:kern w:val="0"/>
                      <w:szCs w:val="21"/>
                    </w:rPr>
                    <w:t>中转罐</w:t>
                  </w:r>
                </w:p>
              </w:tc>
              <w:tc>
                <w:tcPr>
                  <w:tcW w:w="1417" w:type="dxa"/>
                  <w:vAlign w:val="center"/>
                </w:tcPr>
                <w:p>
                  <w:pPr>
                    <w:widowControl/>
                    <w:adjustRightInd w:val="0"/>
                    <w:snapToGrid w:val="0"/>
                    <w:jc w:val="center"/>
                    <w:rPr>
                      <w:szCs w:val="21"/>
                    </w:rPr>
                  </w:pPr>
                  <w:r>
                    <w:rPr>
                      <w:rFonts w:hint="eastAsia"/>
                      <w:szCs w:val="21"/>
                    </w:rPr>
                    <w:t>2</w:t>
                  </w:r>
                </w:p>
              </w:tc>
              <w:tc>
                <w:tcPr>
                  <w:tcW w:w="2975" w:type="dxa"/>
                  <w:vAlign w:val="center"/>
                </w:tcPr>
                <w:p>
                  <w:pPr>
                    <w:widowControl/>
                    <w:adjustRightInd w:val="0"/>
                    <w:snapToGrid w:val="0"/>
                    <w:jc w:val="center"/>
                    <w:rPr>
                      <w:szCs w:val="21"/>
                    </w:rPr>
                  </w:pPr>
                  <w:r>
                    <w:rPr>
                      <w:kern w:val="0"/>
                      <w:szCs w:val="21"/>
                    </w:rPr>
                    <w:t>φ</w:t>
                  </w:r>
                  <w:r>
                    <w:rPr>
                      <w:rFonts w:eastAsia="TimesNewRomanPSMT"/>
                      <w:kern w:val="0"/>
                      <w:szCs w:val="21"/>
                    </w:rPr>
                    <w:t>2.5m</w:t>
                  </w:r>
                  <w:r>
                    <w:rPr>
                      <w:kern w:val="0"/>
                      <w:szCs w:val="21"/>
                    </w:rPr>
                    <w:t>，</w:t>
                  </w:r>
                  <w:r>
                    <w:rPr>
                      <w:rFonts w:eastAsia="TimesNewRomanPSMT"/>
                      <w:kern w:val="0"/>
                      <w:szCs w:val="21"/>
                    </w:rPr>
                    <w:t>h1.5m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47" w:type="dxa"/>
                  <w:vAlign w:val="center"/>
                </w:tcPr>
                <w:p>
                  <w:pPr>
                    <w:widowControl/>
                    <w:jc w:val="center"/>
                    <w:rPr>
                      <w:kern w:val="0"/>
                      <w:szCs w:val="21"/>
                    </w:rPr>
                  </w:pPr>
                  <w:r>
                    <w:rPr>
                      <w:rFonts w:hint="eastAsia"/>
                      <w:kern w:val="0"/>
                      <w:szCs w:val="21"/>
                    </w:rPr>
                    <w:t>2</w:t>
                  </w:r>
                  <w:r>
                    <w:rPr>
                      <w:kern w:val="0"/>
                      <w:szCs w:val="21"/>
                    </w:rPr>
                    <w:t>6</w:t>
                  </w:r>
                </w:p>
              </w:tc>
              <w:tc>
                <w:tcPr>
                  <w:tcW w:w="2866" w:type="dxa"/>
                  <w:vAlign w:val="center"/>
                </w:tcPr>
                <w:p>
                  <w:pPr>
                    <w:widowControl/>
                    <w:adjustRightInd w:val="0"/>
                    <w:snapToGrid w:val="0"/>
                    <w:jc w:val="center"/>
                    <w:rPr>
                      <w:rFonts w:ascii="宋体" w:cs="宋体"/>
                      <w:kern w:val="0"/>
                      <w:szCs w:val="21"/>
                    </w:rPr>
                  </w:pPr>
                  <w:r>
                    <w:rPr>
                      <w:rFonts w:hint="eastAsia" w:ascii="宋体" w:cs="宋体"/>
                      <w:kern w:val="0"/>
                      <w:sz w:val="24"/>
                    </w:rPr>
                    <w:t>浓缩罐</w:t>
                  </w:r>
                </w:p>
              </w:tc>
              <w:tc>
                <w:tcPr>
                  <w:tcW w:w="1417" w:type="dxa"/>
                  <w:vAlign w:val="center"/>
                </w:tcPr>
                <w:p>
                  <w:pPr>
                    <w:widowControl/>
                    <w:adjustRightInd w:val="0"/>
                    <w:snapToGrid w:val="0"/>
                    <w:jc w:val="center"/>
                    <w:rPr>
                      <w:szCs w:val="21"/>
                    </w:rPr>
                  </w:pPr>
                  <w:r>
                    <w:rPr>
                      <w:rFonts w:hint="eastAsia"/>
                      <w:szCs w:val="21"/>
                    </w:rPr>
                    <w:t>4</w:t>
                  </w:r>
                </w:p>
              </w:tc>
              <w:tc>
                <w:tcPr>
                  <w:tcW w:w="2975" w:type="dxa"/>
                  <w:vAlign w:val="center"/>
                </w:tcPr>
                <w:p>
                  <w:pPr>
                    <w:widowControl/>
                    <w:adjustRightInd w:val="0"/>
                    <w:snapToGrid w:val="0"/>
                    <w:jc w:val="center"/>
                    <w:rPr>
                      <w:kern w:val="0"/>
                      <w:szCs w:val="21"/>
                    </w:rPr>
                  </w:pPr>
                  <w:r>
                    <w:rPr>
                      <w:szCs w:val="21"/>
                    </w:rPr>
                    <w:t>/</w:t>
                  </w:r>
                </w:p>
              </w:tc>
            </w:tr>
          </w:tbl>
          <w:p>
            <w:pPr>
              <w:spacing w:before="240" w:line="360" w:lineRule="auto"/>
              <w:ind w:firstLine="482" w:firstLineChars="200"/>
              <w:rPr>
                <w:b/>
                <w:sz w:val="24"/>
              </w:rPr>
            </w:pPr>
            <w:r>
              <w:rPr>
                <w:rFonts w:hint="eastAsia"/>
                <w:b/>
                <w:sz w:val="24"/>
              </w:rPr>
              <w:t>5、项目四至情况</w:t>
            </w:r>
          </w:p>
          <w:p>
            <w:pPr>
              <w:spacing w:line="360" w:lineRule="auto"/>
              <w:ind w:firstLine="480" w:firstLineChars="200"/>
              <w:rPr>
                <w:sz w:val="24"/>
              </w:rPr>
            </w:pPr>
            <w:r>
              <w:rPr>
                <w:rFonts w:hint="eastAsia"/>
                <w:sz w:val="24"/>
              </w:rPr>
              <w:t>本项目位于</w:t>
            </w:r>
            <w:r>
              <w:rPr>
                <w:rFonts w:hint="eastAsia"/>
                <w:bCs/>
                <w:spacing w:val="-6"/>
                <w:sz w:val="24"/>
              </w:rPr>
              <w:t>陆河县新田镇麻地村委山茶顶</w:t>
            </w:r>
            <w:r>
              <w:rPr>
                <w:rFonts w:hint="eastAsia"/>
                <w:sz w:val="24"/>
              </w:rPr>
              <w:t>（中心地理位置：东经</w:t>
            </w:r>
            <w:r>
              <w:rPr>
                <w:sz w:val="24"/>
              </w:rPr>
              <w:t>115.539464</w:t>
            </w:r>
            <w:r>
              <w:rPr>
                <w:rFonts w:hint="eastAsia"/>
                <w:sz w:val="24"/>
              </w:rPr>
              <w:t>°，北纬</w:t>
            </w:r>
            <w:r>
              <w:rPr>
                <w:sz w:val="24"/>
              </w:rPr>
              <w:t>23.169501</w:t>
            </w:r>
            <w:r>
              <w:rPr>
                <w:rFonts w:hint="eastAsia"/>
                <w:sz w:val="24"/>
              </w:rPr>
              <w:t>°），项目北面和南面为空地，西面为山地，东面为</w:t>
            </w:r>
            <w:r>
              <w:rPr>
                <w:sz w:val="24"/>
              </w:rPr>
              <w:t>道路（</w:t>
            </w:r>
            <w:r>
              <w:rPr>
                <w:kern w:val="0"/>
                <w:sz w:val="24"/>
              </w:rPr>
              <w:t>S335</w:t>
            </w:r>
            <w:r>
              <w:rPr>
                <w:sz w:val="24"/>
              </w:rPr>
              <w:t>）</w:t>
            </w:r>
            <w:r>
              <w:rPr>
                <w:rFonts w:hint="eastAsia"/>
                <w:sz w:val="24"/>
              </w:rPr>
              <w:t>，项目四至环境示意图见附图2，项目四至情况及现状照片见附图6。</w:t>
            </w:r>
          </w:p>
          <w:p>
            <w:pPr>
              <w:snapToGrid w:val="0"/>
              <w:spacing w:before="120" w:beforeLines="50" w:line="360" w:lineRule="auto"/>
              <w:ind w:firstLine="482" w:firstLineChars="200"/>
              <w:rPr>
                <w:b/>
                <w:sz w:val="24"/>
              </w:rPr>
            </w:pPr>
            <w:r>
              <w:rPr>
                <w:rFonts w:hint="eastAsia"/>
                <w:b/>
                <w:sz w:val="24"/>
              </w:rPr>
              <w:t>6</w:t>
            </w:r>
            <w:r>
              <w:rPr>
                <w:b/>
                <w:sz w:val="24"/>
              </w:rPr>
              <w:t>、用能规模</w:t>
            </w:r>
          </w:p>
          <w:p>
            <w:pPr>
              <w:pStyle w:val="35"/>
              <w:snapToGrid w:val="0"/>
              <w:spacing w:line="360" w:lineRule="auto"/>
              <w:ind w:firstLine="480" w:firstLineChars="200"/>
              <w:rPr>
                <w:sz w:val="24"/>
                <w:szCs w:val="24"/>
              </w:rPr>
            </w:pPr>
            <w:r>
              <w:rPr>
                <w:rFonts w:hint="eastAsia"/>
                <w:sz w:val="24"/>
                <w:szCs w:val="24"/>
              </w:rPr>
              <w:t>本项目用电来自市政供电，年用电量约为</w:t>
            </w:r>
            <w:r>
              <w:rPr>
                <w:sz w:val="24"/>
                <w:szCs w:val="24"/>
              </w:rPr>
              <w:t>3</w:t>
            </w:r>
            <w:r>
              <w:rPr>
                <w:rFonts w:hint="eastAsia"/>
                <w:sz w:val="24"/>
                <w:szCs w:val="24"/>
              </w:rPr>
              <w:t>万度。</w:t>
            </w:r>
            <w:r>
              <w:rPr>
                <w:rFonts w:hint="eastAsia" w:ascii="宋体" w:cs="宋体"/>
                <w:kern w:val="0"/>
                <w:sz w:val="24"/>
              </w:rPr>
              <w:t>项目不设备用发电机。</w:t>
            </w:r>
          </w:p>
          <w:p>
            <w:pPr>
              <w:snapToGrid w:val="0"/>
              <w:spacing w:line="360" w:lineRule="auto"/>
              <w:ind w:firstLine="482" w:firstLineChars="200"/>
              <w:rPr>
                <w:b/>
                <w:sz w:val="24"/>
              </w:rPr>
            </w:pPr>
            <w:r>
              <w:rPr>
                <w:rFonts w:hint="eastAsia"/>
                <w:b/>
                <w:sz w:val="24"/>
              </w:rPr>
              <w:t>7</w:t>
            </w:r>
            <w:r>
              <w:rPr>
                <w:b/>
                <w:sz w:val="24"/>
              </w:rPr>
              <w:t>、给排水系统</w:t>
            </w:r>
          </w:p>
          <w:p>
            <w:pPr>
              <w:spacing w:line="360" w:lineRule="auto"/>
              <w:ind w:firstLine="480" w:firstLineChars="200"/>
              <w:rPr>
                <w:bCs/>
                <w:sz w:val="24"/>
              </w:rPr>
            </w:pPr>
            <w:r>
              <w:rPr>
                <w:bCs/>
                <w:sz w:val="24"/>
              </w:rPr>
              <w:t>（1）给水系统</w:t>
            </w:r>
          </w:p>
          <w:p>
            <w:pPr>
              <w:spacing w:line="360" w:lineRule="auto"/>
              <w:ind w:firstLine="480" w:firstLineChars="200"/>
              <w:rPr>
                <w:bCs/>
                <w:sz w:val="24"/>
              </w:rPr>
            </w:pPr>
            <w:r>
              <w:rPr>
                <w:rFonts w:hint="eastAsia"/>
                <w:bCs/>
                <w:sz w:val="24"/>
              </w:rPr>
              <w:t>本</w:t>
            </w:r>
            <w:r>
              <w:rPr>
                <w:bCs/>
                <w:sz w:val="24"/>
              </w:rPr>
              <w:t>项目</w:t>
            </w:r>
            <w:r>
              <w:rPr>
                <w:rFonts w:hint="eastAsia"/>
                <w:bCs/>
                <w:sz w:val="24"/>
              </w:rPr>
              <w:t>用水</w:t>
            </w:r>
            <w:r>
              <w:rPr>
                <w:bCs/>
                <w:sz w:val="24"/>
              </w:rPr>
              <w:t>由市政供水管网</w:t>
            </w:r>
            <w:r>
              <w:rPr>
                <w:rFonts w:hint="eastAsia"/>
                <w:bCs/>
                <w:sz w:val="24"/>
              </w:rPr>
              <w:t>供给。项目总用水量约为</w:t>
            </w:r>
            <w:r>
              <w:rPr>
                <w:bCs/>
                <w:sz w:val="24"/>
                <w:lang w:val="zh-CN"/>
              </w:rPr>
              <w:t>286968</w:t>
            </w:r>
            <w:r>
              <w:rPr>
                <w:rFonts w:hint="eastAsia"/>
                <w:bCs/>
                <w:sz w:val="24"/>
              </w:rPr>
              <w:t>m</w:t>
            </w:r>
            <w:r>
              <w:rPr>
                <w:rFonts w:hint="eastAsia"/>
                <w:bCs/>
                <w:sz w:val="24"/>
                <w:vertAlign w:val="superscript"/>
              </w:rPr>
              <w:t>3</w:t>
            </w:r>
            <w:r>
              <w:rPr>
                <w:bCs/>
                <w:sz w:val="24"/>
              </w:rPr>
              <w:t>/a</w:t>
            </w:r>
            <w:r>
              <w:rPr>
                <w:rFonts w:hint="eastAsia"/>
                <w:bCs/>
                <w:sz w:val="24"/>
              </w:rPr>
              <w:t>，主要是</w:t>
            </w:r>
            <w:r>
              <w:rPr>
                <w:bCs/>
                <w:sz w:val="24"/>
              </w:rPr>
              <w:t>生活</w:t>
            </w:r>
            <w:r>
              <w:rPr>
                <w:rFonts w:hint="eastAsia"/>
                <w:bCs/>
                <w:sz w:val="24"/>
              </w:rPr>
              <w:t>用</w:t>
            </w:r>
            <w:r>
              <w:rPr>
                <w:bCs/>
                <w:sz w:val="24"/>
              </w:rPr>
              <w:t>水</w:t>
            </w:r>
            <w:r>
              <w:rPr>
                <w:rFonts w:hint="eastAsia"/>
                <w:bCs/>
                <w:sz w:val="24"/>
              </w:rPr>
              <w:t>和生产用水。</w:t>
            </w:r>
          </w:p>
          <w:p>
            <w:pPr>
              <w:spacing w:line="360" w:lineRule="auto"/>
              <w:ind w:firstLine="480" w:firstLineChars="200"/>
              <w:rPr>
                <w:bCs/>
                <w:sz w:val="24"/>
              </w:rPr>
            </w:pPr>
            <w:r>
              <w:rPr>
                <w:bCs/>
                <w:sz w:val="24"/>
              </w:rPr>
              <w:t>（2）排水系统</w:t>
            </w:r>
          </w:p>
          <w:p>
            <w:pPr>
              <w:spacing w:line="360" w:lineRule="auto"/>
              <w:ind w:firstLine="480" w:firstLineChars="200"/>
              <w:rPr>
                <w:bCs/>
                <w:sz w:val="24"/>
              </w:rPr>
            </w:pPr>
            <w:r>
              <w:rPr>
                <w:bCs/>
                <w:sz w:val="24"/>
              </w:rPr>
              <w:t>本项目外排废水为生活污水151.2 m</w:t>
            </w:r>
            <w:r>
              <w:rPr>
                <w:bCs/>
                <w:sz w:val="24"/>
                <w:vertAlign w:val="superscript"/>
              </w:rPr>
              <w:t>3</w:t>
            </w:r>
            <w:r>
              <w:rPr>
                <w:bCs/>
                <w:sz w:val="24"/>
              </w:rPr>
              <w:t>/a，项目生活污水包括办公生活污水。办公生活污水经三级化粪池预处理后，满足</w:t>
            </w:r>
            <w:r>
              <w:rPr>
                <w:sz w:val="24"/>
              </w:rPr>
              <w:t>《农田灌溉水质标准》（GB5084-2005）中的旱作标准后</w:t>
            </w:r>
            <w:r>
              <w:rPr>
                <w:rFonts w:hint="eastAsia"/>
                <w:sz w:val="24"/>
              </w:rPr>
              <w:t>排入灌溉水沟</w:t>
            </w:r>
            <w:r>
              <w:rPr>
                <w:sz w:val="24"/>
              </w:rPr>
              <w:t>，厂区不设置生活污水排放口</w:t>
            </w:r>
            <w:r>
              <w:rPr>
                <w:bCs/>
                <w:sz w:val="24"/>
              </w:rPr>
              <w:t>。</w:t>
            </w:r>
            <w:r>
              <w:rPr>
                <w:rFonts w:hint="eastAsia"/>
                <w:bCs/>
                <w:sz w:val="24"/>
              </w:rPr>
              <w:t>本项目无生产废水外排。</w:t>
            </w:r>
            <w:r>
              <w:rPr>
                <w:kern w:val="0"/>
                <w:sz w:val="24"/>
              </w:rPr>
              <w:t>工艺废水</w:t>
            </w:r>
            <w:r>
              <w:rPr>
                <w:rFonts w:hint="eastAsia" w:ascii="宋体" w:cs="宋体"/>
                <w:kern w:val="0"/>
                <w:sz w:val="24"/>
              </w:rPr>
              <w:t>经过厂区沉淀池处理后全部回用不外排；设施冲洗废水循环使用，不外排；地面冲洗废水作为下一班次生产的补充用料，不外排。</w:t>
            </w:r>
          </w:p>
          <w:p>
            <w:pPr>
              <w:spacing w:line="360" w:lineRule="auto"/>
              <w:ind w:firstLine="472" w:firstLineChars="196"/>
              <w:rPr>
                <w:b/>
                <w:sz w:val="24"/>
              </w:rPr>
            </w:pPr>
            <w:r>
              <w:rPr>
                <w:rFonts w:hint="eastAsia"/>
                <w:b/>
                <w:sz w:val="24"/>
              </w:rPr>
              <w:t>8</w:t>
            </w:r>
            <w:r>
              <w:rPr>
                <w:b/>
                <w:sz w:val="24"/>
              </w:rPr>
              <w:t>、</w:t>
            </w:r>
            <w:r>
              <w:rPr>
                <w:rFonts w:hint="eastAsia"/>
                <w:b/>
                <w:sz w:val="24"/>
              </w:rPr>
              <w:t>劳动定员</w:t>
            </w:r>
            <w:r>
              <w:rPr>
                <w:b/>
                <w:sz w:val="24"/>
              </w:rPr>
              <w:t>及工作制度</w:t>
            </w:r>
          </w:p>
          <w:p>
            <w:pPr>
              <w:adjustRightInd w:val="0"/>
              <w:snapToGrid w:val="0"/>
              <w:spacing w:line="360" w:lineRule="auto"/>
              <w:ind w:firstLine="480" w:firstLineChars="200"/>
              <w:rPr>
                <w:bCs/>
                <w:sz w:val="24"/>
              </w:rPr>
            </w:pPr>
            <w:r>
              <w:rPr>
                <w:rFonts w:hint="eastAsia"/>
                <w:bCs/>
                <w:sz w:val="24"/>
              </w:rPr>
              <w:t>本项目招收</w:t>
            </w:r>
            <w:r>
              <w:rPr>
                <w:bCs/>
                <w:sz w:val="24"/>
              </w:rPr>
              <w:t>员工15人</w:t>
            </w:r>
            <w:r>
              <w:rPr>
                <w:rFonts w:hint="eastAsia"/>
                <w:bCs/>
                <w:sz w:val="24"/>
              </w:rPr>
              <w:t>，均不在厂内用餐和住宿，一班制，每天工作</w:t>
            </w:r>
            <w:r>
              <w:rPr>
                <w:bCs/>
                <w:sz w:val="24"/>
              </w:rPr>
              <w:t>8小时，年工作28</w:t>
            </w:r>
            <w:r>
              <w:rPr>
                <w:rFonts w:hint="eastAsia"/>
                <w:bCs/>
                <w:sz w:val="24"/>
              </w:rPr>
              <w:t>0</w:t>
            </w:r>
            <w:r>
              <w:rPr>
                <w:bCs/>
                <w:sz w:val="24"/>
              </w:rPr>
              <w:t>天</w:t>
            </w:r>
            <w:r>
              <w:rPr>
                <w:rFonts w:hint="eastAsia"/>
                <w:bCs/>
                <w:sz w:val="24"/>
              </w:rPr>
              <w:t>。</w:t>
            </w:r>
          </w:p>
          <w:p>
            <w:pPr>
              <w:adjustRightInd w:val="0"/>
              <w:snapToGrid w:val="0"/>
              <w:spacing w:line="360" w:lineRule="auto"/>
              <w:ind w:firstLine="482" w:firstLineChars="200"/>
              <w:rPr>
                <w:b/>
                <w:bCs/>
                <w:sz w:val="24"/>
              </w:rPr>
            </w:pPr>
            <w:r>
              <w:rPr>
                <w:b/>
                <w:sz w:val="24"/>
              </w:rPr>
              <w:t>9、</w:t>
            </w:r>
            <w:r>
              <w:rPr>
                <w:b/>
                <w:bCs/>
                <w:sz w:val="24"/>
              </w:rPr>
              <w:t>产业政策及选址可行性分析</w:t>
            </w:r>
          </w:p>
          <w:p>
            <w:pPr>
              <w:spacing w:line="360" w:lineRule="auto"/>
              <w:ind w:firstLine="482" w:firstLineChars="200"/>
              <w:rPr>
                <w:b/>
                <w:bCs/>
                <w:sz w:val="24"/>
                <w:szCs w:val="18"/>
              </w:rPr>
            </w:pPr>
            <w:r>
              <w:rPr>
                <w:b/>
                <w:bCs/>
                <w:sz w:val="24"/>
                <w:szCs w:val="18"/>
              </w:rPr>
              <w:t>（1）选址可行性分析</w:t>
            </w:r>
          </w:p>
          <w:p>
            <w:pPr>
              <w:spacing w:line="360" w:lineRule="auto"/>
              <w:ind w:firstLine="480" w:firstLineChars="200"/>
              <w:rPr>
                <w:sz w:val="24"/>
                <w:szCs w:val="18"/>
              </w:rPr>
            </w:pPr>
            <w:r>
              <w:rPr>
                <w:sz w:val="24"/>
                <w:szCs w:val="18"/>
              </w:rPr>
              <w:t>本项目位于广东省汕尾市陆河县新田镇麻地村茶山顶，根据《陆河县新田镇土地利用总体规划（2010-2020年）》（见附图10）、《汕尾市陆河县土地整治规划（2016-2020年）》（见附图11），本项目属于允许建设区和有条件建设区，符合汕尾市陆河县土地利用和整治规划要求。项目周边主要为山林地，项目500m范围内不涉及医院、学校、饮用水源保护区、自然保护区、风景名胜区及重点文物古迹等。</w:t>
            </w:r>
          </w:p>
          <w:p>
            <w:pPr>
              <w:spacing w:line="360" w:lineRule="auto"/>
              <w:ind w:firstLine="480" w:firstLineChars="200"/>
              <w:rPr>
                <w:sz w:val="24"/>
                <w:szCs w:val="18"/>
              </w:rPr>
            </w:pPr>
            <w:r>
              <w:rPr>
                <w:sz w:val="24"/>
                <w:szCs w:val="18"/>
              </w:rPr>
              <w:t>综上，项目选址和用地是可行的。</w:t>
            </w:r>
          </w:p>
          <w:p>
            <w:pPr>
              <w:spacing w:line="360" w:lineRule="auto"/>
              <w:ind w:firstLine="482" w:firstLineChars="200"/>
              <w:rPr>
                <w:b/>
                <w:bCs/>
                <w:sz w:val="24"/>
                <w:szCs w:val="18"/>
              </w:rPr>
            </w:pPr>
            <w:r>
              <w:rPr>
                <w:b/>
                <w:bCs/>
                <w:sz w:val="24"/>
                <w:szCs w:val="18"/>
              </w:rPr>
              <w:t>（2）与环境功能区划相符性分析</w:t>
            </w:r>
          </w:p>
          <w:p>
            <w:pPr>
              <w:spacing w:line="360" w:lineRule="auto"/>
              <w:ind w:firstLine="480" w:firstLineChars="200"/>
              <w:rPr>
                <w:sz w:val="24"/>
                <w:szCs w:val="18"/>
              </w:rPr>
            </w:pPr>
            <w:r>
              <w:rPr>
                <w:sz w:val="24"/>
                <w:szCs w:val="18"/>
              </w:rPr>
              <w:t>根据《汕尾市环境保护规划纲要》（2008-2020），项目所在地不在汕尾市饮用水源保护区范围内，不属于生物多样性保护生态区、水源涵养区等生态控制区域，所在地属于环境空气二类区，声环境功能为2、4a类。因此，本项目选址符合环境功能区划。</w:t>
            </w:r>
          </w:p>
          <w:p>
            <w:pPr>
              <w:spacing w:line="360" w:lineRule="auto"/>
              <w:ind w:firstLine="482" w:firstLineChars="200"/>
              <w:rPr>
                <w:b/>
                <w:bCs/>
                <w:sz w:val="24"/>
                <w:szCs w:val="18"/>
              </w:rPr>
            </w:pPr>
            <w:r>
              <w:rPr>
                <w:b/>
                <w:bCs/>
                <w:sz w:val="24"/>
                <w:szCs w:val="18"/>
              </w:rPr>
              <w:t>（3）产业政策相符性分析</w:t>
            </w:r>
          </w:p>
          <w:p>
            <w:pPr>
              <w:autoSpaceDE w:val="0"/>
              <w:autoSpaceDN w:val="0"/>
              <w:adjustRightInd w:val="0"/>
              <w:spacing w:line="360" w:lineRule="auto"/>
              <w:ind w:firstLine="480" w:firstLineChars="200"/>
              <w:rPr>
                <w:kern w:val="0"/>
                <w:sz w:val="24"/>
              </w:rPr>
            </w:pPr>
            <w:r>
              <w:rPr>
                <w:kern w:val="0"/>
                <w:sz w:val="24"/>
              </w:rPr>
              <w:t>本项目主要从事高岭土加工，根据《国民经济行业分类》(GB/T4754-2017)，属其他非金属矿物制品造（C3099）。</w:t>
            </w:r>
          </w:p>
          <w:p>
            <w:pPr>
              <w:autoSpaceDE w:val="0"/>
              <w:autoSpaceDN w:val="0"/>
              <w:adjustRightInd w:val="0"/>
              <w:spacing w:line="360" w:lineRule="auto"/>
              <w:ind w:firstLine="480" w:firstLineChars="200"/>
              <w:rPr>
                <w:kern w:val="0"/>
                <w:sz w:val="24"/>
              </w:rPr>
            </w:pPr>
            <w:r>
              <w:rPr>
                <w:kern w:val="0"/>
                <w:sz w:val="24"/>
              </w:rPr>
              <w:t>依据国家发改委9 号令《产业结构调整指导目录(2011 年本)》、2013 年2 月16 日国家发展改革委第21 号令公布的《国家发展改革委关于修改&lt;产业结构调整指导目录（2011 年本）&gt;有关条款的决定》修正，广东省人民政府发布的《广东省产业结构调整指导目录（2007年本）》，本项目产品、生产规模均不在国家、广东省产业政策中禁止或限值发展之列，主要生产设备不在国家明令强制淘汰、禁止或限制使用之列。</w:t>
            </w:r>
          </w:p>
          <w:p>
            <w:pPr>
              <w:tabs>
                <w:tab w:val="left" w:pos="2970"/>
              </w:tabs>
              <w:spacing w:line="360" w:lineRule="auto"/>
              <w:ind w:firstLine="480" w:firstLineChars="200"/>
              <w:rPr>
                <w:sz w:val="24"/>
                <w:lang w:bidi="en-US"/>
              </w:rPr>
            </w:pPr>
            <w:r>
              <w:rPr>
                <w:sz w:val="24"/>
                <w:lang w:bidi="en-US"/>
              </w:rPr>
              <w:t>综上所述，本项目建设内容符合国家及地方产业政策；符合相关法律法规的要求，与周边环境功能区划相适应；同时，项目选址四周的环境分布符合要求。因此，本项目的选址具有规划合理性和环境可行性。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4" w:hRule="atLeast"/>
        </w:trPr>
        <w:tc>
          <w:tcPr>
            <w:tcW w:w="8931" w:type="dxa"/>
            <w:gridSpan w:val="7"/>
          </w:tcPr>
          <w:p>
            <w:pPr>
              <w:snapToGrid w:val="0"/>
              <w:spacing w:line="360" w:lineRule="auto"/>
              <w:rPr>
                <w:rFonts w:ascii="宋体" w:hAnsi="宋体"/>
                <w:b/>
                <w:sz w:val="24"/>
              </w:rPr>
            </w:pPr>
            <w:r>
              <w:rPr>
                <w:rFonts w:hint="eastAsia" w:ascii="宋体" w:hAnsi="宋体"/>
                <w:b/>
                <w:sz w:val="24"/>
              </w:rPr>
              <w:t>与本项目有关的原有污染情况及主要环境问题：</w:t>
            </w:r>
          </w:p>
          <w:p>
            <w:pPr>
              <w:pStyle w:val="81"/>
              <w:adjustRightInd w:val="0"/>
              <w:snapToGrid w:val="0"/>
              <w:spacing w:line="360" w:lineRule="auto"/>
              <w:ind w:firstLine="480"/>
              <w:rPr>
                <w:rFonts w:hAnsi="宋体"/>
                <w:b/>
                <w:sz w:val="24"/>
              </w:rPr>
            </w:pPr>
            <w:r>
              <w:rPr>
                <w:rFonts w:hint="eastAsia"/>
                <w:sz w:val="24"/>
              </w:rPr>
              <w:t>本项目位于</w:t>
            </w:r>
            <w:r>
              <w:rPr>
                <w:rFonts w:hint="eastAsia"/>
                <w:bCs/>
                <w:spacing w:val="-6"/>
                <w:sz w:val="24"/>
              </w:rPr>
              <w:t>陆河县新田镇麻地村委山茶顶</w:t>
            </w:r>
            <w:r>
              <w:rPr>
                <w:rFonts w:hint="eastAsia"/>
                <w:sz w:val="24"/>
              </w:rPr>
              <w:t>（中心地理位置：东经</w:t>
            </w:r>
            <w:r>
              <w:rPr>
                <w:sz w:val="24"/>
              </w:rPr>
              <w:t>115.539464</w:t>
            </w:r>
            <w:r>
              <w:rPr>
                <w:rFonts w:hint="eastAsia"/>
                <w:sz w:val="24"/>
              </w:rPr>
              <w:t>°，北纬</w:t>
            </w:r>
            <w:r>
              <w:rPr>
                <w:sz w:val="24"/>
              </w:rPr>
              <w:t>23.169501</w:t>
            </w:r>
            <w:r>
              <w:rPr>
                <w:rFonts w:hint="eastAsia"/>
                <w:sz w:val="24"/>
              </w:rPr>
              <w:t>°），项目北面和南面为空地，西面为山地，东面为</w:t>
            </w:r>
            <w:r>
              <w:rPr>
                <w:sz w:val="24"/>
              </w:rPr>
              <w:t>道路（</w:t>
            </w:r>
            <w:r>
              <w:rPr>
                <w:kern w:val="0"/>
                <w:sz w:val="24"/>
              </w:rPr>
              <w:t>S335</w:t>
            </w:r>
            <w:r>
              <w:rPr>
                <w:sz w:val="24"/>
              </w:rPr>
              <w:t>）</w:t>
            </w:r>
            <w:r>
              <w:rPr>
                <w:rFonts w:hint="eastAsia"/>
                <w:sz w:val="24"/>
              </w:rPr>
              <w:t>。</w:t>
            </w:r>
          </w:p>
          <w:p>
            <w:pPr>
              <w:pStyle w:val="81"/>
              <w:adjustRightInd w:val="0"/>
              <w:snapToGrid w:val="0"/>
              <w:spacing w:line="360" w:lineRule="auto"/>
              <w:ind w:firstLine="482"/>
              <w:rPr>
                <w:rFonts w:hAnsi="宋体"/>
                <w:b/>
                <w:sz w:val="24"/>
              </w:rPr>
            </w:pPr>
            <w:r>
              <w:rPr>
                <w:rFonts w:hint="eastAsia" w:hAnsi="宋体"/>
                <w:b/>
                <w:sz w:val="24"/>
              </w:rPr>
              <w:t>一、项目原有污染情况</w:t>
            </w:r>
          </w:p>
          <w:tbl>
            <w:tblPr>
              <w:tblStyle w:val="25"/>
              <w:tblW w:w="87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7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74" w:hRule="atLeast"/>
              </w:trPr>
              <w:tc>
                <w:tcPr>
                  <w:tcW w:w="8715" w:type="dxa"/>
                </w:tcPr>
                <w:p>
                  <w:pPr>
                    <w:spacing w:line="360" w:lineRule="auto"/>
                    <w:ind w:firstLine="480" w:firstLineChars="200"/>
                    <w:rPr>
                      <w:rFonts w:ascii="宋体" w:hAnsi="宋体" w:cs="宋体"/>
                      <w:sz w:val="24"/>
                      <w:szCs w:val="18"/>
                    </w:rPr>
                  </w:pPr>
                  <w:r>
                    <w:rPr>
                      <w:rFonts w:hint="eastAsia" w:ascii="宋体" w:hAnsi="宋体" w:cs="宋体"/>
                      <w:sz w:val="24"/>
                      <w:szCs w:val="18"/>
                    </w:rPr>
                    <w:t>本项目为新建项目，无原有污染源</w:t>
                  </w:r>
                  <w:r>
                    <w:rPr>
                      <w:rFonts w:hint="eastAsia"/>
                      <w:bCs/>
                      <w:sz w:val="24"/>
                    </w:rPr>
                    <w:t>。</w:t>
                  </w:r>
                </w:p>
                <w:p>
                  <w:pPr>
                    <w:adjustRightInd w:val="0"/>
                    <w:snapToGrid w:val="0"/>
                    <w:spacing w:line="360" w:lineRule="auto"/>
                    <w:ind w:firstLine="482" w:firstLineChars="200"/>
                    <w:rPr>
                      <w:b/>
                      <w:bCs/>
                      <w:sz w:val="24"/>
                    </w:rPr>
                  </w:pPr>
                  <w:r>
                    <w:rPr>
                      <w:rFonts w:hint="eastAsia"/>
                      <w:b/>
                      <w:bCs/>
                      <w:sz w:val="24"/>
                    </w:rPr>
                    <w:t>二、</w:t>
                  </w:r>
                  <w:r>
                    <w:rPr>
                      <w:b/>
                      <w:bCs/>
                      <w:sz w:val="24"/>
                    </w:rPr>
                    <w:t>周边主要环境问题</w:t>
                  </w:r>
                </w:p>
                <w:p>
                  <w:pPr>
                    <w:adjustRightInd w:val="0"/>
                    <w:snapToGrid w:val="0"/>
                    <w:spacing w:line="360" w:lineRule="auto"/>
                    <w:ind w:firstLine="456" w:firstLineChars="200"/>
                    <w:rPr>
                      <w:bCs/>
                      <w:spacing w:val="-6"/>
                      <w:sz w:val="24"/>
                    </w:rPr>
                  </w:pPr>
                  <w:r>
                    <w:rPr>
                      <w:rFonts w:hint="eastAsia"/>
                      <w:spacing w:val="-6"/>
                      <w:sz w:val="24"/>
                    </w:rPr>
                    <w:t>项目</w:t>
                  </w:r>
                  <w:r>
                    <w:rPr>
                      <w:bCs/>
                      <w:spacing w:val="-6"/>
                      <w:sz w:val="24"/>
                    </w:rPr>
                    <w:t>周围没有大、重型化工污染型企业，区域声环境、大气环境较好，目前的环境污染问题主要是项目</w:t>
                  </w:r>
                  <w:r>
                    <w:rPr>
                      <w:rFonts w:hint="eastAsia"/>
                      <w:bCs/>
                      <w:spacing w:val="-6"/>
                      <w:sz w:val="24"/>
                    </w:rPr>
                    <w:t>南边北太路</w:t>
                  </w:r>
                  <w:r>
                    <w:rPr>
                      <w:bCs/>
                      <w:spacing w:val="-6"/>
                      <w:sz w:val="24"/>
                    </w:rPr>
                    <w:t>上行驶车辆产生的噪声、汽车尾气、粉尘污染</w:t>
                  </w:r>
                  <w:r>
                    <w:rPr>
                      <w:rFonts w:hint="eastAsia"/>
                      <w:bCs/>
                      <w:spacing w:val="-6"/>
                      <w:sz w:val="24"/>
                    </w:rPr>
                    <w:t>。</w:t>
                  </w:r>
                </w:p>
                <w:p>
                  <w:pPr>
                    <w:adjustRightInd w:val="0"/>
                    <w:snapToGrid w:val="0"/>
                    <w:spacing w:line="360" w:lineRule="auto"/>
                    <w:ind w:firstLine="456" w:firstLineChars="200"/>
                    <w:rPr>
                      <w:bCs/>
                      <w:spacing w:val="-6"/>
                      <w:sz w:val="24"/>
                    </w:rPr>
                  </w:pPr>
                </w:p>
                <w:p>
                  <w:pPr>
                    <w:adjustRightInd w:val="0"/>
                    <w:snapToGrid w:val="0"/>
                    <w:spacing w:line="360" w:lineRule="auto"/>
                    <w:ind w:firstLine="456" w:firstLineChars="200"/>
                    <w:rPr>
                      <w:bCs/>
                      <w:spacing w:val="-6"/>
                      <w:sz w:val="24"/>
                    </w:rPr>
                  </w:pPr>
                </w:p>
                <w:p>
                  <w:pPr>
                    <w:adjustRightInd w:val="0"/>
                    <w:snapToGrid w:val="0"/>
                    <w:spacing w:line="360" w:lineRule="auto"/>
                    <w:ind w:firstLine="456" w:firstLineChars="200"/>
                    <w:rPr>
                      <w:bCs/>
                      <w:spacing w:val="-6"/>
                      <w:sz w:val="24"/>
                    </w:rPr>
                  </w:pPr>
                </w:p>
                <w:p>
                  <w:pPr>
                    <w:adjustRightInd w:val="0"/>
                    <w:snapToGrid w:val="0"/>
                    <w:spacing w:line="360" w:lineRule="auto"/>
                    <w:rPr>
                      <w:b/>
                      <w:bCs/>
                      <w:sz w:val="24"/>
                    </w:rPr>
                  </w:pPr>
                </w:p>
              </w:tc>
            </w:tr>
          </w:tbl>
          <w:p>
            <w:pPr>
              <w:adjustRightInd w:val="0"/>
              <w:snapToGrid w:val="0"/>
              <w:spacing w:line="360" w:lineRule="auto"/>
              <w:rPr>
                <w:rFonts w:hAnsi="宋体"/>
                <w:sz w:val="24"/>
                <w:highlight w:val="yellow"/>
              </w:rPr>
            </w:pPr>
          </w:p>
        </w:tc>
      </w:tr>
    </w:tbl>
    <w:p>
      <w:pPr>
        <w:spacing w:line="360" w:lineRule="auto"/>
        <w:outlineLvl w:val="0"/>
        <w:rPr>
          <w:b/>
          <w:sz w:val="28"/>
          <w:szCs w:val="28"/>
        </w:rPr>
      </w:pPr>
      <w:r>
        <w:rPr>
          <w:sz w:val="28"/>
          <w:szCs w:val="28"/>
        </w:rPr>
        <w:br w:type="page"/>
      </w:r>
      <w:r>
        <w:rPr>
          <w:rFonts w:hint="eastAsia"/>
          <w:b/>
          <w:sz w:val="28"/>
          <w:szCs w:val="28"/>
        </w:rPr>
        <w:t>建设项目所在地自然环境简况</w:t>
      </w:r>
    </w:p>
    <w:tbl>
      <w:tblPr>
        <w:tblStyle w:val="25"/>
        <w:tblW w:w="90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37" w:type="dxa"/>
          </w:tcPr>
          <w:p>
            <w:pPr>
              <w:spacing w:line="360" w:lineRule="auto"/>
              <w:outlineLvl w:val="0"/>
              <w:rPr>
                <w:b/>
                <w:bCs/>
                <w:sz w:val="24"/>
              </w:rPr>
            </w:pPr>
            <w:r>
              <w:rPr>
                <w:b/>
                <w:bCs/>
                <w:sz w:val="24"/>
              </w:rPr>
              <w:t>自然环境简况（地形、地貌、地质、气候、气象、水文、植被、生物多样性等）：</w:t>
            </w:r>
          </w:p>
          <w:p>
            <w:pPr>
              <w:spacing w:line="360" w:lineRule="auto"/>
              <w:ind w:firstLine="482" w:firstLineChars="200"/>
              <w:rPr>
                <w:b/>
                <w:sz w:val="24"/>
                <w:szCs w:val="18"/>
              </w:rPr>
            </w:pPr>
            <w:r>
              <w:rPr>
                <w:b/>
                <w:bCs/>
                <w:sz w:val="24"/>
              </w:rPr>
              <w:t>1、</w:t>
            </w:r>
            <w:r>
              <w:rPr>
                <w:b/>
                <w:sz w:val="24"/>
                <w:szCs w:val="18"/>
              </w:rPr>
              <w:t>地形、地貌、地质：</w:t>
            </w:r>
          </w:p>
          <w:p>
            <w:pPr>
              <w:spacing w:line="360" w:lineRule="auto"/>
              <w:ind w:firstLine="480" w:firstLineChars="200"/>
              <w:outlineLvl w:val="0"/>
              <w:rPr>
                <w:sz w:val="24"/>
                <w:szCs w:val="18"/>
              </w:rPr>
            </w:pPr>
            <w:r>
              <w:rPr>
                <w:sz w:val="24"/>
                <w:szCs w:val="18"/>
              </w:rPr>
              <w:t>陆河县地处广东省东部沿海与兴梅山区结合部，汕尾市东北面。位于北纬23°68′-23°28′之间，东经115°24′-115°49′，北回归线横贯县境。东北邻揭西县，西连海丰、惠东、紫金县，南接陆丰市，北倚五华县，东南与普宁市接壤。</w:t>
            </w:r>
          </w:p>
          <w:p>
            <w:pPr>
              <w:spacing w:line="360" w:lineRule="auto"/>
              <w:ind w:firstLine="480" w:firstLineChars="200"/>
              <w:outlineLvl w:val="0"/>
              <w:rPr>
                <w:sz w:val="24"/>
              </w:rPr>
            </w:pPr>
            <w:r>
              <w:rPr>
                <w:sz w:val="24"/>
                <w:szCs w:val="18"/>
              </w:rPr>
              <w:t>县总面积1005 km</w:t>
            </w:r>
            <w:r>
              <w:rPr>
                <w:sz w:val="24"/>
                <w:szCs w:val="18"/>
                <w:vertAlign w:val="superscript"/>
              </w:rPr>
              <w:t>2</w:t>
            </w:r>
            <w:r>
              <w:rPr>
                <w:sz w:val="24"/>
                <w:szCs w:val="18"/>
              </w:rPr>
              <w:t>，其中山地面积7.87万公顷，耕地面积7333.33公顷，是“八山一水一分田”的典型山区县。境内群山连绵，河流交错，山青水秀，风光秀丽。赏心悦目的山村田园风光和客家人好客的纯朴民风民俗是休闲渡假的好去处</w:t>
            </w:r>
            <w:r>
              <w:rPr>
                <w:spacing w:val="-6"/>
                <w:sz w:val="24"/>
              </w:rPr>
              <w:t>。</w:t>
            </w:r>
          </w:p>
          <w:p>
            <w:pPr>
              <w:spacing w:line="360" w:lineRule="auto"/>
              <w:ind w:firstLine="482" w:firstLineChars="200"/>
              <w:rPr>
                <w:b/>
                <w:sz w:val="24"/>
                <w:szCs w:val="18"/>
              </w:rPr>
            </w:pPr>
            <w:r>
              <w:rPr>
                <w:b/>
                <w:sz w:val="24"/>
              </w:rPr>
              <w:t>2、</w:t>
            </w:r>
            <w:r>
              <w:rPr>
                <w:b/>
                <w:sz w:val="24"/>
                <w:szCs w:val="18"/>
              </w:rPr>
              <w:t>气候、气象、水文：</w:t>
            </w:r>
          </w:p>
          <w:p>
            <w:pPr>
              <w:spacing w:line="360" w:lineRule="auto"/>
              <w:ind w:firstLine="480" w:firstLineChars="200"/>
              <w:outlineLvl w:val="0"/>
              <w:rPr>
                <w:sz w:val="24"/>
              </w:rPr>
            </w:pPr>
            <w:r>
              <w:rPr>
                <w:sz w:val="24"/>
                <w:szCs w:val="18"/>
              </w:rPr>
              <w:t>陆河县属亚热带季风气候区，气候温和，雨量充沛，日照充足。年均气温21.5℃，年均降雨量2187mm，日照时数2138小时，无霜期350天以上，十分有利于各种生物繁衍和生长。陆河系榕江水系和螺河水系发源地，水系发达，水质清纯，山塘溪河星罗棋布，河流径流量22.2亿m</w:t>
            </w:r>
            <w:r>
              <w:rPr>
                <w:sz w:val="24"/>
                <w:szCs w:val="18"/>
                <w:vertAlign w:val="superscript"/>
              </w:rPr>
              <w:t>3</w:t>
            </w:r>
            <w:r>
              <w:rPr>
                <w:sz w:val="24"/>
                <w:szCs w:val="18"/>
              </w:rPr>
              <w:t>，总水能蕴藏量12万多千瓦，可供开发办水电的水力资源计装机容量10多万千瓦，全县所有水域都可用于发展淡水养殖</w:t>
            </w:r>
            <w:r>
              <w:rPr>
                <w:sz w:val="24"/>
              </w:rPr>
              <w:t>。</w:t>
            </w:r>
          </w:p>
          <w:p>
            <w:pPr>
              <w:spacing w:line="360" w:lineRule="auto"/>
              <w:ind w:firstLine="482" w:firstLineChars="200"/>
              <w:rPr>
                <w:b/>
                <w:sz w:val="24"/>
                <w:szCs w:val="18"/>
              </w:rPr>
            </w:pPr>
            <w:r>
              <w:rPr>
                <w:b/>
                <w:bCs/>
                <w:sz w:val="24"/>
              </w:rPr>
              <w:t>3、</w:t>
            </w:r>
            <w:r>
              <w:rPr>
                <w:b/>
                <w:sz w:val="24"/>
                <w:szCs w:val="18"/>
              </w:rPr>
              <w:t>植物、生物多样性：</w:t>
            </w:r>
          </w:p>
          <w:p>
            <w:pPr>
              <w:spacing w:line="360" w:lineRule="auto"/>
              <w:ind w:firstLine="480" w:firstLineChars="200"/>
              <w:rPr>
                <w:sz w:val="24"/>
                <w:szCs w:val="18"/>
              </w:rPr>
            </w:pPr>
            <w:r>
              <w:rPr>
                <w:sz w:val="24"/>
                <w:szCs w:val="18"/>
              </w:rPr>
              <w:t>全县森林覆盖率高达65.4%，拥有全国最大的红椎林自然保护区，松、杉、樟、桉、木荷、毛竹、绿竹等遍布山野，林木畜积量达120万立方米。红椎林有极高的观赏价值和经济价值，红椎林自然保护区已被定为省级自然保护区。红椎林中，有成片的被誉为古老植物活化石的挱椤，是1亿6千万年前恐龙时代恐龙的主要食物，现存极少，十分珍贵。</w:t>
            </w:r>
          </w:p>
          <w:p>
            <w:pPr>
              <w:spacing w:line="360" w:lineRule="auto"/>
              <w:ind w:firstLine="480" w:firstLineChars="200"/>
              <w:outlineLvl w:val="0"/>
              <w:rPr>
                <w:sz w:val="24"/>
              </w:rPr>
            </w:pPr>
            <w:r>
              <w:rPr>
                <w:sz w:val="24"/>
                <w:szCs w:val="18"/>
              </w:rPr>
              <w:t>新田镇位于陆河县西南部与海丰、陆丰、惠东、紫金四市八乡镇为邻。辖13个村和1个居委会，人口3.2万人，面积182km²，其中耕地1240公顷，山地1.1万多公顷，常年温度22℃，年降雨量2200mm</w:t>
            </w:r>
            <w:r>
              <w:rPr>
                <w:sz w:val="24"/>
              </w:rPr>
              <w:t>。</w:t>
            </w:r>
          </w:p>
          <w:p>
            <w:pPr>
              <w:spacing w:line="360" w:lineRule="auto"/>
              <w:ind w:firstLine="482" w:firstLineChars="200"/>
              <w:outlineLvl w:val="0"/>
              <w:rPr>
                <w:b/>
                <w:bCs/>
                <w:sz w:val="24"/>
              </w:rPr>
            </w:pPr>
            <w:r>
              <w:rPr>
                <w:b/>
                <w:bCs/>
                <w:sz w:val="24"/>
              </w:rPr>
              <w:t>4、功能区区划分类及执行标准</w:t>
            </w:r>
          </w:p>
          <w:p>
            <w:pPr>
              <w:tabs>
                <w:tab w:val="left" w:pos="1680"/>
              </w:tabs>
              <w:spacing w:line="360" w:lineRule="auto"/>
              <w:ind w:firstLine="480" w:firstLineChars="200"/>
              <w:rPr>
                <w:sz w:val="24"/>
              </w:rPr>
            </w:pPr>
            <w:r>
              <w:rPr>
                <w:sz w:val="24"/>
              </w:rPr>
              <w:t>本项目所在区域所属的各类功能区区划分类及执行标准见表5。</w:t>
            </w:r>
          </w:p>
          <w:p>
            <w:pPr>
              <w:pStyle w:val="48"/>
              <w:spacing w:line="240" w:lineRule="auto"/>
              <w:rPr>
                <w:rStyle w:val="43"/>
                <w:rFonts w:ascii="Times New Roman"/>
                <w:b/>
                <w:color w:val="auto"/>
                <w:sz w:val="21"/>
                <w:szCs w:val="21"/>
              </w:rPr>
            </w:pPr>
            <w:r>
              <w:rPr>
                <w:rStyle w:val="43"/>
                <w:rFonts w:ascii="Times New Roman"/>
                <w:b/>
                <w:color w:val="auto"/>
                <w:sz w:val="21"/>
                <w:szCs w:val="21"/>
              </w:rPr>
              <w:t>表5</w:t>
            </w:r>
            <w:r>
              <w:rPr>
                <w:rStyle w:val="43"/>
                <w:b/>
                <w:color w:val="auto"/>
                <w:sz w:val="21"/>
                <w:szCs w:val="21"/>
              </w:rPr>
              <w:t xml:space="preserve">   </w:t>
            </w:r>
            <w:r>
              <w:rPr>
                <w:rStyle w:val="43"/>
                <w:rFonts w:ascii="Times New Roman"/>
                <w:b/>
                <w:color w:val="auto"/>
                <w:sz w:val="21"/>
                <w:szCs w:val="21"/>
              </w:rPr>
              <w:t xml:space="preserve"> 区域所属的各类功能区区划</w:t>
            </w:r>
            <w:r>
              <w:rPr>
                <w:rFonts w:ascii="Times New Roman"/>
                <w:b/>
                <w:szCs w:val="21"/>
              </w:rPr>
              <w:t>分类</w:t>
            </w:r>
            <w:r>
              <w:rPr>
                <w:rStyle w:val="43"/>
                <w:rFonts w:ascii="Times New Roman"/>
                <w:b/>
                <w:color w:val="auto"/>
                <w:sz w:val="21"/>
                <w:szCs w:val="21"/>
              </w:rPr>
              <w:t>及执行标准一览表</w:t>
            </w:r>
          </w:p>
          <w:tbl>
            <w:tblPr>
              <w:tblStyle w:val="25"/>
              <w:tblW w:w="82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2696"/>
              <w:gridCol w:w="4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75" w:type="dxa"/>
                  <w:vAlign w:val="center"/>
                </w:tcPr>
                <w:p>
                  <w:pPr>
                    <w:adjustRightInd w:val="0"/>
                    <w:jc w:val="center"/>
                    <w:rPr>
                      <w:b/>
                      <w:szCs w:val="21"/>
                    </w:rPr>
                  </w:pPr>
                  <w:r>
                    <w:rPr>
                      <w:b/>
                      <w:szCs w:val="21"/>
                    </w:rPr>
                    <w:t>序号</w:t>
                  </w:r>
                </w:p>
              </w:tc>
              <w:tc>
                <w:tcPr>
                  <w:tcW w:w="2696" w:type="dxa"/>
                  <w:vAlign w:val="center"/>
                </w:tcPr>
                <w:p>
                  <w:pPr>
                    <w:pStyle w:val="74"/>
                    <w:autoSpaceDE/>
                    <w:autoSpaceDN/>
                    <w:rPr>
                      <w:rFonts w:ascii="Times New Roman" w:hAnsi="Times New Roman"/>
                      <w:b/>
                      <w:kern w:val="2"/>
                      <w:position w:val="0"/>
                      <w:szCs w:val="21"/>
                    </w:rPr>
                  </w:pPr>
                  <w:r>
                    <w:rPr>
                      <w:rFonts w:ascii="Times New Roman" w:hAnsi="Times New Roman"/>
                      <w:b/>
                      <w:kern w:val="2"/>
                      <w:position w:val="0"/>
                      <w:szCs w:val="21"/>
                    </w:rPr>
                    <w:t>功能区类别</w:t>
                  </w:r>
                </w:p>
              </w:tc>
              <w:tc>
                <w:tcPr>
                  <w:tcW w:w="4673" w:type="dxa"/>
                  <w:vAlign w:val="center"/>
                </w:tcPr>
                <w:p>
                  <w:pPr>
                    <w:adjustRightInd w:val="0"/>
                    <w:jc w:val="center"/>
                    <w:rPr>
                      <w:b/>
                      <w:szCs w:val="21"/>
                    </w:rPr>
                  </w:pPr>
                  <w:r>
                    <w:rPr>
                      <w:b/>
                      <w:szCs w:val="21"/>
                    </w:rPr>
                    <w:t>功能区分类及执行标准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75" w:type="dxa"/>
                  <w:vAlign w:val="center"/>
                </w:tcPr>
                <w:p>
                  <w:pPr>
                    <w:adjustRightInd w:val="0"/>
                    <w:jc w:val="center"/>
                    <w:rPr>
                      <w:szCs w:val="21"/>
                    </w:rPr>
                  </w:pPr>
                  <w:r>
                    <w:rPr>
                      <w:szCs w:val="21"/>
                    </w:rPr>
                    <w:t>1</w:t>
                  </w:r>
                </w:p>
              </w:tc>
              <w:tc>
                <w:tcPr>
                  <w:tcW w:w="2696" w:type="dxa"/>
                  <w:vAlign w:val="center"/>
                </w:tcPr>
                <w:p>
                  <w:pPr>
                    <w:pStyle w:val="74"/>
                    <w:autoSpaceDE/>
                    <w:autoSpaceDN/>
                    <w:rPr>
                      <w:rFonts w:ascii="Times New Roman" w:hAnsi="Times New Roman"/>
                      <w:kern w:val="2"/>
                      <w:position w:val="0"/>
                      <w:szCs w:val="21"/>
                    </w:rPr>
                  </w:pPr>
                  <w:r>
                    <w:rPr>
                      <w:rFonts w:ascii="Times New Roman" w:hAnsi="Times New Roman"/>
                      <w:kern w:val="2"/>
                      <w:position w:val="0"/>
                      <w:szCs w:val="21"/>
                    </w:rPr>
                    <w:t>水环境功能区</w:t>
                  </w:r>
                </w:p>
              </w:tc>
              <w:tc>
                <w:tcPr>
                  <w:tcW w:w="4673" w:type="dxa"/>
                  <w:vAlign w:val="center"/>
                </w:tcPr>
                <w:p>
                  <w:pPr>
                    <w:adjustRightInd w:val="0"/>
                    <w:ind w:left="-2" w:leftChars="-1"/>
                    <w:jc w:val="center"/>
                    <w:rPr>
                      <w:szCs w:val="21"/>
                    </w:rPr>
                  </w:pPr>
                  <w:r>
                    <w:rPr>
                      <w:szCs w:val="21"/>
                    </w:rPr>
                    <w:t>属于</w:t>
                  </w:r>
                  <w:r>
                    <w:rPr>
                      <w:bCs/>
                      <w:szCs w:val="21"/>
                    </w:rPr>
                    <w:t>Ⅱ</w:t>
                  </w:r>
                  <w:r>
                    <w:rPr>
                      <w:szCs w:val="21"/>
                    </w:rPr>
                    <w:t>类区域，执行《地表水环境质量标准》（GB 3838-2002）</w:t>
                  </w:r>
                  <w:r>
                    <w:rPr>
                      <w:bCs/>
                      <w:szCs w:val="21"/>
                    </w:rPr>
                    <w:t>Ⅱ</w:t>
                  </w:r>
                  <w:r>
                    <w:rPr>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75" w:type="dxa"/>
                  <w:vAlign w:val="center"/>
                </w:tcPr>
                <w:p>
                  <w:pPr>
                    <w:adjustRightInd w:val="0"/>
                    <w:jc w:val="center"/>
                    <w:rPr>
                      <w:szCs w:val="21"/>
                    </w:rPr>
                  </w:pPr>
                  <w:r>
                    <w:rPr>
                      <w:szCs w:val="21"/>
                    </w:rPr>
                    <w:t>2</w:t>
                  </w:r>
                </w:p>
              </w:tc>
              <w:tc>
                <w:tcPr>
                  <w:tcW w:w="2696" w:type="dxa"/>
                  <w:vAlign w:val="center"/>
                </w:tcPr>
                <w:p>
                  <w:pPr>
                    <w:adjustRightInd w:val="0"/>
                    <w:jc w:val="center"/>
                    <w:rPr>
                      <w:szCs w:val="21"/>
                    </w:rPr>
                  </w:pPr>
                  <w:r>
                    <w:rPr>
                      <w:szCs w:val="21"/>
                    </w:rPr>
                    <w:t>大气环境功能区</w:t>
                  </w:r>
                </w:p>
              </w:tc>
              <w:tc>
                <w:tcPr>
                  <w:tcW w:w="4673" w:type="dxa"/>
                  <w:vAlign w:val="center"/>
                </w:tcPr>
                <w:p>
                  <w:pPr>
                    <w:pStyle w:val="72"/>
                    <w:ind w:firstLine="420"/>
                    <w:rPr>
                      <w:sz w:val="21"/>
                      <w:szCs w:val="21"/>
                    </w:rPr>
                  </w:pPr>
                  <w:r>
                    <w:rPr>
                      <w:sz w:val="21"/>
                      <w:szCs w:val="21"/>
                    </w:rPr>
                    <w:t>属于大气二类区，执行《环境空气质量标准》(GB 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75" w:type="dxa"/>
                  <w:vAlign w:val="center"/>
                </w:tcPr>
                <w:p>
                  <w:pPr>
                    <w:adjustRightInd w:val="0"/>
                    <w:jc w:val="center"/>
                    <w:rPr>
                      <w:szCs w:val="21"/>
                    </w:rPr>
                  </w:pPr>
                  <w:r>
                    <w:rPr>
                      <w:szCs w:val="21"/>
                    </w:rPr>
                    <w:t>3</w:t>
                  </w:r>
                </w:p>
              </w:tc>
              <w:tc>
                <w:tcPr>
                  <w:tcW w:w="2696" w:type="dxa"/>
                  <w:vAlign w:val="center"/>
                </w:tcPr>
                <w:p>
                  <w:pPr>
                    <w:adjustRightInd w:val="0"/>
                    <w:jc w:val="center"/>
                    <w:rPr>
                      <w:szCs w:val="21"/>
                    </w:rPr>
                  </w:pPr>
                  <w:r>
                    <w:rPr>
                      <w:szCs w:val="21"/>
                    </w:rPr>
                    <w:t>环境噪声功能区</w:t>
                  </w:r>
                </w:p>
              </w:tc>
              <w:tc>
                <w:tcPr>
                  <w:tcW w:w="4673" w:type="dxa"/>
                  <w:vAlign w:val="center"/>
                </w:tcPr>
                <w:p>
                  <w:pPr>
                    <w:adjustRightInd w:val="0"/>
                    <w:jc w:val="center"/>
                    <w:rPr>
                      <w:szCs w:val="21"/>
                    </w:rPr>
                  </w:pPr>
                  <w:r>
                    <w:rPr>
                      <w:bCs/>
                      <w:szCs w:val="21"/>
                    </w:rPr>
                    <w:t>属2、4a类区域，执行《声环境质量标准》（GB3096-2008）2、4a类标准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75" w:type="dxa"/>
                  <w:vAlign w:val="center"/>
                </w:tcPr>
                <w:p>
                  <w:pPr>
                    <w:adjustRightInd w:val="0"/>
                    <w:jc w:val="center"/>
                    <w:rPr>
                      <w:szCs w:val="21"/>
                    </w:rPr>
                  </w:pPr>
                  <w:r>
                    <w:rPr>
                      <w:szCs w:val="21"/>
                    </w:rPr>
                    <w:t>4</w:t>
                  </w:r>
                </w:p>
              </w:tc>
              <w:tc>
                <w:tcPr>
                  <w:tcW w:w="2696" w:type="dxa"/>
                  <w:vAlign w:val="center"/>
                </w:tcPr>
                <w:p>
                  <w:pPr>
                    <w:adjustRightInd w:val="0"/>
                    <w:jc w:val="center"/>
                    <w:rPr>
                      <w:szCs w:val="21"/>
                    </w:rPr>
                  </w:pPr>
                  <w:r>
                    <w:rPr>
                      <w:szCs w:val="21"/>
                    </w:rPr>
                    <w:t>基本农田保护区</w:t>
                  </w:r>
                </w:p>
              </w:tc>
              <w:tc>
                <w:tcPr>
                  <w:tcW w:w="4673" w:type="dxa"/>
                  <w:vAlign w:val="center"/>
                </w:tcPr>
                <w:p>
                  <w:pPr>
                    <w:adjustRightInd w:val="0"/>
                    <w:jc w:val="center"/>
                    <w:rPr>
                      <w:szCs w:val="21"/>
                    </w:rPr>
                  </w:pPr>
                  <w:r>
                    <w:rPr>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75" w:type="dxa"/>
                  <w:vAlign w:val="center"/>
                </w:tcPr>
                <w:p>
                  <w:pPr>
                    <w:adjustRightInd w:val="0"/>
                    <w:jc w:val="center"/>
                    <w:rPr>
                      <w:szCs w:val="21"/>
                    </w:rPr>
                  </w:pPr>
                  <w:r>
                    <w:rPr>
                      <w:szCs w:val="21"/>
                    </w:rPr>
                    <w:t>5</w:t>
                  </w:r>
                </w:p>
              </w:tc>
              <w:tc>
                <w:tcPr>
                  <w:tcW w:w="2696" w:type="dxa"/>
                  <w:vAlign w:val="center"/>
                </w:tcPr>
                <w:p>
                  <w:pPr>
                    <w:adjustRightInd w:val="0"/>
                    <w:jc w:val="center"/>
                    <w:rPr>
                      <w:szCs w:val="21"/>
                    </w:rPr>
                  </w:pPr>
                  <w:r>
                    <w:rPr>
                      <w:szCs w:val="21"/>
                    </w:rPr>
                    <w:t>风景保护区（市政府颁布）</w:t>
                  </w:r>
                </w:p>
              </w:tc>
              <w:tc>
                <w:tcPr>
                  <w:tcW w:w="4673" w:type="dxa"/>
                  <w:vAlign w:val="center"/>
                </w:tcPr>
                <w:p>
                  <w:pPr>
                    <w:pStyle w:val="63"/>
                    <w:autoSpaceDE/>
                    <w:autoSpaceDN/>
                    <w:textAlignment w:val="auto"/>
                    <w:rPr>
                      <w:rFonts w:ascii="Times New Roman" w:hAnsi="Times New Roman"/>
                      <w:kern w:val="2"/>
                      <w:sz w:val="21"/>
                      <w:szCs w:val="21"/>
                    </w:rPr>
                  </w:pPr>
                  <w:r>
                    <w:rPr>
                      <w:rFonts w:ascii="Times New Roman" w:hAnsi="Times New Roman"/>
                      <w:kern w:val="2"/>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75" w:type="dxa"/>
                  <w:vAlign w:val="center"/>
                </w:tcPr>
                <w:p>
                  <w:pPr>
                    <w:adjustRightInd w:val="0"/>
                    <w:jc w:val="center"/>
                    <w:rPr>
                      <w:szCs w:val="21"/>
                    </w:rPr>
                  </w:pPr>
                  <w:r>
                    <w:rPr>
                      <w:szCs w:val="21"/>
                    </w:rPr>
                    <w:t>6</w:t>
                  </w:r>
                </w:p>
              </w:tc>
              <w:tc>
                <w:tcPr>
                  <w:tcW w:w="2696" w:type="dxa"/>
                  <w:vAlign w:val="center"/>
                </w:tcPr>
                <w:p>
                  <w:pPr>
                    <w:adjustRightInd w:val="0"/>
                    <w:jc w:val="center"/>
                    <w:rPr>
                      <w:szCs w:val="21"/>
                    </w:rPr>
                  </w:pPr>
                  <w:r>
                    <w:rPr>
                      <w:szCs w:val="21"/>
                    </w:rPr>
                    <w:t>水库库区</w:t>
                  </w:r>
                </w:p>
              </w:tc>
              <w:tc>
                <w:tcPr>
                  <w:tcW w:w="4673" w:type="dxa"/>
                  <w:vAlign w:val="center"/>
                </w:tcPr>
                <w:p>
                  <w:pPr>
                    <w:pStyle w:val="63"/>
                    <w:autoSpaceDE/>
                    <w:autoSpaceDN/>
                    <w:textAlignment w:val="auto"/>
                    <w:rPr>
                      <w:rFonts w:ascii="Times New Roman" w:hAnsi="Times New Roman"/>
                      <w:kern w:val="2"/>
                      <w:sz w:val="21"/>
                      <w:szCs w:val="21"/>
                    </w:rPr>
                  </w:pPr>
                  <w:r>
                    <w:rPr>
                      <w:rFonts w:ascii="Times New Roman" w:hAnsi="Times New Roman"/>
                      <w:kern w:val="2"/>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75" w:type="dxa"/>
                  <w:vAlign w:val="center"/>
                </w:tcPr>
                <w:p>
                  <w:pPr>
                    <w:adjustRightInd w:val="0"/>
                    <w:jc w:val="center"/>
                    <w:rPr>
                      <w:szCs w:val="21"/>
                    </w:rPr>
                  </w:pPr>
                  <w:r>
                    <w:rPr>
                      <w:szCs w:val="21"/>
                    </w:rPr>
                    <w:t>7</w:t>
                  </w:r>
                </w:p>
              </w:tc>
              <w:tc>
                <w:tcPr>
                  <w:tcW w:w="2696" w:type="dxa"/>
                  <w:vAlign w:val="center"/>
                </w:tcPr>
                <w:p>
                  <w:pPr>
                    <w:adjustRightInd w:val="0"/>
                    <w:jc w:val="center"/>
                    <w:rPr>
                      <w:szCs w:val="21"/>
                    </w:rPr>
                  </w:pPr>
                  <w:r>
                    <w:rPr>
                      <w:szCs w:val="21"/>
                    </w:rPr>
                    <w:t>城市污水集水范围</w:t>
                  </w:r>
                </w:p>
              </w:tc>
              <w:tc>
                <w:tcPr>
                  <w:tcW w:w="4673" w:type="dxa"/>
                  <w:vAlign w:val="center"/>
                </w:tcPr>
                <w:p>
                  <w:pPr>
                    <w:pStyle w:val="63"/>
                    <w:autoSpaceDE/>
                    <w:autoSpaceDN/>
                    <w:textAlignment w:val="auto"/>
                    <w:rPr>
                      <w:rFonts w:ascii="Times New Roman" w:hAnsi="Times New Roman"/>
                      <w:kern w:val="2"/>
                      <w:sz w:val="21"/>
                      <w:szCs w:val="21"/>
                    </w:rPr>
                  </w:pPr>
                  <w:r>
                    <w:rPr>
                      <w:rFonts w:ascii="Times New Roman" w:hAnsi="Times New Roman"/>
                      <w:kern w:val="2"/>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75" w:type="dxa"/>
                  <w:vAlign w:val="center"/>
                </w:tcPr>
                <w:p>
                  <w:pPr>
                    <w:adjustRightInd w:val="0"/>
                    <w:jc w:val="center"/>
                    <w:rPr>
                      <w:szCs w:val="21"/>
                    </w:rPr>
                  </w:pPr>
                  <w:r>
                    <w:rPr>
                      <w:szCs w:val="21"/>
                    </w:rPr>
                    <w:t>8</w:t>
                  </w:r>
                </w:p>
              </w:tc>
              <w:tc>
                <w:tcPr>
                  <w:tcW w:w="2696" w:type="dxa"/>
                  <w:vAlign w:val="center"/>
                </w:tcPr>
                <w:p>
                  <w:pPr>
                    <w:pStyle w:val="63"/>
                    <w:autoSpaceDE/>
                    <w:autoSpaceDN/>
                    <w:textAlignment w:val="auto"/>
                    <w:rPr>
                      <w:rFonts w:ascii="Times New Roman" w:hAnsi="Times New Roman"/>
                      <w:kern w:val="2"/>
                      <w:sz w:val="21"/>
                      <w:szCs w:val="21"/>
                    </w:rPr>
                  </w:pPr>
                  <w:r>
                    <w:rPr>
                      <w:rFonts w:ascii="Times New Roman" w:hAnsi="Times New Roman"/>
                      <w:kern w:val="2"/>
                      <w:sz w:val="21"/>
                      <w:szCs w:val="21"/>
                    </w:rPr>
                    <w:t>是否敏感区</w:t>
                  </w:r>
                </w:p>
              </w:tc>
              <w:tc>
                <w:tcPr>
                  <w:tcW w:w="4673" w:type="dxa"/>
                  <w:vAlign w:val="center"/>
                </w:tcPr>
                <w:p>
                  <w:pPr>
                    <w:pStyle w:val="63"/>
                    <w:autoSpaceDE/>
                    <w:autoSpaceDN/>
                    <w:textAlignment w:val="auto"/>
                    <w:rPr>
                      <w:rFonts w:ascii="Times New Roman" w:hAnsi="Times New Roman"/>
                      <w:kern w:val="2"/>
                      <w:sz w:val="21"/>
                      <w:szCs w:val="21"/>
                    </w:rPr>
                  </w:pPr>
                  <w:r>
                    <w:rPr>
                      <w:rFonts w:ascii="Times New Roman" w:hAnsi="Times New Roman"/>
                      <w:kern w:val="2"/>
                      <w:sz w:val="21"/>
                      <w:szCs w:val="21"/>
                    </w:rPr>
                    <w:t>否</w:t>
                  </w:r>
                </w:p>
              </w:tc>
            </w:tr>
          </w:tbl>
          <w:p>
            <w:pPr>
              <w:tabs>
                <w:tab w:val="left" w:pos="1680"/>
              </w:tabs>
              <w:spacing w:line="360" w:lineRule="auto"/>
              <w:ind w:firstLine="480" w:firstLineChars="200"/>
              <w:rPr>
                <w:sz w:val="24"/>
              </w:rPr>
            </w:pPr>
          </w:p>
          <w:p>
            <w:pPr>
              <w:spacing w:line="360" w:lineRule="auto"/>
            </w:pPr>
          </w:p>
          <w:p>
            <w:pPr>
              <w:spacing w:line="360" w:lineRule="auto"/>
            </w:pPr>
          </w:p>
        </w:tc>
      </w:tr>
    </w:tbl>
    <w:p>
      <w:pPr>
        <w:spacing w:before="120" w:beforeLines="50"/>
        <w:outlineLvl w:val="0"/>
        <w:rPr>
          <w:b/>
          <w:sz w:val="28"/>
          <w:szCs w:val="28"/>
        </w:rPr>
      </w:pPr>
    </w:p>
    <w:p>
      <w:pPr>
        <w:spacing w:before="120" w:beforeLines="50"/>
        <w:outlineLvl w:val="0"/>
        <w:rPr>
          <w:b/>
          <w:sz w:val="28"/>
          <w:szCs w:val="28"/>
        </w:rPr>
      </w:pPr>
    </w:p>
    <w:p>
      <w:pPr>
        <w:spacing w:before="120" w:beforeLines="50"/>
        <w:outlineLvl w:val="0"/>
        <w:rPr>
          <w:b/>
          <w:sz w:val="28"/>
          <w:szCs w:val="28"/>
        </w:rPr>
      </w:pPr>
    </w:p>
    <w:p>
      <w:pPr>
        <w:spacing w:before="120" w:beforeLines="50"/>
        <w:outlineLvl w:val="0"/>
        <w:rPr>
          <w:b/>
          <w:sz w:val="28"/>
          <w:szCs w:val="28"/>
        </w:rPr>
      </w:pPr>
    </w:p>
    <w:p>
      <w:pPr>
        <w:spacing w:before="120" w:beforeLines="50"/>
        <w:outlineLvl w:val="0"/>
        <w:rPr>
          <w:b/>
          <w:sz w:val="28"/>
          <w:szCs w:val="28"/>
        </w:rPr>
      </w:pPr>
    </w:p>
    <w:p>
      <w:pPr>
        <w:spacing w:before="120" w:beforeLines="50"/>
        <w:outlineLvl w:val="0"/>
        <w:rPr>
          <w:b/>
          <w:sz w:val="28"/>
          <w:szCs w:val="28"/>
        </w:rPr>
      </w:pPr>
    </w:p>
    <w:p>
      <w:pPr>
        <w:spacing w:before="120" w:beforeLines="50"/>
        <w:outlineLvl w:val="0"/>
        <w:rPr>
          <w:b/>
          <w:sz w:val="28"/>
          <w:szCs w:val="28"/>
        </w:rPr>
      </w:pPr>
    </w:p>
    <w:p>
      <w:pPr>
        <w:spacing w:before="120" w:beforeLines="50"/>
        <w:outlineLvl w:val="0"/>
        <w:rPr>
          <w:b/>
          <w:sz w:val="28"/>
          <w:szCs w:val="28"/>
        </w:rPr>
      </w:pPr>
    </w:p>
    <w:p>
      <w:pPr>
        <w:spacing w:before="120" w:beforeLines="50"/>
        <w:outlineLvl w:val="0"/>
        <w:rPr>
          <w:b/>
          <w:sz w:val="28"/>
          <w:szCs w:val="28"/>
        </w:rPr>
      </w:pPr>
    </w:p>
    <w:p>
      <w:pPr>
        <w:spacing w:before="120" w:beforeLines="50"/>
        <w:outlineLvl w:val="0"/>
        <w:rPr>
          <w:b/>
          <w:sz w:val="28"/>
          <w:szCs w:val="28"/>
        </w:rPr>
      </w:pPr>
    </w:p>
    <w:p>
      <w:pPr>
        <w:spacing w:before="120" w:beforeLines="50"/>
        <w:outlineLvl w:val="0"/>
        <w:rPr>
          <w:b/>
          <w:sz w:val="28"/>
          <w:szCs w:val="28"/>
        </w:rPr>
      </w:pPr>
    </w:p>
    <w:p>
      <w:pPr>
        <w:spacing w:before="120" w:beforeLines="50"/>
        <w:outlineLvl w:val="0"/>
        <w:rPr>
          <w:b/>
          <w:sz w:val="28"/>
          <w:szCs w:val="28"/>
        </w:rPr>
      </w:pPr>
    </w:p>
    <w:p>
      <w:pPr>
        <w:spacing w:before="120" w:beforeLines="50"/>
        <w:outlineLvl w:val="0"/>
        <w:rPr>
          <w:b/>
          <w:sz w:val="28"/>
          <w:szCs w:val="28"/>
        </w:rPr>
      </w:pPr>
    </w:p>
    <w:p>
      <w:pPr>
        <w:spacing w:before="120" w:beforeLines="50"/>
        <w:outlineLvl w:val="0"/>
        <w:rPr>
          <w:b/>
          <w:sz w:val="28"/>
          <w:szCs w:val="28"/>
        </w:rPr>
      </w:pPr>
    </w:p>
    <w:p>
      <w:pPr>
        <w:spacing w:before="120" w:beforeLines="50"/>
        <w:outlineLvl w:val="0"/>
        <w:rPr>
          <w:b/>
          <w:sz w:val="28"/>
          <w:szCs w:val="28"/>
        </w:rPr>
      </w:pPr>
    </w:p>
    <w:p>
      <w:pPr>
        <w:spacing w:before="120" w:beforeLines="50"/>
        <w:outlineLvl w:val="0"/>
        <w:rPr>
          <w:b/>
          <w:sz w:val="28"/>
          <w:szCs w:val="28"/>
        </w:rPr>
      </w:pPr>
    </w:p>
    <w:p>
      <w:pPr>
        <w:spacing w:before="120" w:beforeLines="50"/>
        <w:outlineLvl w:val="0"/>
        <w:rPr>
          <w:b/>
          <w:sz w:val="28"/>
          <w:szCs w:val="28"/>
        </w:rPr>
      </w:pPr>
    </w:p>
    <w:p>
      <w:pPr>
        <w:spacing w:before="120" w:beforeLines="50"/>
        <w:outlineLvl w:val="0"/>
        <w:rPr>
          <w:b/>
          <w:sz w:val="28"/>
          <w:szCs w:val="28"/>
        </w:rPr>
      </w:pPr>
    </w:p>
    <w:p>
      <w:pPr>
        <w:spacing w:before="120" w:beforeLines="50"/>
        <w:outlineLvl w:val="0"/>
        <w:rPr>
          <w:b/>
          <w:sz w:val="28"/>
          <w:szCs w:val="28"/>
        </w:rPr>
      </w:pPr>
    </w:p>
    <w:p>
      <w:pPr>
        <w:spacing w:before="120" w:beforeLines="50"/>
        <w:outlineLvl w:val="0"/>
        <w:rPr>
          <w:b/>
          <w:sz w:val="28"/>
          <w:szCs w:val="28"/>
        </w:rPr>
      </w:pPr>
    </w:p>
    <w:p>
      <w:pPr>
        <w:spacing w:before="120" w:beforeLines="50"/>
        <w:outlineLvl w:val="0"/>
        <w:rPr>
          <w:b/>
          <w:sz w:val="28"/>
          <w:szCs w:val="28"/>
        </w:rPr>
      </w:pPr>
    </w:p>
    <w:p>
      <w:pPr>
        <w:spacing w:before="120" w:beforeLines="50"/>
        <w:outlineLvl w:val="0"/>
        <w:rPr>
          <w:b/>
          <w:sz w:val="28"/>
          <w:szCs w:val="28"/>
        </w:rPr>
      </w:pPr>
    </w:p>
    <w:p>
      <w:pPr>
        <w:spacing w:before="120" w:beforeLines="50"/>
        <w:outlineLvl w:val="0"/>
        <w:rPr>
          <w:b/>
          <w:sz w:val="28"/>
          <w:szCs w:val="28"/>
        </w:rPr>
      </w:pPr>
    </w:p>
    <w:p>
      <w:pPr>
        <w:spacing w:before="120" w:beforeLines="50"/>
        <w:outlineLvl w:val="0"/>
        <w:rPr>
          <w:b/>
          <w:sz w:val="28"/>
          <w:szCs w:val="28"/>
        </w:rPr>
      </w:pPr>
      <w:r>
        <w:rPr>
          <w:b/>
          <w:sz w:val="28"/>
          <w:szCs w:val="28"/>
        </w:rPr>
        <w:t>环境质量状况</w:t>
      </w:r>
    </w:p>
    <w:tbl>
      <w:tblPr>
        <w:tblStyle w:val="25"/>
        <w:tblW w:w="9214"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1" w:hRule="atLeast"/>
        </w:trPr>
        <w:tc>
          <w:tcPr>
            <w:tcW w:w="9214" w:type="dxa"/>
          </w:tcPr>
          <w:p>
            <w:pPr>
              <w:spacing w:line="360" w:lineRule="auto"/>
              <w:outlineLvl w:val="0"/>
              <w:rPr>
                <w:b/>
                <w:sz w:val="24"/>
              </w:rPr>
            </w:pPr>
            <w:r>
              <w:rPr>
                <w:b/>
                <w:sz w:val="24"/>
              </w:rPr>
              <w:t>建设项目所在地区域环境现状及主要环境问题(环境空气、地面水、地下水、声环境、生态环境等)</w:t>
            </w:r>
          </w:p>
          <w:p>
            <w:pPr>
              <w:snapToGrid w:val="0"/>
              <w:spacing w:line="360" w:lineRule="auto"/>
              <w:ind w:firstLine="482" w:firstLineChars="200"/>
              <w:outlineLvl w:val="0"/>
              <w:rPr>
                <w:b/>
                <w:sz w:val="24"/>
              </w:rPr>
            </w:pPr>
            <w:r>
              <w:rPr>
                <w:b/>
                <w:sz w:val="24"/>
              </w:rPr>
              <w:t>1、环境空气质量现状</w:t>
            </w:r>
          </w:p>
          <w:p>
            <w:pPr>
              <w:spacing w:line="360" w:lineRule="auto"/>
              <w:ind w:firstLine="480" w:firstLineChars="200"/>
              <w:rPr>
                <w:sz w:val="24"/>
              </w:rPr>
            </w:pPr>
            <w:r>
              <w:rPr>
                <w:sz w:val="24"/>
              </w:rPr>
              <w:t>根据《汕尾市环境保护规划纲要（2008-2020）》，本项目所在区域属二类环境空气功能区，执行《环境空气质量标准》(GB3095-2012)二级标准。根据广东省环境保护厅公众网中《2017年上半年广东省环境质量状况》资料表明：全省各城市SO</w:t>
            </w:r>
            <w:r>
              <w:rPr>
                <w:sz w:val="24"/>
                <w:vertAlign w:val="subscript"/>
              </w:rPr>
              <w:t>2</w:t>
            </w:r>
            <w:r>
              <w:rPr>
                <w:sz w:val="24"/>
              </w:rPr>
              <w:t>年均值范围为6~18微克/立方米，均达到国家一级标准；各城市NO</w:t>
            </w:r>
            <w:r>
              <w:rPr>
                <w:sz w:val="24"/>
                <w:vertAlign w:val="subscript"/>
              </w:rPr>
              <w:t>2</w:t>
            </w:r>
            <w:r>
              <w:rPr>
                <w:sz w:val="24"/>
              </w:rPr>
              <w:t>年均值范围为13~56微克/立方米，除广州、佛山、东莞和清远外，其余各城市均达到国家一级标准；各城市PM</w:t>
            </w:r>
            <w:r>
              <w:rPr>
                <w:sz w:val="24"/>
                <w:vertAlign w:val="subscript"/>
              </w:rPr>
              <w:t>10</w:t>
            </w:r>
            <w:r>
              <w:rPr>
                <w:sz w:val="24"/>
              </w:rPr>
              <w:t>年均值范围为40~67微克/立方米，均达到国家二级标准；各城市PM</w:t>
            </w:r>
            <w:r>
              <w:rPr>
                <w:sz w:val="24"/>
                <w:vertAlign w:val="subscript"/>
              </w:rPr>
              <w:t>2.5</w:t>
            </w:r>
            <w:r>
              <w:rPr>
                <w:sz w:val="24"/>
              </w:rPr>
              <w:t>年均值范围为28~43微克/立方米，除广州、佛山、韶关、东莞、江门、肇庆、清远、揭阳和云浮外，其余12市均达到国家二级标准；各城市CO日均浓度第95百分位数平均为1.3微克/立方米，日平均浓度范围为1.0~2.0毫克/立方米，均达到国家一级标准。按照环境空气综合质量指数排名，2017年上半年排名前三位为汕尾、湛江和茂名，由此说明项目所在地汕尾市的环境空气质量现状良好。</w:t>
            </w:r>
          </w:p>
          <w:p>
            <w:pPr>
              <w:spacing w:line="360" w:lineRule="auto"/>
              <w:ind w:firstLine="482" w:firstLineChars="200"/>
              <w:rPr>
                <w:b/>
                <w:sz w:val="24"/>
              </w:rPr>
            </w:pPr>
            <w:r>
              <w:rPr>
                <w:b/>
                <w:sz w:val="24"/>
              </w:rPr>
              <w:t>2、地表水质量现状</w:t>
            </w:r>
          </w:p>
          <w:p>
            <w:pPr>
              <w:spacing w:line="360" w:lineRule="auto"/>
              <w:ind w:firstLine="480" w:firstLineChars="200"/>
              <w:rPr>
                <w:sz w:val="24"/>
              </w:rPr>
            </w:pPr>
            <w:r>
              <w:rPr>
                <w:rFonts w:hint="eastAsia"/>
                <w:sz w:val="24"/>
              </w:rPr>
              <w:t>本项目位于陆河县新田镇，项目所在区域附近水体为新田水，新田水</w:t>
            </w:r>
            <w:r>
              <w:rPr>
                <w:sz w:val="24"/>
              </w:rPr>
              <w:t>水质标准执行《地表水环境质量标准》(GB3838</w:t>
            </w:r>
            <w:r>
              <w:rPr>
                <w:rFonts w:hint="eastAsia"/>
                <w:sz w:val="24"/>
              </w:rPr>
              <w:t>-</w:t>
            </w:r>
            <w:r>
              <w:rPr>
                <w:sz w:val="24"/>
              </w:rPr>
              <w:t>2002)Ⅱ类标准</w:t>
            </w:r>
            <w:r>
              <w:rPr>
                <w:rFonts w:hint="eastAsia"/>
                <w:sz w:val="24"/>
              </w:rPr>
              <w:t>，为评价新田水水质，本项目引用《</w:t>
            </w:r>
            <w:r>
              <w:rPr>
                <w:rFonts w:hint="eastAsia" w:cs="Arial"/>
                <w:sz w:val="24"/>
              </w:rPr>
              <w:t>陆河县嘉冠木业有限公司年产胶合板28000m</w:t>
            </w:r>
            <w:r>
              <w:rPr>
                <w:rFonts w:hint="eastAsia" w:cs="Arial"/>
                <w:sz w:val="24"/>
                <w:vertAlign w:val="superscript"/>
              </w:rPr>
              <w:t>3</w:t>
            </w:r>
            <w:r>
              <w:rPr>
                <w:rFonts w:hint="eastAsia" w:cs="Arial"/>
                <w:sz w:val="24"/>
              </w:rPr>
              <w:t>改扩建项目</w:t>
            </w:r>
            <w:r>
              <w:rPr>
                <w:rFonts w:hint="eastAsia"/>
                <w:sz w:val="24"/>
              </w:rPr>
              <w:t>》广州恒力检测股份有限公司对项目所在区域新田水水质进行监测，监测时间为2018年6月14日至16日，监测结果及评价见下表</w:t>
            </w:r>
            <w:r>
              <w:rPr>
                <w:sz w:val="24"/>
              </w:rPr>
              <w:t>。</w:t>
            </w:r>
          </w:p>
          <w:p>
            <w:pPr>
              <w:jc w:val="center"/>
              <w:rPr>
                <w:b/>
                <w:bCs/>
              </w:rPr>
            </w:pPr>
            <w:r>
              <w:rPr>
                <w:b/>
                <w:bCs/>
                <w:szCs w:val="21"/>
              </w:rPr>
              <w:t xml:space="preserve">表6  </w:t>
            </w:r>
            <w:r>
              <w:rPr>
                <w:rFonts w:hint="eastAsia"/>
                <w:b/>
                <w:bCs/>
              </w:rPr>
              <w:t>新田水</w:t>
            </w:r>
            <w:r>
              <w:rPr>
                <w:b/>
                <w:bCs/>
              </w:rPr>
              <w:t>的常规监测数据统计表</w:t>
            </w:r>
            <w:r>
              <w:rPr>
                <w:rFonts w:hint="eastAsia"/>
                <w:b/>
                <w:bCs/>
              </w:rPr>
              <w:t xml:space="preserve">    </w:t>
            </w:r>
            <w:r>
              <w:rPr>
                <w:b/>
                <w:bCs/>
              </w:rPr>
              <w:t>单位：mg/L</w:t>
            </w:r>
            <w:r>
              <w:rPr>
                <w:rFonts w:hint="eastAsia"/>
                <w:b/>
                <w:bCs/>
              </w:rPr>
              <w:t>，已标注除外</w:t>
            </w:r>
          </w:p>
          <w:tbl>
            <w:tblPr>
              <w:tblStyle w:val="25"/>
              <w:tblW w:w="89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
              <w:gridCol w:w="1161"/>
              <w:gridCol w:w="680"/>
              <w:gridCol w:w="681"/>
              <w:gridCol w:w="626"/>
              <w:gridCol w:w="595"/>
              <w:gridCol w:w="716"/>
              <w:gridCol w:w="815"/>
              <w:gridCol w:w="724"/>
              <w:gridCol w:w="681"/>
              <w:gridCol w:w="681"/>
              <w:gridCol w:w="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blHeader/>
                <w:jc w:val="center"/>
              </w:trPr>
              <w:tc>
                <w:tcPr>
                  <w:tcW w:w="902" w:type="dxa"/>
                  <w:vMerge w:val="restart"/>
                  <w:vAlign w:val="center"/>
                </w:tcPr>
                <w:p>
                  <w:pPr>
                    <w:pStyle w:val="41"/>
                    <w:spacing w:before="36" w:after="36" w:line="240" w:lineRule="auto"/>
                    <w:rPr>
                      <w:rFonts w:ascii="Times New Roman" w:hAnsi="Times New Roman" w:cs="Times New Roman"/>
                      <w:b/>
                      <w:bCs/>
                    </w:rPr>
                  </w:pPr>
                  <w:r>
                    <w:rPr>
                      <w:rFonts w:ascii="Times New Roman" w:hAnsi="Times New Roman" w:cs="Times New Roman"/>
                      <w:b/>
                      <w:bCs/>
                    </w:rPr>
                    <w:t>监测点位</w:t>
                  </w:r>
                </w:p>
              </w:tc>
              <w:tc>
                <w:tcPr>
                  <w:tcW w:w="1161" w:type="dxa"/>
                  <w:vMerge w:val="restart"/>
                  <w:vAlign w:val="center"/>
                </w:tcPr>
                <w:p>
                  <w:pPr>
                    <w:pStyle w:val="41"/>
                    <w:spacing w:before="36" w:after="36" w:line="240" w:lineRule="auto"/>
                    <w:rPr>
                      <w:rFonts w:ascii="Times New Roman" w:hAnsi="Times New Roman" w:cs="Times New Roman"/>
                      <w:b/>
                      <w:bCs/>
                    </w:rPr>
                  </w:pPr>
                  <w:r>
                    <w:rPr>
                      <w:rFonts w:ascii="Times New Roman" w:hAnsi="Times New Roman" w:cs="Times New Roman"/>
                      <w:b/>
                      <w:bCs/>
                    </w:rPr>
                    <w:t>采样时间</w:t>
                  </w:r>
                </w:p>
              </w:tc>
              <w:tc>
                <w:tcPr>
                  <w:tcW w:w="6925" w:type="dxa"/>
                  <w:gridSpan w:val="10"/>
                  <w:vAlign w:val="center"/>
                </w:tcPr>
                <w:p>
                  <w:pPr>
                    <w:pStyle w:val="41"/>
                    <w:spacing w:before="36" w:after="36" w:line="240" w:lineRule="auto"/>
                    <w:rPr>
                      <w:rFonts w:ascii="Times New Roman" w:hAnsi="Times New Roman" w:cs="Times New Roman"/>
                      <w:b/>
                      <w:bCs/>
                    </w:rPr>
                  </w:pPr>
                  <w:r>
                    <w:rPr>
                      <w:rFonts w:ascii="Times New Roman" w:hAnsi="Times New Roman" w:cs="Times New Roman"/>
                      <w:b/>
                      <w:bCs/>
                    </w:rPr>
                    <w:t>监测项目及结果 （单位：mg/L，除水温为℃、pH为无量纲）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blHeader/>
                <w:jc w:val="center"/>
              </w:trPr>
              <w:tc>
                <w:tcPr>
                  <w:tcW w:w="902" w:type="dxa"/>
                  <w:vMerge w:val="continue"/>
                  <w:vAlign w:val="center"/>
                </w:tcPr>
                <w:p>
                  <w:pPr>
                    <w:pStyle w:val="41"/>
                    <w:spacing w:before="36" w:after="36" w:line="240" w:lineRule="auto"/>
                    <w:rPr>
                      <w:rFonts w:ascii="Times New Roman" w:hAnsi="Times New Roman" w:cs="Times New Roman"/>
                      <w:b/>
                      <w:bCs/>
                    </w:rPr>
                  </w:pPr>
                </w:p>
              </w:tc>
              <w:tc>
                <w:tcPr>
                  <w:tcW w:w="1161" w:type="dxa"/>
                  <w:vMerge w:val="continue"/>
                  <w:vAlign w:val="center"/>
                </w:tcPr>
                <w:p>
                  <w:pPr>
                    <w:pStyle w:val="41"/>
                    <w:spacing w:before="36" w:after="36" w:line="240" w:lineRule="auto"/>
                    <w:rPr>
                      <w:rFonts w:ascii="Times New Roman" w:hAnsi="Times New Roman" w:cs="Times New Roman"/>
                      <w:b/>
                      <w:bCs/>
                    </w:rPr>
                  </w:pPr>
                </w:p>
              </w:tc>
              <w:tc>
                <w:tcPr>
                  <w:tcW w:w="680" w:type="dxa"/>
                  <w:vAlign w:val="center"/>
                </w:tcPr>
                <w:p>
                  <w:pPr>
                    <w:pStyle w:val="41"/>
                    <w:spacing w:before="36" w:after="36" w:line="240" w:lineRule="auto"/>
                    <w:rPr>
                      <w:rFonts w:ascii="Times New Roman" w:hAnsi="Times New Roman" w:cs="Times New Roman"/>
                      <w:b/>
                      <w:bCs/>
                    </w:rPr>
                  </w:pPr>
                  <w:r>
                    <w:rPr>
                      <w:rFonts w:ascii="Times New Roman" w:hAnsi="Times New Roman" w:cs="Times New Roman"/>
                      <w:b/>
                      <w:bCs/>
                    </w:rPr>
                    <w:t>水温</w:t>
                  </w:r>
                </w:p>
              </w:tc>
              <w:tc>
                <w:tcPr>
                  <w:tcW w:w="681" w:type="dxa"/>
                  <w:vAlign w:val="center"/>
                </w:tcPr>
                <w:p>
                  <w:pPr>
                    <w:pStyle w:val="41"/>
                    <w:spacing w:before="36" w:after="36" w:line="240" w:lineRule="auto"/>
                    <w:rPr>
                      <w:rFonts w:ascii="Times New Roman" w:hAnsi="Times New Roman" w:cs="Times New Roman"/>
                      <w:b/>
                      <w:bCs/>
                    </w:rPr>
                  </w:pPr>
                  <w:r>
                    <w:rPr>
                      <w:rFonts w:ascii="Times New Roman" w:hAnsi="Times New Roman" w:cs="Times New Roman"/>
                      <w:b/>
                      <w:bCs/>
                    </w:rPr>
                    <w:t>pH</w:t>
                  </w:r>
                </w:p>
              </w:tc>
              <w:tc>
                <w:tcPr>
                  <w:tcW w:w="626" w:type="dxa"/>
                  <w:vAlign w:val="center"/>
                </w:tcPr>
                <w:p>
                  <w:pPr>
                    <w:pStyle w:val="41"/>
                    <w:spacing w:before="36" w:after="36" w:line="240" w:lineRule="auto"/>
                    <w:rPr>
                      <w:rFonts w:ascii="Times New Roman" w:hAnsi="Times New Roman" w:cs="Times New Roman"/>
                      <w:b/>
                      <w:bCs/>
                    </w:rPr>
                  </w:pPr>
                  <w:r>
                    <w:rPr>
                      <w:rFonts w:ascii="Times New Roman" w:hAnsi="Times New Roman" w:cs="Times New Roman"/>
                      <w:b/>
                      <w:bCs/>
                    </w:rPr>
                    <w:t>SS</w:t>
                  </w:r>
                </w:p>
              </w:tc>
              <w:tc>
                <w:tcPr>
                  <w:tcW w:w="595" w:type="dxa"/>
                  <w:vAlign w:val="center"/>
                </w:tcPr>
                <w:p>
                  <w:pPr>
                    <w:pStyle w:val="41"/>
                    <w:spacing w:before="36" w:after="36" w:line="240" w:lineRule="auto"/>
                    <w:rPr>
                      <w:rFonts w:ascii="Times New Roman" w:hAnsi="Times New Roman" w:cs="Times New Roman"/>
                      <w:b/>
                      <w:bCs/>
                    </w:rPr>
                  </w:pPr>
                  <w:r>
                    <w:rPr>
                      <w:rFonts w:ascii="Times New Roman" w:hAnsi="Times New Roman" w:cs="Times New Roman"/>
                      <w:b/>
                      <w:bCs/>
                    </w:rPr>
                    <w:t>DO</w:t>
                  </w:r>
                </w:p>
              </w:tc>
              <w:tc>
                <w:tcPr>
                  <w:tcW w:w="716" w:type="dxa"/>
                  <w:vAlign w:val="center"/>
                </w:tcPr>
                <w:p>
                  <w:pPr>
                    <w:pStyle w:val="41"/>
                    <w:spacing w:before="36" w:after="36" w:line="240" w:lineRule="auto"/>
                    <w:rPr>
                      <w:rFonts w:ascii="Times New Roman" w:hAnsi="Times New Roman" w:cs="Times New Roman"/>
                      <w:b/>
                      <w:bCs/>
                    </w:rPr>
                  </w:pPr>
                  <w:r>
                    <w:rPr>
                      <w:rFonts w:ascii="Times New Roman" w:hAnsi="Times New Roman" w:cs="Times New Roman"/>
                      <w:b/>
                      <w:bCs/>
                    </w:rPr>
                    <w:t>COD</w:t>
                  </w:r>
                </w:p>
              </w:tc>
              <w:tc>
                <w:tcPr>
                  <w:tcW w:w="815" w:type="dxa"/>
                  <w:vAlign w:val="center"/>
                </w:tcPr>
                <w:p>
                  <w:pPr>
                    <w:pStyle w:val="41"/>
                    <w:spacing w:before="36" w:after="36" w:line="240" w:lineRule="auto"/>
                    <w:rPr>
                      <w:rFonts w:ascii="Times New Roman" w:hAnsi="Times New Roman" w:cs="Times New Roman"/>
                      <w:b/>
                      <w:bCs/>
                    </w:rPr>
                  </w:pPr>
                  <w:r>
                    <w:rPr>
                      <w:rFonts w:ascii="Times New Roman" w:hAnsi="Times New Roman" w:cs="Times New Roman"/>
                      <w:b/>
                      <w:bCs/>
                    </w:rPr>
                    <w:t>BOD</w:t>
                  </w:r>
                  <w:r>
                    <w:rPr>
                      <w:rFonts w:ascii="Times New Roman" w:hAnsi="Times New Roman" w:cs="Times New Roman"/>
                      <w:b/>
                      <w:bCs/>
                      <w:vertAlign w:val="subscript"/>
                    </w:rPr>
                    <w:t>5</w:t>
                  </w:r>
                </w:p>
              </w:tc>
              <w:tc>
                <w:tcPr>
                  <w:tcW w:w="724" w:type="dxa"/>
                  <w:vAlign w:val="center"/>
                </w:tcPr>
                <w:p>
                  <w:pPr>
                    <w:pStyle w:val="41"/>
                    <w:spacing w:before="36" w:after="36" w:line="240" w:lineRule="auto"/>
                    <w:rPr>
                      <w:rFonts w:ascii="Times New Roman" w:hAnsi="Times New Roman" w:cs="Times New Roman"/>
                      <w:b/>
                      <w:bCs/>
                    </w:rPr>
                  </w:pPr>
                  <w:r>
                    <w:rPr>
                      <w:rFonts w:ascii="Times New Roman" w:hAnsi="Times New Roman" w:cs="Times New Roman"/>
                      <w:b/>
                      <w:bCs/>
                    </w:rPr>
                    <w:t>氨氮</w:t>
                  </w:r>
                </w:p>
              </w:tc>
              <w:tc>
                <w:tcPr>
                  <w:tcW w:w="681" w:type="dxa"/>
                  <w:vAlign w:val="center"/>
                </w:tcPr>
                <w:p>
                  <w:pPr>
                    <w:pStyle w:val="41"/>
                    <w:spacing w:before="36" w:after="36" w:line="240" w:lineRule="auto"/>
                    <w:rPr>
                      <w:rFonts w:ascii="Times New Roman" w:hAnsi="Times New Roman" w:cs="Times New Roman"/>
                      <w:b/>
                      <w:bCs/>
                    </w:rPr>
                  </w:pPr>
                  <w:r>
                    <w:rPr>
                      <w:rFonts w:ascii="Times New Roman" w:hAnsi="Times New Roman" w:cs="Times New Roman"/>
                      <w:b/>
                      <w:bCs/>
                    </w:rPr>
                    <w:t>氰化物</w:t>
                  </w:r>
                </w:p>
              </w:tc>
              <w:tc>
                <w:tcPr>
                  <w:tcW w:w="681" w:type="dxa"/>
                  <w:vAlign w:val="center"/>
                </w:tcPr>
                <w:p>
                  <w:pPr>
                    <w:pStyle w:val="41"/>
                    <w:spacing w:before="36" w:after="36" w:line="240" w:lineRule="auto"/>
                    <w:rPr>
                      <w:rFonts w:ascii="Times New Roman" w:hAnsi="Times New Roman" w:cs="Times New Roman"/>
                      <w:b/>
                      <w:bCs/>
                    </w:rPr>
                  </w:pPr>
                  <w:r>
                    <w:rPr>
                      <w:rFonts w:ascii="Times New Roman" w:hAnsi="Times New Roman" w:cs="Times New Roman"/>
                      <w:b/>
                      <w:bCs/>
                    </w:rPr>
                    <w:t>石油类</w:t>
                  </w:r>
                </w:p>
              </w:tc>
              <w:tc>
                <w:tcPr>
                  <w:tcW w:w="726" w:type="dxa"/>
                  <w:vAlign w:val="center"/>
                </w:tcPr>
                <w:p>
                  <w:pPr>
                    <w:pStyle w:val="41"/>
                    <w:spacing w:before="36" w:after="36" w:line="240" w:lineRule="auto"/>
                    <w:rPr>
                      <w:rFonts w:ascii="Times New Roman" w:hAnsi="Times New Roman" w:cs="Times New Roman"/>
                      <w:b/>
                      <w:bCs/>
                    </w:rPr>
                  </w:pPr>
                  <w:r>
                    <w:rPr>
                      <w:rFonts w:ascii="Times New Roman" w:hAnsi="Times New Roman" w:cs="Times New Roman"/>
                      <w:b/>
                      <w:bCs/>
                    </w:rPr>
                    <w:t>挥发酚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02" w:type="dxa"/>
                  <w:vMerge w:val="restart"/>
                  <w:vAlign w:val="center"/>
                </w:tcPr>
                <w:p>
                  <w:pPr>
                    <w:pStyle w:val="41"/>
                    <w:spacing w:before="36" w:after="36" w:line="240" w:lineRule="auto"/>
                    <w:rPr>
                      <w:rFonts w:ascii="Times New Roman" w:hAnsi="Times New Roman" w:cs="Times New Roman"/>
                    </w:rPr>
                  </w:pPr>
                  <w:bookmarkStart w:id="1" w:name="OLE_LINK31" w:colFirst="1" w:colLast="1"/>
                  <w:bookmarkStart w:id="2" w:name="OLE_LINK6" w:colFirst="11" w:colLast="11"/>
                  <w:bookmarkStart w:id="3" w:name="_Hlk498097228"/>
                  <w:r>
                    <w:rPr>
                      <w:rFonts w:ascii="Times New Roman" w:hAnsi="Times New Roman" w:cs="Times New Roman"/>
                    </w:rPr>
                    <w:t>W1新田水项目区上游500m</w:t>
                  </w:r>
                </w:p>
              </w:tc>
              <w:tc>
                <w:tcPr>
                  <w:tcW w:w="1161"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2018.06.14</w:t>
                  </w:r>
                </w:p>
              </w:tc>
              <w:tc>
                <w:tcPr>
                  <w:tcW w:w="680"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25.5</w:t>
                  </w:r>
                </w:p>
              </w:tc>
              <w:tc>
                <w:tcPr>
                  <w:tcW w:w="681"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7.01</w:t>
                  </w:r>
                </w:p>
              </w:tc>
              <w:tc>
                <w:tcPr>
                  <w:tcW w:w="626"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10</w:t>
                  </w:r>
                </w:p>
              </w:tc>
              <w:tc>
                <w:tcPr>
                  <w:tcW w:w="595"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6.1</w:t>
                  </w:r>
                </w:p>
              </w:tc>
              <w:tc>
                <w:tcPr>
                  <w:tcW w:w="716"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8</w:t>
                  </w:r>
                </w:p>
              </w:tc>
              <w:tc>
                <w:tcPr>
                  <w:tcW w:w="815"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1.9</w:t>
                  </w:r>
                </w:p>
              </w:tc>
              <w:tc>
                <w:tcPr>
                  <w:tcW w:w="724"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0.560</w:t>
                  </w:r>
                </w:p>
              </w:tc>
              <w:tc>
                <w:tcPr>
                  <w:tcW w:w="681"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ND</w:t>
                  </w:r>
                </w:p>
              </w:tc>
              <w:tc>
                <w:tcPr>
                  <w:tcW w:w="681"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0.02</w:t>
                  </w:r>
                </w:p>
              </w:tc>
              <w:tc>
                <w:tcPr>
                  <w:tcW w:w="726"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02" w:type="dxa"/>
                  <w:vMerge w:val="continue"/>
                  <w:vAlign w:val="center"/>
                </w:tcPr>
                <w:p>
                  <w:pPr>
                    <w:pStyle w:val="41"/>
                    <w:spacing w:before="36" w:after="36" w:line="240" w:lineRule="auto"/>
                    <w:rPr>
                      <w:rFonts w:ascii="Times New Roman" w:hAnsi="Times New Roman" w:cs="Times New Roman"/>
                    </w:rPr>
                  </w:pPr>
                </w:p>
              </w:tc>
              <w:tc>
                <w:tcPr>
                  <w:tcW w:w="1161"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2018.06.15</w:t>
                  </w:r>
                </w:p>
              </w:tc>
              <w:tc>
                <w:tcPr>
                  <w:tcW w:w="680"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26.3</w:t>
                  </w:r>
                </w:p>
              </w:tc>
              <w:tc>
                <w:tcPr>
                  <w:tcW w:w="681"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7.21</w:t>
                  </w:r>
                </w:p>
              </w:tc>
              <w:tc>
                <w:tcPr>
                  <w:tcW w:w="626"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12</w:t>
                  </w:r>
                </w:p>
              </w:tc>
              <w:tc>
                <w:tcPr>
                  <w:tcW w:w="595"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5.9</w:t>
                  </w:r>
                </w:p>
              </w:tc>
              <w:tc>
                <w:tcPr>
                  <w:tcW w:w="716"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10</w:t>
                  </w:r>
                </w:p>
              </w:tc>
              <w:tc>
                <w:tcPr>
                  <w:tcW w:w="815"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2.1</w:t>
                  </w:r>
                </w:p>
              </w:tc>
              <w:tc>
                <w:tcPr>
                  <w:tcW w:w="724"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0.624</w:t>
                  </w:r>
                </w:p>
              </w:tc>
              <w:tc>
                <w:tcPr>
                  <w:tcW w:w="681"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ND</w:t>
                  </w:r>
                </w:p>
              </w:tc>
              <w:tc>
                <w:tcPr>
                  <w:tcW w:w="681"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ND</w:t>
                  </w:r>
                </w:p>
              </w:tc>
              <w:tc>
                <w:tcPr>
                  <w:tcW w:w="726"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02" w:type="dxa"/>
                  <w:vMerge w:val="continue"/>
                  <w:vAlign w:val="center"/>
                </w:tcPr>
                <w:p>
                  <w:pPr>
                    <w:pStyle w:val="41"/>
                    <w:spacing w:before="36" w:after="36" w:line="240" w:lineRule="auto"/>
                    <w:rPr>
                      <w:rFonts w:ascii="Times New Roman" w:hAnsi="Times New Roman" w:cs="Times New Roman"/>
                    </w:rPr>
                  </w:pPr>
                </w:p>
              </w:tc>
              <w:tc>
                <w:tcPr>
                  <w:tcW w:w="1161"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2018.06.16</w:t>
                  </w:r>
                </w:p>
              </w:tc>
              <w:tc>
                <w:tcPr>
                  <w:tcW w:w="680"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25.3</w:t>
                  </w:r>
                </w:p>
              </w:tc>
              <w:tc>
                <w:tcPr>
                  <w:tcW w:w="681"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7.01</w:t>
                  </w:r>
                </w:p>
              </w:tc>
              <w:tc>
                <w:tcPr>
                  <w:tcW w:w="626"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11</w:t>
                  </w:r>
                </w:p>
              </w:tc>
              <w:tc>
                <w:tcPr>
                  <w:tcW w:w="595"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6.3</w:t>
                  </w:r>
                </w:p>
              </w:tc>
              <w:tc>
                <w:tcPr>
                  <w:tcW w:w="716"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13</w:t>
                  </w:r>
                </w:p>
              </w:tc>
              <w:tc>
                <w:tcPr>
                  <w:tcW w:w="815"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2.3</w:t>
                  </w:r>
                </w:p>
              </w:tc>
              <w:tc>
                <w:tcPr>
                  <w:tcW w:w="724"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0.698</w:t>
                  </w:r>
                </w:p>
              </w:tc>
              <w:tc>
                <w:tcPr>
                  <w:tcW w:w="681"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ND</w:t>
                  </w:r>
                </w:p>
              </w:tc>
              <w:tc>
                <w:tcPr>
                  <w:tcW w:w="681"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0.03</w:t>
                  </w:r>
                </w:p>
              </w:tc>
              <w:tc>
                <w:tcPr>
                  <w:tcW w:w="726"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ND</w:t>
                  </w:r>
                </w:p>
              </w:tc>
            </w:tr>
            <w:bookmarkEnd w:id="1"/>
            <w:bookmarkEnd w:id="2"/>
            <w:bookmarkEnd w:id="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02" w:type="dxa"/>
                  <w:vMerge w:val="restart"/>
                  <w:vAlign w:val="center"/>
                </w:tcPr>
                <w:p>
                  <w:pPr>
                    <w:pStyle w:val="41"/>
                    <w:spacing w:before="36" w:after="36" w:line="240" w:lineRule="auto"/>
                    <w:rPr>
                      <w:rFonts w:ascii="Times New Roman" w:hAnsi="Times New Roman" w:cs="Times New Roman"/>
                    </w:rPr>
                  </w:pPr>
                  <w:r>
                    <w:rPr>
                      <w:rFonts w:ascii="Times New Roman" w:hAnsi="Times New Roman" w:cs="Times New Roman"/>
                    </w:rPr>
                    <w:t>W2新田水项目区处</w:t>
                  </w:r>
                </w:p>
              </w:tc>
              <w:tc>
                <w:tcPr>
                  <w:tcW w:w="1161"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2018.06.14</w:t>
                  </w:r>
                </w:p>
              </w:tc>
              <w:tc>
                <w:tcPr>
                  <w:tcW w:w="680"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24.6</w:t>
                  </w:r>
                </w:p>
              </w:tc>
              <w:tc>
                <w:tcPr>
                  <w:tcW w:w="681"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7.13</w:t>
                  </w:r>
                </w:p>
              </w:tc>
              <w:tc>
                <w:tcPr>
                  <w:tcW w:w="626"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8</w:t>
                  </w:r>
                </w:p>
              </w:tc>
              <w:tc>
                <w:tcPr>
                  <w:tcW w:w="595"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6.2</w:t>
                  </w:r>
                </w:p>
              </w:tc>
              <w:tc>
                <w:tcPr>
                  <w:tcW w:w="716"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8</w:t>
                  </w:r>
                </w:p>
              </w:tc>
              <w:tc>
                <w:tcPr>
                  <w:tcW w:w="815"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1.6</w:t>
                  </w:r>
                </w:p>
              </w:tc>
              <w:tc>
                <w:tcPr>
                  <w:tcW w:w="724"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0.569</w:t>
                  </w:r>
                </w:p>
              </w:tc>
              <w:tc>
                <w:tcPr>
                  <w:tcW w:w="681"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ND</w:t>
                  </w:r>
                </w:p>
              </w:tc>
              <w:tc>
                <w:tcPr>
                  <w:tcW w:w="681"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ND</w:t>
                  </w:r>
                </w:p>
              </w:tc>
              <w:tc>
                <w:tcPr>
                  <w:tcW w:w="726"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02" w:type="dxa"/>
                  <w:vMerge w:val="continue"/>
                  <w:vAlign w:val="center"/>
                </w:tcPr>
                <w:p>
                  <w:pPr>
                    <w:pStyle w:val="41"/>
                    <w:spacing w:before="36" w:after="36" w:line="240" w:lineRule="auto"/>
                    <w:rPr>
                      <w:rFonts w:ascii="Times New Roman" w:hAnsi="Times New Roman" w:cs="Times New Roman"/>
                    </w:rPr>
                  </w:pPr>
                </w:p>
              </w:tc>
              <w:tc>
                <w:tcPr>
                  <w:tcW w:w="1161"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2018.06.15</w:t>
                  </w:r>
                </w:p>
              </w:tc>
              <w:tc>
                <w:tcPr>
                  <w:tcW w:w="680"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25.1</w:t>
                  </w:r>
                </w:p>
              </w:tc>
              <w:tc>
                <w:tcPr>
                  <w:tcW w:w="681"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7.15</w:t>
                  </w:r>
                </w:p>
              </w:tc>
              <w:tc>
                <w:tcPr>
                  <w:tcW w:w="626"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9</w:t>
                  </w:r>
                </w:p>
              </w:tc>
              <w:tc>
                <w:tcPr>
                  <w:tcW w:w="595"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6.5</w:t>
                  </w:r>
                </w:p>
              </w:tc>
              <w:tc>
                <w:tcPr>
                  <w:tcW w:w="716"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9</w:t>
                  </w:r>
                </w:p>
              </w:tc>
              <w:tc>
                <w:tcPr>
                  <w:tcW w:w="815"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1.9</w:t>
                  </w:r>
                </w:p>
              </w:tc>
              <w:tc>
                <w:tcPr>
                  <w:tcW w:w="724"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0.521</w:t>
                  </w:r>
                </w:p>
              </w:tc>
              <w:tc>
                <w:tcPr>
                  <w:tcW w:w="681"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ND</w:t>
                  </w:r>
                </w:p>
              </w:tc>
              <w:tc>
                <w:tcPr>
                  <w:tcW w:w="681"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ND</w:t>
                  </w:r>
                </w:p>
              </w:tc>
              <w:tc>
                <w:tcPr>
                  <w:tcW w:w="726"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02" w:type="dxa"/>
                  <w:vMerge w:val="continue"/>
                  <w:vAlign w:val="center"/>
                </w:tcPr>
                <w:p>
                  <w:pPr>
                    <w:pStyle w:val="41"/>
                    <w:spacing w:before="36" w:after="36" w:line="240" w:lineRule="auto"/>
                    <w:rPr>
                      <w:rFonts w:ascii="Times New Roman" w:hAnsi="Times New Roman" w:cs="Times New Roman"/>
                    </w:rPr>
                  </w:pPr>
                </w:p>
              </w:tc>
              <w:tc>
                <w:tcPr>
                  <w:tcW w:w="1161"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2018.06.16</w:t>
                  </w:r>
                </w:p>
              </w:tc>
              <w:tc>
                <w:tcPr>
                  <w:tcW w:w="680"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25.9</w:t>
                  </w:r>
                </w:p>
              </w:tc>
              <w:tc>
                <w:tcPr>
                  <w:tcW w:w="681"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7.19</w:t>
                  </w:r>
                </w:p>
              </w:tc>
              <w:tc>
                <w:tcPr>
                  <w:tcW w:w="626"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13</w:t>
                  </w:r>
                </w:p>
              </w:tc>
              <w:tc>
                <w:tcPr>
                  <w:tcW w:w="595"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6.2</w:t>
                  </w:r>
                </w:p>
              </w:tc>
              <w:tc>
                <w:tcPr>
                  <w:tcW w:w="716"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9</w:t>
                  </w:r>
                </w:p>
              </w:tc>
              <w:tc>
                <w:tcPr>
                  <w:tcW w:w="815"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2.1</w:t>
                  </w:r>
                </w:p>
              </w:tc>
              <w:tc>
                <w:tcPr>
                  <w:tcW w:w="724"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0.631</w:t>
                  </w:r>
                </w:p>
              </w:tc>
              <w:tc>
                <w:tcPr>
                  <w:tcW w:w="681"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ND</w:t>
                  </w:r>
                </w:p>
              </w:tc>
              <w:tc>
                <w:tcPr>
                  <w:tcW w:w="681"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0.03</w:t>
                  </w:r>
                </w:p>
              </w:tc>
              <w:tc>
                <w:tcPr>
                  <w:tcW w:w="726"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02" w:type="dxa"/>
                  <w:vMerge w:val="restart"/>
                  <w:vAlign w:val="center"/>
                </w:tcPr>
                <w:p>
                  <w:pPr>
                    <w:pStyle w:val="41"/>
                    <w:spacing w:before="36" w:after="36" w:line="240" w:lineRule="auto"/>
                    <w:rPr>
                      <w:rFonts w:ascii="Times New Roman" w:hAnsi="Times New Roman" w:cs="Times New Roman"/>
                    </w:rPr>
                  </w:pPr>
                  <w:r>
                    <w:rPr>
                      <w:rFonts w:ascii="Times New Roman" w:hAnsi="Times New Roman" w:cs="Times New Roman"/>
                    </w:rPr>
                    <w:t>W3新田水项目区下游1000m</w:t>
                  </w:r>
                </w:p>
              </w:tc>
              <w:tc>
                <w:tcPr>
                  <w:tcW w:w="1161"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2018.06.14</w:t>
                  </w:r>
                </w:p>
              </w:tc>
              <w:tc>
                <w:tcPr>
                  <w:tcW w:w="680"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25.3</w:t>
                  </w:r>
                </w:p>
              </w:tc>
              <w:tc>
                <w:tcPr>
                  <w:tcW w:w="681"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7.08</w:t>
                  </w:r>
                </w:p>
              </w:tc>
              <w:tc>
                <w:tcPr>
                  <w:tcW w:w="626"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13</w:t>
                  </w:r>
                </w:p>
              </w:tc>
              <w:tc>
                <w:tcPr>
                  <w:tcW w:w="595"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6.1</w:t>
                  </w:r>
                </w:p>
              </w:tc>
              <w:tc>
                <w:tcPr>
                  <w:tcW w:w="716"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5</w:t>
                  </w:r>
                </w:p>
              </w:tc>
              <w:tc>
                <w:tcPr>
                  <w:tcW w:w="815"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1.5</w:t>
                  </w:r>
                </w:p>
              </w:tc>
              <w:tc>
                <w:tcPr>
                  <w:tcW w:w="724"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0.417</w:t>
                  </w:r>
                </w:p>
              </w:tc>
              <w:tc>
                <w:tcPr>
                  <w:tcW w:w="681"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ND</w:t>
                  </w:r>
                </w:p>
              </w:tc>
              <w:tc>
                <w:tcPr>
                  <w:tcW w:w="681"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ND</w:t>
                  </w:r>
                </w:p>
              </w:tc>
              <w:tc>
                <w:tcPr>
                  <w:tcW w:w="726"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02" w:type="dxa"/>
                  <w:vMerge w:val="continue"/>
                  <w:vAlign w:val="center"/>
                </w:tcPr>
                <w:p>
                  <w:pPr>
                    <w:pStyle w:val="41"/>
                    <w:spacing w:before="36" w:after="36" w:line="240" w:lineRule="auto"/>
                    <w:rPr>
                      <w:rFonts w:ascii="Times New Roman" w:hAnsi="Times New Roman" w:cs="Times New Roman"/>
                    </w:rPr>
                  </w:pPr>
                </w:p>
              </w:tc>
              <w:tc>
                <w:tcPr>
                  <w:tcW w:w="1161"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2018.06.15</w:t>
                  </w:r>
                </w:p>
              </w:tc>
              <w:tc>
                <w:tcPr>
                  <w:tcW w:w="680"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25.7</w:t>
                  </w:r>
                </w:p>
              </w:tc>
              <w:tc>
                <w:tcPr>
                  <w:tcW w:w="681"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7.21</w:t>
                  </w:r>
                </w:p>
              </w:tc>
              <w:tc>
                <w:tcPr>
                  <w:tcW w:w="626"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12</w:t>
                  </w:r>
                </w:p>
              </w:tc>
              <w:tc>
                <w:tcPr>
                  <w:tcW w:w="595"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6.4</w:t>
                  </w:r>
                </w:p>
              </w:tc>
              <w:tc>
                <w:tcPr>
                  <w:tcW w:w="716"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9</w:t>
                  </w:r>
                </w:p>
              </w:tc>
              <w:tc>
                <w:tcPr>
                  <w:tcW w:w="815"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1.9</w:t>
                  </w:r>
                </w:p>
              </w:tc>
              <w:tc>
                <w:tcPr>
                  <w:tcW w:w="724"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0.571</w:t>
                  </w:r>
                </w:p>
              </w:tc>
              <w:tc>
                <w:tcPr>
                  <w:tcW w:w="681"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ND</w:t>
                  </w:r>
                </w:p>
              </w:tc>
              <w:tc>
                <w:tcPr>
                  <w:tcW w:w="681"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0.02</w:t>
                  </w:r>
                </w:p>
              </w:tc>
              <w:tc>
                <w:tcPr>
                  <w:tcW w:w="726"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02" w:type="dxa"/>
                  <w:vMerge w:val="continue"/>
                  <w:vAlign w:val="center"/>
                </w:tcPr>
                <w:p>
                  <w:pPr>
                    <w:pStyle w:val="41"/>
                    <w:spacing w:before="36" w:after="36" w:line="240" w:lineRule="auto"/>
                    <w:rPr>
                      <w:rFonts w:ascii="Times New Roman" w:hAnsi="Times New Roman" w:cs="Times New Roman"/>
                    </w:rPr>
                  </w:pPr>
                </w:p>
              </w:tc>
              <w:tc>
                <w:tcPr>
                  <w:tcW w:w="1161"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2018.06.16</w:t>
                  </w:r>
                </w:p>
              </w:tc>
              <w:tc>
                <w:tcPr>
                  <w:tcW w:w="680"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25.9</w:t>
                  </w:r>
                </w:p>
              </w:tc>
              <w:tc>
                <w:tcPr>
                  <w:tcW w:w="681"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7.19</w:t>
                  </w:r>
                </w:p>
              </w:tc>
              <w:tc>
                <w:tcPr>
                  <w:tcW w:w="626"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10</w:t>
                  </w:r>
                </w:p>
              </w:tc>
              <w:tc>
                <w:tcPr>
                  <w:tcW w:w="595"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6.3</w:t>
                  </w:r>
                </w:p>
              </w:tc>
              <w:tc>
                <w:tcPr>
                  <w:tcW w:w="716"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8</w:t>
                  </w:r>
                </w:p>
              </w:tc>
              <w:tc>
                <w:tcPr>
                  <w:tcW w:w="815"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1.8</w:t>
                  </w:r>
                </w:p>
              </w:tc>
              <w:tc>
                <w:tcPr>
                  <w:tcW w:w="724"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0.506</w:t>
                  </w:r>
                </w:p>
              </w:tc>
              <w:tc>
                <w:tcPr>
                  <w:tcW w:w="681"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ND</w:t>
                  </w:r>
                </w:p>
              </w:tc>
              <w:tc>
                <w:tcPr>
                  <w:tcW w:w="681"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ND</w:t>
                  </w:r>
                </w:p>
              </w:tc>
              <w:tc>
                <w:tcPr>
                  <w:tcW w:w="726"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02" w:type="dxa"/>
                  <w:vMerge w:val="restart"/>
                  <w:vAlign w:val="center"/>
                </w:tcPr>
                <w:p>
                  <w:pPr>
                    <w:pStyle w:val="41"/>
                    <w:spacing w:before="36" w:after="36" w:line="240" w:lineRule="auto"/>
                    <w:rPr>
                      <w:rFonts w:ascii="Times New Roman" w:hAnsi="Times New Roman" w:cs="Times New Roman"/>
                    </w:rPr>
                  </w:pPr>
                  <w:r>
                    <w:rPr>
                      <w:rFonts w:ascii="Times New Roman" w:hAnsi="Times New Roman" w:cs="Times New Roman"/>
                    </w:rPr>
                    <w:t>W4新田水项目区下游3000m</w:t>
                  </w:r>
                </w:p>
              </w:tc>
              <w:tc>
                <w:tcPr>
                  <w:tcW w:w="1161"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2018.06.14</w:t>
                  </w:r>
                </w:p>
              </w:tc>
              <w:tc>
                <w:tcPr>
                  <w:tcW w:w="680"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25.9</w:t>
                  </w:r>
                </w:p>
              </w:tc>
              <w:tc>
                <w:tcPr>
                  <w:tcW w:w="681"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7.13</w:t>
                  </w:r>
                </w:p>
              </w:tc>
              <w:tc>
                <w:tcPr>
                  <w:tcW w:w="626"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7</w:t>
                  </w:r>
                </w:p>
              </w:tc>
              <w:tc>
                <w:tcPr>
                  <w:tcW w:w="595"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6.1</w:t>
                  </w:r>
                </w:p>
              </w:tc>
              <w:tc>
                <w:tcPr>
                  <w:tcW w:w="716"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6</w:t>
                  </w:r>
                </w:p>
              </w:tc>
              <w:tc>
                <w:tcPr>
                  <w:tcW w:w="815"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1.7</w:t>
                  </w:r>
                </w:p>
              </w:tc>
              <w:tc>
                <w:tcPr>
                  <w:tcW w:w="724"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0.487</w:t>
                  </w:r>
                </w:p>
              </w:tc>
              <w:tc>
                <w:tcPr>
                  <w:tcW w:w="681"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ND</w:t>
                  </w:r>
                </w:p>
              </w:tc>
              <w:tc>
                <w:tcPr>
                  <w:tcW w:w="681"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ND</w:t>
                  </w:r>
                </w:p>
              </w:tc>
              <w:tc>
                <w:tcPr>
                  <w:tcW w:w="726"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02" w:type="dxa"/>
                  <w:vMerge w:val="continue"/>
                  <w:vAlign w:val="center"/>
                </w:tcPr>
                <w:p>
                  <w:pPr>
                    <w:pStyle w:val="41"/>
                    <w:spacing w:before="36" w:after="36" w:line="240" w:lineRule="auto"/>
                    <w:rPr>
                      <w:rFonts w:ascii="Times New Roman" w:hAnsi="Times New Roman" w:cs="Times New Roman"/>
                    </w:rPr>
                  </w:pPr>
                </w:p>
              </w:tc>
              <w:tc>
                <w:tcPr>
                  <w:tcW w:w="1161"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2018.06.15</w:t>
                  </w:r>
                </w:p>
              </w:tc>
              <w:tc>
                <w:tcPr>
                  <w:tcW w:w="680"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26.4</w:t>
                  </w:r>
                </w:p>
              </w:tc>
              <w:tc>
                <w:tcPr>
                  <w:tcW w:w="681"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7.02</w:t>
                  </w:r>
                </w:p>
              </w:tc>
              <w:tc>
                <w:tcPr>
                  <w:tcW w:w="626"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9</w:t>
                  </w:r>
                </w:p>
              </w:tc>
              <w:tc>
                <w:tcPr>
                  <w:tcW w:w="595"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5.9</w:t>
                  </w:r>
                </w:p>
              </w:tc>
              <w:tc>
                <w:tcPr>
                  <w:tcW w:w="716"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7</w:t>
                  </w:r>
                </w:p>
              </w:tc>
              <w:tc>
                <w:tcPr>
                  <w:tcW w:w="815"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1.6</w:t>
                  </w:r>
                </w:p>
              </w:tc>
              <w:tc>
                <w:tcPr>
                  <w:tcW w:w="724"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0.436</w:t>
                  </w:r>
                </w:p>
              </w:tc>
              <w:tc>
                <w:tcPr>
                  <w:tcW w:w="681"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ND</w:t>
                  </w:r>
                </w:p>
              </w:tc>
              <w:tc>
                <w:tcPr>
                  <w:tcW w:w="681"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0.03</w:t>
                  </w:r>
                </w:p>
              </w:tc>
              <w:tc>
                <w:tcPr>
                  <w:tcW w:w="726"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02" w:type="dxa"/>
                  <w:vMerge w:val="continue"/>
                  <w:vAlign w:val="center"/>
                </w:tcPr>
                <w:p>
                  <w:pPr>
                    <w:pStyle w:val="41"/>
                    <w:spacing w:before="36" w:after="36" w:line="240" w:lineRule="auto"/>
                    <w:rPr>
                      <w:rFonts w:ascii="Times New Roman" w:hAnsi="Times New Roman" w:cs="Times New Roman"/>
                    </w:rPr>
                  </w:pPr>
                </w:p>
              </w:tc>
              <w:tc>
                <w:tcPr>
                  <w:tcW w:w="1161"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2018.06.16</w:t>
                  </w:r>
                </w:p>
              </w:tc>
              <w:tc>
                <w:tcPr>
                  <w:tcW w:w="680"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26.8</w:t>
                  </w:r>
                </w:p>
              </w:tc>
              <w:tc>
                <w:tcPr>
                  <w:tcW w:w="681"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7.18</w:t>
                  </w:r>
                </w:p>
              </w:tc>
              <w:tc>
                <w:tcPr>
                  <w:tcW w:w="626"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12</w:t>
                  </w:r>
                </w:p>
              </w:tc>
              <w:tc>
                <w:tcPr>
                  <w:tcW w:w="595"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6.2</w:t>
                  </w:r>
                </w:p>
              </w:tc>
              <w:tc>
                <w:tcPr>
                  <w:tcW w:w="716"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10</w:t>
                  </w:r>
                </w:p>
              </w:tc>
              <w:tc>
                <w:tcPr>
                  <w:tcW w:w="815"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2.1</w:t>
                  </w:r>
                </w:p>
              </w:tc>
              <w:tc>
                <w:tcPr>
                  <w:tcW w:w="724"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0.454</w:t>
                  </w:r>
                </w:p>
              </w:tc>
              <w:tc>
                <w:tcPr>
                  <w:tcW w:w="681"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ND</w:t>
                  </w:r>
                </w:p>
              </w:tc>
              <w:tc>
                <w:tcPr>
                  <w:tcW w:w="681"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ND</w:t>
                  </w:r>
                </w:p>
              </w:tc>
              <w:tc>
                <w:tcPr>
                  <w:tcW w:w="726"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063" w:type="dxa"/>
                  <w:gridSpan w:val="2"/>
                  <w:vAlign w:val="center"/>
                </w:tcPr>
                <w:p>
                  <w:pPr>
                    <w:pStyle w:val="41"/>
                    <w:spacing w:before="36" w:after="36" w:line="240" w:lineRule="auto"/>
                    <w:rPr>
                      <w:rFonts w:ascii="Times New Roman" w:hAnsi="Times New Roman" w:cs="Times New Roman"/>
                    </w:rPr>
                  </w:pPr>
                  <w:r>
                    <w:rPr>
                      <w:rFonts w:ascii="Times New Roman" w:hAnsi="Times New Roman" w:cs="Times New Roman"/>
                    </w:rPr>
                    <w:t>标准限值</w:t>
                  </w:r>
                </w:p>
              </w:tc>
              <w:tc>
                <w:tcPr>
                  <w:tcW w:w="680"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w:t>
                  </w:r>
                </w:p>
              </w:tc>
              <w:tc>
                <w:tcPr>
                  <w:tcW w:w="681"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6~9</w:t>
                  </w:r>
                </w:p>
              </w:tc>
              <w:tc>
                <w:tcPr>
                  <w:tcW w:w="626"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25</w:t>
                  </w:r>
                </w:p>
              </w:tc>
              <w:tc>
                <w:tcPr>
                  <w:tcW w:w="595"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5</w:t>
                  </w:r>
                </w:p>
              </w:tc>
              <w:tc>
                <w:tcPr>
                  <w:tcW w:w="716"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15</w:t>
                  </w:r>
                </w:p>
              </w:tc>
              <w:tc>
                <w:tcPr>
                  <w:tcW w:w="815"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3</w:t>
                  </w:r>
                </w:p>
              </w:tc>
              <w:tc>
                <w:tcPr>
                  <w:tcW w:w="724"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0.5</w:t>
                  </w:r>
                </w:p>
              </w:tc>
              <w:tc>
                <w:tcPr>
                  <w:tcW w:w="681"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0.05</w:t>
                  </w:r>
                </w:p>
              </w:tc>
              <w:tc>
                <w:tcPr>
                  <w:tcW w:w="681"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0.05</w:t>
                  </w:r>
                </w:p>
              </w:tc>
              <w:tc>
                <w:tcPr>
                  <w:tcW w:w="726" w:type="dxa"/>
                  <w:vAlign w:val="center"/>
                </w:tcPr>
                <w:p>
                  <w:pPr>
                    <w:pStyle w:val="41"/>
                    <w:spacing w:before="36" w:after="36" w:line="240" w:lineRule="auto"/>
                    <w:rPr>
                      <w:rFonts w:ascii="Times New Roman" w:hAnsi="Times New Roman" w:cs="Times New Roman"/>
                    </w:rPr>
                  </w:pPr>
                  <w:r>
                    <w:rPr>
                      <w:rFonts w:ascii="Times New Roman" w:hAnsi="Times New Roman" w:cs="Times New Roma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988" w:type="dxa"/>
                  <w:gridSpan w:val="12"/>
                  <w:vAlign w:val="center"/>
                </w:tcPr>
                <w:p>
                  <w:pPr>
                    <w:pStyle w:val="140"/>
                    <w:spacing w:line="240" w:lineRule="auto"/>
                    <w:ind w:firstLine="420"/>
                    <w:rPr>
                      <w:szCs w:val="21"/>
                    </w:rPr>
                  </w:pPr>
                  <w:r>
                    <w:rPr>
                      <w:szCs w:val="21"/>
                    </w:rPr>
                    <w:t>备注：</w:t>
                  </w:r>
                  <w:r>
                    <w:rPr>
                      <w:rFonts w:hint="eastAsia" w:ascii="宋体" w:hAnsi="宋体" w:cs="宋体"/>
                      <w:szCs w:val="21"/>
                    </w:rPr>
                    <w:t>①</w:t>
                  </w:r>
                  <w:r>
                    <w:rPr>
                      <w:szCs w:val="21"/>
                    </w:rPr>
                    <w:t>“ND”表示未检出。</w:t>
                  </w:r>
                </w:p>
                <w:p>
                  <w:pPr>
                    <w:pStyle w:val="140"/>
                    <w:spacing w:line="240" w:lineRule="auto"/>
                    <w:ind w:firstLine="1050" w:firstLineChars="500"/>
                    <w:rPr>
                      <w:szCs w:val="21"/>
                    </w:rPr>
                  </w:pPr>
                  <w:r>
                    <w:rPr>
                      <w:rFonts w:hint="eastAsia" w:ascii="宋体" w:hAnsi="宋体" w:cs="宋体"/>
                      <w:szCs w:val="21"/>
                    </w:rPr>
                    <w:t>②</w:t>
                  </w:r>
                  <w:r>
                    <w:rPr>
                      <w:szCs w:val="21"/>
                    </w:rPr>
                    <w:t>表中“悬浮物”参照执行《地表水资源质量标准》（SL63－94）。</w:t>
                  </w:r>
                </w:p>
              </w:tc>
            </w:tr>
          </w:tbl>
          <w:p>
            <w:pPr>
              <w:jc w:val="center"/>
              <w:rPr>
                <w:b/>
                <w:bCs/>
                <w:szCs w:val="21"/>
              </w:rPr>
            </w:pPr>
          </w:p>
          <w:p>
            <w:pPr>
              <w:spacing w:line="360" w:lineRule="auto"/>
              <w:ind w:firstLine="480" w:firstLineChars="200"/>
              <w:rPr>
                <w:sz w:val="24"/>
                <w:szCs w:val="18"/>
              </w:rPr>
            </w:pPr>
            <w:r>
              <w:rPr>
                <w:sz w:val="24"/>
                <w:szCs w:val="18"/>
              </w:rPr>
              <w:t>监测结果表明：</w:t>
            </w:r>
            <w:r>
              <w:rPr>
                <w:sz w:val="24"/>
              </w:rPr>
              <w:t>项目</w:t>
            </w:r>
            <w:r>
              <w:rPr>
                <w:rFonts w:hint="eastAsia"/>
                <w:sz w:val="24"/>
              </w:rPr>
              <w:t>附近水体新田水各监测断面监测因子</w:t>
            </w:r>
            <w:r>
              <w:rPr>
                <w:sz w:val="24"/>
              </w:rPr>
              <w:t>的浓度均低于《地表水环境质量标准》(GB3838-2002)中的</w:t>
            </w:r>
            <w:r>
              <w:rPr>
                <w:rFonts w:hint="eastAsia"/>
                <w:sz w:val="24"/>
              </w:rPr>
              <w:t>相应</w:t>
            </w:r>
            <w:r>
              <w:rPr>
                <w:sz w:val="24"/>
              </w:rPr>
              <w:t>标准的浓度限值，项目</w:t>
            </w:r>
            <w:r>
              <w:rPr>
                <w:rFonts w:hint="eastAsia"/>
                <w:sz w:val="24"/>
              </w:rPr>
              <w:t>所在区域水体环境较好</w:t>
            </w:r>
            <w:r>
              <w:rPr>
                <w:sz w:val="24"/>
                <w:szCs w:val="18"/>
              </w:rPr>
              <w:t>。</w:t>
            </w:r>
          </w:p>
          <w:p>
            <w:pPr>
              <w:spacing w:line="360" w:lineRule="auto"/>
              <w:ind w:firstLine="482" w:firstLineChars="200"/>
              <w:rPr>
                <w:b/>
                <w:sz w:val="24"/>
              </w:rPr>
            </w:pPr>
            <w:r>
              <w:rPr>
                <w:b/>
                <w:sz w:val="24"/>
              </w:rPr>
              <w:t>3</w:t>
            </w:r>
            <w:r>
              <w:rPr>
                <w:rFonts w:hAnsi="宋体"/>
                <w:b/>
                <w:sz w:val="24"/>
              </w:rPr>
              <w:t>、</w:t>
            </w:r>
            <w:r>
              <w:rPr>
                <w:rFonts w:hint="eastAsia" w:ascii="宋体" w:hAnsi="宋体"/>
                <w:b/>
                <w:sz w:val="24"/>
              </w:rPr>
              <w:t>声环境质量现状</w:t>
            </w:r>
          </w:p>
          <w:p>
            <w:pPr>
              <w:spacing w:line="360" w:lineRule="auto"/>
              <w:ind w:firstLine="480" w:firstLineChars="200"/>
              <w:rPr>
                <w:sz w:val="24"/>
              </w:rPr>
            </w:pPr>
            <w:r>
              <w:rPr>
                <w:rFonts w:hAnsi="宋体"/>
                <w:sz w:val="24"/>
              </w:rPr>
              <w:t>本次噪声监测在项目四周边界共布设了4个环境噪声测点，分昼、夜间监测场址噪声，监测时间为2019年8月11日</w:t>
            </w:r>
            <w:r>
              <w:rPr>
                <w:rFonts w:hint="eastAsia" w:hAnsi="宋体"/>
                <w:sz w:val="24"/>
              </w:rPr>
              <w:t>和1</w:t>
            </w:r>
            <w:r>
              <w:rPr>
                <w:rFonts w:hAnsi="宋体"/>
                <w:sz w:val="24"/>
              </w:rPr>
              <w:t>2</w:t>
            </w:r>
            <w:r>
              <w:rPr>
                <w:rFonts w:hint="eastAsia" w:hAnsi="宋体"/>
                <w:sz w:val="24"/>
              </w:rPr>
              <w:t>日</w:t>
            </w:r>
            <w:r>
              <w:rPr>
                <w:rFonts w:hAnsi="宋体"/>
                <w:sz w:val="24"/>
              </w:rPr>
              <w:t>。监测采用等效连续A声级Leq作为评价量，</w:t>
            </w:r>
            <w:r>
              <w:rPr>
                <w:rFonts w:hint="eastAsia"/>
                <w:sz w:val="24"/>
              </w:rPr>
              <w:t>监测方法严格按照《声环境质量标准》（</w:t>
            </w:r>
            <w:r>
              <w:rPr>
                <w:sz w:val="24"/>
              </w:rPr>
              <w:t>GB3096-2008</w:t>
            </w:r>
            <w:r>
              <w:rPr>
                <w:rFonts w:hint="eastAsia"/>
                <w:sz w:val="24"/>
              </w:rPr>
              <w:t>）进行，监测仪器采用积分声级计</w:t>
            </w:r>
            <w:r>
              <w:rPr>
                <w:rFonts w:hint="eastAsia" w:hAnsi="宋体"/>
                <w:sz w:val="24"/>
              </w:rPr>
              <w:t>。</w:t>
            </w:r>
            <w:r>
              <w:rPr>
                <w:rFonts w:hAnsi="宋体"/>
                <w:sz w:val="24"/>
              </w:rPr>
              <w:t>监测数据见下表，监测点的位置见附图2。</w:t>
            </w:r>
          </w:p>
          <w:p>
            <w:pPr>
              <w:snapToGrid w:val="0"/>
              <w:ind w:firstLine="422" w:firstLineChars="200"/>
              <w:jc w:val="center"/>
              <w:rPr>
                <w:b/>
                <w:szCs w:val="21"/>
              </w:rPr>
            </w:pPr>
            <w:r>
              <w:rPr>
                <w:b/>
                <w:szCs w:val="21"/>
              </w:rPr>
              <w:t>表</w:t>
            </w:r>
            <w:r>
              <w:rPr>
                <w:rFonts w:hint="eastAsia"/>
                <w:b/>
                <w:szCs w:val="21"/>
              </w:rPr>
              <w:t>7</w:t>
            </w:r>
            <w:r>
              <w:rPr>
                <w:b/>
                <w:szCs w:val="21"/>
              </w:rPr>
              <w:t xml:space="preserve"> 本项目周围环境噪声现状监测结果  [dB(A)]</w:t>
            </w:r>
          </w:p>
          <w:tbl>
            <w:tblPr>
              <w:tblStyle w:val="25"/>
              <w:tblW w:w="869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60"/>
              <w:gridCol w:w="2266"/>
              <w:gridCol w:w="1040"/>
              <w:gridCol w:w="1105"/>
              <w:gridCol w:w="948"/>
              <w:gridCol w:w="986"/>
              <w:gridCol w:w="682"/>
              <w:gridCol w:w="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84" w:hRule="exact"/>
                <w:jc w:val="center"/>
              </w:trPr>
              <w:tc>
                <w:tcPr>
                  <w:tcW w:w="960" w:type="dxa"/>
                  <w:vMerge w:val="restart"/>
                  <w:shd w:val="clear" w:color="auto" w:fill="auto"/>
                  <w:vAlign w:val="center"/>
                </w:tcPr>
                <w:p>
                  <w:pPr>
                    <w:spacing w:line="360" w:lineRule="auto"/>
                    <w:jc w:val="center"/>
                    <w:rPr>
                      <w:bCs/>
                      <w:szCs w:val="21"/>
                    </w:rPr>
                  </w:pPr>
                  <w:r>
                    <w:rPr>
                      <w:bCs/>
                      <w:szCs w:val="21"/>
                    </w:rPr>
                    <w:t>测点编号</w:t>
                  </w:r>
                </w:p>
              </w:tc>
              <w:tc>
                <w:tcPr>
                  <w:tcW w:w="2266" w:type="dxa"/>
                  <w:vMerge w:val="restart"/>
                  <w:shd w:val="clear" w:color="auto" w:fill="auto"/>
                  <w:vAlign w:val="center"/>
                </w:tcPr>
                <w:p>
                  <w:pPr>
                    <w:spacing w:line="360" w:lineRule="auto"/>
                    <w:jc w:val="center"/>
                    <w:rPr>
                      <w:bCs/>
                      <w:szCs w:val="21"/>
                    </w:rPr>
                  </w:pPr>
                  <w:r>
                    <w:rPr>
                      <w:bCs/>
                      <w:szCs w:val="21"/>
                    </w:rPr>
                    <w:t>监测点位</w:t>
                  </w:r>
                </w:p>
              </w:tc>
              <w:tc>
                <w:tcPr>
                  <w:tcW w:w="4079" w:type="dxa"/>
                  <w:gridSpan w:val="4"/>
                  <w:shd w:val="clear" w:color="auto" w:fill="auto"/>
                  <w:vAlign w:val="center"/>
                </w:tcPr>
                <w:p>
                  <w:pPr>
                    <w:spacing w:line="360" w:lineRule="auto"/>
                    <w:jc w:val="center"/>
                    <w:rPr>
                      <w:bCs/>
                      <w:szCs w:val="21"/>
                    </w:rPr>
                  </w:pPr>
                  <w:r>
                    <w:rPr>
                      <w:bCs/>
                      <w:szCs w:val="21"/>
                    </w:rPr>
                    <w:t>监测结果</w:t>
                  </w:r>
                </w:p>
              </w:tc>
              <w:tc>
                <w:tcPr>
                  <w:tcW w:w="1386" w:type="dxa"/>
                  <w:gridSpan w:val="2"/>
                  <w:vMerge w:val="restart"/>
                  <w:shd w:val="clear" w:color="auto" w:fill="auto"/>
                  <w:vAlign w:val="center"/>
                </w:tcPr>
                <w:p>
                  <w:pPr>
                    <w:spacing w:line="360" w:lineRule="auto"/>
                    <w:jc w:val="center"/>
                    <w:rPr>
                      <w:bCs/>
                      <w:szCs w:val="21"/>
                    </w:rPr>
                  </w:pPr>
                  <w:r>
                    <w:rPr>
                      <w:bCs/>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84" w:hRule="exact"/>
                <w:jc w:val="center"/>
              </w:trPr>
              <w:tc>
                <w:tcPr>
                  <w:tcW w:w="960" w:type="dxa"/>
                  <w:vMerge w:val="continue"/>
                  <w:shd w:val="clear" w:color="auto" w:fill="auto"/>
                  <w:vAlign w:val="center"/>
                </w:tcPr>
                <w:p>
                  <w:pPr>
                    <w:spacing w:line="360" w:lineRule="auto"/>
                    <w:jc w:val="center"/>
                    <w:rPr>
                      <w:bCs/>
                      <w:szCs w:val="21"/>
                    </w:rPr>
                  </w:pPr>
                </w:p>
              </w:tc>
              <w:tc>
                <w:tcPr>
                  <w:tcW w:w="2266" w:type="dxa"/>
                  <w:vMerge w:val="continue"/>
                  <w:shd w:val="clear" w:color="auto" w:fill="auto"/>
                  <w:vAlign w:val="center"/>
                </w:tcPr>
                <w:p>
                  <w:pPr>
                    <w:spacing w:line="360" w:lineRule="auto"/>
                    <w:jc w:val="center"/>
                    <w:rPr>
                      <w:bCs/>
                      <w:szCs w:val="21"/>
                    </w:rPr>
                  </w:pPr>
                </w:p>
              </w:tc>
              <w:tc>
                <w:tcPr>
                  <w:tcW w:w="2145" w:type="dxa"/>
                  <w:gridSpan w:val="2"/>
                  <w:shd w:val="clear" w:color="auto" w:fill="auto"/>
                  <w:vAlign w:val="center"/>
                </w:tcPr>
                <w:p>
                  <w:pPr>
                    <w:spacing w:line="360" w:lineRule="auto"/>
                    <w:jc w:val="center"/>
                    <w:rPr>
                      <w:bCs/>
                      <w:szCs w:val="21"/>
                    </w:rPr>
                  </w:pPr>
                  <w:r>
                    <w:rPr>
                      <w:bCs/>
                      <w:szCs w:val="21"/>
                    </w:rPr>
                    <w:t>2019.8.11</w:t>
                  </w:r>
                </w:p>
              </w:tc>
              <w:tc>
                <w:tcPr>
                  <w:tcW w:w="1934" w:type="dxa"/>
                  <w:gridSpan w:val="2"/>
                  <w:shd w:val="clear" w:color="auto" w:fill="auto"/>
                  <w:vAlign w:val="center"/>
                </w:tcPr>
                <w:p>
                  <w:pPr>
                    <w:spacing w:line="360" w:lineRule="auto"/>
                    <w:jc w:val="center"/>
                    <w:rPr>
                      <w:bCs/>
                      <w:szCs w:val="21"/>
                    </w:rPr>
                  </w:pPr>
                  <w:r>
                    <w:rPr>
                      <w:bCs/>
                      <w:szCs w:val="21"/>
                    </w:rPr>
                    <w:t>2019.8.12</w:t>
                  </w:r>
                </w:p>
              </w:tc>
              <w:tc>
                <w:tcPr>
                  <w:tcW w:w="1386" w:type="dxa"/>
                  <w:gridSpan w:val="2"/>
                  <w:vMerge w:val="continue"/>
                  <w:shd w:val="clear" w:color="auto" w:fill="auto"/>
                  <w:vAlign w:val="center"/>
                </w:tcPr>
                <w:p>
                  <w:pPr>
                    <w:spacing w:line="360" w:lineRule="auto"/>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84" w:hRule="exact"/>
                <w:jc w:val="center"/>
              </w:trPr>
              <w:tc>
                <w:tcPr>
                  <w:tcW w:w="960" w:type="dxa"/>
                  <w:vMerge w:val="continue"/>
                  <w:shd w:val="clear" w:color="auto" w:fill="auto"/>
                  <w:vAlign w:val="center"/>
                </w:tcPr>
                <w:p>
                  <w:pPr>
                    <w:spacing w:line="360" w:lineRule="auto"/>
                    <w:jc w:val="center"/>
                    <w:rPr>
                      <w:bCs/>
                      <w:szCs w:val="21"/>
                    </w:rPr>
                  </w:pPr>
                </w:p>
              </w:tc>
              <w:tc>
                <w:tcPr>
                  <w:tcW w:w="2266" w:type="dxa"/>
                  <w:vMerge w:val="continue"/>
                  <w:shd w:val="clear" w:color="auto" w:fill="auto"/>
                  <w:vAlign w:val="center"/>
                </w:tcPr>
                <w:p>
                  <w:pPr>
                    <w:spacing w:line="360" w:lineRule="auto"/>
                    <w:jc w:val="center"/>
                    <w:rPr>
                      <w:bCs/>
                      <w:szCs w:val="21"/>
                    </w:rPr>
                  </w:pPr>
                </w:p>
              </w:tc>
              <w:tc>
                <w:tcPr>
                  <w:tcW w:w="1040" w:type="dxa"/>
                  <w:shd w:val="clear" w:color="auto" w:fill="auto"/>
                  <w:vAlign w:val="center"/>
                </w:tcPr>
                <w:p>
                  <w:pPr>
                    <w:spacing w:line="360" w:lineRule="auto"/>
                    <w:jc w:val="center"/>
                    <w:rPr>
                      <w:bCs/>
                      <w:szCs w:val="21"/>
                    </w:rPr>
                  </w:pPr>
                  <w:r>
                    <w:rPr>
                      <w:bCs/>
                      <w:szCs w:val="21"/>
                    </w:rPr>
                    <w:t>昼间</w:t>
                  </w:r>
                </w:p>
              </w:tc>
              <w:tc>
                <w:tcPr>
                  <w:tcW w:w="1105" w:type="dxa"/>
                  <w:shd w:val="clear" w:color="auto" w:fill="auto"/>
                  <w:vAlign w:val="center"/>
                </w:tcPr>
                <w:p>
                  <w:pPr>
                    <w:spacing w:line="360" w:lineRule="auto"/>
                    <w:jc w:val="center"/>
                    <w:rPr>
                      <w:bCs/>
                      <w:szCs w:val="21"/>
                    </w:rPr>
                  </w:pPr>
                  <w:r>
                    <w:rPr>
                      <w:bCs/>
                      <w:szCs w:val="21"/>
                    </w:rPr>
                    <w:t>夜间</w:t>
                  </w:r>
                </w:p>
              </w:tc>
              <w:tc>
                <w:tcPr>
                  <w:tcW w:w="948" w:type="dxa"/>
                  <w:shd w:val="clear" w:color="auto" w:fill="auto"/>
                  <w:vAlign w:val="center"/>
                </w:tcPr>
                <w:p>
                  <w:pPr>
                    <w:spacing w:line="360" w:lineRule="auto"/>
                    <w:jc w:val="center"/>
                    <w:rPr>
                      <w:bCs/>
                      <w:szCs w:val="21"/>
                    </w:rPr>
                  </w:pPr>
                  <w:r>
                    <w:rPr>
                      <w:bCs/>
                      <w:szCs w:val="21"/>
                    </w:rPr>
                    <w:t>昼间</w:t>
                  </w:r>
                </w:p>
              </w:tc>
              <w:tc>
                <w:tcPr>
                  <w:tcW w:w="986" w:type="dxa"/>
                  <w:shd w:val="clear" w:color="auto" w:fill="auto"/>
                  <w:vAlign w:val="center"/>
                </w:tcPr>
                <w:p>
                  <w:pPr>
                    <w:spacing w:line="360" w:lineRule="auto"/>
                    <w:jc w:val="center"/>
                    <w:rPr>
                      <w:bCs/>
                      <w:szCs w:val="21"/>
                    </w:rPr>
                  </w:pPr>
                  <w:r>
                    <w:rPr>
                      <w:bCs/>
                      <w:szCs w:val="21"/>
                    </w:rPr>
                    <w:t>夜间</w:t>
                  </w:r>
                </w:p>
              </w:tc>
              <w:tc>
                <w:tcPr>
                  <w:tcW w:w="682" w:type="dxa"/>
                  <w:shd w:val="clear" w:color="auto" w:fill="auto"/>
                  <w:vAlign w:val="center"/>
                </w:tcPr>
                <w:p>
                  <w:pPr>
                    <w:spacing w:line="360" w:lineRule="auto"/>
                    <w:jc w:val="center"/>
                    <w:rPr>
                      <w:bCs/>
                      <w:szCs w:val="21"/>
                    </w:rPr>
                  </w:pPr>
                  <w:r>
                    <w:rPr>
                      <w:bCs/>
                      <w:szCs w:val="21"/>
                    </w:rPr>
                    <w:t>昼间</w:t>
                  </w:r>
                </w:p>
              </w:tc>
              <w:tc>
                <w:tcPr>
                  <w:tcW w:w="704" w:type="dxa"/>
                  <w:shd w:val="clear" w:color="auto" w:fill="auto"/>
                  <w:vAlign w:val="center"/>
                </w:tcPr>
                <w:p>
                  <w:pPr>
                    <w:spacing w:line="360" w:lineRule="auto"/>
                    <w:jc w:val="center"/>
                    <w:rPr>
                      <w:bCs/>
                      <w:szCs w:val="21"/>
                    </w:rPr>
                  </w:pPr>
                  <w:r>
                    <w:rPr>
                      <w:bCs/>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84" w:hRule="exact"/>
                <w:jc w:val="center"/>
              </w:trPr>
              <w:tc>
                <w:tcPr>
                  <w:tcW w:w="960" w:type="dxa"/>
                  <w:shd w:val="clear" w:color="auto" w:fill="auto"/>
                  <w:vAlign w:val="center"/>
                </w:tcPr>
                <w:p>
                  <w:pPr>
                    <w:spacing w:line="360" w:lineRule="auto"/>
                    <w:jc w:val="center"/>
                    <w:rPr>
                      <w:bCs/>
                      <w:szCs w:val="21"/>
                    </w:rPr>
                  </w:pPr>
                  <w:bookmarkStart w:id="4" w:name="OLE_LINK23" w:colFirst="2" w:colLast="2"/>
                  <w:bookmarkStart w:id="5" w:name="_Hlk444695109"/>
                  <w:bookmarkStart w:id="6" w:name="OLE_LINK32" w:colFirst="2" w:colLast="2"/>
                  <w:bookmarkStart w:id="7" w:name="OLE_LINK11" w:colFirst="2" w:colLast="2"/>
                  <w:bookmarkStart w:id="8" w:name="_Hlk389511401"/>
                  <w:bookmarkStart w:id="9" w:name="OLE_LINK20" w:colFirst="2" w:colLast="2"/>
                  <w:bookmarkStart w:id="10" w:name="OLE_LINK22" w:colFirst="2" w:colLast="2"/>
                  <w:bookmarkStart w:id="11" w:name="OLE_LINK12" w:colFirst="2" w:colLast="2"/>
                  <w:r>
                    <w:rPr>
                      <w:bCs/>
                      <w:szCs w:val="21"/>
                    </w:rPr>
                    <w:t>N1</w:t>
                  </w:r>
                </w:p>
              </w:tc>
              <w:tc>
                <w:tcPr>
                  <w:tcW w:w="2266" w:type="dxa"/>
                  <w:shd w:val="clear" w:color="auto" w:fill="auto"/>
                  <w:vAlign w:val="center"/>
                </w:tcPr>
                <w:p>
                  <w:pPr>
                    <w:spacing w:line="360" w:lineRule="auto"/>
                    <w:jc w:val="center"/>
                    <w:rPr>
                      <w:bCs/>
                      <w:szCs w:val="21"/>
                    </w:rPr>
                  </w:pPr>
                  <w:r>
                    <w:rPr>
                      <w:bCs/>
                      <w:szCs w:val="21"/>
                    </w:rPr>
                    <w:t>项目厂界北侧外1m</w:t>
                  </w:r>
                </w:p>
              </w:tc>
              <w:tc>
                <w:tcPr>
                  <w:tcW w:w="1040" w:type="dxa"/>
                  <w:shd w:val="clear" w:color="auto" w:fill="auto"/>
                  <w:vAlign w:val="center"/>
                </w:tcPr>
                <w:p>
                  <w:pPr>
                    <w:spacing w:line="360" w:lineRule="auto"/>
                    <w:jc w:val="center"/>
                    <w:rPr>
                      <w:bCs/>
                      <w:szCs w:val="21"/>
                    </w:rPr>
                  </w:pPr>
                  <w:r>
                    <w:rPr>
                      <w:bCs/>
                      <w:szCs w:val="21"/>
                    </w:rPr>
                    <w:t>57.3</w:t>
                  </w:r>
                </w:p>
              </w:tc>
              <w:tc>
                <w:tcPr>
                  <w:tcW w:w="1105" w:type="dxa"/>
                  <w:shd w:val="clear" w:color="auto" w:fill="auto"/>
                  <w:vAlign w:val="center"/>
                </w:tcPr>
                <w:p>
                  <w:pPr>
                    <w:spacing w:line="360" w:lineRule="auto"/>
                    <w:jc w:val="center"/>
                    <w:rPr>
                      <w:bCs/>
                      <w:szCs w:val="21"/>
                    </w:rPr>
                  </w:pPr>
                  <w:r>
                    <w:rPr>
                      <w:bCs/>
                      <w:szCs w:val="21"/>
                    </w:rPr>
                    <w:t>46.1</w:t>
                  </w:r>
                </w:p>
              </w:tc>
              <w:tc>
                <w:tcPr>
                  <w:tcW w:w="948" w:type="dxa"/>
                  <w:shd w:val="clear" w:color="auto" w:fill="auto"/>
                  <w:vAlign w:val="center"/>
                </w:tcPr>
                <w:p>
                  <w:pPr>
                    <w:spacing w:line="360" w:lineRule="auto"/>
                    <w:jc w:val="center"/>
                    <w:rPr>
                      <w:bCs/>
                      <w:szCs w:val="21"/>
                    </w:rPr>
                  </w:pPr>
                  <w:r>
                    <w:rPr>
                      <w:bCs/>
                      <w:szCs w:val="21"/>
                    </w:rPr>
                    <w:t>57.4</w:t>
                  </w:r>
                </w:p>
              </w:tc>
              <w:tc>
                <w:tcPr>
                  <w:tcW w:w="986" w:type="dxa"/>
                  <w:shd w:val="clear" w:color="auto" w:fill="auto"/>
                  <w:vAlign w:val="center"/>
                </w:tcPr>
                <w:p>
                  <w:pPr>
                    <w:spacing w:line="360" w:lineRule="auto"/>
                    <w:jc w:val="center"/>
                    <w:rPr>
                      <w:bCs/>
                      <w:szCs w:val="21"/>
                    </w:rPr>
                  </w:pPr>
                  <w:r>
                    <w:rPr>
                      <w:bCs/>
                      <w:szCs w:val="21"/>
                    </w:rPr>
                    <w:t>45.8</w:t>
                  </w:r>
                </w:p>
              </w:tc>
              <w:tc>
                <w:tcPr>
                  <w:tcW w:w="682" w:type="dxa"/>
                  <w:vMerge w:val="restart"/>
                  <w:shd w:val="clear" w:color="auto" w:fill="auto"/>
                  <w:vAlign w:val="center"/>
                </w:tcPr>
                <w:p>
                  <w:pPr>
                    <w:spacing w:line="360" w:lineRule="auto"/>
                    <w:jc w:val="center"/>
                    <w:rPr>
                      <w:bCs/>
                      <w:szCs w:val="21"/>
                    </w:rPr>
                  </w:pPr>
                  <w:r>
                    <w:rPr>
                      <w:bCs/>
                      <w:szCs w:val="21"/>
                    </w:rPr>
                    <w:t>60</w:t>
                  </w:r>
                </w:p>
              </w:tc>
              <w:tc>
                <w:tcPr>
                  <w:tcW w:w="704" w:type="dxa"/>
                  <w:vMerge w:val="restart"/>
                  <w:shd w:val="clear" w:color="auto" w:fill="auto"/>
                  <w:vAlign w:val="center"/>
                </w:tcPr>
                <w:p>
                  <w:pPr>
                    <w:spacing w:line="360" w:lineRule="auto"/>
                    <w:jc w:val="center"/>
                    <w:rPr>
                      <w:bCs/>
                      <w:szCs w:val="21"/>
                    </w:rPr>
                  </w:pPr>
                  <w:r>
                    <w:rPr>
                      <w:bCs/>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84" w:hRule="exact"/>
                <w:jc w:val="center"/>
              </w:trPr>
              <w:tc>
                <w:tcPr>
                  <w:tcW w:w="960" w:type="dxa"/>
                  <w:shd w:val="clear" w:color="auto" w:fill="auto"/>
                  <w:vAlign w:val="center"/>
                </w:tcPr>
                <w:p>
                  <w:pPr>
                    <w:spacing w:line="360" w:lineRule="auto"/>
                    <w:jc w:val="center"/>
                    <w:rPr>
                      <w:bCs/>
                      <w:szCs w:val="21"/>
                    </w:rPr>
                  </w:pPr>
                  <w:r>
                    <w:rPr>
                      <w:bCs/>
                      <w:szCs w:val="21"/>
                    </w:rPr>
                    <w:t>N2</w:t>
                  </w:r>
                </w:p>
              </w:tc>
              <w:tc>
                <w:tcPr>
                  <w:tcW w:w="2266" w:type="dxa"/>
                  <w:shd w:val="clear" w:color="auto" w:fill="auto"/>
                  <w:vAlign w:val="center"/>
                </w:tcPr>
                <w:p>
                  <w:pPr>
                    <w:spacing w:line="360" w:lineRule="auto"/>
                    <w:jc w:val="center"/>
                    <w:rPr>
                      <w:bCs/>
                      <w:szCs w:val="21"/>
                    </w:rPr>
                  </w:pPr>
                  <w:r>
                    <w:rPr>
                      <w:bCs/>
                      <w:szCs w:val="21"/>
                    </w:rPr>
                    <w:t>项目厂界西侧外1m</w:t>
                  </w:r>
                </w:p>
              </w:tc>
              <w:tc>
                <w:tcPr>
                  <w:tcW w:w="1040" w:type="dxa"/>
                  <w:shd w:val="clear" w:color="auto" w:fill="auto"/>
                  <w:vAlign w:val="center"/>
                </w:tcPr>
                <w:p>
                  <w:pPr>
                    <w:spacing w:line="360" w:lineRule="auto"/>
                    <w:jc w:val="center"/>
                    <w:rPr>
                      <w:bCs/>
                      <w:szCs w:val="21"/>
                    </w:rPr>
                  </w:pPr>
                  <w:r>
                    <w:rPr>
                      <w:bCs/>
                      <w:szCs w:val="21"/>
                    </w:rPr>
                    <w:t>54.2</w:t>
                  </w:r>
                </w:p>
              </w:tc>
              <w:tc>
                <w:tcPr>
                  <w:tcW w:w="1105" w:type="dxa"/>
                  <w:shd w:val="clear" w:color="auto" w:fill="auto"/>
                  <w:vAlign w:val="center"/>
                </w:tcPr>
                <w:p>
                  <w:pPr>
                    <w:spacing w:line="360" w:lineRule="auto"/>
                    <w:jc w:val="center"/>
                    <w:rPr>
                      <w:bCs/>
                      <w:szCs w:val="21"/>
                    </w:rPr>
                  </w:pPr>
                  <w:r>
                    <w:rPr>
                      <w:bCs/>
                      <w:szCs w:val="21"/>
                    </w:rPr>
                    <w:t>43.5</w:t>
                  </w:r>
                </w:p>
              </w:tc>
              <w:tc>
                <w:tcPr>
                  <w:tcW w:w="948" w:type="dxa"/>
                  <w:shd w:val="clear" w:color="auto" w:fill="auto"/>
                  <w:vAlign w:val="center"/>
                </w:tcPr>
                <w:p>
                  <w:pPr>
                    <w:spacing w:line="360" w:lineRule="auto"/>
                    <w:jc w:val="center"/>
                    <w:rPr>
                      <w:bCs/>
                      <w:szCs w:val="21"/>
                    </w:rPr>
                  </w:pPr>
                  <w:r>
                    <w:rPr>
                      <w:bCs/>
                      <w:szCs w:val="21"/>
                    </w:rPr>
                    <w:t>54.6</w:t>
                  </w:r>
                </w:p>
              </w:tc>
              <w:tc>
                <w:tcPr>
                  <w:tcW w:w="986" w:type="dxa"/>
                  <w:shd w:val="clear" w:color="auto" w:fill="auto"/>
                  <w:vAlign w:val="center"/>
                </w:tcPr>
                <w:p>
                  <w:pPr>
                    <w:spacing w:line="360" w:lineRule="auto"/>
                    <w:jc w:val="center"/>
                    <w:rPr>
                      <w:bCs/>
                      <w:szCs w:val="21"/>
                    </w:rPr>
                  </w:pPr>
                  <w:r>
                    <w:rPr>
                      <w:bCs/>
                      <w:szCs w:val="21"/>
                    </w:rPr>
                    <w:t>44.3</w:t>
                  </w:r>
                </w:p>
              </w:tc>
              <w:tc>
                <w:tcPr>
                  <w:tcW w:w="682" w:type="dxa"/>
                  <w:vMerge w:val="continue"/>
                  <w:shd w:val="clear" w:color="auto" w:fill="auto"/>
                  <w:vAlign w:val="center"/>
                </w:tcPr>
                <w:p>
                  <w:pPr>
                    <w:spacing w:line="360" w:lineRule="auto"/>
                    <w:jc w:val="center"/>
                    <w:rPr>
                      <w:bCs/>
                      <w:szCs w:val="21"/>
                    </w:rPr>
                  </w:pPr>
                </w:p>
              </w:tc>
              <w:tc>
                <w:tcPr>
                  <w:tcW w:w="704" w:type="dxa"/>
                  <w:vMerge w:val="continue"/>
                  <w:shd w:val="clear" w:color="auto" w:fill="auto"/>
                  <w:vAlign w:val="center"/>
                </w:tcPr>
                <w:p>
                  <w:pPr>
                    <w:spacing w:line="360" w:lineRule="auto"/>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84" w:hRule="exact"/>
                <w:jc w:val="center"/>
              </w:trPr>
              <w:tc>
                <w:tcPr>
                  <w:tcW w:w="960" w:type="dxa"/>
                  <w:shd w:val="clear" w:color="auto" w:fill="auto"/>
                  <w:vAlign w:val="center"/>
                </w:tcPr>
                <w:p>
                  <w:pPr>
                    <w:spacing w:line="360" w:lineRule="auto"/>
                    <w:jc w:val="center"/>
                    <w:rPr>
                      <w:bCs/>
                      <w:szCs w:val="21"/>
                    </w:rPr>
                  </w:pPr>
                  <w:r>
                    <w:rPr>
                      <w:bCs/>
                      <w:szCs w:val="21"/>
                    </w:rPr>
                    <w:t>N3</w:t>
                  </w:r>
                </w:p>
              </w:tc>
              <w:tc>
                <w:tcPr>
                  <w:tcW w:w="2266" w:type="dxa"/>
                  <w:shd w:val="clear" w:color="auto" w:fill="auto"/>
                  <w:vAlign w:val="center"/>
                </w:tcPr>
                <w:p>
                  <w:pPr>
                    <w:spacing w:line="360" w:lineRule="auto"/>
                    <w:jc w:val="center"/>
                    <w:rPr>
                      <w:bCs/>
                      <w:szCs w:val="21"/>
                    </w:rPr>
                  </w:pPr>
                  <w:r>
                    <w:rPr>
                      <w:bCs/>
                      <w:szCs w:val="21"/>
                    </w:rPr>
                    <w:t>项目厂界南侧外1m</w:t>
                  </w:r>
                </w:p>
              </w:tc>
              <w:tc>
                <w:tcPr>
                  <w:tcW w:w="1040" w:type="dxa"/>
                  <w:shd w:val="clear" w:color="auto" w:fill="auto"/>
                  <w:vAlign w:val="center"/>
                </w:tcPr>
                <w:p>
                  <w:pPr>
                    <w:spacing w:line="360" w:lineRule="auto"/>
                    <w:jc w:val="center"/>
                    <w:rPr>
                      <w:bCs/>
                      <w:szCs w:val="21"/>
                    </w:rPr>
                  </w:pPr>
                  <w:r>
                    <w:rPr>
                      <w:bCs/>
                      <w:szCs w:val="21"/>
                    </w:rPr>
                    <w:t>53.3</w:t>
                  </w:r>
                </w:p>
              </w:tc>
              <w:tc>
                <w:tcPr>
                  <w:tcW w:w="1105" w:type="dxa"/>
                  <w:shd w:val="clear" w:color="auto" w:fill="auto"/>
                  <w:vAlign w:val="center"/>
                </w:tcPr>
                <w:p>
                  <w:pPr>
                    <w:spacing w:line="360" w:lineRule="auto"/>
                    <w:jc w:val="center"/>
                    <w:rPr>
                      <w:bCs/>
                      <w:szCs w:val="21"/>
                    </w:rPr>
                  </w:pPr>
                  <w:r>
                    <w:rPr>
                      <w:bCs/>
                      <w:szCs w:val="21"/>
                    </w:rPr>
                    <w:t>43.9</w:t>
                  </w:r>
                </w:p>
              </w:tc>
              <w:tc>
                <w:tcPr>
                  <w:tcW w:w="948" w:type="dxa"/>
                  <w:shd w:val="clear" w:color="auto" w:fill="auto"/>
                  <w:vAlign w:val="center"/>
                </w:tcPr>
                <w:p>
                  <w:pPr>
                    <w:spacing w:line="360" w:lineRule="auto"/>
                    <w:jc w:val="center"/>
                    <w:rPr>
                      <w:bCs/>
                      <w:szCs w:val="21"/>
                    </w:rPr>
                  </w:pPr>
                  <w:r>
                    <w:rPr>
                      <w:bCs/>
                      <w:szCs w:val="21"/>
                    </w:rPr>
                    <w:t>53.7</w:t>
                  </w:r>
                </w:p>
              </w:tc>
              <w:tc>
                <w:tcPr>
                  <w:tcW w:w="986" w:type="dxa"/>
                  <w:shd w:val="clear" w:color="auto" w:fill="auto"/>
                  <w:vAlign w:val="center"/>
                </w:tcPr>
                <w:p>
                  <w:pPr>
                    <w:spacing w:line="360" w:lineRule="auto"/>
                    <w:jc w:val="center"/>
                    <w:rPr>
                      <w:bCs/>
                      <w:szCs w:val="21"/>
                    </w:rPr>
                  </w:pPr>
                  <w:r>
                    <w:rPr>
                      <w:bCs/>
                      <w:szCs w:val="21"/>
                    </w:rPr>
                    <w:t>43.0</w:t>
                  </w:r>
                </w:p>
              </w:tc>
              <w:tc>
                <w:tcPr>
                  <w:tcW w:w="682" w:type="dxa"/>
                  <w:vMerge w:val="continue"/>
                  <w:shd w:val="clear" w:color="auto" w:fill="auto"/>
                  <w:vAlign w:val="center"/>
                </w:tcPr>
                <w:p>
                  <w:pPr>
                    <w:spacing w:line="360" w:lineRule="auto"/>
                    <w:jc w:val="center"/>
                    <w:rPr>
                      <w:bCs/>
                      <w:szCs w:val="21"/>
                    </w:rPr>
                  </w:pPr>
                </w:p>
              </w:tc>
              <w:tc>
                <w:tcPr>
                  <w:tcW w:w="704" w:type="dxa"/>
                  <w:vMerge w:val="continue"/>
                  <w:shd w:val="clear" w:color="auto" w:fill="auto"/>
                  <w:vAlign w:val="center"/>
                </w:tcPr>
                <w:p>
                  <w:pPr>
                    <w:spacing w:line="360" w:lineRule="auto"/>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84" w:hRule="exact"/>
                <w:jc w:val="center"/>
              </w:trPr>
              <w:tc>
                <w:tcPr>
                  <w:tcW w:w="960" w:type="dxa"/>
                  <w:shd w:val="clear" w:color="auto" w:fill="auto"/>
                  <w:vAlign w:val="center"/>
                </w:tcPr>
                <w:p>
                  <w:pPr>
                    <w:spacing w:line="360" w:lineRule="auto"/>
                    <w:jc w:val="center"/>
                    <w:rPr>
                      <w:bCs/>
                      <w:szCs w:val="21"/>
                    </w:rPr>
                  </w:pPr>
                  <w:r>
                    <w:rPr>
                      <w:bCs/>
                      <w:szCs w:val="21"/>
                    </w:rPr>
                    <w:t>N4</w:t>
                  </w:r>
                </w:p>
              </w:tc>
              <w:tc>
                <w:tcPr>
                  <w:tcW w:w="2266" w:type="dxa"/>
                  <w:shd w:val="clear" w:color="auto" w:fill="auto"/>
                  <w:vAlign w:val="center"/>
                </w:tcPr>
                <w:p>
                  <w:pPr>
                    <w:spacing w:line="360" w:lineRule="auto"/>
                    <w:jc w:val="center"/>
                    <w:rPr>
                      <w:bCs/>
                      <w:szCs w:val="21"/>
                    </w:rPr>
                  </w:pPr>
                  <w:r>
                    <w:rPr>
                      <w:bCs/>
                      <w:szCs w:val="21"/>
                    </w:rPr>
                    <w:t>项目厂界东侧外1m</w:t>
                  </w:r>
                </w:p>
              </w:tc>
              <w:tc>
                <w:tcPr>
                  <w:tcW w:w="1040" w:type="dxa"/>
                  <w:shd w:val="clear" w:color="auto" w:fill="auto"/>
                  <w:vAlign w:val="center"/>
                </w:tcPr>
                <w:p>
                  <w:pPr>
                    <w:spacing w:line="360" w:lineRule="auto"/>
                    <w:jc w:val="center"/>
                    <w:rPr>
                      <w:bCs/>
                      <w:szCs w:val="21"/>
                    </w:rPr>
                  </w:pPr>
                  <w:r>
                    <w:rPr>
                      <w:bCs/>
                      <w:szCs w:val="21"/>
                    </w:rPr>
                    <w:t>61.8</w:t>
                  </w:r>
                </w:p>
              </w:tc>
              <w:tc>
                <w:tcPr>
                  <w:tcW w:w="1105" w:type="dxa"/>
                  <w:shd w:val="clear" w:color="auto" w:fill="auto"/>
                  <w:vAlign w:val="center"/>
                </w:tcPr>
                <w:p>
                  <w:pPr>
                    <w:spacing w:line="360" w:lineRule="auto"/>
                    <w:jc w:val="center"/>
                    <w:rPr>
                      <w:bCs/>
                      <w:szCs w:val="21"/>
                    </w:rPr>
                  </w:pPr>
                  <w:r>
                    <w:rPr>
                      <w:bCs/>
                      <w:szCs w:val="21"/>
                    </w:rPr>
                    <w:t>52.0</w:t>
                  </w:r>
                </w:p>
              </w:tc>
              <w:tc>
                <w:tcPr>
                  <w:tcW w:w="948" w:type="dxa"/>
                  <w:shd w:val="clear" w:color="auto" w:fill="auto"/>
                  <w:vAlign w:val="center"/>
                </w:tcPr>
                <w:p>
                  <w:pPr>
                    <w:spacing w:line="360" w:lineRule="auto"/>
                    <w:jc w:val="center"/>
                    <w:rPr>
                      <w:bCs/>
                      <w:szCs w:val="21"/>
                    </w:rPr>
                  </w:pPr>
                  <w:r>
                    <w:rPr>
                      <w:bCs/>
                      <w:szCs w:val="21"/>
                    </w:rPr>
                    <w:t>62.2</w:t>
                  </w:r>
                </w:p>
              </w:tc>
              <w:tc>
                <w:tcPr>
                  <w:tcW w:w="986" w:type="dxa"/>
                  <w:shd w:val="clear" w:color="auto" w:fill="auto"/>
                  <w:vAlign w:val="center"/>
                </w:tcPr>
                <w:p>
                  <w:pPr>
                    <w:spacing w:line="360" w:lineRule="auto"/>
                    <w:jc w:val="center"/>
                    <w:rPr>
                      <w:bCs/>
                      <w:szCs w:val="21"/>
                    </w:rPr>
                  </w:pPr>
                  <w:r>
                    <w:rPr>
                      <w:bCs/>
                      <w:szCs w:val="21"/>
                    </w:rPr>
                    <w:t>51.5</w:t>
                  </w:r>
                </w:p>
              </w:tc>
              <w:tc>
                <w:tcPr>
                  <w:tcW w:w="682" w:type="dxa"/>
                  <w:shd w:val="clear" w:color="auto" w:fill="auto"/>
                  <w:vAlign w:val="center"/>
                </w:tcPr>
                <w:p>
                  <w:pPr>
                    <w:spacing w:line="360" w:lineRule="auto"/>
                    <w:jc w:val="center"/>
                    <w:rPr>
                      <w:bCs/>
                      <w:szCs w:val="21"/>
                    </w:rPr>
                  </w:pPr>
                  <w:r>
                    <w:rPr>
                      <w:bCs/>
                      <w:szCs w:val="21"/>
                    </w:rPr>
                    <w:t>70</w:t>
                  </w:r>
                </w:p>
              </w:tc>
              <w:tc>
                <w:tcPr>
                  <w:tcW w:w="704" w:type="dxa"/>
                  <w:shd w:val="clear" w:color="auto" w:fill="auto"/>
                  <w:vAlign w:val="center"/>
                </w:tcPr>
                <w:p>
                  <w:pPr>
                    <w:spacing w:line="360" w:lineRule="auto"/>
                    <w:jc w:val="center"/>
                    <w:rPr>
                      <w:bCs/>
                      <w:szCs w:val="21"/>
                    </w:rPr>
                  </w:pPr>
                  <w:r>
                    <w:rPr>
                      <w:bCs/>
                      <w:szCs w:val="21"/>
                    </w:rPr>
                    <w:t>55</w:t>
                  </w:r>
                </w:p>
              </w:tc>
            </w:tr>
            <w:bookmarkEnd w:id="4"/>
            <w:bookmarkEnd w:id="5"/>
            <w:bookmarkEnd w:id="6"/>
            <w:bookmarkEnd w:id="7"/>
            <w:bookmarkEnd w:id="8"/>
            <w:bookmarkEnd w:id="9"/>
            <w:bookmarkEnd w:id="10"/>
            <w:bookmarkEnd w:id="11"/>
          </w:tbl>
          <w:p>
            <w:pPr>
              <w:spacing w:line="480" w:lineRule="exact"/>
              <w:ind w:firstLine="480" w:firstLineChars="200"/>
              <w:rPr>
                <w:sz w:val="24"/>
              </w:rPr>
            </w:pPr>
            <w:r>
              <w:rPr>
                <w:sz w:val="24"/>
              </w:rPr>
              <w:t>根据上述声环境现状监测结果显示，项目厂界北、西、南侧达到《声环境质量标准》（GB3096-2008）2类标准；项目厂界东侧达到《声环境质量标准》（GB3096-2008）4a类标准，由此说明项目所在地声环境质量状况良好。</w:t>
            </w:r>
          </w:p>
          <w:p>
            <w:pPr>
              <w:spacing w:line="360" w:lineRule="auto"/>
              <w:rPr>
                <w:rFonts w:ascii="宋体"/>
                <w:sz w:val="28"/>
              </w:rPr>
            </w:pPr>
          </w:p>
          <w:p>
            <w:pPr>
              <w:spacing w:line="360" w:lineRule="auto"/>
              <w:rPr>
                <w:rFonts w:ascii="宋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49" w:hRule="atLeast"/>
        </w:trPr>
        <w:tc>
          <w:tcPr>
            <w:tcW w:w="9214" w:type="dxa"/>
          </w:tcPr>
          <w:p>
            <w:pPr>
              <w:spacing w:line="360" w:lineRule="auto"/>
              <w:rPr>
                <w:b/>
                <w:sz w:val="24"/>
              </w:rPr>
            </w:pPr>
            <w:r>
              <w:rPr>
                <w:b/>
                <w:sz w:val="24"/>
              </w:rPr>
              <w:t>主要环境保护目标（列出名单及保护级别）：</w:t>
            </w:r>
          </w:p>
          <w:p>
            <w:pPr>
              <w:pStyle w:val="18"/>
              <w:spacing w:after="0" w:line="360" w:lineRule="auto"/>
              <w:ind w:left="0" w:leftChars="0" w:firstLine="482" w:firstLineChars="200"/>
              <w:rPr>
                <w:b/>
                <w:sz w:val="24"/>
                <w:szCs w:val="24"/>
              </w:rPr>
            </w:pPr>
            <w:r>
              <w:rPr>
                <w:b/>
                <w:sz w:val="24"/>
              </w:rPr>
              <w:t>1、</w:t>
            </w:r>
            <w:r>
              <w:rPr>
                <w:b/>
                <w:sz w:val="24"/>
                <w:szCs w:val="24"/>
              </w:rPr>
              <w:t>环境空气保护目标</w:t>
            </w:r>
          </w:p>
          <w:p>
            <w:pPr>
              <w:spacing w:line="360" w:lineRule="auto"/>
              <w:ind w:firstLine="480" w:firstLineChars="200"/>
              <w:rPr>
                <w:sz w:val="24"/>
              </w:rPr>
            </w:pPr>
            <w:r>
              <w:rPr>
                <w:rFonts w:hint="eastAsia"/>
                <w:sz w:val="24"/>
              </w:rPr>
              <w:t>本项目所在区域属于环境空气二类功能区，</w:t>
            </w:r>
            <w:r>
              <w:rPr>
                <w:sz w:val="24"/>
              </w:rPr>
              <w:t>大气环境质量按《环境空气质量标准》（GB309</w:t>
            </w:r>
            <w:r>
              <w:rPr>
                <w:rFonts w:hint="eastAsia"/>
                <w:sz w:val="24"/>
              </w:rPr>
              <w:t>5</w:t>
            </w:r>
            <w:r>
              <w:rPr>
                <w:sz w:val="24"/>
              </w:rPr>
              <w:t>-</w:t>
            </w:r>
            <w:r>
              <w:rPr>
                <w:rFonts w:hint="eastAsia"/>
                <w:sz w:val="24"/>
              </w:rPr>
              <w:t>2012</w:t>
            </w:r>
            <w:r>
              <w:rPr>
                <w:sz w:val="24"/>
              </w:rPr>
              <w:t>）</w:t>
            </w:r>
            <w:r>
              <w:rPr>
                <w:rFonts w:hint="eastAsia"/>
                <w:sz w:val="24"/>
              </w:rPr>
              <w:t>二</w:t>
            </w:r>
            <w:r>
              <w:rPr>
                <w:sz w:val="24"/>
              </w:rPr>
              <w:t>级标准的要求进行保护。</w:t>
            </w:r>
          </w:p>
          <w:p>
            <w:pPr>
              <w:pStyle w:val="18"/>
              <w:spacing w:after="0" w:line="360" w:lineRule="auto"/>
              <w:ind w:left="0" w:leftChars="0" w:firstLine="482" w:firstLineChars="200"/>
              <w:rPr>
                <w:b/>
                <w:sz w:val="24"/>
              </w:rPr>
            </w:pPr>
            <w:r>
              <w:rPr>
                <w:b/>
                <w:sz w:val="24"/>
              </w:rPr>
              <w:t>2、水环境保护目标</w:t>
            </w:r>
          </w:p>
          <w:p>
            <w:pPr>
              <w:spacing w:line="360" w:lineRule="auto"/>
              <w:ind w:firstLine="480" w:firstLineChars="200"/>
              <w:rPr>
                <w:sz w:val="24"/>
              </w:rPr>
            </w:pPr>
            <w:r>
              <w:rPr>
                <w:rFonts w:hint="eastAsia"/>
                <w:sz w:val="24"/>
              </w:rPr>
              <w:t>保护纳污水体新田水水质，使其水环境质量不因本项目的建设所带来的污染而变坏，并满足《地表水环境质量标准》（</w:t>
            </w:r>
            <w:r>
              <w:rPr>
                <w:sz w:val="24"/>
              </w:rPr>
              <w:t>GB3838-2002）Ⅱ类</w:t>
            </w:r>
            <w:r>
              <w:rPr>
                <w:rFonts w:hint="eastAsia"/>
                <w:sz w:val="24"/>
              </w:rPr>
              <w:t>标准要求。</w:t>
            </w:r>
          </w:p>
          <w:p>
            <w:pPr>
              <w:pStyle w:val="18"/>
              <w:spacing w:after="0" w:line="360" w:lineRule="auto"/>
              <w:ind w:left="0" w:leftChars="0" w:firstLine="482" w:firstLineChars="200"/>
              <w:rPr>
                <w:b/>
                <w:sz w:val="24"/>
              </w:rPr>
            </w:pPr>
            <w:r>
              <w:rPr>
                <w:b/>
                <w:sz w:val="24"/>
              </w:rPr>
              <w:t>3、声环境保护目标</w:t>
            </w:r>
          </w:p>
          <w:p>
            <w:pPr>
              <w:spacing w:line="360" w:lineRule="auto"/>
              <w:ind w:firstLine="480" w:firstLineChars="200"/>
              <w:rPr>
                <w:sz w:val="24"/>
              </w:rPr>
            </w:pPr>
            <w:r>
              <w:rPr>
                <w:rFonts w:hint="eastAsia"/>
                <w:sz w:val="24"/>
              </w:rPr>
              <w:t>本</w:t>
            </w:r>
            <w:r>
              <w:rPr>
                <w:sz w:val="24"/>
              </w:rPr>
              <w:t>项目</w:t>
            </w:r>
            <w:r>
              <w:rPr>
                <w:rFonts w:hint="eastAsia"/>
                <w:sz w:val="24"/>
              </w:rPr>
              <w:t>北、南和西面属</w:t>
            </w:r>
            <w:r>
              <w:rPr>
                <w:sz w:val="24"/>
              </w:rPr>
              <w:t>于声环境</w:t>
            </w:r>
            <w:r>
              <w:rPr>
                <w:rFonts w:hint="eastAsia"/>
                <w:sz w:val="24"/>
              </w:rPr>
              <w:t>2类功能区</w:t>
            </w:r>
            <w:r>
              <w:rPr>
                <w:sz w:val="24"/>
              </w:rPr>
              <w:t>，</w:t>
            </w:r>
            <w:r>
              <w:rPr>
                <w:rFonts w:hint="eastAsia"/>
                <w:sz w:val="24"/>
              </w:rPr>
              <w:t>东面属于声环境4</w:t>
            </w:r>
            <w:r>
              <w:rPr>
                <w:sz w:val="24"/>
              </w:rPr>
              <w:t>a</w:t>
            </w:r>
            <w:r>
              <w:rPr>
                <w:rFonts w:hint="eastAsia"/>
                <w:sz w:val="24"/>
              </w:rPr>
              <w:t>类功能区。项目北、南和西面执行</w:t>
            </w:r>
            <w:r>
              <w:rPr>
                <w:sz w:val="24"/>
              </w:rPr>
              <w:t>《声环境质量标准》（GB3096-2008）2类标准的要求进行保护</w:t>
            </w:r>
            <w:r>
              <w:rPr>
                <w:rFonts w:hint="eastAsia"/>
                <w:sz w:val="24"/>
              </w:rPr>
              <w:t>，东面执行</w:t>
            </w:r>
            <w:r>
              <w:rPr>
                <w:sz w:val="24"/>
              </w:rPr>
              <w:t>《声环境质量标准》（GB3096-2008）4a类标准的要求进行保护。</w:t>
            </w:r>
          </w:p>
          <w:p>
            <w:pPr>
              <w:spacing w:line="360" w:lineRule="auto"/>
              <w:ind w:firstLine="482" w:firstLineChars="200"/>
              <w:rPr>
                <w:b/>
                <w:sz w:val="24"/>
              </w:rPr>
            </w:pPr>
            <w:r>
              <w:rPr>
                <w:b/>
                <w:sz w:val="24"/>
              </w:rPr>
              <w:t>4、固废环境保护目标</w:t>
            </w:r>
          </w:p>
          <w:p>
            <w:pPr>
              <w:spacing w:line="360" w:lineRule="auto"/>
              <w:ind w:firstLine="480" w:firstLineChars="200"/>
              <w:rPr>
                <w:sz w:val="24"/>
              </w:rPr>
            </w:pPr>
            <w:r>
              <w:rPr>
                <w:rFonts w:hint="eastAsia"/>
                <w:sz w:val="24"/>
              </w:rPr>
              <w:t>项目营运</w:t>
            </w:r>
            <w:r>
              <w:rPr>
                <w:sz w:val="24"/>
              </w:rPr>
              <w:t>过程中产生的</w:t>
            </w:r>
            <w:r>
              <w:rPr>
                <w:rFonts w:hint="eastAsia"/>
                <w:sz w:val="24"/>
              </w:rPr>
              <w:t>固体废物应妥善处理，不自行排放，</w:t>
            </w:r>
            <w:r>
              <w:rPr>
                <w:sz w:val="24"/>
              </w:rPr>
              <w:t>确保</w:t>
            </w:r>
            <w:r>
              <w:rPr>
                <w:rFonts w:hint="eastAsia"/>
                <w:sz w:val="24"/>
              </w:rPr>
              <w:t>本</w:t>
            </w:r>
            <w:r>
              <w:rPr>
                <w:sz w:val="24"/>
              </w:rPr>
              <w:t>建设项目周围环境不受影响。</w:t>
            </w:r>
          </w:p>
          <w:p>
            <w:pPr>
              <w:spacing w:line="360" w:lineRule="auto"/>
              <w:ind w:firstLine="482" w:firstLineChars="200"/>
              <w:rPr>
                <w:b/>
                <w:sz w:val="24"/>
              </w:rPr>
            </w:pPr>
            <w:r>
              <w:rPr>
                <w:rFonts w:hint="eastAsia"/>
                <w:b/>
                <w:sz w:val="24"/>
              </w:rPr>
              <w:t>5、生态环境保护目标</w:t>
            </w:r>
          </w:p>
          <w:p>
            <w:pPr>
              <w:spacing w:line="360" w:lineRule="auto"/>
              <w:ind w:firstLine="480" w:firstLineChars="200"/>
              <w:rPr>
                <w:sz w:val="24"/>
              </w:rPr>
            </w:pPr>
            <w:r>
              <w:rPr>
                <w:rFonts w:hint="eastAsia"/>
                <w:sz w:val="24"/>
              </w:rPr>
              <w:t>保护本项目建设地块的生态环境，使其能实现生态环境的良性循环，不对现有的生态环境造成大面积的破坏。</w:t>
            </w:r>
          </w:p>
          <w:p>
            <w:pPr>
              <w:spacing w:line="360" w:lineRule="auto"/>
              <w:ind w:firstLine="482" w:firstLineChars="200"/>
              <w:rPr>
                <w:b/>
                <w:sz w:val="24"/>
              </w:rPr>
            </w:pPr>
            <w:r>
              <w:rPr>
                <w:rFonts w:hint="eastAsia"/>
                <w:b/>
                <w:sz w:val="24"/>
              </w:rPr>
              <w:t>6</w:t>
            </w:r>
            <w:r>
              <w:rPr>
                <w:b/>
                <w:sz w:val="24"/>
              </w:rPr>
              <w:t>、环境敏感点</w:t>
            </w:r>
          </w:p>
          <w:p>
            <w:pPr>
              <w:spacing w:line="360" w:lineRule="auto"/>
              <w:ind w:firstLine="480" w:firstLineChars="200"/>
              <w:rPr>
                <w:sz w:val="24"/>
              </w:rPr>
            </w:pPr>
            <w:r>
              <w:rPr>
                <w:sz w:val="24"/>
              </w:rPr>
              <w:t>本项目</w:t>
            </w:r>
            <w:r>
              <w:rPr>
                <w:rFonts w:hint="eastAsia"/>
                <w:sz w:val="24"/>
              </w:rPr>
              <w:t>周边</w:t>
            </w:r>
            <w:r>
              <w:rPr>
                <w:sz w:val="24"/>
              </w:rPr>
              <w:t>的环境敏感点</w:t>
            </w:r>
            <w:r>
              <w:rPr>
                <w:rFonts w:hint="eastAsia"/>
                <w:sz w:val="24"/>
              </w:rPr>
              <w:t>见表</w:t>
            </w:r>
            <w:r>
              <w:rPr>
                <w:sz w:val="24"/>
              </w:rPr>
              <w:t>8</w:t>
            </w:r>
            <w:r>
              <w:rPr>
                <w:rFonts w:hint="eastAsia"/>
                <w:sz w:val="24"/>
              </w:rPr>
              <w:t>。</w:t>
            </w:r>
          </w:p>
          <w:p>
            <w:pPr>
              <w:jc w:val="center"/>
              <w:rPr>
                <w:rFonts w:hAnsi="宋体"/>
                <w:b/>
                <w:szCs w:val="21"/>
              </w:rPr>
            </w:pPr>
            <w:r>
              <w:rPr>
                <w:rFonts w:hAnsi="宋体"/>
                <w:b/>
                <w:szCs w:val="21"/>
              </w:rPr>
              <w:t>表8 项目周围敏感点情况</w:t>
            </w:r>
            <w:r>
              <w:rPr>
                <w:rFonts w:hint="eastAsia" w:hAnsi="宋体"/>
                <w:b/>
                <w:szCs w:val="21"/>
              </w:rPr>
              <w:t>一览表</w:t>
            </w:r>
          </w:p>
          <w:tbl>
            <w:tblPr>
              <w:tblStyle w:val="25"/>
              <w:tblW w:w="84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1986"/>
              <w:gridCol w:w="1276"/>
              <w:gridCol w:w="1250"/>
              <w:gridCol w:w="1084"/>
              <w:gridCol w:w="1084"/>
              <w:gridCol w:w="1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9" w:type="dxa"/>
                  <w:shd w:val="clear" w:color="auto" w:fill="auto"/>
                  <w:vAlign w:val="center"/>
                </w:tcPr>
                <w:p>
                  <w:pPr>
                    <w:jc w:val="center"/>
                    <w:rPr>
                      <w:b/>
                      <w:bCs/>
                      <w:szCs w:val="21"/>
                    </w:rPr>
                  </w:pPr>
                  <w:r>
                    <w:rPr>
                      <w:rFonts w:hint="eastAsia"/>
                      <w:b/>
                      <w:bCs/>
                      <w:szCs w:val="21"/>
                    </w:rPr>
                    <w:t>序号</w:t>
                  </w:r>
                </w:p>
              </w:tc>
              <w:tc>
                <w:tcPr>
                  <w:tcW w:w="1986" w:type="dxa"/>
                  <w:shd w:val="clear" w:color="auto" w:fill="auto"/>
                  <w:vAlign w:val="center"/>
                </w:tcPr>
                <w:p>
                  <w:pPr>
                    <w:jc w:val="center"/>
                    <w:rPr>
                      <w:b/>
                      <w:bCs/>
                      <w:szCs w:val="21"/>
                    </w:rPr>
                  </w:pPr>
                  <w:r>
                    <w:rPr>
                      <w:rFonts w:hint="eastAsia"/>
                      <w:b/>
                      <w:bCs/>
                      <w:szCs w:val="21"/>
                    </w:rPr>
                    <w:t>环境敏感</w:t>
                  </w:r>
                  <w:r>
                    <w:rPr>
                      <w:b/>
                      <w:bCs/>
                      <w:szCs w:val="21"/>
                    </w:rPr>
                    <w:t>点</w:t>
                  </w:r>
                </w:p>
              </w:tc>
              <w:tc>
                <w:tcPr>
                  <w:tcW w:w="1276" w:type="dxa"/>
                  <w:shd w:val="clear" w:color="auto" w:fill="auto"/>
                  <w:vAlign w:val="center"/>
                </w:tcPr>
                <w:p>
                  <w:pPr>
                    <w:jc w:val="center"/>
                    <w:rPr>
                      <w:b/>
                      <w:bCs/>
                      <w:szCs w:val="21"/>
                    </w:rPr>
                  </w:pPr>
                  <w:r>
                    <w:rPr>
                      <w:rFonts w:hint="eastAsia"/>
                      <w:b/>
                      <w:bCs/>
                      <w:szCs w:val="21"/>
                    </w:rPr>
                    <w:t>性质</w:t>
                  </w:r>
                </w:p>
              </w:tc>
              <w:tc>
                <w:tcPr>
                  <w:tcW w:w="1250" w:type="dxa"/>
                  <w:shd w:val="clear" w:color="auto" w:fill="auto"/>
                  <w:vAlign w:val="center"/>
                </w:tcPr>
                <w:p>
                  <w:pPr>
                    <w:jc w:val="center"/>
                    <w:rPr>
                      <w:b/>
                      <w:bCs/>
                      <w:szCs w:val="21"/>
                    </w:rPr>
                  </w:pPr>
                  <w:r>
                    <w:rPr>
                      <w:rFonts w:hint="eastAsia"/>
                      <w:b/>
                      <w:bCs/>
                      <w:szCs w:val="21"/>
                    </w:rPr>
                    <w:t>保护内容</w:t>
                  </w:r>
                </w:p>
              </w:tc>
              <w:tc>
                <w:tcPr>
                  <w:tcW w:w="1084" w:type="dxa"/>
                  <w:vAlign w:val="center"/>
                </w:tcPr>
                <w:p>
                  <w:pPr>
                    <w:jc w:val="center"/>
                    <w:rPr>
                      <w:b/>
                      <w:bCs/>
                      <w:szCs w:val="21"/>
                    </w:rPr>
                  </w:pPr>
                  <w:r>
                    <w:rPr>
                      <w:rFonts w:hint="eastAsia"/>
                      <w:b/>
                      <w:bCs/>
                      <w:szCs w:val="21"/>
                    </w:rPr>
                    <w:t>环境功能区</w:t>
                  </w:r>
                </w:p>
              </w:tc>
              <w:tc>
                <w:tcPr>
                  <w:tcW w:w="1084" w:type="dxa"/>
                  <w:shd w:val="clear" w:color="auto" w:fill="auto"/>
                  <w:vAlign w:val="center"/>
                </w:tcPr>
                <w:p>
                  <w:pPr>
                    <w:jc w:val="center"/>
                    <w:rPr>
                      <w:b/>
                      <w:bCs/>
                      <w:szCs w:val="21"/>
                    </w:rPr>
                  </w:pPr>
                  <w:r>
                    <w:rPr>
                      <w:rFonts w:hint="eastAsia"/>
                      <w:b/>
                      <w:bCs/>
                      <w:szCs w:val="21"/>
                    </w:rPr>
                    <w:t>相对厂址方位</w:t>
                  </w:r>
                </w:p>
              </w:tc>
              <w:tc>
                <w:tcPr>
                  <w:tcW w:w="1113" w:type="dxa"/>
                  <w:shd w:val="clear" w:color="auto" w:fill="auto"/>
                  <w:vAlign w:val="center"/>
                </w:tcPr>
                <w:p>
                  <w:pPr>
                    <w:jc w:val="center"/>
                    <w:rPr>
                      <w:b/>
                      <w:bCs/>
                      <w:szCs w:val="21"/>
                    </w:rPr>
                  </w:pPr>
                  <w:r>
                    <w:rPr>
                      <w:rFonts w:hint="eastAsia"/>
                      <w:b/>
                      <w:bCs/>
                      <w:szCs w:val="21"/>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9" w:type="dxa"/>
                  <w:shd w:val="clear" w:color="auto" w:fill="auto"/>
                  <w:vAlign w:val="center"/>
                </w:tcPr>
                <w:p>
                  <w:pPr>
                    <w:jc w:val="center"/>
                    <w:rPr>
                      <w:szCs w:val="21"/>
                    </w:rPr>
                  </w:pPr>
                  <w:r>
                    <w:rPr>
                      <w:szCs w:val="21"/>
                    </w:rPr>
                    <w:t>1</w:t>
                  </w:r>
                </w:p>
              </w:tc>
              <w:tc>
                <w:tcPr>
                  <w:tcW w:w="1986" w:type="dxa"/>
                  <w:shd w:val="clear" w:color="auto" w:fill="auto"/>
                  <w:vAlign w:val="center"/>
                </w:tcPr>
                <w:p>
                  <w:pPr>
                    <w:jc w:val="center"/>
                    <w:rPr>
                      <w:szCs w:val="21"/>
                    </w:rPr>
                  </w:pPr>
                  <w:r>
                    <w:rPr>
                      <w:rFonts w:hint="eastAsia"/>
                      <w:szCs w:val="21"/>
                    </w:rPr>
                    <w:t>麻地村</w:t>
                  </w:r>
                </w:p>
              </w:tc>
              <w:tc>
                <w:tcPr>
                  <w:tcW w:w="1276" w:type="dxa"/>
                  <w:shd w:val="clear" w:color="auto" w:fill="auto"/>
                  <w:vAlign w:val="center"/>
                </w:tcPr>
                <w:p>
                  <w:pPr>
                    <w:jc w:val="center"/>
                    <w:rPr>
                      <w:szCs w:val="21"/>
                    </w:rPr>
                  </w:pPr>
                  <w:r>
                    <w:rPr>
                      <w:rFonts w:hint="eastAsia"/>
                      <w:szCs w:val="21"/>
                    </w:rPr>
                    <w:t>居民区</w:t>
                  </w:r>
                </w:p>
              </w:tc>
              <w:tc>
                <w:tcPr>
                  <w:tcW w:w="1250" w:type="dxa"/>
                  <w:vMerge w:val="restart"/>
                  <w:vAlign w:val="center"/>
                </w:tcPr>
                <w:p>
                  <w:pPr>
                    <w:jc w:val="center"/>
                    <w:rPr>
                      <w:szCs w:val="21"/>
                    </w:rPr>
                  </w:pPr>
                  <w:r>
                    <w:rPr>
                      <w:rFonts w:hint="eastAsia"/>
                      <w:szCs w:val="21"/>
                    </w:rPr>
                    <w:t>《</w:t>
                  </w:r>
                  <w:r>
                    <w:rPr>
                      <w:szCs w:val="21"/>
                    </w:rPr>
                    <w:t>环境空气质量标准》（GB309</w:t>
                  </w:r>
                  <w:r>
                    <w:rPr>
                      <w:rFonts w:hint="eastAsia"/>
                      <w:szCs w:val="21"/>
                    </w:rPr>
                    <w:t>5</w:t>
                  </w:r>
                  <w:r>
                    <w:rPr>
                      <w:szCs w:val="21"/>
                    </w:rPr>
                    <w:t>-</w:t>
                  </w:r>
                  <w:r>
                    <w:rPr>
                      <w:rFonts w:hint="eastAsia"/>
                      <w:szCs w:val="21"/>
                    </w:rPr>
                    <w:t>2012</w:t>
                  </w:r>
                  <w:r>
                    <w:rPr>
                      <w:szCs w:val="21"/>
                    </w:rPr>
                    <w:t>）</w:t>
                  </w:r>
                  <w:r>
                    <w:rPr>
                      <w:rFonts w:hint="eastAsia"/>
                      <w:szCs w:val="21"/>
                    </w:rPr>
                    <w:t>二</w:t>
                  </w:r>
                  <w:r>
                    <w:rPr>
                      <w:szCs w:val="21"/>
                    </w:rPr>
                    <w:t>级标准</w:t>
                  </w:r>
                </w:p>
              </w:tc>
              <w:tc>
                <w:tcPr>
                  <w:tcW w:w="1084" w:type="dxa"/>
                  <w:vMerge w:val="restart"/>
                  <w:vAlign w:val="center"/>
                </w:tcPr>
                <w:p>
                  <w:pPr>
                    <w:jc w:val="center"/>
                    <w:rPr>
                      <w:szCs w:val="21"/>
                    </w:rPr>
                  </w:pPr>
                  <w:r>
                    <w:rPr>
                      <w:rFonts w:hint="eastAsia"/>
                      <w:szCs w:val="21"/>
                    </w:rPr>
                    <w:t>环境空气二类区</w:t>
                  </w:r>
                </w:p>
              </w:tc>
              <w:tc>
                <w:tcPr>
                  <w:tcW w:w="1084" w:type="dxa"/>
                  <w:shd w:val="clear" w:color="auto" w:fill="auto"/>
                  <w:vAlign w:val="center"/>
                </w:tcPr>
                <w:p>
                  <w:pPr>
                    <w:jc w:val="center"/>
                    <w:rPr>
                      <w:szCs w:val="21"/>
                    </w:rPr>
                  </w:pPr>
                  <w:r>
                    <w:rPr>
                      <w:rFonts w:hint="eastAsia"/>
                      <w:szCs w:val="21"/>
                    </w:rPr>
                    <w:t>东北</w:t>
                  </w:r>
                </w:p>
              </w:tc>
              <w:tc>
                <w:tcPr>
                  <w:tcW w:w="1113" w:type="dxa"/>
                  <w:shd w:val="clear" w:color="auto" w:fill="auto"/>
                  <w:vAlign w:val="center"/>
                </w:tcPr>
                <w:p>
                  <w:pPr>
                    <w:jc w:val="center"/>
                    <w:rPr>
                      <w:szCs w:val="21"/>
                    </w:rPr>
                  </w:pPr>
                  <w:r>
                    <w:rPr>
                      <w:szCs w:val="21"/>
                    </w:rPr>
                    <w:t>50</w:t>
                  </w: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9" w:type="dxa"/>
                  <w:shd w:val="clear" w:color="auto" w:fill="auto"/>
                  <w:vAlign w:val="center"/>
                </w:tcPr>
                <w:p>
                  <w:pPr>
                    <w:jc w:val="center"/>
                    <w:rPr>
                      <w:szCs w:val="21"/>
                    </w:rPr>
                  </w:pPr>
                  <w:r>
                    <w:rPr>
                      <w:szCs w:val="21"/>
                    </w:rPr>
                    <w:t>2</w:t>
                  </w:r>
                </w:p>
              </w:tc>
              <w:tc>
                <w:tcPr>
                  <w:tcW w:w="1986" w:type="dxa"/>
                  <w:shd w:val="clear" w:color="auto" w:fill="auto"/>
                  <w:vAlign w:val="center"/>
                </w:tcPr>
                <w:p>
                  <w:pPr>
                    <w:jc w:val="center"/>
                    <w:rPr>
                      <w:szCs w:val="21"/>
                    </w:rPr>
                  </w:pPr>
                  <w:r>
                    <w:rPr>
                      <w:rFonts w:hint="eastAsia"/>
                      <w:szCs w:val="21"/>
                    </w:rPr>
                    <w:t>麻地小学</w:t>
                  </w:r>
                </w:p>
              </w:tc>
              <w:tc>
                <w:tcPr>
                  <w:tcW w:w="1276" w:type="dxa"/>
                  <w:shd w:val="clear" w:color="auto" w:fill="auto"/>
                  <w:vAlign w:val="center"/>
                </w:tcPr>
                <w:p>
                  <w:pPr>
                    <w:jc w:val="center"/>
                    <w:rPr>
                      <w:szCs w:val="21"/>
                    </w:rPr>
                  </w:pPr>
                  <w:r>
                    <w:rPr>
                      <w:rFonts w:hint="eastAsia"/>
                      <w:szCs w:val="21"/>
                    </w:rPr>
                    <w:t>学校</w:t>
                  </w:r>
                </w:p>
              </w:tc>
              <w:tc>
                <w:tcPr>
                  <w:tcW w:w="1250" w:type="dxa"/>
                  <w:vMerge w:val="continue"/>
                  <w:shd w:val="clear" w:color="auto" w:fill="auto"/>
                  <w:vAlign w:val="center"/>
                </w:tcPr>
                <w:p>
                  <w:pPr>
                    <w:jc w:val="center"/>
                    <w:rPr>
                      <w:szCs w:val="21"/>
                    </w:rPr>
                  </w:pPr>
                </w:p>
              </w:tc>
              <w:tc>
                <w:tcPr>
                  <w:tcW w:w="1084" w:type="dxa"/>
                  <w:vMerge w:val="continue"/>
                  <w:vAlign w:val="center"/>
                </w:tcPr>
                <w:p>
                  <w:pPr>
                    <w:jc w:val="center"/>
                    <w:rPr>
                      <w:szCs w:val="21"/>
                    </w:rPr>
                  </w:pPr>
                </w:p>
              </w:tc>
              <w:tc>
                <w:tcPr>
                  <w:tcW w:w="1084" w:type="dxa"/>
                  <w:shd w:val="clear" w:color="auto" w:fill="auto"/>
                  <w:vAlign w:val="center"/>
                </w:tcPr>
                <w:p>
                  <w:pPr>
                    <w:jc w:val="center"/>
                    <w:rPr>
                      <w:szCs w:val="21"/>
                    </w:rPr>
                  </w:pPr>
                  <w:r>
                    <w:rPr>
                      <w:rFonts w:hint="eastAsia"/>
                      <w:szCs w:val="21"/>
                    </w:rPr>
                    <w:t>东北</w:t>
                  </w:r>
                </w:p>
              </w:tc>
              <w:tc>
                <w:tcPr>
                  <w:tcW w:w="1113" w:type="dxa"/>
                  <w:shd w:val="clear" w:color="auto" w:fill="auto"/>
                  <w:vAlign w:val="center"/>
                </w:tcPr>
                <w:p>
                  <w:pPr>
                    <w:jc w:val="center"/>
                    <w:rPr>
                      <w:szCs w:val="21"/>
                    </w:rPr>
                  </w:pPr>
                  <w:r>
                    <w:rPr>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9" w:type="dxa"/>
                  <w:shd w:val="clear" w:color="auto" w:fill="auto"/>
                  <w:vAlign w:val="center"/>
                </w:tcPr>
                <w:p>
                  <w:pPr>
                    <w:jc w:val="center"/>
                    <w:rPr>
                      <w:szCs w:val="21"/>
                    </w:rPr>
                  </w:pPr>
                  <w:r>
                    <w:rPr>
                      <w:szCs w:val="21"/>
                    </w:rPr>
                    <w:t>3</w:t>
                  </w:r>
                </w:p>
              </w:tc>
              <w:tc>
                <w:tcPr>
                  <w:tcW w:w="1986" w:type="dxa"/>
                  <w:shd w:val="clear" w:color="auto" w:fill="auto"/>
                  <w:vAlign w:val="center"/>
                </w:tcPr>
                <w:p>
                  <w:pPr>
                    <w:jc w:val="center"/>
                    <w:rPr>
                      <w:szCs w:val="21"/>
                    </w:rPr>
                  </w:pPr>
                  <w:r>
                    <w:rPr>
                      <w:rFonts w:hint="eastAsia"/>
                      <w:szCs w:val="21"/>
                    </w:rPr>
                    <w:t>新田镇中心小学逸夫学校</w:t>
                  </w:r>
                </w:p>
              </w:tc>
              <w:tc>
                <w:tcPr>
                  <w:tcW w:w="1276" w:type="dxa"/>
                  <w:shd w:val="clear" w:color="auto" w:fill="auto"/>
                  <w:vAlign w:val="center"/>
                </w:tcPr>
                <w:p>
                  <w:pPr>
                    <w:jc w:val="center"/>
                    <w:rPr>
                      <w:szCs w:val="21"/>
                    </w:rPr>
                  </w:pPr>
                  <w:r>
                    <w:rPr>
                      <w:rFonts w:hint="eastAsia"/>
                      <w:szCs w:val="21"/>
                    </w:rPr>
                    <w:t>学校</w:t>
                  </w:r>
                </w:p>
              </w:tc>
              <w:tc>
                <w:tcPr>
                  <w:tcW w:w="1250" w:type="dxa"/>
                  <w:vMerge w:val="continue"/>
                  <w:shd w:val="clear" w:color="auto" w:fill="auto"/>
                  <w:vAlign w:val="center"/>
                </w:tcPr>
                <w:p>
                  <w:pPr>
                    <w:jc w:val="center"/>
                    <w:rPr>
                      <w:szCs w:val="21"/>
                    </w:rPr>
                  </w:pPr>
                </w:p>
              </w:tc>
              <w:tc>
                <w:tcPr>
                  <w:tcW w:w="1084" w:type="dxa"/>
                  <w:vMerge w:val="continue"/>
                  <w:vAlign w:val="center"/>
                </w:tcPr>
                <w:p>
                  <w:pPr>
                    <w:jc w:val="center"/>
                    <w:rPr>
                      <w:szCs w:val="21"/>
                    </w:rPr>
                  </w:pPr>
                </w:p>
              </w:tc>
              <w:tc>
                <w:tcPr>
                  <w:tcW w:w="1084" w:type="dxa"/>
                  <w:shd w:val="clear" w:color="auto" w:fill="auto"/>
                  <w:vAlign w:val="center"/>
                </w:tcPr>
                <w:p>
                  <w:pPr>
                    <w:jc w:val="center"/>
                    <w:rPr>
                      <w:szCs w:val="21"/>
                    </w:rPr>
                  </w:pPr>
                  <w:r>
                    <w:rPr>
                      <w:rFonts w:hint="eastAsia"/>
                      <w:szCs w:val="21"/>
                    </w:rPr>
                    <w:t>北</w:t>
                  </w:r>
                </w:p>
              </w:tc>
              <w:tc>
                <w:tcPr>
                  <w:tcW w:w="1113" w:type="dxa"/>
                  <w:shd w:val="clear" w:color="auto" w:fill="auto"/>
                  <w:vAlign w:val="center"/>
                </w:tcPr>
                <w:p>
                  <w:pPr>
                    <w:jc w:val="center"/>
                    <w:rPr>
                      <w:szCs w:val="21"/>
                    </w:rPr>
                  </w:pPr>
                  <w:r>
                    <w:rPr>
                      <w:szCs w:val="21"/>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9" w:type="dxa"/>
                  <w:shd w:val="clear" w:color="auto" w:fill="auto"/>
                  <w:vAlign w:val="center"/>
                </w:tcPr>
                <w:p>
                  <w:pPr>
                    <w:jc w:val="center"/>
                    <w:rPr>
                      <w:szCs w:val="21"/>
                    </w:rPr>
                  </w:pPr>
                  <w:r>
                    <w:rPr>
                      <w:szCs w:val="21"/>
                    </w:rPr>
                    <w:t>4</w:t>
                  </w:r>
                </w:p>
              </w:tc>
              <w:tc>
                <w:tcPr>
                  <w:tcW w:w="1986" w:type="dxa"/>
                  <w:shd w:val="clear" w:color="auto" w:fill="auto"/>
                  <w:vAlign w:val="center"/>
                </w:tcPr>
                <w:p>
                  <w:pPr>
                    <w:jc w:val="center"/>
                    <w:rPr>
                      <w:szCs w:val="21"/>
                    </w:rPr>
                  </w:pPr>
                  <w:r>
                    <w:rPr>
                      <w:rFonts w:hint="eastAsia"/>
                      <w:szCs w:val="21"/>
                    </w:rPr>
                    <w:t>新田中学</w:t>
                  </w:r>
                </w:p>
              </w:tc>
              <w:tc>
                <w:tcPr>
                  <w:tcW w:w="1276" w:type="dxa"/>
                  <w:shd w:val="clear" w:color="auto" w:fill="auto"/>
                  <w:vAlign w:val="center"/>
                </w:tcPr>
                <w:p>
                  <w:pPr>
                    <w:jc w:val="center"/>
                    <w:rPr>
                      <w:szCs w:val="21"/>
                    </w:rPr>
                  </w:pPr>
                  <w:r>
                    <w:rPr>
                      <w:rFonts w:hint="eastAsia"/>
                      <w:szCs w:val="21"/>
                    </w:rPr>
                    <w:t>学校</w:t>
                  </w:r>
                </w:p>
              </w:tc>
              <w:tc>
                <w:tcPr>
                  <w:tcW w:w="1250" w:type="dxa"/>
                  <w:vMerge w:val="continue"/>
                  <w:shd w:val="clear" w:color="auto" w:fill="auto"/>
                  <w:vAlign w:val="center"/>
                </w:tcPr>
                <w:p>
                  <w:pPr>
                    <w:jc w:val="center"/>
                    <w:rPr>
                      <w:szCs w:val="21"/>
                    </w:rPr>
                  </w:pPr>
                </w:p>
              </w:tc>
              <w:tc>
                <w:tcPr>
                  <w:tcW w:w="1084" w:type="dxa"/>
                  <w:vMerge w:val="continue"/>
                  <w:vAlign w:val="center"/>
                </w:tcPr>
                <w:p>
                  <w:pPr>
                    <w:jc w:val="center"/>
                    <w:rPr>
                      <w:szCs w:val="21"/>
                    </w:rPr>
                  </w:pPr>
                </w:p>
              </w:tc>
              <w:tc>
                <w:tcPr>
                  <w:tcW w:w="1084" w:type="dxa"/>
                  <w:shd w:val="clear" w:color="auto" w:fill="auto"/>
                  <w:vAlign w:val="center"/>
                </w:tcPr>
                <w:p>
                  <w:pPr>
                    <w:jc w:val="center"/>
                    <w:rPr>
                      <w:szCs w:val="21"/>
                    </w:rPr>
                  </w:pPr>
                  <w:r>
                    <w:rPr>
                      <w:rFonts w:hint="eastAsia"/>
                      <w:szCs w:val="21"/>
                    </w:rPr>
                    <w:t>北</w:t>
                  </w:r>
                </w:p>
              </w:tc>
              <w:tc>
                <w:tcPr>
                  <w:tcW w:w="1113" w:type="dxa"/>
                  <w:shd w:val="clear" w:color="auto" w:fill="auto"/>
                  <w:vAlign w:val="center"/>
                </w:tcPr>
                <w:p>
                  <w:pPr>
                    <w:jc w:val="center"/>
                    <w:rPr>
                      <w:szCs w:val="21"/>
                    </w:rPr>
                  </w:pPr>
                  <w:r>
                    <w:rPr>
                      <w:szCs w:val="21"/>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9" w:type="dxa"/>
                  <w:shd w:val="clear" w:color="auto" w:fill="auto"/>
                  <w:vAlign w:val="center"/>
                </w:tcPr>
                <w:p>
                  <w:pPr>
                    <w:jc w:val="center"/>
                    <w:rPr>
                      <w:szCs w:val="21"/>
                    </w:rPr>
                  </w:pPr>
                  <w:r>
                    <w:rPr>
                      <w:szCs w:val="21"/>
                    </w:rPr>
                    <w:t>5</w:t>
                  </w:r>
                </w:p>
              </w:tc>
              <w:tc>
                <w:tcPr>
                  <w:tcW w:w="1986" w:type="dxa"/>
                  <w:shd w:val="clear" w:color="auto" w:fill="auto"/>
                  <w:vAlign w:val="center"/>
                </w:tcPr>
                <w:p>
                  <w:pPr>
                    <w:jc w:val="center"/>
                    <w:rPr>
                      <w:szCs w:val="21"/>
                    </w:rPr>
                  </w:pPr>
                  <w:r>
                    <w:rPr>
                      <w:rFonts w:hint="eastAsia"/>
                      <w:szCs w:val="21"/>
                    </w:rPr>
                    <w:t>新田镇</w:t>
                  </w:r>
                </w:p>
              </w:tc>
              <w:tc>
                <w:tcPr>
                  <w:tcW w:w="1276" w:type="dxa"/>
                  <w:shd w:val="clear" w:color="auto" w:fill="auto"/>
                  <w:vAlign w:val="center"/>
                </w:tcPr>
                <w:p>
                  <w:pPr>
                    <w:jc w:val="center"/>
                    <w:rPr>
                      <w:szCs w:val="21"/>
                    </w:rPr>
                  </w:pPr>
                  <w:r>
                    <w:rPr>
                      <w:rFonts w:hint="eastAsia"/>
                      <w:szCs w:val="21"/>
                    </w:rPr>
                    <w:t>居民区</w:t>
                  </w:r>
                </w:p>
              </w:tc>
              <w:tc>
                <w:tcPr>
                  <w:tcW w:w="1250" w:type="dxa"/>
                  <w:vMerge w:val="continue"/>
                  <w:shd w:val="clear" w:color="auto" w:fill="auto"/>
                  <w:vAlign w:val="center"/>
                </w:tcPr>
                <w:p>
                  <w:pPr>
                    <w:jc w:val="center"/>
                    <w:rPr>
                      <w:szCs w:val="21"/>
                    </w:rPr>
                  </w:pPr>
                </w:p>
              </w:tc>
              <w:tc>
                <w:tcPr>
                  <w:tcW w:w="1084" w:type="dxa"/>
                  <w:vMerge w:val="continue"/>
                  <w:vAlign w:val="center"/>
                </w:tcPr>
                <w:p>
                  <w:pPr>
                    <w:jc w:val="center"/>
                    <w:rPr>
                      <w:szCs w:val="21"/>
                    </w:rPr>
                  </w:pPr>
                </w:p>
              </w:tc>
              <w:tc>
                <w:tcPr>
                  <w:tcW w:w="1084" w:type="dxa"/>
                  <w:shd w:val="clear" w:color="auto" w:fill="auto"/>
                  <w:vAlign w:val="center"/>
                </w:tcPr>
                <w:p>
                  <w:pPr>
                    <w:jc w:val="center"/>
                    <w:rPr>
                      <w:szCs w:val="21"/>
                    </w:rPr>
                  </w:pPr>
                  <w:r>
                    <w:rPr>
                      <w:rFonts w:hint="eastAsia"/>
                      <w:szCs w:val="21"/>
                    </w:rPr>
                    <w:t>北</w:t>
                  </w:r>
                </w:p>
              </w:tc>
              <w:tc>
                <w:tcPr>
                  <w:tcW w:w="1113" w:type="dxa"/>
                  <w:shd w:val="clear" w:color="auto" w:fill="auto"/>
                  <w:vAlign w:val="center"/>
                </w:tcPr>
                <w:p>
                  <w:pPr>
                    <w:jc w:val="center"/>
                    <w:rPr>
                      <w:szCs w:val="21"/>
                    </w:rPr>
                  </w:pPr>
                  <w:r>
                    <w:rPr>
                      <w:szCs w:val="21"/>
                    </w:rPr>
                    <w:t>1</w:t>
                  </w:r>
                  <w:r>
                    <w:rPr>
                      <w:rFonts w:hint="eastAsia"/>
                      <w:szCs w:val="21"/>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9" w:type="dxa"/>
                  <w:shd w:val="clear" w:color="auto" w:fill="auto"/>
                  <w:vAlign w:val="center"/>
                </w:tcPr>
                <w:p>
                  <w:pPr>
                    <w:jc w:val="center"/>
                    <w:rPr>
                      <w:szCs w:val="21"/>
                    </w:rPr>
                  </w:pPr>
                  <w:r>
                    <w:rPr>
                      <w:szCs w:val="21"/>
                    </w:rPr>
                    <w:t>6</w:t>
                  </w:r>
                </w:p>
              </w:tc>
              <w:tc>
                <w:tcPr>
                  <w:tcW w:w="1986" w:type="dxa"/>
                  <w:shd w:val="clear" w:color="auto" w:fill="auto"/>
                  <w:vAlign w:val="center"/>
                </w:tcPr>
                <w:p>
                  <w:pPr>
                    <w:jc w:val="center"/>
                    <w:rPr>
                      <w:szCs w:val="21"/>
                    </w:rPr>
                  </w:pPr>
                  <w:r>
                    <w:rPr>
                      <w:rFonts w:hint="eastAsia"/>
                      <w:szCs w:val="21"/>
                    </w:rPr>
                    <w:t>新村</w:t>
                  </w:r>
                </w:p>
              </w:tc>
              <w:tc>
                <w:tcPr>
                  <w:tcW w:w="1276" w:type="dxa"/>
                  <w:shd w:val="clear" w:color="auto" w:fill="auto"/>
                  <w:vAlign w:val="center"/>
                </w:tcPr>
                <w:p>
                  <w:pPr>
                    <w:jc w:val="center"/>
                    <w:rPr>
                      <w:szCs w:val="21"/>
                    </w:rPr>
                  </w:pPr>
                  <w:r>
                    <w:rPr>
                      <w:rFonts w:hint="eastAsia"/>
                      <w:szCs w:val="21"/>
                    </w:rPr>
                    <w:t>居民区</w:t>
                  </w:r>
                </w:p>
              </w:tc>
              <w:tc>
                <w:tcPr>
                  <w:tcW w:w="1250" w:type="dxa"/>
                  <w:vMerge w:val="continue"/>
                  <w:shd w:val="clear" w:color="auto" w:fill="auto"/>
                  <w:vAlign w:val="center"/>
                </w:tcPr>
                <w:p>
                  <w:pPr>
                    <w:jc w:val="center"/>
                    <w:rPr>
                      <w:szCs w:val="21"/>
                    </w:rPr>
                  </w:pPr>
                </w:p>
              </w:tc>
              <w:tc>
                <w:tcPr>
                  <w:tcW w:w="1084" w:type="dxa"/>
                  <w:vMerge w:val="continue"/>
                  <w:vAlign w:val="center"/>
                </w:tcPr>
                <w:p>
                  <w:pPr>
                    <w:jc w:val="center"/>
                    <w:rPr>
                      <w:szCs w:val="21"/>
                    </w:rPr>
                  </w:pPr>
                </w:p>
              </w:tc>
              <w:tc>
                <w:tcPr>
                  <w:tcW w:w="1084" w:type="dxa"/>
                  <w:shd w:val="clear" w:color="auto" w:fill="auto"/>
                  <w:vAlign w:val="center"/>
                </w:tcPr>
                <w:p>
                  <w:pPr>
                    <w:jc w:val="center"/>
                    <w:rPr>
                      <w:szCs w:val="21"/>
                    </w:rPr>
                  </w:pPr>
                  <w:r>
                    <w:rPr>
                      <w:rFonts w:hint="eastAsia"/>
                      <w:szCs w:val="21"/>
                    </w:rPr>
                    <w:t>西南</w:t>
                  </w:r>
                </w:p>
              </w:tc>
              <w:tc>
                <w:tcPr>
                  <w:tcW w:w="1113" w:type="dxa"/>
                  <w:shd w:val="clear" w:color="auto" w:fill="auto"/>
                  <w:vAlign w:val="center"/>
                </w:tcPr>
                <w:p>
                  <w:pPr>
                    <w:jc w:val="center"/>
                    <w:rPr>
                      <w:szCs w:val="21"/>
                    </w:rPr>
                  </w:pPr>
                  <w:r>
                    <w:rPr>
                      <w:szCs w:val="21"/>
                    </w:rPr>
                    <w:t>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9" w:type="dxa"/>
                  <w:shd w:val="clear" w:color="auto" w:fill="auto"/>
                  <w:vAlign w:val="center"/>
                </w:tcPr>
                <w:p>
                  <w:pPr>
                    <w:jc w:val="center"/>
                    <w:rPr>
                      <w:szCs w:val="21"/>
                    </w:rPr>
                  </w:pPr>
                  <w:r>
                    <w:rPr>
                      <w:szCs w:val="21"/>
                    </w:rPr>
                    <w:t>7</w:t>
                  </w:r>
                </w:p>
              </w:tc>
              <w:tc>
                <w:tcPr>
                  <w:tcW w:w="1986" w:type="dxa"/>
                  <w:shd w:val="clear" w:color="auto" w:fill="auto"/>
                  <w:vAlign w:val="center"/>
                </w:tcPr>
                <w:p>
                  <w:pPr>
                    <w:jc w:val="center"/>
                    <w:rPr>
                      <w:szCs w:val="21"/>
                    </w:rPr>
                  </w:pPr>
                  <w:r>
                    <w:rPr>
                      <w:rFonts w:hint="eastAsia"/>
                      <w:szCs w:val="21"/>
                    </w:rPr>
                    <w:t>后亦村</w:t>
                  </w:r>
                </w:p>
              </w:tc>
              <w:tc>
                <w:tcPr>
                  <w:tcW w:w="1276" w:type="dxa"/>
                  <w:shd w:val="clear" w:color="auto" w:fill="auto"/>
                  <w:vAlign w:val="center"/>
                </w:tcPr>
                <w:p>
                  <w:pPr>
                    <w:jc w:val="center"/>
                    <w:rPr>
                      <w:szCs w:val="21"/>
                    </w:rPr>
                  </w:pPr>
                  <w:r>
                    <w:rPr>
                      <w:rFonts w:hint="eastAsia"/>
                      <w:szCs w:val="21"/>
                    </w:rPr>
                    <w:t>居民区</w:t>
                  </w:r>
                </w:p>
              </w:tc>
              <w:tc>
                <w:tcPr>
                  <w:tcW w:w="1250" w:type="dxa"/>
                  <w:vMerge w:val="continue"/>
                  <w:shd w:val="clear" w:color="auto" w:fill="auto"/>
                  <w:vAlign w:val="center"/>
                </w:tcPr>
                <w:p>
                  <w:pPr>
                    <w:jc w:val="center"/>
                    <w:rPr>
                      <w:szCs w:val="21"/>
                    </w:rPr>
                  </w:pPr>
                </w:p>
              </w:tc>
              <w:tc>
                <w:tcPr>
                  <w:tcW w:w="1084" w:type="dxa"/>
                  <w:vMerge w:val="continue"/>
                  <w:vAlign w:val="center"/>
                </w:tcPr>
                <w:p>
                  <w:pPr>
                    <w:jc w:val="center"/>
                    <w:rPr>
                      <w:szCs w:val="21"/>
                    </w:rPr>
                  </w:pPr>
                </w:p>
              </w:tc>
              <w:tc>
                <w:tcPr>
                  <w:tcW w:w="1084" w:type="dxa"/>
                  <w:shd w:val="clear" w:color="auto" w:fill="auto"/>
                  <w:vAlign w:val="center"/>
                </w:tcPr>
                <w:p>
                  <w:pPr>
                    <w:jc w:val="center"/>
                    <w:rPr>
                      <w:szCs w:val="21"/>
                    </w:rPr>
                  </w:pPr>
                  <w:r>
                    <w:rPr>
                      <w:rFonts w:hint="eastAsia"/>
                      <w:szCs w:val="21"/>
                    </w:rPr>
                    <w:t>西南</w:t>
                  </w:r>
                </w:p>
              </w:tc>
              <w:tc>
                <w:tcPr>
                  <w:tcW w:w="1113" w:type="dxa"/>
                  <w:shd w:val="clear" w:color="auto" w:fill="auto"/>
                  <w:vAlign w:val="center"/>
                </w:tcPr>
                <w:p>
                  <w:pPr>
                    <w:jc w:val="center"/>
                    <w:rPr>
                      <w:szCs w:val="21"/>
                    </w:rPr>
                  </w:pPr>
                  <w:r>
                    <w:rPr>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9" w:type="dxa"/>
                  <w:shd w:val="clear" w:color="auto" w:fill="auto"/>
                  <w:vAlign w:val="center"/>
                </w:tcPr>
                <w:p>
                  <w:pPr>
                    <w:jc w:val="center"/>
                    <w:rPr>
                      <w:szCs w:val="21"/>
                    </w:rPr>
                  </w:pPr>
                  <w:r>
                    <w:rPr>
                      <w:szCs w:val="21"/>
                    </w:rPr>
                    <w:t>8</w:t>
                  </w:r>
                </w:p>
              </w:tc>
              <w:tc>
                <w:tcPr>
                  <w:tcW w:w="1986" w:type="dxa"/>
                  <w:shd w:val="clear" w:color="auto" w:fill="auto"/>
                  <w:vAlign w:val="center"/>
                </w:tcPr>
                <w:p>
                  <w:pPr>
                    <w:jc w:val="center"/>
                    <w:rPr>
                      <w:szCs w:val="21"/>
                    </w:rPr>
                  </w:pPr>
                  <w:r>
                    <w:rPr>
                      <w:rFonts w:hint="eastAsia"/>
                      <w:szCs w:val="21"/>
                    </w:rPr>
                    <w:t>横陇村</w:t>
                  </w:r>
                </w:p>
              </w:tc>
              <w:tc>
                <w:tcPr>
                  <w:tcW w:w="1276" w:type="dxa"/>
                  <w:shd w:val="clear" w:color="auto" w:fill="auto"/>
                  <w:vAlign w:val="center"/>
                </w:tcPr>
                <w:p>
                  <w:pPr>
                    <w:jc w:val="center"/>
                    <w:rPr>
                      <w:szCs w:val="21"/>
                    </w:rPr>
                  </w:pPr>
                  <w:r>
                    <w:rPr>
                      <w:rFonts w:hint="eastAsia"/>
                      <w:szCs w:val="21"/>
                    </w:rPr>
                    <w:t>居民区</w:t>
                  </w:r>
                </w:p>
              </w:tc>
              <w:tc>
                <w:tcPr>
                  <w:tcW w:w="1250" w:type="dxa"/>
                  <w:vMerge w:val="continue"/>
                  <w:shd w:val="clear" w:color="auto" w:fill="auto"/>
                  <w:vAlign w:val="center"/>
                </w:tcPr>
                <w:p>
                  <w:pPr>
                    <w:jc w:val="center"/>
                    <w:rPr>
                      <w:szCs w:val="21"/>
                    </w:rPr>
                  </w:pPr>
                </w:p>
              </w:tc>
              <w:tc>
                <w:tcPr>
                  <w:tcW w:w="1084" w:type="dxa"/>
                  <w:vMerge w:val="continue"/>
                  <w:vAlign w:val="center"/>
                </w:tcPr>
                <w:p>
                  <w:pPr>
                    <w:jc w:val="center"/>
                    <w:rPr>
                      <w:szCs w:val="21"/>
                    </w:rPr>
                  </w:pPr>
                </w:p>
              </w:tc>
              <w:tc>
                <w:tcPr>
                  <w:tcW w:w="1084" w:type="dxa"/>
                  <w:shd w:val="clear" w:color="auto" w:fill="auto"/>
                  <w:vAlign w:val="center"/>
                </w:tcPr>
                <w:p>
                  <w:pPr>
                    <w:jc w:val="center"/>
                    <w:rPr>
                      <w:szCs w:val="21"/>
                    </w:rPr>
                  </w:pPr>
                  <w:r>
                    <w:rPr>
                      <w:rFonts w:hint="eastAsia"/>
                      <w:szCs w:val="21"/>
                    </w:rPr>
                    <w:t>南</w:t>
                  </w:r>
                </w:p>
              </w:tc>
              <w:tc>
                <w:tcPr>
                  <w:tcW w:w="1113" w:type="dxa"/>
                  <w:shd w:val="clear" w:color="auto" w:fill="auto"/>
                  <w:vAlign w:val="center"/>
                </w:tcPr>
                <w:p>
                  <w:pPr>
                    <w:jc w:val="center"/>
                    <w:rPr>
                      <w:szCs w:val="21"/>
                    </w:rPr>
                  </w:pPr>
                  <w:r>
                    <w:rPr>
                      <w:szCs w:val="21"/>
                    </w:rPr>
                    <w:t>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9" w:type="dxa"/>
                  <w:shd w:val="clear" w:color="auto" w:fill="auto"/>
                  <w:vAlign w:val="center"/>
                </w:tcPr>
                <w:p>
                  <w:pPr>
                    <w:jc w:val="center"/>
                    <w:rPr>
                      <w:szCs w:val="21"/>
                    </w:rPr>
                  </w:pPr>
                  <w:r>
                    <w:rPr>
                      <w:szCs w:val="21"/>
                    </w:rPr>
                    <w:t>9</w:t>
                  </w:r>
                </w:p>
              </w:tc>
              <w:tc>
                <w:tcPr>
                  <w:tcW w:w="1986" w:type="dxa"/>
                  <w:shd w:val="clear" w:color="auto" w:fill="auto"/>
                  <w:vAlign w:val="center"/>
                </w:tcPr>
                <w:p>
                  <w:pPr>
                    <w:jc w:val="center"/>
                    <w:rPr>
                      <w:szCs w:val="21"/>
                    </w:rPr>
                  </w:pPr>
                  <w:r>
                    <w:rPr>
                      <w:rFonts w:hint="eastAsia"/>
                      <w:szCs w:val="21"/>
                    </w:rPr>
                    <w:t>横陇小学</w:t>
                  </w:r>
                </w:p>
              </w:tc>
              <w:tc>
                <w:tcPr>
                  <w:tcW w:w="1276" w:type="dxa"/>
                  <w:shd w:val="clear" w:color="auto" w:fill="auto"/>
                  <w:vAlign w:val="center"/>
                </w:tcPr>
                <w:p>
                  <w:pPr>
                    <w:jc w:val="center"/>
                    <w:rPr>
                      <w:szCs w:val="21"/>
                    </w:rPr>
                  </w:pPr>
                  <w:r>
                    <w:rPr>
                      <w:rFonts w:hint="eastAsia"/>
                      <w:szCs w:val="21"/>
                    </w:rPr>
                    <w:t>学校</w:t>
                  </w:r>
                </w:p>
              </w:tc>
              <w:tc>
                <w:tcPr>
                  <w:tcW w:w="1250" w:type="dxa"/>
                  <w:vMerge w:val="continue"/>
                  <w:shd w:val="clear" w:color="auto" w:fill="auto"/>
                  <w:vAlign w:val="center"/>
                </w:tcPr>
                <w:p>
                  <w:pPr>
                    <w:jc w:val="center"/>
                    <w:rPr>
                      <w:szCs w:val="21"/>
                    </w:rPr>
                  </w:pPr>
                </w:p>
              </w:tc>
              <w:tc>
                <w:tcPr>
                  <w:tcW w:w="1084" w:type="dxa"/>
                  <w:vMerge w:val="continue"/>
                  <w:vAlign w:val="center"/>
                </w:tcPr>
                <w:p>
                  <w:pPr>
                    <w:jc w:val="center"/>
                    <w:rPr>
                      <w:szCs w:val="21"/>
                    </w:rPr>
                  </w:pPr>
                </w:p>
              </w:tc>
              <w:tc>
                <w:tcPr>
                  <w:tcW w:w="1084" w:type="dxa"/>
                  <w:shd w:val="clear" w:color="auto" w:fill="auto"/>
                  <w:vAlign w:val="center"/>
                </w:tcPr>
                <w:p>
                  <w:pPr>
                    <w:jc w:val="center"/>
                    <w:rPr>
                      <w:szCs w:val="21"/>
                    </w:rPr>
                  </w:pPr>
                  <w:r>
                    <w:rPr>
                      <w:rFonts w:hint="eastAsia"/>
                      <w:szCs w:val="21"/>
                    </w:rPr>
                    <w:t>南</w:t>
                  </w:r>
                </w:p>
              </w:tc>
              <w:tc>
                <w:tcPr>
                  <w:tcW w:w="1113" w:type="dxa"/>
                  <w:shd w:val="clear" w:color="auto" w:fill="auto"/>
                  <w:vAlign w:val="center"/>
                </w:tcPr>
                <w:p>
                  <w:pPr>
                    <w:jc w:val="center"/>
                    <w:rPr>
                      <w:szCs w:val="21"/>
                    </w:rPr>
                  </w:pPr>
                  <w:r>
                    <w:rPr>
                      <w:szCs w:val="21"/>
                    </w:rPr>
                    <w:t>2700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9" w:type="dxa"/>
                  <w:shd w:val="clear" w:color="auto" w:fill="auto"/>
                  <w:vAlign w:val="center"/>
                </w:tcPr>
                <w:p>
                  <w:pPr>
                    <w:jc w:val="center"/>
                    <w:rPr>
                      <w:szCs w:val="21"/>
                    </w:rPr>
                  </w:pPr>
                  <w:r>
                    <w:rPr>
                      <w:szCs w:val="21"/>
                    </w:rPr>
                    <w:t>10</w:t>
                  </w:r>
                </w:p>
              </w:tc>
              <w:tc>
                <w:tcPr>
                  <w:tcW w:w="1986" w:type="dxa"/>
                  <w:shd w:val="clear" w:color="auto" w:fill="auto"/>
                  <w:vAlign w:val="center"/>
                </w:tcPr>
                <w:p>
                  <w:pPr>
                    <w:jc w:val="center"/>
                    <w:rPr>
                      <w:szCs w:val="21"/>
                    </w:rPr>
                  </w:pPr>
                  <w:r>
                    <w:rPr>
                      <w:rFonts w:hint="eastAsia"/>
                      <w:szCs w:val="21"/>
                    </w:rPr>
                    <w:t>横陇幼儿园</w:t>
                  </w:r>
                </w:p>
              </w:tc>
              <w:tc>
                <w:tcPr>
                  <w:tcW w:w="1276" w:type="dxa"/>
                  <w:shd w:val="clear" w:color="auto" w:fill="auto"/>
                  <w:vAlign w:val="center"/>
                </w:tcPr>
                <w:p>
                  <w:pPr>
                    <w:jc w:val="center"/>
                    <w:rPr>
                      <w:szCs w:val="21"/>
                    </w:rPr>
                  </w:pPr>
                  <w:r>
                    <w:rPr>
                      <w:rFonts w:hint="eastAsia"/>
                      <w:szCs w:val="21"/>
                    </w:rPr>
                    <w:t>学校</w:t>
                  </w:r>
                </w:p>
              </w:tc>
              <w:tc>
                <w:tcPr>
                  <w:tcW w:w="1250" w:type="dxa"/>
                  <w:vMerge w:val="continue"/>
                  <w:shd w:val="clear" w:color="auto" w:fill="auto"/>
                  <w:vAlign w:val="center"/>
                </w:tcPr>
                <w:p>
                  <w:pPr>
                    <w:jc w:val="center"/>
                    <w:rPr>
                      <w:szCs w:val="21"/>
                    </w:rPr>
                  </w:pPr>
                </w:p>
              </w:tc>
              <w:tc>
                <w:tcPr>
                  <w:tcW w:w="1084" w:type="dxa"/>
                  <w:vMerge w:val="continue"/>
                  <w:vAlign w:val="center"/>
                </w:tcPr>
                <w:p>
                  <w:pPr>
                    <w:jc w:val="center"/>
                    <w:rPr>
                      <w:szCs w:val="21"/>
                    </w:rPr>
                  </w:pPr>
                </w:p>
              </w:tc>
              <w:tc>
                <w:tcPr>
                  <w:tcW w:w="1084" w:type="dxa"/>
                  <w:shd w:val="clear" w:color="auto" w:fill="auto"/>
                  <w:vAlign w:val="center"/>
                </w:tcPr>
                <w:p>
                  <w:pPr>
                    <w:jc w:val="center"/>
                    <w:rPr>
                      <w:szCs w:val="21"/>
                    </w:rPr>
                  </w:pPr>
                  <w:r>
                    <w:rPr>
                      <w:rFonts w:hint="eastAsia"/>
                      <w:szCs w:val="21"/>
                    </w:rPr>
                    <w:t>南</w:t>
                  </w:r>
                </w:p>
              </w:tc>
              <w:tc>
                <w:tcPr>
                  <w:tcW w:w="1113" w:type="dxa"/>
                  <w:shd w:val="clear" w:color="auto" w:fill="auto"/>
                  <w:vAlign w:val="center"/>
                </w:tcPr>
                <w:p>
                  <w:pPr>
                    <w:jc w:val="center"/>
                    <w:rPr>
                      <w:szCs w:val="21"/>
                    </w:rPr>
                  </w:pPr>
                  <w:r>
                    <w:rPr>
                      <w:szCs w:val="21"/>
                    </w:rPr>
                    <w:t>2700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9" w:type="dxa"/>
                  <w:shd w:val="clear" w:color="auto" w:fill="auto"/>
                  <w:vAlign w:val="center"/>
                </w:tcPr>
                <w:p>
                  <w:pPr>
                    <w:jc w:val="center"/>
                    <w:rPr>
                      <w:szCs w:val="21"/>
                    </w:rPr>
                  </w:pPr>
                  <w:r>
                    <w:rPr>
                      <w:rFonts w:hint="eastAsia"/>
                      <w:szCs w:val="21"/>
                    </w:rPr>
                    <w:t>1</w:t>
                  </w:r>
                  <w:r>
                    <w:rPr>
                      <w:szCs w:val="21"/>
                    </w:rPr>
                    <w:t>1</w:t>
                  </w:r>
                </w:p>
              </w:tc>
              <w:tc>
                <w:tcPr>
                  <w:tcW w:w="1986" w:type="dxa"/>
                  <w:shd w:val="clear" w:color="auto" w:fill="auto"/>
                  <w:vAlign w:val="center"/>
                </w:tcPr>
                <w:p>
                  <w:pPr>
                    <w:jc w:val="center"/>
                    <w:rPr>
                      <w:szCs w:val="21"/>
                    </w:rPr>
                  </w:pPr>
                  <w:r>
                    <w:rPr>
                      <w:rFonts w:hint="eastAsia"/>
                      <w:szCs w:val="21"/>
                    </w:rPr>
                    <w:t>下屋村</w:t>
                  </w:r>
                </w:p>
              </w:tc>
              <w:tc>
                <w:tcPr>
                  <w:tcW w:w="1276" w:type="dxa"/>
                  <w:shd w:val="clear" w:color="auto" w:fill="auto"/>
                  <w:vAlign w:val="center"/>
                </w:tcPr>
                <w:p>
                  <w:pPr>
                    <w:jc w:val="center"/>
                    <w:rPr>
                      <w:szCs w:val="21"/>
                    </w:rPr>
                  </w:pPr>
                  <w:r>
                    <w:rPr>
                      <w:rFonts w:hint="eastAsia"/>
                      <w:szCs w:val="21"/>
                    </w:rPr>
                    <w:t>居民区</w:t>
                  </w:r>
                </w:p>
              </w:tc>
              <w:tc>
                <w:tcPr>
                  <w:tcW w:w="1250" w:type="dxa"/>
                  <w:vMerge w:val="continue"/>
                  <w:shd w:val="clear" w:color="auto" w:fill="auto"/>
                  <w:vAlign w:val="center"/>
                </w:tcPr>
                <w:p>
                  <w:pPr>
                    <w:jc w:val="center"/>
                    <w:rPr>
                      <w:szCs w:val="21"/>
                    </w:rPr>
                  </w:pPr>
                </w:p>
              </w:tc>
              <w:tc>
                <w:tcPr>
                  <w:tcW w:w="1084" w:type="dxa"/>
                  <w:vMerge w:val="continue"/>
                  <w:vAlign w:val="center"/>
                </w:tcPr>
                <w:p>
                  <w:pPr>
                    <w:jc w:val="center"/>
                    <w:rPr>
                      <w:szCs w:val="21"/>
                    </w:rPr>
                  </w:pPr>
                </w:p>
              </w:tc>
              <w:tc>
                <w:tcPr>
                  <w:tcW w:w="1084" w:type="dxa"/>
                  <w:shd w:val="clear" w:color="auto" w:fill="auto"/>
                  <w:vAlign w:val="center"/>
                </w:tcPr>
                <w:p>
                  <w:pPr>
                    <w:jc w:val="center"/>
                    <w:rPr>
                      <w:szCs w:val="21"/>
                    </w:rPr>
                  </w:pPr>
                  <w:r>
                    <w:rPr>
                      <w:rFonts w:hint="eastAsia"/>
                      <w:szCs w:val="21"/>
                    </w:rPr>
                    <w:t>东</w:t>
                  </w:r>
                </w:p>
              </w:tc>
              <w:tc>
                <w:tcPr>
                  <w:tcW w:w="1113" w:type="dxa"/>
                  <w:shd w:val="clear" w:color="auto" w:fill="auto"/>
                  <w:vAlign w:val="center"/>
                </w:tcPr>
                <w:p>
                  <w:pPr>
                    <w:jc w:val="center"/>
                    <w:rPr>
                      <w:szCs w:val="21"/>
                    </w:rPr>
                  </w:pPr>
                  <w:r>
                    <w:rPr>
                      <w:szCs w:val="21"/>
                    </w:rPr>
                    <w:t>2200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9" w:type="dxa"/>
                  <w:shd w:val="clear" w:color="auto" w:fill="auto"/>
                  <w:vAlign w:val="center"/>
                </w:tcPr>
                <w:p>
                  <w:pPr>
                    <w:jc w:val="center"/>
                    <w:rPr>
                      <w:szCs w:val="21"/>
                    </w:rPr>
                  </w:pPr>
                  <w:r>
                    <w:rPr>
                      <w:rFonts w:hint="eastAsia"/>
                      <w:szCs w:val="21"/>
                    </w:rPr>
                    <w:t>1</w:t>
                  </w:r>
                  <w:r>
                    <w:rPr>
                      <w:szCs w:val="21"/>
                    </w:rPr>
                    <w:t>2</w:t>
                  </w:r>
                </w:p>
              </w:tc>
              <w:tc>
                <w:tcPr>
                  <w:tcW w:w="1986" w:type="dxa"/>
                  <w:shd w:val="clear" w:color="auto" w:fill="auto"/>
                  <w:vAlign w:val="center"/>
                </w:tcPr>
                <w:p>
                  <w:pPr>
                    <w:jc w:val="center"/>
                    <w:rPr>
                      <w:szCs w:val="21"/>
                    </w:rPr>
                  </w:pPr>
                  <w:r>
                    <w:rPr>
                      <w:rFonts w:hint="eastAsia"/>
                      <w:szCs w:val="21"/>
                    </w:rPr>
                    <w:t>河背村</w:t>
                  </w:r>
                </w:p>
              </w:tc>
              <w:tc>
                <w:tcPr>
                  <w:tcW w:w="1276" w:type="dxa"/>
                  <w:shd w:val="clear" w:color="auto" w:fill="auto"/>
                  <w:vAlign w:val="center"/>
                </w:tcPr>
                <w:p>
                  <w:pPr>
                    <w:jc w:val="center"/>
                    <w:rPr>
                      <w:szCs w:val="21"/>
                    </w:rPr>
                  </w:pPr>
                  <w:r>
                    <w:rPr>
                      <w:rFonts w:hint="eastAsia"/>
                      <w:szCs w:val="21"/>
                    </w:rPr>
                    <w:t>居民区</w:t>
                  </w:r>
                </w:p>
              </w:tc>
              <w:tc>
                <w:tcPr>
                  <w:tcW w:w="1250" w:type="dxa"/>
                  <w:vMerge w:val="continue"/>
                  <w:shd w:val="clear" w:color="auto" w:fill="auto"/>
                  <w:vAlign w:val="center"/>
                </w:tcPr>
                <w:p>
                  <w:pPr>
                    <w:jc w:val="center"/>
                    <w:rPr>
                      <w:szCs w:val="21"/>
                    </w:rPr>
                  </w:pPr>
                </w:p>
              </w:tc>
              <w:tc>
                <w:tcPr>
                  <w:tcW w:w="1084" w:type="dxa"/>
                  <w:vMerge w:val="continue"/>
                  <w:vAlign w:val="center"/>
                </w:tcPr>
                <w:p>
                  <w:pPr>
                    <w:jc w:val="center"/>
                    <w:rPr>
                      <w:szCs w:val="21"/>
                    </w:rPr>
                  </w:pPr>
                </w:p>
              </w:tc>
              <w:tc>
                <w:tcPr>
                  <w:tcW w:w="1084" w:type="dxa"/>
                  <w:shd w:val="clear" w:color="auto" w:fill="auto"/>
                  <w:vAlign w:val="center"/>
                </w:tcPr>
                <w:p>
                  <w:pPr>
                    <w:jc w:val="center"/>
                    <w:rPr>
                      <w:szCs w:val="21"/>
                    </w:rPr>
                  </w:pPr>
                  <w:r>
                    <w:rPr>
                      <w:rFonts w:hint="eastAsia"/>
                      <w:szCs w:val="21"/>
                    </w:rPr>
                    <w:t>东</w:t>
                  </w:r>
                </w:p>
              </w:tc>
              <w:tc>
                <w:tcPr>
                  <w:tcW w:w="1113" w:type="dxa"/>
                  <w:shd w:val="clear" w:color="auto" w:fill="auto"/>
                  <w:vAlign w:val="center"/>
                </w:tcPr>
                <w:p>
                  <w:pPr>
                    <w:jc w:val="center"/>
                    <w:rPr>
                      <w:szCs w:val="21"/>
                    </w:rPr>
                  </w:pPr>
                  <w:r>
                    <w:rPr>
                      <w:szCs w:val="21"/>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9" w:type="dxa"/>
                  <w:shd w:val="clear" w:color="auto" w:fill="auto"/>
                  <w:vAlign w:val="center"/>
                </w:tcPr>
                <w:p>
                  <w:pPr>
                    <w:jc w:val="center"/>
                    <w:rPr>
                      <w:szCs w:val="21"/>
                    </w:rPr>
                  </w:pPr>
                  <w:r>
                    <w:rPr>
                      <w:rFonts w:hint="eastAsia"/>
                      <w:szCs w:val="21"/>
                    </w:rPr>
                    <w:t>1</w:t>
                  </w:r>
                  <w:r>
                    <w:rPr>
                      <w:szCs w:val="21"/>
                    </w:rPr>
                    <w:t>3</w:t>
                  </w:r>
                </w:p>
              </w:tc>
              <w:tc>
                <w:tcPr>
                  <w:tcW w:w="1986" w:type="dxa"/>
                  <w:shd w:val="clear" w:color="auto" w:fill="auto"/>
                  <w:vAlign w:val="center"/>
                </w:tcPr>
                <w:p>
                  <w:pPr>
                    <w:jc w:val="center"/>
                    <w:rPr>
                      <w:szCs w:val="21"/>
                    </w:rPr>
                  </w:pPr>
                  <w:r>
                    <w:rPr>
                      <w:rFonts w:hint="eastAsia"/>
                      <w:szCs w:val="21"/>
                    </w:rPr>
                    <w:t>宗滩村</w:t>
                  </w:r>
                </w:p>
              </w:tc>
              <w:tc>
                <w:tcPr>
                  <w:tcW w:w="1276" w:type="dxa"/>
                  <w:shd w:val="clear" w:color="auto" w:fill="auto"/>
                  <w:vAlign w:val="center"/>
                </w:tcPr>
                <w:p>
                  <w:pPr>
                    <w:jc w:val="center"/>
                    <w:rPr>
                      <w:szCs w:val="21"/>
                    </w:rPr>
                  </w:pPr>
                  <w:r>
                    <w:rPr>
                      <w:rFonts w:hint="eastAsia"/>
                      <w:szCs w:val="21"/>
                    </w:rPr>
                    <w:t>居民区</w:t>
                  </w:r>
                </w:p>
              </w:tc>
              <w:tc>
                <w:tcPr>
                  <w:tcW w:w="1250" w:type="dxa"/>
                  <w:vMerge w:val="continue"/>
                  <w:shd w:val="clear" w:color="auto" w:fill="auto"/>
                  <w:vAlign w:val="center"/>
                </w:tcPr>
                <w:p>
                  <w:pPr>
                    <w:jc w:val="center"/>
                    <w:rPr>
                      <w:szCs w:val="21"/>
                    </w:rPr>
                  </w:pPr>
                </w:p>
              </w:tc>
              <w:tc>
                <w:tcPr>
                  <w:tcW w:w="1084" w:type="dxa"/>
                  <w:vMerge w:val="continue"/>
                  <w:vAlign w:val="center"/>
                </w:tcPr>
                <w:p>
                  <w:pPr>
                    <w:jc w:val="center"/>
                    <w:rPr>
                      <w:szCs w:val="21"/>
                    </w:rPr>
                  </w:pPr>
                </w:p>
              </w:tc>
              <w:tc>
                <w:tcPr>
                  <w:tcW w:w="1084" w:type="dxa"/>
                  <w:shd w:val="clear" w:color="auto" w:fill="auto"/>
                  <w:vAlign w:val="center"/>
                </w:tcPr>
                <w:p>
                  <w:pPr>
                    <w:jc w:val="center"/>
                    <w:rPr>
                      <w:szCs w:val="21"/>
                    </w:rPr>
                  </w:pPr>
                  <w:r>
                    <w:rPr>
                      <w:rFonts w:hint="eastAsia"/>
                      <w:szCs w:val="21"/>
                    </w:rPr>
                    <w:t>东北</w:t>
                  </w:r>
                </w:p>
              </w:tc>
              <w:tc>
                <w:tcPr>
                  <w:tcW w:w="1113" w:type="dxa"/>
                  <w:shd w:val="clear" w:color="auto" w:fill="auto"/>
                  <w:vAlign w:val="center"/>
                </w:tcPr>
                <w:p>
                  <w:pPr>
                    <w:jc w:val="center"/>
                    <w:rPr>
                      <w:szCs w:val="21"/>
                    </w:rPr>
                  </w:pPr>
                  <w:r>
                    <w:rPr>
                      <w:rFonts w:hint="eastAsia"/>
                      <w:szCs w:val="21"/>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9" w:type="dxa"/>
                  <w:shd w:val="clear" w:color="auto" w:fill="auto"/>
                  <w:vAlign w:val="center"/>
                </w:tcPr>
                <w:p>
                  <w:pPr>
                    <w:jc w:val="center"/>
                    <w:rPr>
                      <w:szCs w:val="21"/>
                    </w:rPr>
                  </w:pPr>
                  <w:r>
                    <w:rPr>
                      <w:rFonts w:hint="eastAsia"/>
                      <w:szCs w:val="21"/>
                    </w:rPr>
                    <w:t>1</w:t>
                  </w:r>
                  <w:r>
                    <w:rPr>
                      <w:szCs w:val="21"/>
                    </w:rPr>
                    <w:t>4</w:t>
                  </w:r>
                </w:p>
              </w:tc>
              <w:tc>
                <w:tcPr>
                  <w:tcW w:w="1986" w:type="dxa"/>
                  <w:shd w:val="clear" w:color="auto" w:fill="auto"/>
                  <w:vAlign w:val="center"/>
                </w:tcPr>
                <w:p>
                  <w:pPr>
                    <w:jc w:val="center"/>
                    <w:rPr>
                      <w:szCs w:val="21"/>
                    </w:rPr>
                  </w:pPr>
                  <w:r>
                    <w:rPr>
                      <w:rFonts w:hint="eastAsia"/>
                      <w:szCs w:val="21"/>
                    </w:rPr>
                    <w:t>北坑村</w:t>
                  </w:r>
                </w:p>
              </w:tc>
              <w:tc>
                <w:tcPr>
                  <w:tcW w:w="1276" w:type="dxa"/>
                  <w:shd w:val="clear" w:color="auto" w:fill="auto"/>
                  <w:vAlign w:val="center"/>
                </w:tcPr>
                <w:p>
                  <w:pPr>
                    <w:jc w:val="center"/>
                    <w:rPr>
                      <w:szCs w:val="21"/>
                    </w:rPr>
                  </w:pPr>
                  <w:r>
                    <w:rPr>
                      <w:rFonts w:hint="eastAsia"/>
                      <w:szCs w:val="21"/>
                    </w:rPr>
                    <w:t>居民区</w:t>
                  </w:r>
                </w:p>
              </w:tc>
              <w:tc>
                <w:tcPr>
                  <w:tcW w:w="1250" w:type="dxa"/>
                  <w:vMerge w:val="continue"/>
                  <w:shd w:val="clear" w:color="auto" w:fill="auto"/>
                  <w:vAlign w:val="center"/>
                </w:tcPr>
                <w:p>
                  <w:pPr>
                    <w:jc w:val="center"/>
                    <w:rPr>
                      <w:szCs w:val="21"/>
                    </w:rPr>
                  </w:pPr>
                </w:p>
              </w:tc>
              <w:tc>
                <w:tcPr>
                  <w:tcW w:w="1084" w:type="dxa"/>
                  <w:vMerge w:val="continue"/>
                  <w:vAlign w:val="center"/>
                </w:tcPr>
                <w:p>
                  <w:pPr>
                    <w:jc w:val="center"/>
                    <w:rPr>
                      <w:szCs w:val="21"/>
                    </w:rPr>
                  </w:pPr>
                </w:p>
              </w:tc>
              <w:tc>
                <w:tcPr>
                  <w:tcW w:w="1084" w:type="dxa"/>
                  <w:shd w:val="clear" w:color="auto" w:fill="auto"/>
                  <w:vAlign w:val="center"/>
                </w:tcPr>
                <w:p>
                  <w:pPr>
                    <w:jc w:val="center"/>
                    <w:rPr>
                      <w:szCs w:val="21"/>
                    </w:rPr>
                  </w:pPr>
                  <w:r>
                    <w:rPr>
                      <w:rFonts w:hint="eastAsia"/>
                      <w:szCs w:val="21"/>
                    </w:rPr>
                    <w:t>西</w:t>
                  </w:r>
                </w:p>
              </w:tc>
              <w:tc>
                <w:tcPr>
                  <w:tcW w:w="1113" w:type="dxa"/>
                  <w:shd w:val="clear" w:color="auto" w:fill="auto"/>
                  <w:vAlign w:val="center"/>
                </w:tcPr>
                <w:p>
                  <w:pPr>
                    <w:jc w:val="center"/>
                    <w:rPr>
                      <w:szCs w:val="21"/>
                    </w:rPr>
                  </w:pPr>
                  <w:r>
                    <w:rPr>
                      <w:szCs w:val="21"/>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9" w:type="dxa"/>
                  <w:shd w:val="clear" w:color="auto" w:fill="auto"/>
                  <w:vAlign w:val="center"/>
                </w:tcPr>
                <w:p>
                  <w:pPr>
                    <w:jc w:val="center"/>
                    <w:rPr>
                      <w:szCs w:val="21"/>
                    </w:rPr>
                  </w:pPr>
                  <w:r>
                    <w:rPr>
                      <w:szCs w:val="21"/>
                    </w:rPr>
                    <w:t>15</w:t>
                  </w:r>
                </w:p>
              </w:tc>
              <w:tc>
                <w:tcPr>
                  <w:tcW w:w="1986" w:type="dxa"/>
                  <w:shd w:val="clear" w:color="auto" w:fill="auto"/>
                  <w:vAlign w:val="center"/>
                </w:tcPr>
                <w:p>
                  <w:pPr>
                    <w:jc w:val="center"/>
                    <w:rPr>
                      <w:szCs w:val="21"/>
                    </w:rPr>
                  </w:pPr>
                  <w:r>
                    <w:rPr>
                      <w:rFonts w:hint="eastAsia"/>
                      <w:szCs w:val="21"/>
                    </w:rPr>
                    <w:t>新田河</w:t>
                  </w:r>
                </w:p>
              </w:tc>
              <w:tc>
                <w:tcPr>
                  <w:tcW w:w="1276" w:type="dxa"/>
                  <w:shd w:val="clear" w:color="auto" w:fill="auto"/>
                  <w:vAlign w:val="center"/>
                </w:tcPr>
                <w:p>
                  <w:pPr>
                    <w:jc w:val="center"/>
                    <w:rPr>
                      <w:szCs w:val="21"/>
                    </w:rPr>
                  </w:pPr>
                  <w:r>
                    <w:rPr>
                      <w:rFonts w:hint="eastAsia"/>
                      <w:szCs w:val="21"/>
                    </w:rPr>
                    <w:t>河流</w:t>
                  </w:r>
                </w:p>
              </w:tc>
              <w:tc>
                <w:tcPr>
                  <w:tcW w:w="1250" w:type="dxa"/>
                </w:tcPr>
                <w:p>
                  <w:pPr>
                    <w:jc w:val="center"/>
                    <w:rPr>
                      <w:szCs w:val="21"/>
                    </w:rPr>
                  </w:pPr>
                  <w:r>
                    <w:rPr>
                      <w:rFonts w:hint="eastAsia"/>
                      <w:szCs w:val="21"/>
                    </w:rPr>
                    <w:t>《地表水环境质量标准》（</w:t>
                  </w:r>
                  <w:r>
                    <w:rPr>
                      <w:szCs w:val="21"/>
                    </w:rPr>
                    <w:t>GB3838-2002</w:t>
                  </w:r>
                  <w:r>
                    <w:rPr>
                      <w:rFonts w:hint="eastAsia"/>
                      <w:szCs w:val="21"/>
                    </w:rPr>
                    <w:t>）</w:t>
                  </w:r>
                  <w:r>
                    <w:rPr>
                      <w:sz w:val="24"/>
                    </w:rPr>
                    <w:t>Ⅱ</w:t>
                  </w:r>
                  <w:r>
                    <w:rPr>
                      <w:rFonts w:hint="eastAsia"/>
                      <w:szCs w:val="21"/>
                    </w:rPr>
                    <w:t>类标准</w:t>
                  </w:r>
                </w:p>
              </w:tc>
              <w:tc>
                <w:tcPr>
                  <w:tcW w:w="1084" w:type="dxa"/>
                  <w:vAlign w:val="center"/>
                </w:tcPr>
                <w:p>
                  <w:pPr>
                    <w:jc w:val="center"/>
                    <w:rPr>
                      <w:szCs w:val="21"/>
                    </w:rPr>
                  </w:pPr>
                  <w:r>
                    <w:rPr>
                      <w:rFonts w:hint="eastAsia"/>
                      <w:szCs w:val="21"/>
                    </w:rPr>
                    <w:t>地表水</w:t>
                  </w:r>
                  <w:r>
                    <w:rPr>
                      <w:sz w:val="24"/>
                    </w:rPr>
                    <w:t>Ⅱ</w:t>
                  </w:r>
                  <w:r>
                    <w:rPr>
                      <w:rFonts w:hint="eastAsia"/>
                      <w:szCs w:val="21"/>
                    </w:rPr>
                    <w:t>类水体</w:t>
                  </w:r>
                </w:p>
              </w:tc>
              <w:tc>
                <w:tcPr>
                  <w:tcW w:w="1084" w:type="dxa"/>
                  <w:shd w:val="clear" w:color="auto" w:fill="auto"/>
                  <w:vAlign w:val="center"/>
                </w:tcPr>
                <w:p>
                  <w:pPr>
                    <w:jc w:val="center"/>
                    <w:rPr>
                      <w:szCs w:val="21"/>
                    </w:rPr>
                  </w:pPr>
                  <w:r>
                    <w:rPr>
                      <w:rFonts w:hint="eastAsia"/>
                      <w:szCs w:val="21"/>
                    </w:rPr>
                    <w:t>东面</w:t>
                  </w:r>
                </w:p>
              </w:tc>
              <w:tc>
                <w:tcPr>
                  <w:tcW w:w="1113" w:type="dxa"/>
                  <w:shd w:val="clear" w:color="auto" w:fill="auto"/>
                  <w:vAlign w:val="center"/>
                </w:tcPr>
                <w:p>
                  <w:pPr>
                    <w:jc w:val="center"/>
                    <w:rPr>
                      <w:szCs w:val="21"/>
                    </w:rPr>
                  </w:pPr>
                  <w:r>
                    <w:rPr>
                      <w:szCs w:val="21"/>
                    </w:rPr>
                    <w:t>1600</w:t>
                  </w:r>
                </w:p>
              </w:tc>
            </w:tr>
          </w:tbl>
          <w:p>
            <w:pPr>
              <w:spacing w:line="360" w:lineRule="auto"/>
              <w:outlineLvl w:val="0"/>
              <w:rPr>
                <w:b/>
                <w:sz w:val="24"/>
              </w:rPr>
            </w:pPr>
          </w:p>
          <w:p>
            <w:pPr>
              <w:spacing w:line="360" w:lineRule="auto"/>
              <w:outlineLvl w:val="0"/>
              <w:rPr>
                <w:b/>
                <w:sz w:val="24"/>
              </w:rPr>
            </w:pPr>
          </w:p>
        </w:tc>
      </w:tr>
    </w:tbl>
    <w:p>
      <w:pPr>
        <w:ind w:left="-141" w:leftChars="-67"/>
        <w:outlineLvl w:val="0"/>
        <w:rPr>
          <w:sz w:val="28"/>
          <w:szCs w:val="28"/>
        </w:rPr>
        <w:sectPr>
          <w:footerReference r:id="rId4" w:type="default"/>
          <w:pgSz w:w="11906" w:h="16838"/>
          <w:pgMar w:top="1440" w:right="1797" w:bottom="1440" w:left="1797" w:header="851" w:footer="992" w:gutter="0"/>
          <w:pgNumType w:start="1"/>
          <w:cols w:space="720" w:num="1"/>
          <w:docGrid w:linePitch="312" w:charSpace="0"/>
        </w:sectPr>
      </w:pPr>
    </w:p>
    <w:p>
      <w:pPr>
        <w:ind w:left="-141" w:leftChars="-67"/>
        <w:outlineLvl w:val="0"/>
        <w:rPr>
          <w:b/>
          <w:sz w:val="28"/>
          <w:szCs w:val="28"/>
        </w:rPr>
      </w:pPr>
      <w:r>
        <w:rPr>
          <w:rFonts w:hint="eastAsia"/>
          <w:b/>
          <w:sz w:val="28"/>
          <w:szCs w:val="28"/>
        </w:rPr>
        <w:t>评价适用标准</w:t>
      </w:r>
    </w:p>
    <w:tbl>
      <w:tblPr>
        <w:tblStyle w:val="25"/>
        <w:tblW w:w="909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07" w:hRule="atLeast"/>
          <w:jc w:val="center"/>
        </w:trPr>
        <w:tc>
          <w:tcPr>
            <w:tcW w:w="456" w:type="dxa"/>
            <w:vAlign w:val="center"/>
          </w:tcPr>
          <w:p>
            <w:pPr>
              <w:snapToGrid w:val="0"/>
              <w:spacing w:line="480" w:lineRule="exact"/>
              <w:jc w:val="center"/>
              <w:rPr>
                <w:sz w:val="24"/>
              </w:rPr>
            </w:pPr>
            <w:r>
              <w:rPr>
                <w:rFonts w:hint="eastAsia"/>
                <w:sz w:val="24"/>
              </w:rPr>
              <w:t>环</w:t>
            </w:r>
          </w:p>
          <w:p>
            <w:pPr>
              <w:snapToGrid w:val="0"/>
              <w:spacing w:line="480" w:lineRule="exact"/>
              <w:jc w:val="center"/>
              <w:rPr>
                <w:sz w:val="24"/>
              </w:rPr>
            </w:pPr>
            <w:r>
              <w:rPr>
                <w:rFonts w:hint="eastAsia"/>
                <w:sz w:val="24"/>
              </w:rPr>
              <w:t>境</w:t>
            </w:r>
          </w:p>
          <w:p>
            <w:pPr>
              <w:snapToGrid w:val="0"/>
              <w:spacing w:line="480" w:lineRule="exact"/>
              <w:jc w:val="center"/>
              <w:rPr>
                <w:sz w:val="24"/>
              </w:rPr>
            </w:pPr>
            <w:r>
              <w:rPr>
                <w:rFonts w:hint="eastAsia"/>
                <w:sz w:val="24"/>
              </w:rPr>
              <w:t>质</w:t>
            </w:r>
          </w:p>
          <w:p>
            <w:pPr>
              <w:snapToGrid w:val="0"/>
              <w:spacing w:line="480" w:lineRule="exact"/>
              <w:jc w:val="center"/>
              <w:rPr>
                <w:sz w:val="24"/>
              </w:rPr>
            </w:pPr>
            <w:r>
              <w:rPr>
                <w:rFonts w:hint="eastAsia"/>
                <w:sz w:val="24"/>
              </w:rPr>
              <w:t>量</w:t>
            </w:r>
          </w:p>
          <w:p>
            <w:pPr>
              <w:snapToGrid w:val="0"/>
              <w:spacing w:line="480" w:lineRule="exact"/>
              <w:jc w:val="center"/>
              <w:rPr>
                <w:sz w:val="24"/>
              </w:rPr>
            </w:pPr>
            <w:r>
              <w:rPr>
                <w:rFonts w:hint="eastAsia"/>
                <w:sz w:val="24"/>
              </w:rPr>
              <w:t>标</w:t>
            </w:r>
          </w:p>
          <w:p>
            <w:pPr>
              <w:snapToGrid w:val="0"/>
              <w:spacing w:line="480" w:lineRule="exact"/>
              <w:jc w:val="center"/>
              <w:rPr>
                <w:sz w:val="24"/>
              </w:rPr>
            </w:pPr>
            <w:r>
              <w:rPr>
                <w:rFonts w:hint="eastAsia"/>
                <w:sz w:val="24"/>
              </w:rPr>
              <w:t>准</w:t>
            </w:r>
          </w:p>
        </w:tc>
        <w:tc>
          <w:tcPr>
            <w:tcW w:w="8637" w:type="dxa"/>
          </w:tcPr>
          <w:p>
            <w:pPr>
              <w:spacing w:line="360" w:lineRule="auto"/>
              <w:ind w:firstLine="480" w:firstLineChars="200"/>
              <w:rPr>
                <w:sz w:val="24"/>
              </w:rPr>
            </w:pPr>
            <w:r>
              <w:rPr>
                <w:sz w:val="24"/>
              </w:rPr>
              <w:t>1</w:t>
            </w:r>
            <w:r>
              <w:rPr>
                <w:rFonts w:hint="eastAsia"/>
                <w:sz w:val="24"/>
              </w:rPr>
              <w:t>、</w:t>
            </w:r>
            <w:r>
              <w:rPr>
                <w:rFonts w:hint="eastAsia"/>
                <w:bCs/>
                <w:sz w:val="24"/>
              </w:rPr>
              <w:t>地表水</w:t>
            </w:r>
            <w:r>
              <w:rPr>
                <w:sz w:val="24"/>
              </w:rPr>
              <w:t>执行《地表水环境质量标准》</w:t>
            </w:r>
            <w:r>
              <w:rPr>
                <w:rFonts w:hint="eastAsia"/>
                <w:sz w:val="24"/>
              </w:rPr>
              <w:t>（</w:t>
            </w:r>
            <w:r>
              <w:rPr>
                <w:sz w:val="24"/>
              </w:rPr>
              <w:t>GB3838-2002）Ⅱ类标准，其浓度限值见表9。</w:t>
            </w:r>
          </w:p>
          <w:p>
            <w:pPr>
              <w:jc w:val="center"/>
              <w:rPr>
                <w:szCs w:val="21"/>
              </w:rPr>
            </w:pPr>
            <w:r>
              <w:rPr>
                <w:b/>
                <w:szCs w:val="21"/>
              </w:rPr>
              <w:t>表9 项目</w:t>
            </w:r>
            <w:r>
              <w:rPr>
                <w:rFonts w:hint="eastAsia"/>
                <w:b/>
                <w:szCs w:val="21"/>
              </w:rPr>
              <w:t>纳污水体水质标准（</w:t>
            </w:r>
            <w:r>
              <w:rPr>
                <w:b/>
                <w:szCs w:val="21"/>
              </w:rPr>
              <w:t>摘录</w:t>
            </w:r>
            <w:r>
              <w:rPr>
                <w:rFonts w:hint="eastAsia"/>
                <w:b/>
                <w:szCs w:val="21"/>
              </w:rPr>
              <w:t xml:space="preserve">） </w:t>
            </w:r>
            <w:r>
              <w:rPr>
                <w:rFonts w:hint="eastAsia"/>
                <w:szCs w:val="21"/>
              </w:rPr>
              <w:t xml:space="preserve">   </w:t>
            </w:r>
            <w:r>
              <w:rPr>
                <w:szCs w:val="21"/>
              </w:rPr>
              <w:t xml:space="preserve">单位：mg/L </w:t>
            </w:r>
          </w:p>
          <w:tbl>
            <w:tblPr>
              <w:tblStyle w:val="25"/>
              <w:tblW w:w="841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1"/>
              <w:gridCol w:w="1775"/>
              <w:gridCol w:w="1665"/>
              <w:gridCol w:w="1608"/>
              <w:gridCol w:w="1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71" w:type="dxa"/>
                  <w:vAlign w:val="center"/>
                </w:tcPr>
                <w:p>
                  <w:pPr>
                    <w:jc w:val="center"/>
                    <w:rPr>
                      <w:bCs/>
                      <w:szCs w:val="21"/>
                    </w:rPr>
                  </w:pPr>
                  <w:r>
                    <w:rPr>
                      <w:rFonts w:hAnsi="宋体"/>
                      <w:bCs/>
                      <w:szCs w:val="21"/>
                    </w:rPr>
                    <w:t>项目</w:t>
                  </w:r>
                </w:p>
              </w:tc>
              <w:tc>
                <w:tcPr>
                  <w:tcW w:w="1775" w:type="dxa"/>
                  <w:vAlign w:val="center"/>
                </w:tcPr>
                <w:p>
                  <w:pPr>
                    <w:widowControl/>
                    <w:jc w:val="center"/>
                    <w:rPr>
                      <w:bCs/>
                      <w:kern w:val="0"/>
                      <w:szCs w:val="21"/>
                    </w:rPr>
                  </w:pPr>
                  <w:r>
                    <w:rPr>
                      <w:bCs/>
                      <w:kern w:val="0"/>
                      <w:szCs w:val="21"/>
                    </w:rPr>
                    <w:t>COD</w:t>
                  </w:r>
                </w:p>
              </w:tc>
              <w:tc>
                <w:tcPr>
                  <w:tcW w:w="1665" w:type="dxa"/>
                  <w:vAlign w:val="center"/>
                </w:tcPr>
                <w:p>
                  <w:pPr>
                    <w:widowControl/>
                    <w:jc w:val="center"/>
                    <w:rPr>
                      <w:bCs/>
                      <w:kern w:val="0"/>
                      <w:szCs w:val="21"/>
                    </w:rPr>
                  </w:pPr>
                  <w:r>
                    <w:rPr>
                      <w:bCs/>
                      <w:kern w:val="0"/>
                      <w:szCs w:val="21"/>
                    </w:rPr>
                    <w:t>BOD</w:t>
                  </w:r>
                  <w:r>
                    <w:rPr>
                      <w:bCs/>
                      <w:kern w:val="0"/>
                      <w:szCs w:val="21"/>
                      <w:vertAlign w:val="subscript"/>
                    </w:rPr>
                    <w:t>5</w:t>
                  </w:r>
                </w:p>
              </w:tc>
              <w:tc>
                <w:tcPr>
                  <w:tcW w:w="1608" w:type="dxa"/>
                  <w:vAlign w:val="center"/>
                </w:tcPr>
                <w:p>
                  <w:pPr>
                    <w:widowControl/>
                    <w:jc w:val="center"/>
                    <w:rPr>
                      <w:bCs/>
                      <w:kern w:val="0"/>
                      <w:szCs w:val="21"/>
                    </w:rPr>
                  </w:pPr>
                  <w:r>
                    <w:rPr>
                      <w:rFonts w:hint="eastAsia"/>
                      <w:bCs/>
                      <w:kern w:val="0"/>
                      <w:szCs w:val="21"/>
                    </w:rPr>
                    <w:t>氨氮</w:t>
                  </w:r>
                </w:p>
              </w:tc>
              <w:tc>
                <w:tcPr>
                  <w:tcW w:w="1892" w:type="dxa"/>
                  <w:vAlign w:val="center"/>
                </w:tcPr>
                <w:p>
                  <w:pPr>
                    <w:widowControl/>
                    <w:jc w:val="center"/>
                    <w:rPr>
                      <w:bCs/>
                      <w:kern w:val="0"/>
                      <w:szCs w:val="21"/>
                    </w:rPr>
                  </w:pPr>
                  <w:r>
                    <w:rPr>
                      <w:rFonts w:hint="eastAsia"/>
                      <w:bCs/>
                      <w:kern w:val="0"/>
                      <w:szCs w:val="21"/>
                    </w:rPr>
                    <w:t>D</w:t>
                  </w:r>
                  <w:r>
                    <w:rPr>
                      <w:bCs/>
                      <w:kern w:val="0"/>
                      <w:szCs w:val="21"/>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71" w:type="dxa"/>
                  <w:vAlign w:val="center"/>
                </w:tcPr>
                <w:p>
                  <w:pPr>
                    <w:pStyle w:val="48"/>
                    <w:spacing w:line="240" w:lineRule="auto"/>
                    <w:rPr>
                      <w:rFonts w:ascii="Times New Roman"/>
                      <w:kern w:val="2"/>
                      <w:szCs w:val="21"/>
                    </w:rPr>
                  </w:pPr>
                  <w:r>
                    <w:rPr>
                      <w:rFonts w:ascii="Times New Roman"/>
                      <w:sz w:val="24"/>
                    </w:rPr>
                    <w:t>Ⅱ</w:t>
                  </w:r>
                  <w:r>
                    <w:rPr>
                      <w:rFonts w:ascii="Times New Roman" w:hAnsi="宋体"/>
                      <w:kern w:val="2"/>
                      <w:szCs w:val="21"/>
                    </w:rPr>
                    <w:t>类</w:t>
                  </w:r>
                </w:p>
              </w:tc>
              <w:tc>
                <w:tcPr>
                  <w:tcW w:w="1775" w:type="dxa"/>
                  <w:vAlign w:val="center"/>
                </w:tcPr>
                <w:p>
                  <w:pPr>
                    <w:widowControl/>
                    <w:jc w:val="center"/>
                    <w:rPr>
                      <w:kern w:val="0"/>
                      <w:szCs w:val="21"/>
                    </w:rPr>
                  </w:pPr>
                  <w:r>
                    <w:rPr>
                      <w:rFonts w:hint="eastAsia"/>
                      <w:kern w:val="0"/>
                      <w:szCs w:val="21"/>
                    </w:rPr>
                    <w:t>≤</w:t>
                  </w:r>
                  <w:r>
                    <w:rPr>
                      <w:kern w:val="0"/>
                      <w:szCs w:val="21"/>
                    </w:rPr>
                    <w:t>15</w:t>
                  </w:r>
                </w:p>
              </w:tc>
              <w:tc>
                <w:tcPr>
                  <w:tcW w:w="1665" w:type="dxa"/>
                  <w:vAlign w:val="center"/>
                </w:tcPr>
                <w:p>
                  <w:pPr>
                    <w:widowControl/>
                    <w:jc w:val="center"/>
                    <w:rPr>
                      <w:kern w:val="0"/>
                      <w:szCs w:val="21"/>
                    </w:rPr>
                  </w:pPr>
                  <w:r>
                    <w:rPr>
                      <w:rFonts w:hint="eastAsia"/>
                      <w:kern w:val="0"/>
                      <w:szCs w:val="21"/>
                    </w:rPr>
                    <w:t>≤3</w:t>
                  </w:r>
                </w:p>
              </w:tc>
              <w:tc>
                <w:tcPr>
                  <w:tcW w:w="1608" w:type="dxa"/>
                  <w:vAlign w:val="center"/>
                </w:tcPr>
                <w:p>
                  <w:pPr>
                    <w:widowControl/>
                    <w:jc w:val="center"/>
                    <w:rPr>
                      <w:kern w:val="0"/>
                      <w:szCs w:val="21"/>
                    </w:rPr>
                  </w:pPr>
                  <w:r>
                    <w:rPr>
                      <w:rFonts w:hint="eastAsia"/>
                      <w:kern w:val="0"/>
                      <w:szCs w:val="21"/>
                    </w:rPr>
                    <w:t>≤</w:t>
                  </w:r>
                  <w:r>
                    <w:rPr>
                      <w:kern w:val="0"/>
                      <w:szCs w:val="21"/>
                    </w:rPr>
                    <w:t>0.5</w:t>
                  </w:r>
                </w:p>
              </w:tc>
              <w:tc>
                <w:tcPr>
                  <w:tcW w:w="1892" w:type="dxa"/>
                  <w:vAlign w:val="center"/>
                </w:tcPr>
                <w:p>
                  <w:pPr>
                    <w:widowControl/>
                    <w:jc w:val="center"/>
                    <w:rPr>
                      <w:kern w:val="0"/>
                      <w:szCs w:val="21"/>
                    </w:rPr>
                  </w:pPr>
                  <w:r>
                    <w:rPr>
                      <w:rFonts w:hint="eastAsia"/>
                      <w:kern w:val="0"/>
                      <w:szCs w:val="21"/>
                    </w:rPr>
                    <w:t>≥</w:t>
                  </w:r>
                  <w:r>
                    <w:rPr>
                      <w:kern w:val="0"/>
                      <w:szCs w:val="21"/>
                    </w:rPr>
                    <w:t>6</w:t>
                  </w:r>
                </w:p>
              </w:tc>
            </w:tr>
          </w:tbl>
          <w:p>
            <w:pPr>
              <w:spacing w:before="120" w:beforeLines="50" w:line="360" w:lineRule="auto"/>
              <w:ind w:firstLine="480" w:firstLineChars="200"/>
              <w:rPr>
                <w:sz w:val="24"/>
              </w:rPr>
            </w:pPr>
            <w:r>
              <w:rPr>
                <w:sz w:val="24"/>
              </w:rPr>
              <w:t>2、</w:t>
            </w:r>
            <w:r>
              <w:rPr>
                <w:rFonts w:hint="eastAsia"/>
                <w:sz w:val="24"/>
              </w:rPr>
              <w:t>本</w:t>
            </w:r>
            <w:r>
              <w:rPr>
                <w:sz w:val="24"/>
              </w:rPr>
              <w:t>项目所在地</w:t>
            </w:r>
            <w:r>
              <w:rPr>
                <w:rFonts w:hint="eastAsia"/>
                <w:sz w:val="24"/>
              </w:rPr>
              <w:t>环境空气质量</w:t>
            </w:r>
            <w:r>
              <w:rPr>
                <w:sz w:val="24"/>
              </w:rPr>
              <w:t>执行《环境空气质量标准》(GB3095-2012)</w:t>
            </w:r>
            <w:r>
              <w:rPr>
                <w:rFonts w:hint="eastAsia"/>
                <w:sz w:val="24"/>
              </w:rPr>
              <w:t>二</w:t>
            </w:r>
            <w:r>
              <w:rPr>
                <w:sz w:val="24"/>
              </w:rPr>
              <w:t>级标准。</w:t>
            </w:r>
          </w:p>
          <w:p>
            <w:pPr>
              <w:jc w:val="center"/>
              <w:rPr>
                <w:b/>
                <w:bCs/>
                <w:szCs w:val="21"/>
              </w:rPr>
            </w:pPr>
            <w:r>
              <w:rPr>
                <w:b/>
                <w:bCs/>
                <w:szCs w:val="21"/>
              </w:rPr>
              <w:t>表10 项目所在区域环境空气质量标准</w:t>
            </w:r>
            <w:r>
              <w:rPr>
                <w:rFonts w:hint="eastAsia"/>
                <w:b/>
                <w:bCs/>
                <w:szCs w:val="21"/>
              </w:rPr>
              <w:t xml:space="preserve">      </w:t>
            </w:r>
            <w:r>
              <w:rPr>
                <w:bCs/>
                <w:szCs w:val="21"/>
              </w:rPr>
              <w:t>单位：</w:t>
            </w:r>
            <w:r>
              <w:rPr>
                <w:szCs w:val="21"/>
              </w:rPr>
              <w:t>μg/m</w:t>
            </w:r>
            <w:r>
              <w:rPr>
                <w:szCs w:val="21"/>
                <w:vertAlign w:val="superscript"/>
              </w:rPr>
              <w:t>3</w:t>
            </w:r>
            <w:r>
              <w:rPr>
                <w:rFonts w:hint="eastAsia"/>
                <w:szCs w:val="21"/>
                <w:vertAlign w:val="superscript"/>
              </w:rPr>
              <w:t xml:space="preserve"> </w:t>
            </w:r>
          </w:p>
          <w:tbl>
            <w:tblPr>
              <w:tblStyle w:val="25"/>
              <w:tblW w:w="841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8"/>
              <w:gridCol w:w="1559"/>
              <w:gridCol w:w="1559"/>
              <w:gridCol w:w="1276"/>
              <w:gridCol w:w="1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2118" w:type="dxa"/>
                  <w:vAlign w:val="center"/>
                </w:tcPr>
                <w:p>
                  <w:pPr>
                    <w:pStyle w:val="48"/>
                    <w:spacing w:line="240" w:lineRule="auto"/>
                    <w:rPr>
                      <w:rFonts w:ascii="Times New Roman"/>
                      <w:b/>
                      <w:kern w:val="2"/>
                      <w:szCs w:val="21"/>
                    </w:rPr>
                  </w:pPr>
                  <w:r>
                    <w:rPr>
                      <w:rFonts w:ascii="Times New Roman"/>
                      <w:b/>
                      <w:kern w:val="2"/>
                      <w:szCs w:val="21"/>
                    </w:rPr>
                    <w:t>污染物名称</w:t>
                  </w:r>
                </w:p>
              </w:tc>
              <w:tc>
                <w:tcPr>
                  <w:tcW w:w="1559" w:type="dxa"/>
                  <w:vAlign w:val="center"/>
                </w:tcPr>
                <w:p>
                  <w:pPr>
                    <w:pStyle w:val="48"/>
                    <w:spacing w:line="240" w:lineRule="auto"/>
                    <w:rPr>
                      <w:rFonts w:ascii="Times New Roman"/>
                      <w:b/>
                      <w:kern w:val="2"/>
                      <w:szCs w:val="21"/>
                    </w:rPr>
                  </w:pPr>
                  <w:r>
                    <w:rPr>
                      <w:rFonts w:ascii="Times New Roman"/>
                      <w:b/>
                      <w:kern w:val="2"/>
                      <w:szCs w:val="21"/>
                    </w:rPr>
                    <w:t>1小时平均</w:t>
                  </w:r>
                </w:p>
              </w:tc>
              <w:tc>
                <w:tcPr>
                  <w:tcW w:w="1559" w:type="dxa"/>
                  <w:vAlign w:val="center"/>
                </w:tcPr>
                <w:p>
                  <w:pPr>
                    <w:pStyle w:val="48"/>
                    <w:spacing w:line="240" w:lineRule="auto"/>
                    <w:rPr>
                      <w:rFonts w:ascii="Times New Roman"/>
                      <w:b/>
                      <w:kern w:val="2"/>
                      <w:szCs w:val="21"/>
                    </w:rPr>
                  </w:pPr>
                  <w:r>
                    <w:rPr>
                      <w:rFonts w:ascii="Times New Roman"/>
                      <w:b/>
                      <w:kern w:val="2"/>
                      <w:szCs w:val="21"/>
                    </w:rPr>
                    <w:t>24小时均值</w:t>
                  </w:r>
                </w:p>
              </w:tc>
              <w:tc>
                <w:tcPr>
                  <w:tcW w:w="1276" w:type="dxa"/>
                  <w:vAlign w:val="center"/>
                </w:tcPr>
                <w:p>
                  <w:pPr>
                    <w:pStyle w:val="48"/>
                    <w:spacing w:line="240" w:lineRule="auto"/>
                    <w:rPr>
                      <w:rFonts w:ascii="Times New Roman"/>
                      <w:b/>
                      <w:kern w:val="2"/>
                      <w:szCs w:val="21"/>
                    </w:rPr>
                  </w:pPr>
                  <w:r>
                    <w:rPr>
                      <w:rFonts w:ascii="Times New Roman"/>
                      <w:b/>
                      <w:kern w:val="2"/>
                      <w:szCs w:val="21"/>
                    </w:rPr>
                    <w:t>年</w:t>
                  </w:r>
                  <w:r>
                    <w:rPr>
                      <w:rFonts w:hint="eastAsia" w:ascii="Times New Roman"/>
                      <w:b/>
                      <w:kern w:val="2"/>
                      <w:szCs w:val="21"/>
                    </w:rPr>
                    <w:t>均</w:t>
                  </w:r>
                  <w:r>
                    <w:rPr>
                      <w:rFonts w:ascii="Times New Roman"/>
                      <w:b/>
                      <w:kern w:val="2"/>
                      <w:szCs w:val="21"/>
                    </w:rPr>
                    <w:t>值</w:t>
                  </w:r>
                </w:p>
              </w:tc>
              <w:tc>
                <w:tcPr>
                  <w:tcW w:w="1899" w:type="dxa"/>
                  <w:vAlign w:val="center"/>
                </w:tcPr>
                <w:p>
                  <w:pPr>
                    <w:pStyle w:val="48"/>
                    <w:rPr>
                      <w:rFonts w:ascii="Times New Roman"/>
                      <w:b/>
                      <w:kern w:val="2"/>
                      <w:szCs w:val="21"/>
                    </w:rPr>
                  </w:pPr>
                  <w:r>
                    <w:rPr>
                      <w:rFonts w:hint="eastAsia" w:ascii="Times New Roman"/>
                      <w:b/>
                      <w:kern w:val="2"/>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2118" w:type="dxa"/>
                  <w:vAlign w:val="center"/>
                </w:tcPr>
                <w:p>
                  <w:pPr>
                    <w:pStyle w:val="48"/>
                    <w:spacing w:line="240" w:lineRule="auto"/>
                    <w:rPr>
                      <w:rFonts w:ascii="Times New Roman"/>
                      <w:kern w:val="2"/>
                      <w:szCs w:val="21"/>
                    </w:rPr>
                  </w:pPr>
                  <w:r>
                    <w:rPr>
                      <w:rFonts w:ascii="Times New Roman"/>
                      <w:kern w:val="2"/>
                      <w:szCs w:val="21"/>
                    </w:rPr>
                    <w:t>SO</w:t>
                  </w:r>
                  <w:r>
                    <w:rPr>
                      <w:rFonts w:ascii="Times New Roman"/>
                      <w:kern w:val="2"/>
                      <w:szCs w:val="21"/>
                      <w:vertAlign w:val="subscript"/>
                    </w:rPr>
                    <w:t>2</w:t>
                  </w:r>
                </w:p>
              </w:tc>
              <w:tc>
                <w:tcPr>
                  <w:tcW w:w="1559" w:type="dxa"/>
                  <w:vAlign w:val="center"/>
                </w:tcPr>
                <w:p>
                  <w:pPr>
                    <w:pStyle w:val="48"/>
                    <w:spacing w:line="240" w:lineRule="auto"/>
                    <w:rPr>
                      <w:rFonts w:ascii="Times New Roman"/>
                      <w:kern w:val="2"/>
                      <w:szCs w:val="21"/>
                    </w:rPr>
                  </w:pPr>
                  <w:r>
                    <w:rPr>
                      <w:rFonts w:hint="eastAsia" w:ascii="Times New Roman"/>
                      <w:kern w:val="2"/>
                      <w:szCs w:val="21"/>
                    </w:rPr>
                    <w:t>500</w:t>
                  </w:r>
                </w:p>
              </w:tc>
              <w:tc>
                <w:tcPr>
                  <w:tcW w:w="1559" w:type="dxa"/>
                  <w:vAlign w:val="center"/>
                </w:tcPr>
                <w:p>
                  <w:pPr>
                    <w:pStyle w:val="48"/>
                    <w:spacing w:line="240" w:lineRule="auto"/>
                    <w:rPr>
                      <w:rFonts w:ascii="Times New Roman"/>
                      <w:kern w:val="2"/>
                      <w:szCs w:val="21"/>
                    </w:rPr>
                  </w:pPr>
                  <w:r>
                    <w:rPr>
                      <w:rFonts w:hint="eastAsia" w:ascii="Times New Roman"/>
                      <w:kern w:val="2"/>
                      <w:szCs w:val="21"/>
                    </w:rPr>
                    <w:t>150</w:t>
                  </w:r>
                </w:p>
              </w:tc>
              <w:tc>
                <w:tcPr>
                  <w:tcW w:w="1276" w:type="dxa"/>
                  <w:vAlign w:val="center"/>
                </w:tcPr>
                <w:p>
                  <w:pPr>
                    <w:pStyle w:val="48"/>
                    <w:spacing w:line="240" w:lineRule="auto"/>
                    <w:rPr>
                      <w:rFonts w:ascii="Times New Roman"/>
                      <w:kern w:val="2"/>
                      <w:szCs w:val="21"/>
                    </w:rPr>
                  </w:pPr>
                  <w:r>
                    <w:rPr>
                      <w:rFonts w:hint="eastAsia" w:ascii="Times New Roman"/>
                      <w:kern w:val="2"/>
                      <w:szCs w:val="21"/>
                    </w:rPr>
                    <w:t>60</w:t>
                  </w:r>
                </w:p>
              </w:tc>
              <w:tc>
                <w:tcPr>
                  <w:tcW w:w="1899" w:type="dxa"/>
                  <w:vMerge w:val="restart"/>
                  <w:vAlign w:val="center"/>
                </w:tcPr>
                <w:p>
                  <w:pPr>
                    <w:pStyle w:val="48"/>
                    <w:rPr>
                      <w:rFonts w:ascii="Times New Roman"/>
                      <w:kern w:val="2"/>
                      <w:szCs w:val="21"/>
                    </w:rPr>
                  </w:pPr>
                  <w:r>
                    <w:rPr>
                      <w:rFonts w:hint="eastAsia" w:ascii="Times New Roman"/>
                      <w:kern w:val="2"/>
                      <w:szCs w:val="21"/>
                    </w:rPr>
                    <w:t>《环境空气质量标准》</w:t>
                  </w:r>
                </w:p>
                <w:p>
                  <w:pPr>
                    <w:pStyle w:val="48"/>
                    <w:rPr>
                      <w:rFonts w:ascii="Times New Roman"/>
                      <w:kern w:val="2"/>
                      <w:szCs w:val="21"/>
                    </w:rPr>
                  </w:pPr>
                  <w:r>
                    <w:rPr>
                      <w:rFonts w:hint="eastAsia" w:ascii="Times New Roman"/>
                      <w:kern w:val="2"/>
                      <w:szCs w:val="21"/>
                    </w:rPr>
                    <w:t>（GB3095-2012）</w:t>
                  </w:r>
                </w:p>
                <w:p>
                  <w:pPr>
                    <w:pStyle w:val="48"/>
                    <w:rPr>
                      <w:rFonts w:ascii="Times New Roman"/>
                      <w:kern w:val="2"/>
                      <w:szCs w:val="21"/>
                    </w:rPr>
                  </w:pPr>
                  <w:r>
                    <w:rPr>
                      <w:rFonts w:hint="eastAsia" w:ascii="Times New Roman"/>
                      <w:kern w:val="2"/>
                      <w:szCs w:val="21"/>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2118" w:type="dxa"/>
                  <w:vAlign w:val="center"/>
                </w:tcPr>
                <w:p>
                  <w:pPr>
                    <w:pStyle w:val="48"/>
                    <w:spacing w:line="240" w:lineRule="auto"/>
                    <w:rPr>
                      <w:rFonts w:ascii="Times New Roman"/>
                      <w:kern w:val="2"/>
                      <w:szCs w:val="21"/>
                    </w:rPr>
                  </w:pPr>
                  <w:r>
                    <w:rPr>
                      <w:rFonts w:ascii="Times New Roman"/>
                      <w:kern w:val="2"/>
                      <w:szCs w:val="21"/>
                    </w:rPr>
                    <w:t>NO</w:t>
                  </w:r>
                  <w:r>
                    <w:rPr>
                      <w:rFonts w:ascii="Times New Roman"/>
                      <w:kern w:val="2"/>
                      <w:szCs w:val="21"/>
                      <w:vertAlign w:val="subscript"/>
                    </w:rPr>
                    <w:t>2</w:t>
                  </w:r>
                </w:p>
              </w:tc>
              <w:tc>
                <w:tcPr>
                  <w:tcW w:w="1559" w:type="dxa"/>
                  <w:vAlign w:val="center"/>
                </w:tcPr>
                <w:p>
                  <w:pPr>
                    <w:pStyle w:val="48"/>
                    <w:spacing w:line="240" w:lineRule="auto"/>
                    <w:rPr>
                      <w:rFonts w:ascii="Times New Roman"/>
                      <w:kern w:val="2"/>
                      <w:szCs w:val="21"/>
                    </w:rPr>
                  </w:pPr>
                  <w:r>
                    <w:rPr>
                      <w:rFonts w:hint="eastAsia" w:ascii="Times New Roman"/>
                      <w:kern w:val="2"/>
                      <w:szCs w:val="21"/>
                    </w:rPr>
                    <w:t>200</w:t>
                  </w:r>
                </w:p>
              </w:tc>
              <w:tc>
                <w:tcPr>
                  <w:tcW w:w="1559" w:type="dxa"/>
                  <w:vAlign w:val="center"/>
                </w:tcPr>
                <w:p>
                  <w:pPr>
                    <w:pStyle w:val="48"/>
                    <w:spacing w:line="240" w:lineRule="auto"/>
                    <w:rPr>
                      <w:rFonts w:ascii="Times New Roman"/>
                      <w:kern w:val="2"/>
                      <w:szCs w:val="21"/>
                    </w:rPr>
                  </w:pPr>
                  <w:r>
                    <w:rPr>
                      <w:rFonts w:hint="eastAsia" w:ascii="Times New Roman"/>
                      <w:kern w:val="2"/>
                      <w:szCs w:val="21"/>
                    </w:rPr>
                    <w:t>80</w:t>
                  </w:r>
                </w:p>
              </w:tc>
              <w:tc>
                <w:tcPr>
                  <w:tcW w:w="1276" w:type="dxa"/>
                  <w:vAlign w:val="center"/>
                </w:tcPr>
                <w:p>
                  <w:pPr>
                    <w:pStyle w:val="48"/>
                    <w:spacing w:line="240" w:lineRule="auto"/>
                    <w:rPr>
                      <w:rFonts w:ascii="Times New Roman"/>
                      <w:kern w:val="2"/>
                      <w:szCs w:val="21"/>
                    </w:rPr>
                  </w:pPr>
                  <w:r>
                    <w:rPr>
                      <w:rFonts w:hint="eastAsia" w:ascii="Times New Roman"/>
                      <w:kern w:val="2"/>
                      <w:szCs w:val="21"/>
                    </w:rPr>
                    <w:t>40</w:t>
                  </w:r>
                </w:p>
              </w:tc>
              <w:tc>
                <w:tcPr>
                  <w:tcW w:w="1899" w:type="dxa"/>
                  <w:vMerge w:val="continue"/>
                  <w:vAlign w:val="center"/>
                </w:tcPr>
                <w:p>
                  <w:pPr>
                    <w:pStyle w:val="48"/>
                    <w:rPr>
                      <w:rFonts w:ascii="Times New Roman"/>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2118" w:type="dxa"/>
                  <w:vAlign w:val="center"/>
                </w:tcPr>
                <w:p>
                  <w:pPr>
                    <w:pStyle w:val="48"/>
                    <w:spacing w:line="240" w:lineRule="auto"/>
                    <w:rPr>
                      <w:rFonts w:ascii="Times New Roman"/>
                      <w:kern w:val="2"/>
                      <w:szCs w:val="21"/>
                    </w:rPr>
                  </w:pPr>
                  <w:r>
                    <w:rPr>
                      <w:rFonts w:hint="eastAsia" w:ascii="Times New Roman"/>
                      <w:kern w:val="2"/>
                      <w:szCs w:val="21"/>
                    </w:rPr>
                    <w:t>O</w:t>
                  </w:r>
                  <w:r>
                    <w:rPr>
                      <w:rFonts w:hint="eastAsia" w:ascii="Times New Roman"/>
                      <w:kern w:val="2"/>
                      <w:szCs w:val="21"/>
                      <w:vertAlign w:val="subscript"/>
                    </w:rPr>
                    <w:t>3</w:t>
                  </w:r>
                </w:p>
              </w:tc>
              <w:tc>
                <w:tcPr>
                  <w:tcW w:w="1559" w:type="dxa"/>
                  <w:vAlign w:val="center"/>
                </w:tcPr>
                <w:p>
                  <w:pPr>
                    <w:pStyle w:val="48"/>
                    <w:spacing w:line="240" w:lineRule="auto"/>
                    <w:rPr>
                      <w:rFonts w:ascii="Times New Roman"/>
                      <w:kern w:val="2"/>
                      <w:szCs w:val="21"/>
                    </w:rPr>
                  </w:pPr>
                  <w:r>
                    <w:rPr>
                      <w:rFonts w:hint="eastAsia" w:ascii="Times New Roman"/>
                      <w:kern w:val="2"/>
                      <w:szCs w:val="21"/>
                    </w:rPr>
                    <w:t>200</w:t>
                  </w:r>
                </w:p>
              </w:tc>
              <w:tc>
                <w:tcPr>
                  <w:tcW w:w="1559" w:type="dxa"/>
                  <w:vAlign w:val="center"/>
                </w:tcPr>
                <w:p>
                  <w:pPr>
                    <w:pStyle w:val="48"/>
                    <w:spacing w:line="240" w:lineRule="auto"/>
                    <w:rPr>
                      <w:rFonts w:ascii="Times New Roman"/>
                      <w:kern w:val="2"/>
                      <w:szCs w:val="21"/>
                    </w:rPr>
                  </w:pPr>
                  <w:r>
                    <w:rPr>
                      <w:rFonts w:hint="eastAsia" w:ascii="Times New Roman"/>
                      <w:kern w:val="2"/>
                      <w:szCs w:val="21"/>
                    </w:rPr>
                    <w:t>160（8小时均值）</w:t>
                  </w:r>
                </w:p>
              </w:tc>
              <w:tc>
                <w:tcPr>
                  <w:tcW w:w="1276" w:type="dxa"/>
                  <w:vAlign w:val="center"/>
                </w:tcPr>
                <w:p>
                  <w:pPr>
                    <w:pStyle w:val="48"/>
                    <w:spacing w:line="240" w:lineRule="auto"/>
                    <w:rPr>
                      <w:rFonts w:ascii="Times New Roman"/>
                      <w:kern w:val="2"/>
                      <w:szCs w:val="21"/>
                    </w:rPr>
                  </w:pPr>
                  <w:r>
                    <w:rPr>
                      <w:rFonts w:ascii="Times New Roman"/>
                      <w:kern w:val="2"/>
                      <w:szCs w:val="21"/>
                    </w:rPr>
                    <w:t>－</w:t>
                  </w:r>
                </w:p>
              </w:tc>
              <w:tc>
                <w:tcPr>
                  <w:tcW w:w="1899" w:type="dxa"/>
                  <w:vMerge w:val="continue"/>
                  <w:vAlign w:val="center"/>
                </w:tcPr>
                <w:p>
                  <w:pPr>
                    <w:pStyle w:val="48"/>
                    <w:rPr>
                      <w:rFonts w:ascii="Times New Roman"/>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2118" w:type="dxa"/>
                  <w:vAlign w:val="center"/>
                </w:tcPr>
                <w:p>
                  <w:pPr>
                    <w:pStyle w:val="48"/>
                    <w:spacing w:line="240" w:lineRule="auto"/>
                    <w:rPr>
                      <w:rFonts w:ascii="Times New Roman"/>
                      <w:kern w:val="2"/>
                      <w:szCs w:val="21"/>
                    </w:rPr>
                  </w:pPr>
                  <w:r>
                    <w:rPr>
                      <w:rFonts w:ascii="Times New Roman"/>
                      <w:kern w:val="2"/>
                      <w:szCs w:val="21"/>
                    </w:rPr>
                    <w:t>PM</w:t>
                  </w:r>
                  <w:r>
                    <w:rPr>
                      <w:rFonts w:ascii="Times New Roman"/>
                      <w:kern w:val="2"/>
                      <w:szCs w:val="21"/>
                      <w:vertAlign w:val="subscript"/>
                    </w:rPr>
                    <w:t>10</w:t>
                  </w:r>
                </w:p>
              </w:tc>
              <w:tc>
                <w:tcPr>
                  <w:tcW w:w="1559" w:type="dxa"/>
                  <w:vAlign w:val="center"/>
                </w:tcPr>
                <w:p>
                  <w:pPr>
                    <w:pStyle w:val="48"/>
                    <w:spacing w:line="240" w:lineRule="auto"/>
                    <w:rPr>
                      <w:rFonts w:ascii="Times New Roman"/>
                      <w:kern w:val="2"/>
                      <w:szCs w:val="21"/>
                    </w:rPr>
                  </w:pPr>
                  <w:r>
                    <w:rPr>
                      <w:rFonts w:ascii="Times New Roman"/>
                      <w:kern w:val="2"/>
                      <w:szCs w:val="21"/>
                    </w:rPr>
                    <w:t>－</w:t>
                  </w:r>
                </w:p>
              </w:tc>
              <w:tc>
                <w:tcPr>
                  <w:tcW w:w="1559" w:type="dxa"/>
                  <w:vAlign w:val="center"/>
                </w:tcPr>
                <w:p>
                  <w:pPr>
                    <w:pStyle w:val="48"/>
                    <w:spacing w:line="240" w:lineRule="auto"/>
                    <w:rPr>
                      <w:rFonts w:ascii="Times New Roman"/>
                      <w:kern w:val="2"/>
                      <w:szCs w:val="21"/>
                    </w:rPr>
                  </w:pPr>
                  <w:r>
                    <w:rPr>
                      <w:rFonts w:hint="eastAsia" w:ascii="Times New Roman"/>
                      <w:kern w:val="2"/>
                      <w:szCs w:val="21"/>
                    </w:rPr>
                    <w:t>150</w:t>
                  </w:r>
                </w:p>
              </w:tc>
              <w:tc>
                <w:tcPr>
                  <w:tcW w:w="1276" w:type="dxa"/>
                  <w:vAlign w:val="center"/>
                </w:tcPr>
                <w:p>
                  <w:pPr>
                    <w:pStyle w:val="48"/>
                    <w:spacing w:line="240" w:lineRule="auto"/>
                    <w:rPr>
                      <w:rFonts w:ascii="Times New Roman"/>
                      <w:kern w:val="2"/>
                      <w:szCs w:val="21"/>
                    </w:rPr>
                  </w:pPr>
                  <w:r>
                    <w:rPr>
                      <w:rFonts w:hint="eastAsia" w:ascii="Times New Roman"/>
                      <w:kern w:val="2"/>
                      <w:szCs w:val="21"/>
                    </w:rPr>
                    <w:t>70</w:t>
                  </w:r>
                </w:p>
              </w:tc>
              <w:tc>
                <w:tcPr>
                  <w:tcW w:w="1899" w:type="dxa"/>
                  <w:vMerge w:val="continue"/>
                  <w:vAlign w:val="center"/>
                </w:tcPr>
                <w:p>
                  <w:pPr>
                    <w:pStyle w:val="48"/>
                    <w:rPr>
                      <w:rFonts w:ascii="Times New Roman"/>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2118" w:type="dxa"/>
                  <w:vAlign w:val="center"/>
                </w:tcPr>
                <w:p>
                  <w:pPr>
                    <w:pStyle w:val="48"/>
                    <w:spacing w:line="240" w:lineRule="auto"/>
                    <w:rPr>
                      <w:rFonts w:ascii="Times New Roman"/>
                      <w:kern w:val="2"/>
                      <w:szCs w:val="21"/>
                    </w:rPr>
                  </w:pPr>
                  <w:r>
                    <w:rPr>
                      <w:rFonts w:ascii="Times New Roman"/>
                      <w:kern w:val="2"/>
                      <w:szCs w:val="21"/>
                    </w:rPr>
                    <w:t>PM</w:t>
                  </w:r>
                  <w:r>
                    <w:rPr>
                      <w:rFonts w:hint="eastAsia" w:ascii="Times New Roman"/>
                      <w:kern w:val="2"/>
                      <w:szCs w:val="21"/>
                      <w:vertAlign w:val="subscript"/>
                    </w:rPr>
                    <w:t>2.5</w:t>
                  </w:r>
                </w:p>
              </w:tc>
              <w:tc>
                <w:tcPr>
                  <w:tcW w:w="1559" w:type="dxa"/>
                  <w:vAlign w:val="center"/>
                </w:tcPr>
                <w:p>
                  <w:pPr>
                    <w:pStyle w:val="48"/>
                    <w:spacing w:line="240" w:lineRule="auto"/>
                    <w:rPr>
                      <w:rFonts w:ascii="Times New Roman"/>
                      <w:kern w:val="2"/>
                      <w:szCs w:val="21"/>
                    </w:rPr>
                  </w:pPr>
                  <w:r>
                    <w:rPr>
                      <w:rFonts w:ascii="Times New Roman"/>
                      <w:kern w:val="2"/>
                      <w:szCs w:val="21"/>
                    </w:rPr>
                    <w:t>－</w:t>
                  </w:r>
                </w:p>
              </w:tc>
              <w:tc>
                <w:tcPr>
                  <w:tcW w:w="1559" w:type="dxa"/>
                  <w:vAlign w:val="center"/>
                </w:tcPr>
                <w:p>
                  <w:pPr>
                    <w:pStyle w:val="48"/>
                    <w:spacing w:line="240" w:lineRule="auto"/>
                    <w:rPr>
                      <w:rFonts w:ascii="Times New Roman"/>
                      <w:kern w:val="2"/>
                      <w:szCs w:val="21"/>
                    </w:rPr>
                  </w:pPr>
                  <w:r>
                    <w:rPr>
                      <w:rFonts w:hint="eastAsia" w:ascii="Times New Roman"/>
                      <w:kern w:val="2"/>
                      <w:szCs w:val="21"/>
                    </w:rPr>
                    <w:t>75</w:t>
                  </w:r>
                </w:p>
              </w:tc>
              <w:tc>
                <w:tcPr>
                  <w:tcW w:w="1276" w:type="dxa"/>
                  <w:vAlign w:val="center"/>
                </w:tcPr>
                <w:p>
                  <w:pPr>
                    <w:pStyle w:val="48"/>
                    <w:spacing w:line="240" w:lineRule="auto"/>
                    <w:rPr>
                      <w:rFonts w:ascii="Times New Roman"/>
                      <w:kern w:val="2"/>
                      <w:szCs w:val="21"/>
                    </w:rPr>
                  </w:pPr>
                  <w:r>
                    <w:rPr>
                      <w:rFonts w:hint="eastAsia" w:ascii="Times New Roman"/>
                      <w:kern w:val="2"/>
                      <w:szCs w:val="21"/>
                    </w:rPr>
                    <w:t>35</w:t>
                  </w:r>
                </w:p>
              </w:tc>
              <w:tc>
                <w:tcPr>
                  <w:tcW w:w="1899" w:type="dxa"/>
                  <w:vMerge w:val="continue"/>
                  <w:vAlign w:val="center"/>
                </w:tcPr>
                <w:p>
                  <w:pPr>
                    <w:pStyle w:val="48"/>
                    <w:rPr>
                      <w:rFonts w:ascii="Times New Roman"/>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2118" w:type="dxa"/>
                  <w:vAlign w:val="center"/>
                </w:tcPr>
                <w:p>
                  <w:pPr>
                    <w:pStyle w:val="48"/>
                    <w:spacing w:line="240" w:lineRule="auto"/>
                    <w:rPr>
                      <w:rFonts w:ascii="Times New Roman"/>
                      <w:kern w:val="2"/>
                      <w:szCs w:val="21"/>
                    </w:rPr>
                  </w:pPr>
                  <w:r>
                    <w:rPr>
                      <w:rFonts w:ascii="Times New Roman"/>
                      <w:kern w:val="2"/>
                      <w:szCs w:val="21"/>
                    </w:rPr>
                    <w:t>TSP</w:t>
                  </w:r>
                </w:p>
              </w:tc>
              <w:tc>
                <w:tcPr>
                  <w:tcW w:w="1559" w:type="dxa"/>
                  <w:vAlign w:val="center"/>
                </w:tcPr>
                <w:p>
                  <w:pPr>
                    <w:pStyle w:val="48"/>
                    <w:spacing w:line="240" w:lineRule="auto"/>
                    <w:rPr>
                      <w:rFonts w:ascii="Times New Roman"/>
                      <w:kern w:val="2"/>
                      <w:szCs w:val="21"/>
                    </w:rPr>
                  </w:pPr>
                  <w:r>
                    <w:rPr>
                      <w:rFonts w:ascii="Times New Roman"/>
                      <w:kern w:val="2"/>
                      <w:szCs w:val="21"/>
                    </w:rPr>
                    <w:t>－</w:t>
                  </w:r>
                </w:p>
              </w:tc>
              <w:tc>
                <w:tcPr>
                  <w:tcW w:w="1559" w:type="dxa"/>
                  <w:vAlign w:val="center"/>
                </w:tcPr>
                <w:p>
                  <w:pPr>
                    <w:pStyle w:val="48"/>
                    <w:spacing w:line="240" w:lineRule="auto"/>
                    <w:rPr>
                      <w:rFonts w:ascii="Times New Roman"/>
                      <w:kern w:val="2"/>
                      <w:szCs w:val="21"/>
                    </w:rPr>
                  </w:pPr>
                  <w:r>
                    <w:rPr>
                      <w:rFonts w:hint="eastAsia" w:ascii="Times New Roman"/>
                      <w:kern w:val="2"/>
                      <w:szCs w:val="21"/>
                    </w:rPr>
                    <w:t>3</w:t>
                  </w:r>
                  <w:r>
                    <w:rPr>
                      <w:rFonts w:ascii="Times New Roman"/>
                      <w:kern w:val="2"/>
                      <w:szCs w:val="21"/>
                    </w:rPr>
                    <w:t>00</w:t>
                  </w:r>
                </w:p>
              </w:tc>
              <w:tc>
                <w:tcPr>
                  <w:tcW w:w="1276" w:type="dxa"/>
                  <w:vAlign w:val="center"/>
                </w:tcPr>
                <w:p>
                  <w:pPr>
                    <w:pStyle w:val="48"/>
                    <w:spacing w:line="240" w:lineRule="auto"/>
                    <w:rPr>
                      <w:rFonts w:ascii="Times New Roman"/>
                      <w:kern w:val="2"/>
                      <w:szCs w:val="21"/>
                    </w:rPr>
                  </w:pPr>
                  <w:r>
                    <w:rPr>
                      <w:rFonts w:hint="eastAsia" w:ascii="Times New Roman"/>
                      <w:kern w:val="2"/>
                      <w:szCs w:val="21"/>
                    </w:rPr>
                    <w:t>2</w:t>
                  </w:r>
                  <w:r>
                    <w:rPr>
                      <w:rFonts w:ascii="Times New Roman"/>
                      <w:kern w:val="2"/>
                      <w:szCs w:val="21"/>
                    </w:rPr>
                    <w:t>00</w:t>
                  </w:r>
                </w:p>
              </w:tc>
              <w:tc>
                <w:tcPr>
                  <w:tcW w:w="1899" w:type="dxa"/>
                  <w:vMerge w:val="continue"/>
                  <w:vAlign w:val="center"/>
                </w:tcPr>
                <w:p>
                  <w:pPr>
                    <w:pStyle w:val="48"/>
                    <w:rPr>
                      <w:rFonts w:ascii="Times New Roman"/>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2118" w:type="dxa"/>
                  <w:vAlign w:val="center"/>
                </w:tcPr>
                <w:p>
                  <w:pPr>
                    <w:pStyle w:val="48"/>
                    <w:spacing w:line="240" w:lineRule="auto"/>
                    <w:rPr>
                      <w:rFonts w:ascii="Times New Roman"/>
                      <w:kern w:val="2"/>
                      <w:szCs w:val="21"/>
                    </w:rPr>
                  </w:pPr>
                  <w:r>
                    <w:rPr>
                      <w:rFonts w:ascii="TimesNewRomanPSMT" w:hAnsi="TimesNewRomanPSMT" w:cs="TimesNewRomanPSMT"/>
                      <w:szCs w:val="21"/>
                    </w:rPr>
                    <w:t>CO</w:t>
                  </w:r>
                </w:p>
              </w:tc>
              <w:tc>
                <w:tcPr>
                  <w:tcW w:w="1559" w:type="dxa"/>
                  <w:vAlign w:val="center"/>
                </w:tcPr>
                <w:p>
                  <w:pPr>
                    <w:pStyle w:val="48"/>
                    <w:spacing w:line="240" w:lineRule="auto"/>
                    <w:rPr>
                      <w:rFonts w:ascii="Times New Roman"/>
                      <w:kern w:val="2"/>
                      <w:szCs w:val="21"/>
                    </w:rPr>
                  </w:pPr>
                  <w:r>
                    <w:rPr>
                      <w:rFonts w:ascii="Times New Roman"/>
                      <w:kern w:val="2"/>
                      <w:szCs w:val="21"/>
                    </w:rPr>
                    <w:t xml:space="preserve">10 </w:t>
                  </w:r>
                  <w:r>
                    <w:rPr>
                      <w:rFonts w:hint="eastAsia" w:ascii="Times New Roman"/>
                      <w:kern w:val="2"/>
                      <w:szCs w:val="21"/>
                    </w:rPr>
                    <w:t>m</w:t>
                  </w:r>
                  <w:r>
                    <w:rPr>
                      <w:rFonts w:ascii="Times New Roman"/>
                      <w:kern w:val="2"/>
                      <w:szCs w:val="21"/>
                    </w:rPr>
                    <w:t>g</w:t>
                  </w:r>
                  <w:r>
                    <w:rPr>
                      <w:rFonts w:ascii="Times New Roman"/>
                      <w:bCs/>
                      <w:kern w:val="2"/>
                      <w:szCs w:val="21"/>
                    </w:rPr>
                    <w:t xml:space="preserve"> /m</w:t>
                  </w:r>
                  <w:r>
                    <w:rPr>
                      <w:rFonts w:ascii="Times New Roman"/>
                      <w:bCs/>
                      <w:kern w:val="2"/>
                      <w:szCs w:val="21"/>
                      <w:vertAlign w:val="superscript"/>
                    </w:rPr>
                    <w:t>3</w:t>
                  </w:r>
                </w:p>
              </w:tc>
              <w:tc>
                <w:tcPr>
                  <w:tcW w:w="1559" w:type="dxa"/>
                  <w:vAlign w:val="center"/>
                </w:tcPr>
                <w:p>
                  <w:pPr>
                    <w:pStyle w:val="48"/>
                    <w:spacing w:line="240" w:lineRule="auto"/>
                    <w:rPr>
                      <w:rFonts w:ascii="Times New Roman"/>
                      <w:kern w:val="2"/>
                      <w:szCs w:val="21"/>
                    </w:rPr>
                  </w:pPr>
                  <w:r>
                    <w:rPr>
                      <w:rFonts w:hint="eastAsia" w:ascii="Times New Roman"/>
                      <w:kern w:val="2"/>
                      <w:szCs w:val="21"/>
                    </w:rPr>
                    <w:t>4</w:t>
                  </w:r>
                </w:p>
              </w:tc>
              <w:tc>
                <w:tcPr>
                  <w:tcW w:w="1276" w:type="dxa"/>
                  <w:vAlign w:val="center"/>
                </w:tcPr>
                <w:p>
                  <w:pPr>
                    <w:pStyle w:val="48"/>
                    <w:spacing w:line="240" w:lineRule="auto"/>
                    <w:rPr>
                      <w:rFonts w:ascii="Times New Roman"/>
                      <w:kern w:val="2"/>
                      <w:szCs w:val="21"/>
                    </w:rPr>
                  </w:pPr>
                  <w:r>
                    <w:rPr>
                      <w:rFonts w:ascii="Times New Roman"/>
                      <w:kern w:val="2"/>
                      <w:szCs w:val="21"/>
                    </w:rPr>
                    <w:t>－</w:t>
                  </w:r>
                </w:p>
              </w:tc>
              <w:tc>
                <w:tcPr>
                  <w:tcW w:w="1899" w:type="dxa"/>
                  <w:vMerge w:val="continue"/>
                  <w:vAlign w:val="center"/>
                </w:tcPr>
                <w:p>
                  <w:pPr>
                    <w:pStyle w:val="48"/>
                    <w:rPr>
                      <w:rFonts w:ascii="Times New Roman"/>
                      <w:kern w:val="2"/>
                      <w:szCs w:val="21"/>
                    </w:rPr>
                  </w:pPr>
                </w:p>
              </w:tc>
            </w:tr>
          </w:tbl>
          <w:p>
            <w:pPr>
              <w:spacing w:before="120" w:beforeLines="50" w:line="360" w:lineRule="auto"/>
              <w:ind w:firstLine="480" w:firstLineChars="200"/>
              <w:rPr>
                <w:sz w:val="24"/>
              </w:rPr>
            </w:pPr>
            <w:r>
              <w:rPr>
                <w:sz w:val="24"/>
              </w:rPr>
              <w:t>3、本项目所在区域</w:t>
            </w:r>
            <w:r>
              <w:rPr>
                <w:rFonts w:hint="eastAsia"/>
                <w:sz w:val="24"/>
              </w:rPr>
              <w:t>声环境质量</w:t>
            </w:r>
            <w:r>
              <w:rPr>
                <w:sz w:val="24"/>
              </w:rPr>
              <w:t>执行《声环境质量标准》（GB3096-2008）</w:t>
            </w:r>
            <w:r>
              <w:rPr>
                <w:rFonts w:hint="eastAsia"/>
                <w:sz w:val="24"/>
              </w:rPr>
              <w:t>2和4</w:t>
            </w:r>
            <w:r>
              <w:rPr>
                <w:sz w:val="24"/>
              </w:rPr>
              <w:t>a类标准，具体限值见表</w:t>
            </w:r>
            <w:r>
              <w:rPr>
                <w:rFonts w:hint="eastAsia"/>
                <w:sz w:val="24"/>
              </w:rPr>
              <w:t>1</w:t>
            </w:r>
            <w:r>
              <w:rPr>
                <w:sz w:val="24"/>
              </w:rPr>
              <w:t>1。</w:t>
            </w:r>
          </w:p>
          <w:p>
            <w:pPr>
              <w:jc w:val="center"/>
              <w:rPr>
                <w:b/>
                <w:bCs/>
                <w:szCs w:val="21"/>
              </w:rPr>
            </w:pPr>
            <w:r>
              <w:rPr>
                <w:b/>
                <w:bCs/>
                <w:szCs w:val="21"/>
              </w:rPr>
              <w:t>表</w:t>
            </w:r>
            <w:r>
              <w:rPr>
                <w:rFonts w:hint="eastAsia"/>
                <w:b/>
                <w:bCs/>
                <w:szCs w:val="21"/>
              </w:rPr>
              <w:t>1</w:t>
            </w:r>
            <w:r>
              <w:rPr>
                <w:b/>
                <w:bCs/>
                <w:szCs w:val="21"/>
              </w:rPr>
              <w:t>1 声环境质量标准</w:t>
            </w:r>
            <w:r>
              <w:rPr>
                <w:rFonts w:hint="eastAsia"/>
                <w:b/>
                <w:bCs/>
                <w:szCs w:val="21"/>
              </w:rPr>
              <w:t xml:space="preserve">   </w:t>
            </w:r>
            <w:r>
              <w:rPr>
                <w:b/>
                <w:bCs/>
                <w:szCs w:val="21"/>
              </w:rPr>
              <w:t xml:space="preserve">  </w:t>
            </w:r>
            <w:r>
              <w:rPr>
                <w:bCs/>
                <w:szCs w:val="21"/>
              </w:rPr>
              <w:t>单位：dB(A)</w:t>
            </w:r>
          </w:p>
          <w:tbl>
            <w:tblPr>
              <w:tblStyle w:val="25"/>
              <w:tblW w:w="841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8"/>
              <w:gridCol w:w="3118"/>
              <w:gridCol w:w="3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18" w:type="dxa"/>
                  <w:vAlign w:val="center"/>
                </w:tcPr>
                <w:p>
                  <w:pPr>
                    <w:pStyle w:val="48"/>
                    <w:spacing w:line="240" w:lineRule="auto"/>
                    <w:rPr>
                      <w:rFonts w:ascii="Times New Roman"/>
                      <w:b/>
                      <w:kern w:val="2"/>
                      <w:szCs w:val="21"/>
                    </w:rPr>
                  </w:pPr>
                  <w:r>
                    <w:rPr>
                      <w:rFonts w:ascii="Times New Roman"/>
                      <w:b/>
                      <w:kern w:val="2"/>
                      <w:szCs w:val="21"/>
                    </w:rPr>
                    <w:t>类</w:t>
                  </w:r>
                  <w:r>
                    <w:rPr>
                      <w:rFonts w:hint="eastAsia" w:ascii="Times New Roman"/>
                      <w:b/>
                      <w:kern w:val="2"/>
                      <w:szCs w:val="21"/>
                    </w:rPr>
                    <w:t>别</w:t>
                  </w:r>
                </w:p>
              </w:tc>
              <w:tc>
                <w:tcPr>
                  <w:tcW w:w="3118" w:type="dxa"/>
                  <w:vAlign w:val="center"/>
                </w:tcPr>
                <w:p>
                  <w:pPr>
                    <w:pStyle w:val="48"/>
                    <w:spacing w:line="240" w:lineRule="auto"/>
                    <w:rPr>
                      <w:rFonts w:ascii="Times New Roman"/>
                      <w:b/>
                      <w:kern w:val="2"/>
                      <w:szCs w:val="21"/>
                    </w:rPr>
                  </w:pPr>
                  <w:r>
                    <w:rPr>
                      <w:rFonts w:ascii="Times New Roman"/>
                      <w:b/>
                      <w:kern w:val="2"/>
                      <w:szCs w:val="21"/>
                    </w:rPr>
                    <w:t>昼间</w:t>
                  </w:r>
                </w:p>
              </w:tc>
              <w:tc>
                <w:tcPr>
                  <w:tcW w:w="3175" w:type="dxa"/>
                  <w:vAlign w:val="center"/>
                </w:tcPr>
                <w:p>
                  <w:pPr>
                    <w:pStyle w:val="48"/>
                    <w:spacing w:line="240" w:lineRule="auto"/>
                    <w:rPr>
                      <w:rFonts w:ascii="Times New Roman"/>
                      <w:b/>
                      <w:kern w:val="2"/>
                      <w:szCs w:val="21"/>
                    </w:rPr>
                  </w:pPr>
                  <w:r>
                    <w:rPr>
                      <w:rFonts w:ascii="Times New Roman"/>
                      <w:b/>
                      <w:kern w:val="2"/>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18" w:type="dxa"/>
                  <w:vAlign w:val="center"/>
                </w:tcPr>
                <w:p>
                  <w:pPr>
                    <w:pStyle w:val="48"/>
                    <w:spacing w:line="240" w:lineRule="auto"/>
                    <w:rPr>
                      <w:rFonts w:ascii="Times New Roman"/>
                      <w:kern w:val="2"/>
                      <w:szCs w:val="21"/>
                    </w:rPr>
                  </w:pPr>
                  <w:r>
                    <w:rPr>
                      <w:rFonts w:ascii="Times New Roman"/>
                      <w:kern w:val="2"/>
                      <w:szCs w:val="21"/>
                    </w:rPr>
                    <w:t>2</w:t>
                  </w:r>
                </w:p>
              </w:tc>
              <w:tc>
                <w:tcPr>
                  <w:tcW w:w="3118" w:type="dxa"/>
                  <w:vAlign w:val="center"/>
                </w:tcPr>
                <w:p>
                  <w:pPr>
                    <w:pStyle w:val="48"/>
                    <w:spacing w:line="240" w:lineRule="auto"/>
                    <w:rPr>
                      <w:rFonts w:ascii="Times New Roman"/>
                      <w:kern w:val="2"/>
                      <w:szCs w:val="21"/>
                    </w:rPr>
                  </w:pPr>
                  <w:r>
                    <w:rPr>
                      <w:rFonts w:ascii="Times New Roman"/>
                      <w:kern w:val="2"/>
                      <w:szCs w:val="21"/>
                    </w:rPr>
                    <w:t>6</w:t>
                  </w:r>
                  <w:r>
                    <w:rPr>
                      <w:rFonts w:hint="eastAsia" w:ascii="Times New Roman"/>
                      <w:kern w:val="2"/>
                      <w:szCs w:val="21"/>
                    </w:rPr>
                    <w:t>0</w:t>
                  </w:r>
                </w:p>
              </w:tc>
              <w:tc>
                <w:tcPr>
                  <w:tcW w:w="3175" w:type="dxa"/>
                  <w:vAlign w:val="center"/>
                </w:tcPr>
                <w:p>
                  <w:pPr>
                    <w:pStyle w:val="48"/>
                    <w:spacing w:line="240" w:lineRule="auto"/>
                    <w:rPr>
                      <w:rFonts w:ascii="Times New Roman"/>
                      <w:kern w:val="2"/>
                      <w:szCs w:val="21"/>
                    </w:rPr>
                  </w:pPr>
                  <w:r>
                    <w:rPr>
                      <w:rFonts w:ascii="Times New Roman"/>
                      <w:kern w:val="2"/>
                      <w:szCs w:val="21"/>
                    </w:rPr>
                    <w:t>5</w:t>
                  </w:r>
                  <w:r>
                    <w:rPr>
                      <w:rFonts w:hint="eastAsia" w:ascii="Times New Roman"/>
                      <w:kern w:val="2"/>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18" w:type="dxa"/>
                  <w:vAlign w:val="center"/>
                </w:tcPr>
                <w:p>
                  <w:pPr>
                    <w:pStyle w:val="48"/>
                    <w:spacing w:line="240" w:lineRule="auto"/>
                    <w:rPr>
                      <w:rFonts w:ascii="Times New Roman"/>
                      <w:kern w:val="2"/>
                      <w:szCs w:val="21"/>
                    </w:rPr>
                  </w:pPr>
                  <w:r>
                    <w:rPr>
                      <w:rFonts w:hint="eastAsia" w:ascii="Times New Roman"/>
                      <w:kern w:val="2"/>
                      <w:szCs w:val="21"/>
                    </w:rPr>
                    <w:t>4</w:t>
                  </w:r>
                  <w:r>
                    <w:rPr>
                      <w:rFonts w:ascii="Times New Roman"/>
                      <w:kern w:val="2"/>
                      <w:szCs w:val="21"/>
                    </w:rPr>
                    <w:t>a</w:t>
                  </w:r>
                </w:p>
              </w:tc>
              <w:tc>
                <w:tcPr>
                  <w:tcW w:w="3118" w:type="dxa"/>
                  <w:vAlign w:val="center"/>
                </w:tcPr>
                <w:p>
                  <w:pPr>
                    <w:pStyle w:val="48"/>
                    <w:spacing w:line="240" w:lineRule="auto"/>
                    <w:rPr>
                      <w:rFonts w:ascii="Times New Roman"/>
                      <w:kern w:val="2"/>
                      <w:szCs w:val="21"/>
                    </w:rPr>
                  </w:pPr>
                  <w:r>
                    <w:rPr>
                      <w:rFonts w:hint="eastAsia" w:ascii="Times New Roman"/>
                      <w:kern w:val="2"/>
                      <w:szCs w:val="21"/>
                    </w:rPr>
                    <w:t>7</w:t>
                  </w:r>
                  <w:r>
                    <w:rPr>
                      <w:rFonts w:ascii="Times New Roman"/>
                      <w:kern w:val="2"/>
                      <w:szCs w:val="21"/>
                    </w:rPr>
                    <w:t>0</w:t>
                  </w:r>
                </w:p>
              </w:tc>
              <w:tc>
                <w:tcPr>
                  <w:tcW w:w="3175" w:type="dxa"/>
                  <w:vAlign w:val="center"/>
                </w:tcPr>
                <w:p>
                  <w:pPr>
                    <w:pStyle w:val="48"/>
                    <w:spacing w:line="240" w:lineRule="auto"/>
                    <w:rPr>
                      <w:rFonts w:ascii="Times New Roman"/>
                      <w:kern w:val="2"/>
                      <w:szCs w:val="21"/>
                    </w:rPr>
                  </w:pPr>
                  <w:r>
                    <w:rPr>
                      <w:rFonts w:hint="eastAsia" w:ascii="Times New Roman"/>
                      <w:kern w:val="2"/>
                      <w:szCs w:val="21"/>
                    </w:rPr>
                    <w:t>5</w:t>
                  </w:r>
                  <w:r>
                    <w:rPr>
                      <w:rFonts w:ascii="Times New Roman"/>
                      <w:kern w:val="2"/>
                      <w:szCs w:val="21"/>
                    </w:rPr>
                    <w:t>5</w:t>
                  </w:r>
                </w:p>
              </w:tc>
            </w:tr>
          </w:tbl>
          <w:p>
            <w:pPr>
              <w:snapToGrid w:val="0"/>
              <w:spacing w:line="400" w:lineRule="exact"/>
              <w:ind w:firstLine="560" w:firstLineChars="200"/>
              <w:rPr>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9" w:hRule="atLeast"/>
          <w:jc w:val="center"/>
        </w:trPr>
        <w:tc>
          <w:tcPr>
            <w:tcW w:w="456" w:type="dxa"/>
            <w:vAlign w:val="center"/>
          </w:tcPr>
          <w:p>
            <w:pPr>
              <w:snapToGrid w:val="0"/>
              <w:spacing w:line="480" w:lineRule="exact"/>
              <w:jc w:val="center"/>
              <w:rPr>
                <w:sz w:val="24"/>
              </w:rPr>
            </w:pPr>
            <w:r>
              <w:rPr>
                <w:rFonts w:hint="eastAsia"/>
                <w:sz w:val="24"/>
              </w:rPr>
              <w:t>污</w:t>
            </w:r>
          </w:p>
          <w:p>
            <w:pPr>
              <w:snapToGrid w:val="0"/>
              <w:spacing w:line="480" w:lineRule="exact"/>
              <w:jc w:val="center"/>
              <w:rPr>
                <w:sz w:val="24"/>
              </w:rPr>
            </w:pPr>
            <w:r>
              <w:rPr>
                <w:rFonts w:hint="eastAsia"/>
                <w:sz w:val="24"/>
              </w:rPr>
              <w:t>染</w:t>
            </w:r>
          </w:p>
          <w:p>
            <w:pPr>
              <w:snapToGrid w:val="0"/>
              <w:spacing w:line="480" w:lineRule="exact"/>
              <w:jc w:val="center"/>
              <w:rPr>
                <w:sz w:val="24"/>
              </w:rPr>
            </w:pPr>
            <w:r>
              <w:rPr>
                <w:rFonts w:hint="eastAsia"/>
                <w:sz w:val="24"/>
              </w:rPr>
              <w:t>物</w:t>
            </w:r>
          </w:p>
          <w:p>
            <w:pPr>
              <w:snapToGrid w:val="0"/>
              <w:spacing w:line="480" w:lineRule="exact"/>
              <w:jc w:val="center"/>
              <w:rPr>
                <w:sz w:val="24"/>
              </w:rPr>
            </w:pPr>
            <w:r>
              <w:rPr>
                <w:rFonts w:hint="eastAsia"/>
                <w:sz w:val="24"/>
              </w:rPr>
              <w:t>排</w:t>
            </w:r>
          </w:p>
          <w:p>
            <w:pPr>
              <w:snapToGrid w:val="0"/>
              <w:spacing w:line="480" w:lineRule="exact"/>
              <w:jc w:val="center"/>
              <w:rPr>
                <w:sz w:val="24"/>
              </w:rPr>
            </w:pPr>
            <w:r>
              <w:rPr>
                <w:rFonts w:hint="eastAsia"/>
                <w:sz w:val="24"/>
              </w:rPr>
              <w:t>放</w:t>
            </w:r>
          </w:p>
          <w:p>
            <w:pPr>
              <w:snapToGrid w:val="0"/>
              <w:spacing w:line="480" w:lineRule="exact"/>
              <w:jc w:val="center"/>
              <w:rPr>
                <w:sz w:val="24"/>
              </w:rPr>
            </w:pPr>
            <w:r>
              <w:rPr>
                <w:rFonts w:hint="eastAsia"/>
                <w:sz w:val="24"/>
              </w:rPr>
              <w:t>标</w:t>
            </w:r>
          </w:p>
          <w:p>
            <w:pPr>
              <w:snapToGrid w:val="0"/>
              <w:spacing w:line="480" w:lineRule="exact"/>
              <w:jc w:val="center"/>
              <w:rPr>
                <w:sz w:val="24"/>
              </w:rPr>
            </w:pPr>
            <w:r>
              <w:rPr>
                <w:rFonts w:hint="eastAsia"/>
                <w:sz w:val="24"/>
              </w:rPr>
              <w:t>准</w:t>
            </w:r>
          </w:p>
        </w:tc>
        <w:tc>
          <w:tcPr>
            <w:tcW w:w="8637" w:type="dxa"/>
          </w:tcPr>
          <w:p>
            <w:pPr>
              <w:spacing w:before="240" w:line="360" w:lineRule="auto"/>
              <w:ind w:firstLine="482" w:firstLineChars="200"/>
              <w:rPr>
                <w:b/>
                <w:sz w:val="24"/>
              </w:rPr>
            </w:pPr>
            <w:r>
              <w:rPr>
                <w:b/>
                <w:sz w:val="24"/>
              </w:rPr>
              <w:t>1、水污染物排放标准</w:t>
            </w:r>
          </w:p>
          <w:p>
            <w:pPr>
              <w:spacing w:line="360" w:lineRule="auto"/>
              <w:ind w:firstLine="480" w:firstLineChars="200"/>
              <w:rPr>
                <w:sz w:val="24"/>
              </w:rPr>
            </w:pPr>
            <w:r>
              <w:rPr>
                <w:bCs/>
                <w:sz w:val="24"/>
              </w:rPr>
              <w:t>项目生活污水经三级化粪池处理，</w:t>
            </w:r>
            <w:r>
              <w:rPr>
                <w:sz w:val="24"/>
              </w:rPr>
              <w:t>执行《农田灌溉水质标准》（GB5084-2005）表1中旱作标准</w:t>
            </w:r>
            <w:r>
              <w:rPr>
                <w:rFonts w:hint="eastAsia"/>
                <w:sz w:val="24"/>
              </w:rPr>
              <w:t>后排入灌溉水沟</w:t>
            </w:r>
            <w:r>
              <w:rPr>
                <w:sz w:val="24"/>
              </w:rPr>
              <w:t>，厂区不设置生活污水排放口</w:t>
            </w:r>
            <w:r>
              <w:rPr>
                <w:bCs/>
                <w:sz w:val="24"/>
              </w:rPr>
              <w:t>。</w:t>
            </w:r>
            <w:r>
              <w:rPr>
                <w:sz w:val="24"/>
              </w:rPr>
              <w:t>项目污水排放标准值见表12。</w:t>
            </w:r>
          </w:p>
          <w:p>
            <w:pPr>
              <w:snapToGrid w:val="0"/>
              <w:jc w:val="center"/>
              <w:rPr>
                <w:szCs w:val="21"/>
              </w:rPr>
            </w:pPr>
            <w:r>
              <w:rPr>
                <w:b/>
                <w:szCs w:val="21"/>
              </w:rPr>
              <w:t>表</w:t>
            </w:r>
            <w:r>
              <w:rPr>
                <w:rFonts w:hint="eastAsia"/>
                <w:b/>
                <w:szCs w:val="21"/>
              </w:rPr>
              <w:t>1</w:t>
            </w:r>
            <w:r>
              <w:rPr>
                <w:b/>
                <w:szCs w:val="21"/>
              </w:rPr>
              <w:t>2 项目水污染物排放限值</w:t>
            </w:r>
            <w:r>
              <w:rPr>
                <w:rFonts w:hint="eastAsia"/>
                <w:b/>
                <w:szCs w:val="21"/>
              </w:rPr>
              <w:t xml:space="preserve">      </w:t>
            </w:r>
            <w:r>
              <w:rPr>
                <w:szCs w:val="21"/>
              </w:rPr>
              <w:t>单位：mg/L</w:t>
            </w:r>
          </w:p>
          <w:tbl>
            <w:tblPr>
              <w:tblStyle w:val="25"/>
              <w:tblW w:w="841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5"/>
              <w:gridCol w:w="1120"/>
              <w:gridCol w:w="845"/>
              <w:gridCol w:w="900"/>
              <w:gridCol w:w="887"/>
              <w:gridCol w:w="841"/>
              <w:gridCol w:w="871"/>
              <w:gridCol w:w="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1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szCs w:val="21"/>
                    </w:rPr>
                  </w:pPr>
                  <w:r>
                    <w:rPr>
                      <w:rFonts w:hAnsi="宋体"/>
                      <w:b/>
                      <w:szCs w:val="21"/>
                    </w:rPr>
                    <w:t>标准名称</w:t>
                  </w: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szCs w:val="21"/>
                    </w:rPr>
                  </w:pPr>
                  <w:r>
                    <w:rPr>
                      <w:rFonts w:hAnsi="宋体"/>
                      <w:b/>
                      <w:szCs w:val="21"/>
                    </w:rPr>
                    <w:t>作物种类</w:t>
                  </w:r>
                </w:p>
              </w:tc>
              <w:tc>
                <w:tcPr>
                  <w:tcW w:w="84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szCs w:val="21"/>
                    </w:rPr>
                  </w:pPr>
                  <w:r>
                    <w:rPr>
                      <w:b/>
                      <w:szCs w:val="21"/>
                    </w:rPr>
                    <w:t>pH</w:t>
                  </w:r>
                </w:p>
              </w:tc>
              <w:tc>
                <w:tcPr>
                  <w:tcW w:w="90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szCs w:val="21"/>
                    </w:rPr>
                  </w:pPr>
                  <w:r>
                    <w:rPr>
                      <w:b/>
                      <w:szCs w:val="21"/>
                    </w:rPr>
                    <w:t>COD</w:t>
                  </w:r>
                  <w:r>
                    <w:rPr>
                      <w:b/>
                      <w:szCs w:val="21"/>
                      <w:vertAlign w:val="subscript"/>
                    </w:rPr>
                    <w:t>cr</w:t>
                  </w:r>
                </w:p>
              </w:tc>
              <w:tc>
                <w:tcPr>
                  <w:tcW w:w="8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szCs w:val="21"/>
                    </w:rPr>
                  </w:pPr>
                  <w:r>
                    <w:rPr>
                      <w:b/>
                      <w:szCs w:val="21"/>
                    </w:rPr>
                    <w:t>BOD</w:t>
                  </w:r>
                  <w:r>
                    <w:rPr>
                      <w:b/>
                      <w:szCs w:val="21"/>
                      <w:vertAlign w:val="subscript"/>
                    </w:rPr>
                    <w:t>5</w:t>
                  </w:r>
                </w:p>
              </w:tc>
              <w:tc>
                <w:tcPr>
                  <w:tcW w:w="84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szCs w:val="21"/>
                    </w:rPr>
                  </w:pPr>
                  <w:r>
                    <w:rPr>
                      <w:b/>
                      <w:szCs w:val="21"/>
                    </w:rPr>
                    <w:t>SS</w:t>
                  </w:r>
                </w:p>
              </w:tc>
              <w:tc>
                <w:tcPr>
                  <w:tcW w:w="871"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b/>
                      <w:szCs w:val="21"/>
                    </w:rPr>
                  </w:pPr>
                  <w:r>
                    <w:rPr>
                      <w:b/>
                      <w:szCs w:val="21"/>
                    </w:rPr>
                    <w:t>NH</w:t>
                  </w:r>
                  <w:r>
                    <w:rPr>
                      <w:b/>
                      <w:szCs w:val="21"/>
                      <w:vertAlign w:val="subscript"/>
                    </w:rPr>
                    <w:t>3</w:t>
                  </w:r>
                  <w:r>
                    <w:rPr>
                      <w:b/>
                      <w:szCs w:val="21"/>
                    </w:rPr>
                    <w:t>-N</w:t>
                  </w:r>
                </w:p>
              </w:tc>
              <w:tc>
                <w:tcPr>
                  <w:tcW w:w="832" w:type="dxa"/>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b/>
                      <w:szCs w:val="21"/>
                    </w:rPr>
                  </w:pPr>
                  <w:r>
                    <w:rPr>
                      <w:b/>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1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GB5084-2005</w:t>
                  </w: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Ansi="宋体"/>
                      <w:szCs w:val="21"/>
                    </w:rPr>
                    <w:t>旱作物</w:t>
                  </w:r>
                </w:p>
              </w:tc>
              <w:tc>
                <w:tcPr>
                  <w:tcW w:w="84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5.5-8.5</w:t>
                  </w:r>
                </w:p>
              </w:tc>
              <w:tc>
                <w:tcPr>
                  <w:tcW w:w="90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200</w:t>
                  </w:r>
                </w:p>
              </w:tc>
              <w:tc>
                <w:tcPr>
                  <w:tcW w:w="8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100</w:t>
                  </w:r>
                </w:p>
              </w:tc>
              <w:tc>
                <w:tcPr>
                  <w:tcW w:w="84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100</w:t>
                  </w:r>
                </w:p>
              </w:tc>
              <w:tc>
                <w:tcPr>
                  <w:tcW w:w="871"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szCs w:val="21"/>
                    </w:rPr>
                  </w:pPr>
                  <w:r>
                    <w:rPr>
                      <w:szCs w:val="21"/>
                    </w:rPr>
                    <w:t>--</w:t>
                  </w:r>
                </w:p>
              </w:tc>
              <w:tc>
                <w:tcPr>
                  <w:tcW w:w="832" w:type="dxa"/>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szCs w:val="21"/>
                    </w:rPr>
                  </w:pPr>
                  <w:r>
                    <w:rPr>
                      <w:szCs w:val="21"/>
                    </w:rPr>
                    <w:t>--</w:t>
                  </w:r>
                </w:p>
              </w:tc>
            </w:tr>
          </w:tbl>
          <w:p>
            <w:pPr>
              <w:spacing w:before="240" w:line="360" w:lineRule="auto"/>
              <w:ind w:firstLine="482" w:firstLineChars="200"/>
              <w:rPr>
                <w:b/>
                <w:sz w:val="24"/>
              </w:rPr>
            </w:pPr>
            <w:r>
              <w:rPr>
                <w:b/>
                <w:sz w:val="24"/>
              </w:rPr>
              <w:t>2、大气污染物排放标准</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原料投料过程将产生少量粉尘，</w:t>
            </w:r>
            <w:r>
              <w:rPr>
                <w:rFonts w:ascii="宋体" w:cs="宋体"/>
                <w:kern w:val="0"/>
                <w:sz w:val="24"/>
              </w:rPr>
              <w:t xml:space="preserve"> </w:t>
            </w:r>
            <w:r>
              <w:rPr>
                <w:rFonts w:hint="eastAsia" w:ascii="宋体" w:cs="宋体"/>
                <w:kern w:val="0"/>
                <w:sz w:val="24"/>
              </w:rPr>
              <w:t>执行</w:t>
            </w:r>
            <w:r>
              <w:rPr>
                <w:rFonts w:hAnsi="宋体"/>
                <w:bCs/>
                <w:sz w:val="24"/>
              </w:rPr>
              <w:t>广东省</w:t>
            </w:r>
            <w:r>
              <w:rPr>
                <w:rFonts w:hint="eastAsia" w:hAnsi="宋体"/>
                <w:bCs/>
                <w:sz w:val="24"/>
              </w:rPr>
              <w:t>地方标准</w:t>
            </w:r>
            <w:r>
              <w:rPr>
                <w:rFonts w:hint="eastAsia" w:ascii="宋体" w:cs="宋体"/>
                <w:kern w:val="0"/>
                <w:sz w:val="24"/>
              </w:rPr>
              <w:t>《大气污染物排放限值》（</w:t>
            </w:r>
            <w:r>
              <w:rPr>
                <w:rFonts w:ascii="TimesNewRomanPSMT" w:hAnsi="TimesNewRomanPSMT" w:cs="TimesNewRomanPSMT"/>
                <w:kern w:val="0"/>
                <w:sz w:val="24"/>
              </w:rPr>
              <w:t>DB44/27-2001</w:t>
            </w:r>
            <w:r>
              <w:rPr>
                <w:rFonts w:hint="eastAsia" w:ascii="宋体" w:cs="宋体"/>
                <w:kern w:val="0"/>
                <w:sz w:val="24"/>
              </w:rPr>
              <w:t>）第二时段二级标准无组织排放限值</w:t>
            </w:r>
            <w:r>
              <w:rPr>
                <w:rFonts w:hint="eastAsia"/>
                <w:sz w:val="24"/>
              </w:rPr>
              <w:t>。</w:t>
            </w:r>
            <w:r>
              <w:rPr>
                <w:sz w:val="24"/>
              </w:rPr>
              <w:t>具体限值见表</w:t>
            </w:r>
            <w:r>
              <w:rPr>
                <w:rFonts w:hint="eastAsia"/>
                <w:sz w:val="24"/>
              </w:rPr>
              <w:t>1</w:t>
            </w:r>
            <w:r>
              <w:rPr>
                <w:sz w:val="24"/>
              </w:rPr>
              <w:t>3。</w:t>
            </w:r>
          </w:p>
          <w:p>
            <w:pPr>
              <w:jc w:val="center"/>
              <w:rPr>
                <w:b/>
                <w:bCs/>
                <w:szCs w:val="21"/>
              </w:rPr>
            </w:pPr>
            <w:r>
              <w:rPr>
                <w:b/>
                <w:bCs/>
                <w:szCs w:val="21"/>
              </w:rPr>
              <w:t>表</w:t>
            </w:r>
            <w:r>
              <w:rPr>
                <w:rFonts w:hint="eastAsia"/>
                <w:b/>
                <w:bCs/>
                <w:szCs w:val="21"/>
              </w:rPr>
              <w:t>1</w:t>
            </w:r>
            <w:r>
              <w:rPr>
                <w:b/>
                <w:bCs/>
                <w:szCs w:val="21"/>
              </w:rPr>
              <w:t>3</w:t>
            </w:r>
            <w:r>
              <w:rPr>
                <w:rFonts w:hint="eastAsia"/>
                <w:b/>
                <w:bCs/>
                <w:szCs w:val="21"/>
              </w:rPr>
              <w:t xml:space="preserve"> </w:t>
            </w:r>
            <w:r>
              <w:rPr>
                <w:b/>
                <w:bCs/>
                <w:szCs w:val="21"/>
              </w:rPr>
              <w:t>项目大气污染物排放限值</w:t>
            </w:r>
          </w:p>
          <w:tbl>
            <w:tblPr>
              <w:tblStyle w:val="25"/>
              <w:tblW w:w="841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58"/>
              <w:gridCol w:w="2552"/>
              <w:gridCol w:w="1559"/>
              <w:gridCol w:w="1985"/>
              <w:gridCol w:w="1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547" w:hRule="atLeast"/>
                <w:jc w:val="center"/>
              </w:trPr>
              <w:tc>
                <w:tcPr>
                  <w:tcW w:w="558" w:type="dxa"/>
                  <w:vAlign w:val="center"/>
                </w:tcPr>
                <w:p>
                  <w:pPr>
                    <w:jc w:val="center"/>
                    <w:rPr>
                      <w:b/>
                      <w:bCs/>
                      <w:szCs w:val="21"/>
                    </w:rPr>
                  </w:pPr>
                  <w:r>
                    <w:rPr>
                      <w:b/>
                      <w:bCs/>
                      <w:szCs w:val="21"/>
                    </w:rPr>
                    <w:t>编号</w:t>
                  </w:r>
                </w:p>
              </w:tc>
              <w:tc>
                <w:tcPr>
                  <w:tcW w:w="2552" w:type="dxa"/>
                  <w:vAlign w:val="center"/>
                </w:tcPr>
                <w:p>
                  <w:pPr>
                    <w:jc w:val="center"/>
                    <w:rPr>
                      <w:b/>
                      <w:bCs/>
                      <w:szCs w:val="21"/>
                    </w:rPr>
                  </w:pPr>
                  <w:r>
                    <w:rPr>
                      <w:b/>
                      <w:bCs/>
                      <w:szCs w:val="21"/>
                    </w:rPr>
                    <w:t>污染源</w:t>
                  </w:r>
                </w:p>
              </w:tc>
              <w:tc>
                <w:tcPr>
                  <w:tcW w:w="1559" w:type="dxa"/>
                  <w:vAlign w:val="center"/>
                </w:tcPr>
                <w:p>
                  <w:pPr>
                    <w:jc w:val="center"/>
                    <w:rPr>
                      <w:b/>
                      <w:bCs/>
                      <w:szCs w:val="21"/>
                    </w:rPr>
                  </w:pPr>
                  <w:r>
                    <w:rPr>
                      <w:b/>
                      <w:bCs/>
                      <w:szCs w:val="21"/>
                    </w:rPr>
                    <w:t>污染物</w:t>
                  </w:r>
                </w:p>
              </w:tc>
              <w:tc>
                <w:tcPr>
                  <w:tcW w:w="1985" w:type="dxa"/>
                  <w:vAlign w:val="center"/>
                </w:tcPr>
                <w:p>
                  <w:pPr>
                    <w:jc w:val="center"/>
                    <w:rPr>
                      <w:b/>
                      <w:bCs/>
                      <w:szCs w:val="21"/>
                    </w:rPr>
                  </w:pPr>
                  <w:r>
                    <w:rPr>
                      <w:b/>
                      <w:bCs/>
                      <w:szCs w:val="21"/>
                    </w:rPr>
                    <w:t>执行标准</w:t>
                  </w:r>
                </w:p>
              </w:tc>
              <w:tc>
                <w:tcPr>
                  <w:tcW w:w="1757" w:type="dxa"/>
                  <w:vAlign w:val="center"/>
                </w:tcPr>
                <w:p>
                  <w:pPr>
                    <w:jc w:val="center"/>
                    <w:rPr>
                      <w:b/>
                      <w:bCs/>
                      <w:szCs w:val="21"/>
                    </w:rPr>
                  </w:pPr>
                  <w:r>
                    <w:rPr>
                      <w:rFonts w:hint="eastAsia"/>
                      <w:b/>
                      <w:bCs/>
                      <w:szCs w:val="21"/>
                    </w:rPr>
                    <w:t>无组织</w:t>
                  </w:r>
                  <w:r>
                    <w:rPr>
                      <w:b/>
                      <w:bCs/>
                      <w:szCs w:val="21"/>
                    </w:rPr>
                    <w:t>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690" w:hRule="atLeast"/>
                <w:jc w:val="center"/>
              </w:trPr>
              <w:tc>
                <w:tcPr>
                  <w:tcW w:w="558" w:type="dxa"/>
                  <w:vAlign w:val="center"/>
                </w:tcPr>
                <w:p>
                  <w:pPr>
                    <w:jc w:val="center"/>
                    <w:rPr>
                      <w:szCs w:val="21"/>
                    </w:rPr>
                  </w:pPr>
                  <w:r>
                    <w:rPr>
                      <w:szCs w:val="21"/>
                    </w:rPr>
                    <w:t>1</w:t>
                  </w:r>
                </w:p>
              </w:tc>
              <w:tc>
                <w:tcPr>
                  <w:tcW w:w="2552" w:type="dxa"/>
                  <w:vAlign w:val="center"/>
                </w:tcPr>
                <w:p>
                  <w:pPr>
                    <w:jc w:val="center"/>
                    <w:rPr>
                      <w:szCs w:val="21"/>
                    </w:rPr>
                  </w:pPr>
                  <w:r>
                    <w:rPr>
                      <w:rFonts w:hint="eastAsia" w:ascii="宋体" w:cs="宋体"/>
                      <w:kern w:val="0"/>
                      <w:szCs w:val="21"/>
                    </w:rPr>
                    <w:t>原料投料工序产生的粉尘</w:t>
                  </w:r>
                </w:p>
              </w:tc>
              <w:tc>
                <w:tcPr>
                  <w:tcW w:w="1559" w:type="dxa"/>
                  <w:vAlign w:val="center"/>
                </w:tcPr>
                <w:p>
                  <w:pPr>
                    <w:jc w:val="center"/>
                    <w:rPr>
                      <w:szCs w:val="21"/>
                    </w:rPr>
                  </w:pPr>
                  <w:r>
                    <w:rPr>
                      <w:szCs w:val="21"/>
                    </w:rPr>
                    <w:t>颗粒物</w:t>
                  </w:r>
                </w:p>
              </w:tc>
              <w:tc>
                <w:tcPr>
                  <w:tcW w:w="1985" w:type="dxa"/>
                  <w:vAlign w:val="center"/>
                </w:tcPr>
                <w:p>
                  <w:pPr>
                    <w:jc w:val="center"/>
                    <w:rPr>
                      <w:szCs w:val="21"/>
                    </w:rPr>
                  </w:pPr>
                  <w:r>
                    <w:rPr>
                      <w:szCs w:val="21"/>
                    </w:rPr>
                    <w:t>（DB44/27-2001）</w:t>
                  </w:r>
                </w:p>
                <w:p>
                  <w:pPr>
                    <w:jc w:val="center"/>
                    <w:rPr>
                      <w:szCs w:val="21"/>
                    </w:rPr>
                  </w:pPr>
                  <w:r>
                    <w:rPr>
                      <w:bCs/>
                      <w:szCs w:val="21"/>
                    </w:rPr>
                    <w:t>第二时段</w:t>
                  </w:r>
                  <w:r>
                    <w:rPr>
                      <w:rFonts w:hint="eastAsia"/>
                      <w:bCs/>
                      <w:szCs w:val="21"/>
                    </w:rPr>
                    <w:t>二级标准</w:t>
                  </w:r>
                </w:p>
              </w:tc>
              <w:tc>
                <w:tcPr>
                  <w:tcW w:w="1757" w:type="dxa"/>
                  <w:vAlign w:val="center"/>
                </w:tcPr>
                <w:p>
                  <w:pPr>
                    <w:jc w:val="center"/>
                    <w:rPr>
                      <w:szCs w:val="21"/>
                    </w:rPr>
                  </w:pPr>
                  <w:r>
                    <w:rPr>
                      <w:szCs w:val="21"/>
                    </w:rPr>
                    <w:t>1.0</w:t>
                  </w:r>
                </w:p>
              </w:tc>
            </w:tr>
          </w:tbl>
          <w:p>
            <w:pPr>
              <w:spacing w:before="120" w:beforeLines="50" w:line="360" w:lineRule="auto"/>
              <w:ind w:firstLine="482" w:firstLineChars="200"/>
              <w:rPr>
                <w:b/>
                <w:sz w:val="24"/>
              </w:rPr>
            </w:pPr>
            <w:r>
              <w:rPr>
                <w:b/>
                <w:sz w:val="24"/>
              </w:rPr>
              <w:t>3、噪声排放标准</w:t>
            </w:r>
          </w:p>
          <w:p>
            <w:pPr>
              <w:spacing w:line="360" w:lineRule="auto"/>
              <w:ind w:firstLine="480" w:firstLineChars="200"/>
              <w:rPr>
                <w:sz w:val="24"/>
              </w:rPr>
            </w:pPr>
            <w:r>
              <w:rPr>
                <w:rFonts w:hint="eastAsia"/>
                <w:sz w:val="24"/>
              </w:rPr>
              <w:t>营运期间项目边界噪声排放执行《工业企业厂界环境噪声排放标准》（</w:t>
            </w:r>
            <w:r>
              <w:rPr>
                <w:sz w:val="24"/>
              </w:rPr>
              <w:t>GB12348-2008</w:t>
            </w:r>
            <w:r>
              <w:rPr>
                <w:rFonts w:hint="eastAsia"/>
                <w:sz w:val="24"/>
              </w:rPr>
              <w:t>）2、4</w:t>
            </w:r>
            <w:r>
              <w:rPr>
                <w:sz w:val="24"/>
              </w:rPr>
              <w:t>a</w:t>
            </w:r>
            <w:r>
              <w:rPr>
                <w:rFonts w:hint="eastAsia"/>
                <w:sz w:val="24"/>
              </w:rPr>
              <w:t>类标准，具体限值见表1</w:t>
            </w:r>
            <w:r>
              <w:rPr>
                <w:sz w:val="24"/>
              </w:rPr>
              <w:t>4</w:t>
            </w:r>
            <w:r>
              <w:rPr>
                <w:rFonts w:hint="eastAsia"/>
                <w:sz w:val="24"/>
              </w:rPr>
              <w:t>。</w:t>
            </w:r>
          </w:p>
          <w:p>
            <w:pPr>
              <w:jc w:val="center"/>
              <w:rPr>
                <w:b/>
                <w:bCs/>
                <w:szCs w:val="21"/>
              </w:rPr>
            </w:pPr>
            <w:r>
              <w:rPr>
                <w:b/>
                <w:bCs/>
                <w:szCs w:val="21"/>
              </w:rPr>
              <w:t>表</w:t>
            </w:r>
            <w:r>
              <w:rPr>
                <w:rFonts w:hint="eastAsia"/>
                <w:b/>
                <w:bCs/>
                <w:szCs w:val="21"/>
              </w:rPr>
              <w:t>1</w:t>
            </w:r>
            <w:r>
              <w:rPr>
                <w:b/>
                <w:bCs/>
                <w:szCs w:val="21"/>
              </w:rPr>
              <w:t xml:space="preserve">4 </w:t>
            </w:r>
            <w:r>
              <w:rPr>
                <w:rFonts w:hint="eastAsia"/>
                <w:b/>
                <w:bCs/>
                <w:szCs w:val="21"/>
              </w:rPr>
              <w:t>工业企业厂界环境噪声</w:t>
            </w:r>
            <w:r>
              <w:rPr>
                <w:b/>
                <w:bCs/>
                <w:szCs w:val="21"/>
              </w:rPr>
              <w:t>排放标准</w:t>
            </w:r>
            <w:r>
              <w:rPr>
                <w:rFonts w:hint="eastAsia"/>
                <w:b/>
                <w:bCs/>
                <w:szCs w:val="21"/>
              </w:rPr>
              <w:t xml:space="preserve">        </w:t>
            </w:r>
            <w:r>
              <w:rPr>
                <w:bCs/>
                <w:szCs w:val="21"/>
              </w:rPr>
              <w:t>单位：Leq[dB(A)]</w:t>
            </w:r>
          </w:p>
          <w:tbl>
            <w:tblPr>
              <w:tblStyle w:val="25"/>
              <w:tblW w:w="841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5"/>
              <w:gridCol w:w="2803"/>
              <w:gridCol w:w="2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805" w:type="dxa"/>
                  <w:vAlign w:val="center"/>
                </w:tcPr>
                <w:p>
                  <w:pPr>
                    <w:snapToGrid w:val="0"/>
                    <w:jc w:val="center"/>
                    <w:rPr>
                      <w:b/>
                      <w:bCs/>
                      <w:szCs w:val="21"/>
                    </w:rPr>
                  </w:pPr>
                  <w:r>
                    <w:rPr>
                      <w:b/>
                      <w:bCs/>
                      <w:szCs w:val="21"/>
                    </w:rPr>
                    <w:t>类别</w:t>
                  </w:r>
                </w:p>
              </w:tc>
              <w:tc>
                <w:tcPr>
                  <w:tcW w:w="2803" w:type="dxa"/>
                  <w:vAlign w:val="center"/>
                </w:tcPr>
                <w:p>
                  <w:pPr>
                    <w:snapToGrid w:val="0"/>
                    <w:jc w:val="center"/>
                    <w:rPr>
                      <w:b/>
                      <w:bCs/>
                      <w:szCs w:val="21"/>
                    </w:rPr>
                  </w:pPr>
                  <w:r>
                    <w:rPr>
                      <w:b/>
                      <w:bCs/>
                      <w:szCs w:val="21"/>
                    </w:rPr>
                    <w:t>昼间</w:t>
                  </w:r>
                </w:p>
              </w:tc>
              <w:tc>
                <w:tcPr>
                  <w:tcW w:w="2803" w:type="dxa"/>
                  <w:vAlign w:val="center"/>
                </w:tcPr>
                <w:p>
                  <w:pPr>
                    <w:snapToGrid w:val="0"/>
                    <w:jc w:val="center"/>
                    <w:rPr>
                      <w:b/>
                      <w:bCs/>
                      <w:szCs w:val="21"/>
                    </w:rPr>
                  </w:pPr>
                  <w:r>
                    <w:rPr>
                      <w:b/>
                      <w:bCs/>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805" w:type="dxa"/>
                  <w:vAlign w:val="center"/>
                </w:tcPr>
                <w:p>
                  <w:pPr>
                    <w:snapToGrid w:val="0"/>
                    <w:jc w:val="center"/>
                    <w:rPr>
                      <w:bCs/>
                      <w:szCs w:val="21"/>
                    </w:rPr>
                  </w:pPr>
                  <w:r>
                    <w:rPr>
                      <w:rFonts w:hint="eastAsia"/>
                      <w:bCs/>
                      <w:szCs w:val="21"/>
                    </w:rPr>
                    <w:t>2</w:t>
                  </w:r>
                </w:p>
              </w:tc>
              <w:tc>
                <w:tcPr>
                  <w:tcW w:w="2803" w:type="dxa"/>
                  <w:vAlign w:val="center"/>
                </w:tcPr>
                <w:p>
                  <w:pPr>
                    <w:snapToGrid w:val="0"/>
                    <w:jc w:val="center"/>
                    <w:rPr>
                      <w:bCs/>
                      <w:szCs w:val="21"/>
                    </w:rPr>
                  </w:pPr>
                  <w:r>
                    <w:rPr>
                      <w:bCs/>
                      <w:szCs w:val="21"/>
                    </w:rPr>
                    <w:t>6</w:t>
                  </w:r>
                  <w:r>
                    <w:rPr>
                      <w:rFonts w:hint="eastAsia"/>
                      <w:bCs/>
                      <w:szCs w:val="21"/>
                    </w:rPr>
                    <w:t>0</w:t>
                  </w:r>
                </w:p>
              </w:tc>
              <w:tc>
                <w:tcPr>
                  <w:tcW w:w="2803" w:type="dxa"/>
                  <w:vAlign w:val="center"/>
                </w:tcPr>
                <w:p>
                  <w:pPr>
                    <w:snapToGrid w:val="0"/>
                    <w:jc w:val="center"/>
                    <w:rPr>
                      <w:bCs/>
                      <w:szCs w:val="21"/>
                    </w:rPr>
                  </w:pPr>
                  <w:r>
                    <w:rPr>
                      <w:bCs/>
                      <w:szCs w:val="21"/>
                    </w:rPr>
                    <w:t>5</w:t>
                  </w:r>
                  <w:r>
                    <w:rPr>
                      <w:rFonts w:hint="eastAsia"/>
                      <w:bCs/>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805" w:type="dxa"/>
                  <w:vAlign w:val="center"/>
                </w:tcPr>
                <w:p>
                  <w:pPr>
                    <w:snapToGrid w:val="0"/>
                    <w:jc w:val="center"/>
                    <w:rPr>
                      <w:bCs/>
                      <w:szCs w:val="21"/>
                    </w:rPr>
                  </w:pPr>
                  <w:r>
                    <w:rPr>
                      <w:rFonts w:hint="eastAsia"/>
                      <w:bCs/>
                      <w:szCs w:val="21"/>
                    </w:rPr>
                    <w:t>4</w:t>
                  </w:r>
                  <w:r>
                    <w:rPr>
                      <w:bCs/>
                      <w:szCs w:val="21"/>
                    </w:rPr>
                    <w:t>a</w:t>
                  </w:r>
                </w:p>
              </w:tc>
              <w:tc>
                <w:tcPr>
                  <w:tcW w:w="2803" w:type="dxa"/>
                  <w:vAlign w:val="center"/>
                </w:tcPr>
                <w:p>
                  <w:pPr>
                    <w:snapToGrid w:val="0"/>
                    <w:jc w:val="center"/>
                    <w:rPr>
                      <w:bCs/>
                      <w:szCs w:val="21"/>
                    </w:rPr>
                  </w:pPr>
                  <w:r>
                    <w:rPr>
                      <w:rFonts w:hint="eastAsia"/>
                      <w:bCs/>
                      <w:szCs w:val="21"/>
                    </w:rPr>
                    <w:t>7</w:t>
                  </w:r>
                  <w:r>
                    <w:rPr>
                      <w:bCs/>
                      <w:szCs w:val="21"/>
                    </w:rPr>
                    <w:t>0</w:t>
                  </w:r>
                </w:p>
              </w:tc>
              <w:tc>
                <w:tcPr>
                  <w:tcW w:w="2803" w:type="dxa"/>
                  <w:vAlign w:val="center"/>
                </w:tcPr>
                <w:p>
                  <w:pPr>
                    <w:snapToGrid w:val="0"/>
                    <w:jc w:val="center"/>
                    <w:rPr>
                      <w:bCs/>
                      <w:szCs w:val="21"/>
                    </w:rPr>
                  </w:pPr>
                  <w:r>
                    <w:rPr>
                      <w:rFonts w:hint="eastAsia"/>
                      <w:bCs/>
                      <w:szCs w:val="21"/>
                    </w:rPr>
                    <w:t>5</w:t>
                  </w:r>
                  <w:r>
                    <w:rPr>
                      <w:bCs/>
                      <w:szCs w:val="21"/>
                    </w:rPr>
                    <w:t>5</w:t>
                  </w:r>
                </w:p>
              </w:tc>
            </w:tr>
          </w:tbl>
          <w:p>
            <w:pPr>
              <w:spacing w:before="120" w:beforeLines="50" w:line="360" w:lineRule="auto"/>
              <w:ind w:left="479" w:leftChars="228"/>
              <w:rPr>
                <w:b/>
                <w:sz w:val="24"/>
              </w:rPr>
            </w:pPr>
            <w:r>
              <w:rPr>
                <w:b/>
                <w:sz w:val="24"/>
              </w:rPr>
              <w:t>4、固体废物</w:t>
            </w:r>
            <w:r>
              <w:rPr>
                <w:rFonts w:hint="eastAsia"/>
                <w:b/>
                <w:sz w:val="24"/>
              </w:rPr>
              <w:t>处理及处置</w:t>
            </w:r>
            <w:r>
              <w:rPr>
                <w:b/>
                <w:sz w:val="24"/>
              </w:rPr>
              <w:t>标准</w:t>
            </w:r>
          </w:p>
          <w:p>
            <w:pPr>
              <w:spacing w:line="360" w:lineRule="auto"/>
              <w:ind w:firstLine="480" w:firstLineChars="200"/>
              <w:rPr>
                <w:sz w:val="24"/>
              </w:rPr>
            </w:pPr>
            <w:r>
              <w:rPr>
                <w:rFonts w:hint="eastAsia"/>
                <w:sz w:val="24"/>
              </w:rPr>
              <w:t>一般固体废物</w:t>
            </w:r>
            <w:r>
              <w:rPr>
                <w:sz w:val="24"/>
              </w:rPr>
              <w:t>执行《一般工业固体废物贮存、处置场污染控制标准》(GB18599-2001)</w:t>
            </w:r>
            <w:r>
              <w:rPr>
                <w:rFonts w:hint="eastAsia"/>
                <w:sz w:val="24"/>
              </w:rPr>
              <w:t>及其2013年修改单；</w:t>
            </w:r>
          </w:p>
          <w:p>
            <w:pPr>
              <w:spacing w:line="360" w:lineRule="auto"/>
              <w:ind w:firstLine="480"/>
              <w:rPr>
                <w:sz w:val="24"/>
              </w:rPr>
            </w:pPr>
            <w:r>
              <w:rPr>
                <w:rFonts w:hint="eastAsia"/>
                <w:sz w:val="24"/>
              </w:rPr>
              <w:t>危险废物执行《危险废物贮存污染控制标准》（GB18597-2001）及其2013年修改单。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 w:hRule="atLeast"/>
          <w:jc w:val="center"/>
        </w:trPr>
        <w:tc>
          <w:tcPr>
            <w:tcW w:w="456" w:type="dxa"/>
            <w:vAlign w:val="center"/>
          </w:tcPr>
          <w:p>
            <w:pPr>
              <w:snapToGrid w:val="0"/>
              <w:spacing w:line="480" w:lineRule="exact"/>
              <w:jc w:val="center"/>
              <w:rPr>
                <w:sz w:val="24"/>
              </w:rPr>
            </w:pPr>
            <w:r>
              <w:rPr>
                <w:rFonts w:hint="eastAsia"/>
                <w:sz w:val="24"/>
              </w:rPr>
              <w:t>总</w:t>
            </w:r>
          </w:p>
          <w:p>
            <w:pPr>
              <w:snapToGrid w:val="0"/>
              <w:spacing w:line="480" w:lineRule="exact"/>
              <w:jc w:val="center"/>
              <w:rPr>
                <w:sz w:val="24"/>
              </w:rPr>
            </w:pPr>
            <w:r>
              <w:rPr>
                <w:rFonts w:hint="eastAsia"/>
                <w:sz w:val="24"/>
              </w:rPr>
              <w:t>量</w:t>
            </w:r>
          </w:p>
          <w:p>
            <w:pPr>
              <w:snapToGrid w:val="0"/>
              <w:spacing w:line="480" w:lineRule="exact"/>
              <w:jc w:val="center"/>
              <w:rPr>
                <w:sz w:val="24"/>
              </w:rPr>
            </w:pPr>
            <w:r>
              <w:rPr>
                <w:rFonts w:hint="eastAsia"/>
                <w:sz w:val="24"/>
              </w:rPr>
              <w:t>控</w:t>
            </w:r>
          </w:p>
          <w:p>
            <w:pPr>
              <w:snapToGrid w:val="0"/>
              <w:spacing w:line="480" w:lineRule="exact"/>
              <w:jc w:val="center"/>
              <w:rPr>
                <w:sz w:val="24"/>
              </w:rPr>
            </w:pPr>
            <w:r>
              <w:rPr>
                <w:rFonts w:hint="eastAsia"/>
                <w:sz w:val="24"/>
              </w:rPr>
              <w:t>制</w:t>
            </w:r>
          </w:p>
          <w:p>
            <w:pPr>
              <w:snapToGrid w:val="0"/>
              <w:spacing w:line="480" w:lineRule="exact"/>
              <w:jc w:val="center"/>
              <w:rPr>
                <w:sz w:val="24"/>
              </w:rPr>
            </w:pPr>
            <w:r>
              <w:rPr>
                <w:rFonts w:hint="eastAsia"/>
                <w:sz w:val="24"/>
              </w:rPr>
              <w:t>指</w:t>
            </w:r>
          </w:p>
          <w:p>
            <w:pPr>
              <w:snapToGrid w:val="0"/>
              <w:spacing w:line="480" w:lineRule="exact"/>
              <w:jc w:val="center"/>
              <w:rPr>
                <w:sz w:val="24"/>
              </w:rPr>
            </w:pPr>
            <w:r>
              <w:rPr>
                <w:rFonts w:hint="eastAsia"/>
                <w:sz w:val="24"/>
              </w:rPr>
              <w:t>标</w:t>
            </w:r>
          </w:p>
        </w:tc>
        <w:tc>
          <w:tcPr>
            <w:tcW w:w="8637" w:type="dxa"/>
          </w:tcPr>
          <w:p>
            <w:pPr>
              <w:snapToGrid w:val="0"/>
              <w:spacing w:before="120" w:beforeLines="50" w:line="360" w:lineRule="auto"/>
              <w:ind w:firstLine="480" w:firstLineChars="200"/>
              <w:rPr>
                <w:sz w:val="24"/>
              </w:rPr>
            </w:pPr>
            <w:r>
              <w:rPr>
                <w:sz w:val="24"/>
              </w:rPr>
              <w:t>根据本项目污染物排放总量，建议</w:t>
            </w:r>
            <w:r>
              <w:rPr>
                <w:rFonts w:hint="eastAsia"/>
                <w:sz w:val="24"/>
              </w:rPr>
              <w:t>其</w:t>
            </w:r>
            <w:r>
              <w:rPr>
                <w:sz w:val="24"/>
              </w:rPr>
              <w:t>总量控制指标按以下执行：</w:t>
            </w:r>
          </w:p>
          <w:p>
            <w:pPr>
              <w:snapToGrid w:val="0"/>
              <w:spacing w:line="360" w:lineRule="auto"/>
              <w:ind w:firstLine="482" w:firstLineChars="200"/>
              <w:rPr>
                <w:b/>
                <w:sz w:val="24"/>
              </w:rPr>
            </w:pPr>
            <w:r>
              <w:rPr>
                <w:b/>
                <w:sz w:val="24"/>
              </w:rPr>
              <w:t>1</w:t>
            </w:r>
            <w:r>
              <w:rPr>
                <w:rFonts w:hint="eastAsia"/>
                <w:b/>
                <w:sz w:val="24"/>
              </w:rPr>
              <w:t>、</w:t>
            </w:r>
            <w:r>
              <w:rPr>
                <w:b/>
                <w:sz w:val="24"/>
              </w:rPr>
              <w:t>水污染物排放总量控制指标</w:t>
            </w:r>
          </w:p>
          <w:p>
            <w:pPr>
              <w:spacing w:line="360" w:lineRule="auto"/>
              <w:ind w:firstLine="480" w:firstLineChars="200"/>
              <w:rPr>
                <w:sz w:val="24"/>
              </w:rPr>
            </w:pPr>
            <w:r>
              <w:rPr>
                <w:rFonts w:hint="eastAsia"/>
                <w:sz w:val="24"/>
              </w:rPr>
              <w:t>项目生活污水包括办公生活污水。办公生活污水经三级化粪池预处理后排入灌溉水沟</w:t>
            </w:r>
            <w:r>
              <w:rPr>
                <w:sz w:val="24"/>
              </w:rPr>
              <w:t>，厂区不设置生活污水排放口</w:t>
            </w:r>
            <w:r>
              <w:rPr>
                <w:rFonts w:hint="eastAsia"/>
                <w:sz w:val="24"/>
              </w:rPr>
              <w:t>，本项目无需</w:t>
            </w:r>
            <w:r>
              <w:rPr>
                <w:sz w:val="24"/>
              </w:rPr>
              <w:t>申请总量控制指标</w:t>
            </w:r>
            <w:r>
              <w:rPr>
                <w:rFonts w:hint="eastAsia"/>
                <w:sz w:val="24"/>
              </w:rPr>
              <w:t>。</w:t>
            </w:r>
          </w:p>
          <w:p>
            <w:pPr>
              <w:snapToGrid w:val="0"/>
              <w:spacing w:line="360" w:lineRule="auto"/>
              <w:ind w:firstLine="482" w:firstLineChars="200"/>
              <w:rPr>
                <w:b/>
                <w:sz w:val="24"/>
              </w:rPr>
            </w:pPr>
            <w:r>
              <w:rPr>
                <w:b/>
                <w:sz w:val="24"/>
              </w:rPr>
              <w:t>2</w:t>
            </w:r>
            <w:r>
              <w:rPr>
                <w:rFonts w:hint="eastAsia"/>
                <w:b/>
                <w:sz w:val="24"/>
              </w:rPr>
              <w:t>、大气污染物</w:t>
            </w:r>
            <w:r>
              <w:rPr>
                <w:b/>
                <w:sz w:val="24"/>
              </w:rPr>
              <w:t>排放总量控制指标</w:t>
            </w:r>
          </w:p>
          <w:p>
            <w:pPr>
              <w:pStyle w:val="35"/>
              <w:snapToGrid w:val="0"/>
              <w:spacing w:line="360" w:lineRule="auto"/>
              <w:ind w:firstLine="470" w:firstLineChars="196"/>
              <w:rPr>
                <w:sz w:val="24"/>
                <w:szCs w:val="24"/>
              </w:rPr>
            </w:pPr>
            <w:r>
              <w:rPr>
                <w:rFonts w:hint="eastAsia"/>
                <w:sz w:val="24"/>
                <w:szCs w:val="24"/>
              </w:rPr>
              <w:t>颗粒物（无组织）：</w:t>
            </w:r>
            <w:r>
              <w:rPr>
                <w:kern w:val="0"/>
                <w:sz w:val="24"/>
              </w:rPr>
              <w:t>0.0665</w:t>
            </w:r>
            <w:r>
              <w:rPr>
                <w:kern w:val="0"/>
                <w:sz w:val="24"/>
                <w:szCs w:val="24"/>
              </w:rPr>
              <w:t>t/a</w:t>
            </w:r>
            <w:r>
              <w:rPr>
                <w:rFonts w:hint="eastAsia"/>
                <w:sz w:val="24"/>
                <w:szCs w:val="24"/>
              </w:rPr>
              <w:t>。</w:t>
            </w:r>
          </w:p>
          <w:p>
            <w:pPr>
              <w:pStyle w:val="35"/>
              <w:snapToGrid w:val="0"/>
              <w:spacing w:line="360" w:lineRule="auto"/>
              <w:ind w:firstLine="472" w:firstLineChars="196"/>
              <w:rPr>
                <w:b/>
                <w:sz w:val="24"/>
                <w:szCs w:val="24"/>
              </w:rPr>
            </w:pPr>
            <w:r>
              <w:rPr>
                <w:rFonts w:hint="eastAsia"/>
                <w:b/>
                <w:sz w:val="24"/>
                <w:szCs w:val="24"/>
              </w:rPr>
              <w:t>3、</w:t>
            </w:r>
            <w:r>
              <w:rPr>
                <w:b/>
                <w:sz w:val="24"/>
                <w:szCs w:val="24"/>
              </w:rPr>
              <w:t>固体废物排放总量控制指标</w:t>
            </w:r>
          </w:p>
          <w:p>
            <w:pPr>
              <w:tabs>
                <w:tab w:val="left" w:pos="4128"/>
              </w:tabs>
              <w:ind w:firstLine="480" w:firstLineChars="200"/>
            </w:pPr>
            <w:r>
              <w:rPr>
                <w:rFonts w:hint="eastAsia"/>
                <w:sz w:val="24"/>
              </w:rPr>
              <w:t>本项目固体废物不自行处理排放，不设置固体废物总量控制指标。</w:t>
            </w: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tc>
      </w:tr>
    </w:tbl>
    <w:p>
      <w:pPr>
        <w:outlineLvl w:val="0"/>
        <w:rPr>
          <w:sz w:val="28"/>
          <w:szCs w:val="28"/>
        </w:rPr>
      </w:pPr>
      <w:r>
        <w:rPr>
          <w:sz w:val="28"/>
          <w:szCs w:val="28"/>
        </w:rPr>
        <w:br w:type="page"/>
      </w:r>
    </w:p>
    <w:p>
      <w:pPr>
        <w:outlineLvl w:val="0"/>
        <w:rPr>
          <w:b/>
          <w:sz w:val="28"/>
          <w:szCs w:val="28"/>
        </w:rPr>
      </w:pPr>
      <w:r>
        <w:rPr>
          <w:b/>
          <w:sz w:val="28"/>
          <w:szCs w:val="28"/>
        </w:rPr>
        <w:t>建设项目工程分析</w:t>
      </w:r>
    </w:p>
    <w:tbl>
      <w:tblPr>
        <w:tblStyle w:val="25"/>
        <w:tblW w:w="1034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10343" w:type="dxa"/>
          </w:tcPr>
          <w:p>
            <w:pPr>
              <w:spacing w:line="360" w:lineRule="auto"/>
              <w:rPr>
                <w:b/>
                <w:sz w:val="24"/>
              </w:rPr>
            </w:pPr>
            <w:r>
              <w:rPr>
                <w:b/>
                <w:sz w:val="24"/>
              </w:rPr>
              <w:t>工艺流程简述（图示）</w:t>
            </w:r>
          </w:p>
          <w:p>
            <w:pPr>
              <w:pStyle w:val="81"/>
              <w:numPr>
                <w:ilvl w:val="0"/>
                <w:numId w:val="2"/>
              </w:numPr>
              <w:spacing w:line="360" w:lineRule="auto"/>
              <w:ind w:firstLineChars="0"/>
              <w:rPr>
                <w:b/>
                <w:bCs/>
                <w:sz w:val="24"/>
              </w:rPr>
            </w:pPr>
            <w:r>
              <w:rPr>
                <w:rFonts w:hint="eastAsia"/>
                <w:b/>
                <w:bCs/>
                <w:sz w:val="24"/>
              </w:rPr>
              <w:t>施工期</w:t>
            </w:r>
          </w:p>
          <w:p>
            <w:pPr>
              <w:pStyle w:val="81"/>
              <w:spacing w:line="360" w:lineRule="auto"/>
              <w:ind w:left="600" w:firstLine="0" w:firstLineChars="0"/>
              <w:jc w:val="center"/>
              <w:rPr>
                <w:bCs/>
                <w:sz w:val="24"/>
              </w:rPr>
            </w:pPr>
            <w:r>
              <w:rPr>
                <w:bCs/>
                <w:sz w:val="24"/>
              </w:rPr>
              <w:drawing>
                <wp:inline distT="0" distB="0" distL="0" distR="0">
                  <wp:extent cx="3451860" cy="1174750"/>
                  <wp:effectExtent l="0" t="0" r="0" b="0"/>
                  <wp:docPr id="19" name="图片 19" descr="C:\Users\59455\AppData\Local\Temp\15476511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59455\AppData\Local\Temp\1547651144(1).png"/>
                          <pic:cNvPicPr>
                            <a:picLocks noChangeAspect="1" noChangeArrowheads="1"/>
                          </pic:cNvPicPr>
                        </pic:nvPicPr>
                        <pic:blipFill>
                          <a:blip r:embed="rId8"/>
                          <a:srcRect/>
                          <a:stretch>
                            <a:fillRect/>
                          </a:stretch>
                        </pic:blipFill>
                        <pic:spPr>
                          <a:xfrm>
                            <a:off x="0" y="0"/>
                            <a:ext cx="3460843" cy="1178317"/>
                          </a:xfrm>
                          <a:prstGeom prst="rect">
                            <a:avLst/>
                          </a:prstGeom>
                          <a:noFill/>
                          <a:ln>
                            <a:noFill/>
                          </a:ln>
                        </pic:spPr>
                      </pic:pic>
                    </a:graphicData>
                  </a:graphic>
                </wp:inline>
              </w:drawing>
            </w:r>
          </w:p>
          <w:p>
            <w:pPr>
              <w:spacing w:line="360" w:lineRule="auto"/>
              <w:rPr>
                <w:b/>
                <w:sz w:val="24"/>
              </w:rPr>
            </w:pPr>
            <w:r>
              <w:rPr>
                <w:rFonts w:hint="eastAsia"/>
                <w:b/>
                <w:sz w:val="24"/>
              </w:rPr>
              <w:t>2、营运期</w:t>
            </w:r>
          </w:p>
          <w:p>
            <w:pPr>
              <w:adjustRightInd w:val="0"/>
              <w:snapToGrid w:val="0"/>
              <w:spacing w:line="360" w:lineRule="auto"/>
              <w:jc w:val="center"/>
              <w:rPr>
                <w:b/>
                <w:szCs w:val="21"/>
              </w:rPr>
            </w:pPr>
            <w:r>
              <w:rPr>
                <w:b/>
                <w:szCs w:val="21"/>
              </w:rPr>
              <w:drawing>
                <wp:inline distT="0" distB="0" distL="0" distR="0">
                  <wp:extent cx="5709285" cy="4613275"/>
                  <wp:effectExtent l="0" t="0" r="5715"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9"/>
                          <a:srcRect/>
                          <a:stretch>
                            <a:fillRect/>
                          </a:stretch>
                        </pic:blipFill>
                        <pic:spPr>
                          <a:xfrm>
                            <a:off x="0" y="0"/>
                            <a:ext cx="5717746" cy="4620508"/>
                          </a:xfrm>
                          <a:prstGeom prst="rect">
                            <a:avLst/>
                          </a:prstGeom>
                          <a:noFill/>
                        </pic:spPr>
                      </pic:pic>
                    </a:graphicData>
                  </a:graphic>
                </wp:inline>
              </w:drawing>
            </w:r>
          </w:p>
          <w:p>
            <w:pPr>
              <w:adjustRightInd w:val="0"/>
              <w:snapToGrid w:val="0"/>
              <w:spacing w:line="360" w:lineRule="auto"/>
              <w:jc w:val="center"/>
              <w:rPr>
                <w:b/>
                <w:szCs w:val="21"/>
              </w:rPr>
            </w:pPr>
            <w:r>
              <w:rPr>
                <w:rFonts w:hint="eastAsia"/>
                <w:b/>
                <w:szCs w:val="21"/>
              </w:rPr>
              <w:t>图1</w:t>
            </w:r>
            <w:r>
              <w:rPr>
                <w:b/>
                <w:szCs w:val="21"/>
              </w:rPr>
              <w:t xml:space="preserve">  </w:t>
            </w:r>
            <w:r>
              <w:rPr>
                <w:rFonts w:hint="eastAsia"/>
                <w:b/>
                <w:szCs w:val="21"/>
              </w:rPr>
              <w:t>工艺流程图</w:t>
            </w:r>
          </w:p>
          <w:p>
            <w:pPr>
              <w:adjustRightInd w:val="0"/>
              <w:snapToGrid w:val="0"/>
              <w:spacing w:line="360" w:lineRule="auto"/>
              <w:jc w:val="center"/>
              <w:rPr>
                <w:b/>
                <w:szCs w:val="21"/>
              </w:rPr>
            </w:pPr>
          </w:p>
          <w:p>
            <w:pPr>
              <w:autoSpaceDE w:val="0"/>
              <w:autoSpaceDN w:val="0"/>
              <w:adjustRightInd w:val="0"/>
              <w:spacing w:line="360" w:lineRule="auto"/>
              <w:ind w:firstLine="480" w:firstLineChars="200"/>
              <w:rPr>
                <w:rFonts w:ascii="宋体" w:cs="宋体"/>
                <w:kern w:val="0"/>
                <w:sz w:val="24"/>
              </w:rPr>
            </w:pPr>
            <w:r>
              <w:rPr>
                <w:rFonts w:hint="eastAsia"/>
                <w:sz w:val="24"/>
              </w:rPr>
              <w:t>本</w:t>
            </w:r>
            <w:r>
              <w:rPr>
                <w:rFonts w:ascii="宋体" w:hAnsi="宋体"/>
                <w:sz w:val="24"/>
              </w:rPr>
              <w:t>项目</w:t>
            </w:r>
            <w:r>
              <w:rPr>
                <w:rFonts w:hint="eastAsia" w:ascii="宋体" w:hAnsi="宋体"/>
                <w:sz w:val="24"/>
              </w:rPr>
              <w:t>营运期</w:t>
            </w:r>
            <w:r>
              <w:rPr>
                <w:rFonts w:hint="eastAsia" w:ascii="宋体" w:cs="宋体"/>
                <w:kern w:val="0"/>
                <w:sz w:val="24"/>
              </w:rPr>
              <w:t>生产工艺相对比较简单。所有工序均为物理过程。生产时首先用铲车将原料(13%水份)装入喂料机。经过鄂破破碎，然后进入细碎机破碎。经密闭的输送带输送到捣浆机口处由高压水枪清洗。利用捣浆机出口处的隔离筛将未达到工艺要求的大粒物料分离出来并输送到指定地点，通过</w:t>
            </w:r>
            <w:r>
              <w:rPr>
                <w:rFonts w:hint="eastAsia"/>
                <w:sz w:val="24"/>
              </w:rPr>
              <w:t>电动隔渣筛</w:t>
            </w:r>
            <w:r>
              <w:rPr>
                <w:rFonts w:hint="eastAsia" w:ascii="宋体" w:cs="宋体"/>
                <w:kern w:val="0"/>
                <w:sz w:val="24"/>
              </w:rPr>
              <w:t>的泥浆料入</w:t>
            </w:r>
            <w:r>
              <w:rPr>
                <w:rFonts w:hint="eastAsia"/>
                <w:sz w:val="24"/>
              </w:rPr>
              <w:t>卧式螺旋离心机</w:t>
            </w:r>
            <w:r>
              <w:rPr>
                <w:rFonts w:hint="eastAsia" w:ascii="宋体" w:cs="宋体"/>
                <w:kern w:val="0"/>
                <w:sz w:val="24"/>
              </w:rPr>
              <w:t>内进行一次泥沙分离，因沙颗密度大在泥浆中易沉降并输送到直线筛后经洗沙一体机输送带输送到沙场。而洗沙一体机内泥料则悬浮在水中并跟随水溢流而出入中转罐，进行第二次泥沙分离，旋流底流细沙回收到洗沙回收一体机，旋流溢流浆按工艺要求利用精分筛进行最后一次精分级，筛面上物料回收入洗沙回收一体机而通过筛的泥浆料需要抽调入浓缩机（</w:t>
            </w:r>
            <w:r>
              <w:rPr>
                <w:rFonts w:ascii="TimesNewRomanPSMT" w:hAnsi="TimesNewRomanPSMT" w:cs="TimesNewRomanPSMT"/>
                <w:kern w:val="0"/>
                <w:sz w:val="24"/>
              </w:rPr>
              <w:t>1</w:t>
            </w:r>
            <w:r>
              <w:rPr>
                <w:rFonts w:hint="eastAsia" w:ascii="宋体" w:cs="宋体"/>
                <w:kern w:val="0"/>
                <w:sz w:val="24"/>
              </w:rPr>
              <w:t>）中进行自然沉降</w:t>
            </w:r>
            <w:r>
              <w:rPr>
                <w:rFonts w:ascii="TimesNewRomanPSMT" w:hAnsi="TimesNewRomanPSMT" w:cs="TimesNewRomanPSMT"/>
                <w:kern w:val="0"/>
                <w:sz w:val="24"/>
              </w:rPr>
              <w:t>,</w:t>
            </w:r>
            <w:r>
              <w:rPr>
                <w:rFonts w:hint="eastAsia" w:ascii="宋体" w:cs="宋体"/>
                <w:kern w:val="0"/>
                <w:sz w:val="24"/>
              </w:rPr>
              <w:t>浓缩罐底高浓度的利用框式压滤机脱水使泥浆固化（</w:t>
            </w:r>
            <w:r>
              <w:rPr>
                <w:rFonts w:ascii="TimesNewRomanPSMT" w:hAnsi="TimesNewRomanPSMT" w:cs="TimesNewRomanPSMT"/>
                <w:kern w:val="0"/>
                <w:sz w:val="24"/>
              </w:rPr>
              <w:t>30%</w:t>
            </w:r>
            <w:r>
              <w:rPr>
                <w:rFonts w:hint="eastAsia" w:ascii="宋体" w:cs="宋体"/>
                <w:kern w:val="0"/>
                <w:sz w:val="24"/>
              </w:rPr>
              <w:t>水分），压滤出的清水回收到储水罐备用，浓缩机（</w:t>
            </w:r>
            <w:r>
              <w:rPr>
                <w:rFonts w:ascii="TimesNewRomanPSMT" w:hAnsi="TimesNewRomanPSMT" w:cs="TimesNewRomanPSMT"/>
                <w:kern w:val="0"/>
                <w:sz w:val="24"/>
              </w:rPr>
              <w:t>1</w:t>
            </w:r>
            <w:r>
              <w:rPr>
                <w:rFonts w:hint="eastAsia" w:ascii="宋体" w:cs="宋体"/>
                <w:kern w:val="0"/>
                <w:sz w:val="24"/>
              </w:rPr>
              <w:t>）溢流收入浓缩机（</w:t>
            </w:r>
            <w:r>
              <w:rPr>
                <w:rFonts w:ascii="TimesNewRomanPSMT" w:hAnsi="TimesNewRomanPSMT" w:cs="TimesNewRomanPSMT"/>
                <w:kern w:val="0"/>
                <w:sz w:val="24"/>
              </w:rPr>
              <w:t>2</w:t>
            </w:r>
            <w:r>
              <w:rPr>
                <w:rFonts w:hint="eastAsia" w:ascii="宋体" w:cs="宋体"/>
                <w:kern w:val="0"/>
                <w:sz w:val="24"/>
              </w:rPr>
              <w:t>）进行二次沉降，浓缩机（</w:t>
            </w:r>
            <w:r>
              <w:rPr>
                <w:rFonts w:ascii="TimesNewRomanPSMT" w:hAnsi="TimesNewRomanPSMT" w:cs="TimesNewRomanPSMT"/>
                <w:kern w:val="0"/>
                <w:sz w:val="24"/>
              </w:rPr>
              <w:t>2</w:t>
            </w:r>
            <w:r>
              <w:rPr>
                <w:rFonts w:hint="eastAsia" w:ascii="宋体" w:cs="宋体"/>
                <w:kern w:val="0"/>
                <w:sz w:val="24"/>
              </w:rPr>
              <w:t>）溢流收入浓缩机（</w:t>
            </w:r>
            <w:r>
              <w:rPr>
                <w:rFonts w:ascii="TimesNewRomanPSMT" w:hAnsi="TimesNewRomanPSMT" w:cs="TimesNewRomanPSMT"/>
                <w:kern w:val="0"/>
                <w:sz w:val="24"/>
              </w:rPr>
              <w:t>3</w:t>
            </w:r>
            <w:r>
              <w:rPr>
                <w:rFonts w:hint="eastAsia" w:ascii="宋体" w:cs="宋体"/>
                <w:kern w:val="0"/>
                <w:sz w:val="24"/>
              </w:rPr>
              <w:t>）进行三次沉降，三级沉降后溢流水直接抽至捣浆机处进行利用。回收到洗沙回收一体机的物料经过水洗脱水后利用输送带输送到指定堆场，而洗沙产生的浊水抽入浓缩罐进行自然沉降，浓缩罐溢流的水回收到储水罐备用，而罐底的高浓度物料则需要压滤。</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因整个水洗加工过程中，在进出料处会有泥浆溅落到地面上，所以需要清洗地面保持地面卫生整洁，清洗地面产生的污水集中回收到场地积水池，在加工过程中重新抽入捣浆机口处冲浆用，不对外排放废水。</w:t>
            </w:r>
          </w:p>
          <w:p>
            <w:pPr>
              <w:adjustRightInd w:val="0"/>
              <w:snapToGrid w:val="0"/>
              <w:spacing w:line="360" w:lineRule="auto"/>
              <w:ind w:firstLine="482" w:firstLineChars="200"/>
              <w:rPr>
                <w:rFonts w:hAnsi="宋体"/>
                <w:b/>
                <w:bCs/>
                <w:sz w:val="24"/>
              </w:rPr>
            </w:pPr>
            <w:r>
              <w:rPr>
                <w:rFonts w:hint="eastAsia" w:hAnsi="宋体"/>
                <w:b/>
                <w:bCs/>
                <w:sz w:val="24"/>
              </w:rPr>
              <w:t>产污环节分析：</w:t>
            </w:r>
          </w:p>
          <w:p>
            <w:pPr>
              <w:autoSpaceDE w:val="0"/>
              <w:autoSpaceDN w:val="0"/>
              <w:adjustRightInd w:val="0"/>
              <w:spacing w:line="360" w:lineRule="auto"/>
              <w:ind w:firstLine="482" w:firstLineChars="200"/>
              <w:jc w:val="left"/>
              <w:rPr>
                <w:rFonts w:ascii="宋体" w:cs="宋体"/>
                <w:kern w:val="0"/>
                <w:sz w:val="24"/>
              </w:rPr>
            </w:pPr>
            <w:r>
              <w:rPr>
                <w:rFonts w:hint="eastAsia" w:ascii="宋体" w:cs="宋体"/>
                <w:b/>
                <w:bCs/>
                <w:kern w:val="0"/>
                <w:sz w:val="24"/>
              </w:rPr>
              <w:t>废水：</w:t>
            </w:r>
            <w:r>
              <w:rPr>
                <w:rFonts w:hint="eastAsia" w:ascii="宋体" w:cs="宋体"/>
                <w:kern w:val="0"/>
                <w:sz w:val="24"/>
              </w:rPr>
              <w:t>本项目工艺废水循环使用，不对外排放，产生的废水主要为员工生活污水；</w:t>
            </w:r>
          </w:p>
          <w:p>
            <w:pPr>
              <w:autoSpaceDE w:val="0"/>
              <w:autoSpaceDN w:val="0"/>
              <w:adjustRightInd w:val="0"/>
              <w:spacing w:line="360" w:lineRule="auto"/>
              <w:ind w:firstLine="482" w:firstLineChars="200"/>
              <w:jc w:val="left"/>
              <w:rPr>
                <w:rFonts w:ascii="宋体" w:cs="宋体"/>
                <w:kern w:val="0"/>
                <w:sz w:val="24"/>
              </w:rPr>
            </w:pPr>
            <w:r>
              <w:rPr>
                <w:rFonts w:hint="eastAsia" w:ascii="宋体" w:cs="宋体"/>
                <w:b/>
                <w:bCs/>
                <w:kern w:val="0"/>
                <w:sz w:val="24"/>
              </w:rPr>
              <w:t>废气：</w:t>
            </w:r>
            <w:r>
              <w:rPr>
                <w:rFonts w:hint="eastAsia" w:ascii="宋体" w:cs="宋体"/>
                <w:kern w:val="0"/>
                <w:sz w:val="24"/>
              </w:rPr>
              <w:t>卸料粉尘、堆场粉尘、投料粉尘；</w:t>
            </w:r>
          </w:p>
          <w:p>
            <w:pPr>
              <w:autoSpaceDE w:val="0"/>
              <w:autoSpaceDN w:val="0"/>
              <w:adjustRightInd w:val="0"/>
              <w:spacing w:line="360" w:lineRule="auto"/>
              <w:ind w:firstLine="482" w:firstLineChars="200"/>
              <w:jc w:val="left"/>
              <w:rPr>
                <w:rFonts w:ascii="宋体" w:cs="宋体"/>
                <w:kern w:val="0"/>
                <w:sz w:val="24"/>
              </w:rPr>
            </w:pPr>
            <w:r>
              <w:rPr>
                <w:rFonts w:hint="eastAsia" w:ascii="宋体" w:cs="宋体"/>
                <w:b/>
                <w:bCs/>
                <w:kern w:val="0"/>
                <w:sz w:val="24"/>
              </w:rPr>
              <w:t>噪声：</w:t>
            </w:r>
            <w:r>
              <w:rPr>
                <w:rFonts w:hint="eastAsia" w:ascii="宋体" w:cs="宋体"/>
                <w:kern w:val="0"/>
                <w:sz w:val="24"/>
              </w:rPr>
              <w:t>机器设备在使用过程中产生噪声；</w:t>
            </w:r>
          </w:p>
          <w:p>
            <w:pPr>
              <w:adjustRightInd w:val="0"/>
              <w:snapToGrid w:val="0"/>
              <w:spacing w:line="360" w:lineRule="auto"/>
              <w:ind w:firstLine="482" w:firstLineChars="200"/>
              <w:rPr>
                <w:rFonts w:hAnsi="宋体"/>
                <w:bCs/>
                <w:sz w:val="24"/>
              </w:rPr>
            </w:pPr>
            <w:r>
              <w:rPr>
                <w:rFonts w:hint="eastAsia" w:ascii="宋体" w:cs="宋体"/>
                <w:b/>
                <w:bCs/>
                <w:kern w:val="0"/>
                <w:sz w:val="24"/>
              </w:rPr>
              <w:t>固体废物：</w:t>
            </w:r>
            <w:r>
              <w:rPr>
                <w:rFonts w:hint="eastAsia" w:ascii="宋体" w:cs="宋体"/>
                <w:kern w:val="0"/>
                <w:sz w:val="24"/>
              </w:rPr>
              <w:t>员工生活垃圾、沉淀残渣、泥沙。</w:t>
            </w:r>
          </w:p>
          <w:p>
            <w:pPr>
              <w:adjustRightInd w:val="0"/>
              <w:snapToGrid w:val="0"/>
              <w:jc w:val="center"/>
              <w:rPr>
                <w:rFonts w:hAnsi="宋体"/>
                <w:b/>
                <w:bCs/>
                <w:sz w:val="24"/>
              </w:rPr>
            </w:pPr>
            <w:r>
              <w:rPr>
                <w:b/>
                <w:bCs/>
                <w:szCs w:val="21"/>
              </w:rPr>
              <w:t>表</w:t>
            </w:r>
            <w:r>
              <w:rPr>
                <w:rFonts w:hint="eastAsia"/>
                <w:b/>
                <w:bCs/>
                <w:szCs w:val="21"/>
              </w:rPr>
              <w:t>1</w:t>
            </w:r>
            <w:r>
              <w:rPr>
                <w:b/>
                <w:bCs/>
                <w:szCs w:val="21"/>
              </w:rPr>
              <w:t xml:space="preserve">5 </w:t>
            </w:r>
            <w:r>
              <w:rPr>
                <w:rFonts w:hint="eastAsia"/>
                <w:b/>
                <w:bCs/>
                <w:szCs w:val="21"/>
              </w:rPr>
              <w:t xml:space="preserve">项目运营期产污明细一览表  </w:t>
            </w:r>
          </w:p>
          <w:tbl>
            <w:tblPr>
              <w:tblStyle w:val="26"/>
              <w:tblW w:w="10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
              <w:gridCol w:w="646"/>
              <w:gridCol w:w="1688"/>
              <w:gridCol w:w="1453"/>
              <w:gridCol w:w="3076"/>
              <w:gridCol w:w="2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trPr>
              <w:tc>
                <w:tcPr>
                  <w:tcW w:w="542" w:type="dxa"/>
                  <w:vAlign w:val="center"/>
                </w:tcPr>
                <w:p>
                  <w:pPr>
                    <w:adjustRightInd w:val="0"/>
                    <w:snapToGrid w:val="0"/>
                    <w:jc w:val="center"/>
                    <w:rPr>
                      <w:rFonts w:hAnsi="宋体"/>
                      <w:b/>
                      <w:bCs/>
                      <w:szCs w:val="21"/>
                    </w:rPr>
                  </w:pPr>
                  <w:r>
                    <w:rPr>
                      <w:rFonts w:hint="eastAsia" w:hAnsi="宋体"/>
                      <w:b/>
                      <w:bCs/>
                      <w:szCs w:val="21"/>
                    </w:rPr>
                    <w:t>类型</w:t>
                  </w:r>
                </w:p>
              </w:tc>
              <w:tc>
                <w:tcPr>
                  <w:tcW w:w="646" w:type="dxa"/>
                  <w:vAlign w:val="center"/>
                </w:tcPr>
                <w:p>
                  <w:pPr>
                    <w:adjustRightInd w:val="0"/>
                    <w:snapToGrid w:val="0"/>
                    <w:jc w:val="center"/>
                    <w:rPr>
                      <w:rFonts w:hAnsi="宋体"/>
                      <w:b/>
                      <w:bCs/>
                      <w:szCs w:val="21"/>
                    </w:rPr>
                  </w:pPr>
                  <w:r>
                    <w:rPr>
                      <w:rFonts w:hint="eastAsia" w:hAnsi="宋体"/>
                      <w:b/>
                      <w:bCs/>
                      <w:szCs w:val="21"/>
                    </w:rPr>
                    <w:t>符号代表</w:t>
                  </w:r>
                </w:p>
              </w:tc>
              <w:tc>
                <w:tcPr>
                  <w:tcW w:w="1688" w:type="dxa"/>
                  <w:vAlign w:val="center"/>
                </w:tcPr>
                <w:p>
                  <w:pPr>
                    <w:adjustRightInd w:val="0"/>
                    <w:snapToGrid w:val="0"/>
                    <w:jc w:val="center"/>
                    <w:rPr>
                      <w:rFonts w:hAnsi="宋体"/>
                      <w:b/>
                      <w:bCs/>
                      <w:szCs w:val="21"/>
                    </w:rPr>
                  </w:pPr>
                  <w:r>
                    <w:rPr>
                      <w:rFonts w:hint="eastAsia" w:hAnsi="宋体"/>
                      <w:b/>
                      <w:bCs/>
                      <w:szCs w:val="21"/>
                    </w:rPr>
                    <w:t>污染来源</w:t>
                  </w:r>
                </w:p>
              </w:tc>
              <w:tc>
                <w:tcPr>
                  <w:tcW w:w="1453" w:type="dxa"/>
                  <w:vAlign w:val="center"/>
                </w:tcPr>
                <w:p>
                  <w:pPr>
                    <w:adjustRightInd w:val="0"/>
                    <w:snapToGrid w:val="0"/>
                    <w:jc w:val="center"/>
                    <w:rPr>
                      <w:rFonts w:hAnsi="宋体"/>
                      <w:b/>
                      <w:bCs/>
                      <w:szCs w:val="21"/>
                    </w:rPr>
                  </w:pPr>
                  <w:r>
                    <w:rPr>
                      <w:rFonts w:hint="eastAsia" w:hAnsi="宋体"/>
                      <w:b/>
                      <w:bCs/>
                      <w:szCs w:val="21"/>
                    </w:rPr>
                    <w:t>主要污染物名称</w:t>
                  </w:r>
                </w:p>
              </w:tc>
              <w:tc>
                <w:tcPr>
                  <w:tcW w:w="3076" w:type="dxa"/>
                  <w:vAlign w:val="center"/>
                </w:tcPr>
                <w:p>
                  <w:pPr>
                    <w:adjustRightInd w:val="0"/>
                    <w:snapToGrid w:val="0"/>
                    <w:jc w:val="center"/>
                    <w:rPr>
                      <w:rFonts w:hAnsi="宋体"/>
                      <w:b/>
                      <w:bCs/>
                      <w:szCs w:val="21"/>
                    </w:rPr>
                  </w:pPr>
                  <w:r>
                    <w:rPr>
                      <w:rFonts w:hint="eastAsia" w:hAnsi="宋体"/>
                      <w:b/>
                      <w:bCs/>
                      <w:szCs w:val="21"/>
                    </w:rPr>
                    <w:t>处理情况及去向</w:t>
                  </w:r>
                </w:p>
              </w:tc>
              <w:tc>
                <w:tcPr>
                  <w:tcW w:w="2783" w:type="dxa"/>
                  <w:vAlign w:val="center"/>
                </w:tcPr>
                <w:p>
                  <w:pPr>
                    <w:adjustRightInd w:val="0"/>
                    <w:snapToGrid w:val="0"/>
                    <w:jc w:val="center"/>
                    <w:rPr>
                      <w:rFonts w:hAnsi="宋体"/>
                      <w:b/>
                      <w:bCs/>
                      <w:szCs w:val="21"/>
                    </w:rPr>
                  </w:pPr>
                  <w:r>
                    <w:rPr>
                      <w:rFonts w:hint="eastAsia" w:hAnsi="宋体"/>
                      <w:b/>
                      <w:bCs/>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trPr>
              <w:tc>
                <w:tcPr>
                  <w:tcW w:w="542" w:type="dxa"/>
                  <w:vMerge w:val="restart"/>
                  <w:vAlign w:val="center"/>
                </w:tcPr>
                <w:p>
                  <w:pPr>
                    <w:adjustRightInd w:val="0"/>
                    <w:snapToGrid w:val="0"/>
                    <w:jc w:val="center"/>
                    <w:rPr>
                      <w:rFonts w:hAnsi="宋体"/>
                      <w:bCs/>
                      <w:szCs w:val="21"/>
                    </w:rPr>
                  </w:pPr>
                  <w:r>
                    <w:rPr>
                      <w:rFonts w:hint="eastAsia" w:hAnsi="宋体"/>
                      <w:bCs/>
                      <w:szCs w:val="21"/>
                    </w:rPr>
                    <w:t>废气</w:t>
                  </w:r>
                </w:p>
              </w:tc>
              <w:tc>
                <w:tcPr>
                  <w:tcW w:w="646" w:type="dxa"/>
                  <w:vAlign w:val="center"/>
                </w:tcPr>
                <w:p>
                  <w:pPr>
                    <w:adjustRightInd w:val="0"/>
                    <w:snapToGrid w:val="0"/>
                    <w:jc w:val="center"/>
                    <w:rPr>
                      <w:rFonts w:hAnsi="宋体"/>
                      <w:bCs/>
                      <w:szCs w:val="21"/>
                    </w:rPr>
                  </w:pPr>
                  <w:r>
                    <w:rPr>
                      <w:rFonts w:hint="eastAsia" w:hAnsi="宋体"/>
                      <w:bCs/>
                      <w:szCs w:val="21"/>
                    </w:rPr>
                    <w:t>G1</w:t>
                  </w:r>
                </w:p>
              </w:tc>
              <w:tc>
                <w:tcPr>
                  <w:tcW w:w="1688" w:type="dxa"/>
                  <w:vAlign w:val="center"/>
                </w:tcPr>
                <w:p>
                  <w:pPr>
                    <w:adjustRightInd w:val="0"/>
                    <w:snapToGrid w:val="0"/>
                    <w:jc w:val="center"/>
                    <w:rPr>
                      <w:rFonts w:hAnsi="宋体"/>
                      <w:bCs/>
                      <w:szCs w:val="21"/>
                    </w:rPr>
                  </w:pPr>
                  <w:r>
                    <w:rPr>
                      <w:rFonts w:hint="eastAsia" w:ascii="宋体" w:cs="宋体"/>
                      <w:kern w:val="0"/>
                      <w:szCs w:val="21"/>
                    </w:rPr>
                    <w:t>投料工序扬尘</w:t>
                  </w:r>
                </w:p>
              </w:tc>
              <w:tc>
                <w:tcPr>
                  <w:tcW w:w="1453" w:type="dxa"/>
                  <w:vAlign w:val="center"/>
                </w:tcPr>
                <w:p>
                  <w:pPr>
                    <w:adjustRightInd w:val="0"/>
                    <w:snapToGrid w:val="0"/>
                    <w:jc w:val="center"/>
                    <w:rPr>
                      <w:rFonts w:hAnsi="宋体"/>
                      <w:bCs/>
                      <w:szCs w:val="21"/>
                    </w:rPr>
                  </w:pPr>
                  <w:r>
                    <w:rPr>
                      <w:rFonts w:hint="eastAsia" w:hAnsi="宋体"/>
                      <w:bCs/>
                      <w:szCs w:val="21"/>
                    </w:rPr>
                    <w:t>颗粒物</w:t>
                  </w:r>
                </w:p>
              </w:tc>
              <w:tc>
                <w:tcPr>
                  <w:tcW w:w="3076" w:type="dxa"/>
                  <w:vAlign w:val="center"/>
                </w:tcPr>
                <w:p>
                  <w:pPr>
                    <w:adjustRightInd w:val="0"/>
                    <w:snapToGrid w:val="0"/>
                    <w:jc w:val="center"/>
                    <w:rPr>
                      <w:rFonts w:hAnsi="宋体"/>
                      <w:bCs/>
                      <w:szCs w:val="21"/>
                    </w:rPr>
                  </w:pPr>
                  <w:r>
                    <w:rPr>
                      <w:rFonts w:hint="eastAsia" w:ascii="宋体" w:cs="宋体"/>
                      <w:kern w:val="0"/>
                      <w:szCs w:val="21"/>
                    </w:rPr>
                    <w:t>喷雾降尘装置, 加装彩钢板, 密封阻挡隔尘</w:t>
                  </w:r>
                </w:p>
              </w:tc>
              <w:tc>
                <w:tcPr>
                  <w:tcW w:w="2783" w:type="dxa"/>
                  <w:vMerge w:val="restart"/>
                  <w:vAlign w:val="center"/>
                </w:tcPr>
                <w:p>
                  <w:pPr>
                    <w:adjustRightInd w:val="0"/>
                    <w:snapToGrid w:val="0"/>
                    <w:jc w:val="center"/>
                    <w:rPr>
                      <w:rFonts w:hAnsi="宋体"/>
                      <w:bCs/>
                      <w:szCs w:val="21"/>
                    </w:rPr>
                  </w:pPr>
                  <w:r>
                    <w:rPr>
                      <w:rFonts w:hAnsi="宋体"/>
                      <w:bCs/>
                      <w:szCs w:val="21"/>
                    </w:rPr>
                    <w:t>广东省</w:t>
                  </w:r>
                  <w:r>
                    <w:rPr>
                      <w:rFonts w:hint="eastAsia" w:hAnsi="宋体"/>
                      <w:bCs/>
                      <w:szCs w:val="21"/>
                    </w:rPr>
                    <w:t>地方标准</w:t>
                  </w:r>
                  <w:r>
                    <w:rPr>
                      <w:rFonts w:hint="eastAsia" w:ascii="宋体" w:cs="宋体"/>
                      <w:kern w:val="0"/>
                      <w:szCs w:val="21"/>
                    </w:rPr>
                    <w:t>《大气污染物排放限值》（</w:t>
                  </w:r>
                  <w:r>
                    <w:rPr>
                      <w:rFonts w:ascii="TimesNewRomanPSMT" w:hAnsi="TimesNewRomanPSMT" w:cs="TimesNewRomanPSMT"/>
                      <w:kern w:val="0"/>
                      <w:szCs w:val="21"/>
                    </w:rPr>
                    <w:t>DB44/27-2001</w:t>
                  </w:r>
                  <w:r>
                    <w:rPr>
                      <w:rFonts w:hint="eastAsia" w:ascii="宋体" w:cs="宋体"/>
                      <w:kern w:val="0"/>
                      <w:szCs w:val="21"/>
                    </w:rPr>
                    <w:t>）第二时段二级标准无组织排放限值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trPr>
              <w:tc>
                <w:tcPr>
                  <w:tcW w:w="542" w:type="dxa"/>
                  <w:vMerge w:val="continue"/>
                  <w:vAlign w:val="center"/>
                </w:tcPr>
                <w:p>
                  <w:pPr>
                    <w:adjustRightInd w:val="0"/>
                    <w:snapToGrid w:val="0"/>
                    <w:jc w:val="center"/>
                    <w:rPr>
                      <w:rFonts w:hAnsi="宋体"/>
                      <w:bCs/>
                      <w:szCs w:val="21"/>
                    </w:rPr>
                  </w:pPr>
                </w:p>
              </w:tc>
              <w:tc>
                <w:tcPr>
                  <w:tcW w:w="646" w:type="dxa"/>
                  <w:vAlign w:val="center"/>
                </w:tcPr>
                <w:p>
                  <w:pPr>
                    <w:adjustRightInd w:val="0"/>
                    <w:snapToGrid w:val="0"/>
                    <w:jc w:val="center"/>
                    <w:rPr>
                      <w:rFonts w:hAnsi="宋体"/>
                      <w:bCs/>
                      <w:szCs w:val="21"/>
                    </w:rPr>
                  </w:pPr>
                  <w:r>
                    <w:rPr>
                      <w:rFonts w:hint="eastAsia" w:hAnsi="宋体"/>
                      <w:bCs/>
                      <w:szCs w:val="21"/>
                    </w:rPr>
                    <w:t>G2</w:t>
                  </w:r>
                </w:p>
              </w:tc>
              <w:tc>
                <w:tcPr>
                  <w:tcW w:w="1688" w:type="dxa"/>
                  <w:vAlign w:val="center"/>
                </w:tcPr>
                <w:p>
                  <w:pPr>
                    <w:adjustRightInd w:val="0"/>
                    <w:snapToGrid w:val="0"/>
                    <w:jc w:val="center"/>
                    <w:rPr>
                      <w:rFonts w:hAnsi="宋体"/>
                      <w:bCs/>
                      <w:szCs w:val="21"/>
                    </w:rPr>
                  </w:pPr>
                  <w:r>
                    <w:rPr>
                      <w:rFonts w:hint="eastAsia" w:ascii="宋体" w:cs="宋体"/>
                      <w:kern w:val="0"/>
                      <w:szCs w:val="21"/>
                    </w:rPr>
                    <w:t>堆场粉尘</w:t>
                  </w:r>
                </w:p>
              </w:tc>
              <w:tc>
                <w:tcPr>
                  <w:tcW w:w="1453" w:type="dxa"/>
                  <w:vAlign w:val="center"/>
                </w:tcPr>
                <w:p>
                  <w:pPr>
                    <w:adjustRightInd w:val="0"/>
                    <w:snapToGrid w:val="0"/>
                    <w:jc w:val="center"/>
                    <w:rPr>
                      <w:rFonts w:hAnsi="宋体"/>
                      <w:bCs/>
                      <w:szCs w:val="21"/>
                    </w:rPr>
                  </w:pPr>
                  <w:r>
                    <w:rPr>
                      <w:rFonts w:hint="eastAsia" w:hAnsi="宋体"/>
                      <w:bCs/>
                      <w:szCs w:val="21"/>
                    </w:rPr>
                    <w:t>颗粒物</w:t>
                  </w:r>
                </w:p>
              </w:tc>
              <w:tc>
                <w:tcPr>
                  <w:tcW w:w="3076" w:type="dxa"/>
                  <w:vAlign w:val="center"/>
                </w:tcPr>
                <w:p>
                  <w:pPr>
                    <w:adjustRightInd w:val="0"/>
                    <w:snapToGrid w:val="0"/>
                    <w:jc w:val="center"/>
                    <w:rPr>
                      <w:rFonts w:hAnsi="宋体"/>
                      <w:bCs/>
                      <w:szCs w:val="21"/>
                    </w:rPr>
                  </w:pPr>
                  <w:r>
                    <w:rPr>
                      <w:rFonts w:hint="eastAsia" w:ascii="宋体" w:cs="宋体"/>
                      <w:kern w:val="0"/>
                      <w:szCs w:val="21"/>
                    </w:rPr>
                    <w:t>定期洒水降尘, 加装彩钢板</w:t>
                  </w:r>
                </w:p>
              </w:tc>
              <w:tc>
                <w:tcPr>
                  <w:tcW w:w="2783" w:type="dxa"/>
                  <w:vMerge w:val="continue"/>
                  <w:vAlign w:val="center"/>
                </w:tcPr>
                <w:p>
                  <w:pPr>
                    <w:adjustRightInd w:val="0"/>
                    <w:snapToGrid w:val="0"/>
                    <w:jc w:val="center"/>
                    <w:rPr>
                      <w:rFonts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trPr>
              <w:tc>
                <w:tcPr>
                  <w:tcW w:w="542" w:type="dxa"/>
                  <w:vMerge w:val="continue"/>
                  <w:vAlign w:val="center"/>
                </w:tcPr>
                <w:p>
                  <w:pPr>
                    <w:adjustRightInd w:val="0"/>
                    <w:snapToGrid w:val="0"/>
                    <w:jc w:val="center"/>
                    <w:rPr>
                      <w:rFonts w:hAnsi="宋体"/>
                      <w:bCs/>
                      <w:szCs w:val="21"/>
                    </w:rPr>
                  </w:pPr>
                </w:p>
              </w:tc>
              <w:tc>
                <w:tcPr>
                  <w:tcW w:w="646" w:type="dxa"/>
                  <w:vAlign w:val="center"/>
                </w:tcPr>
                <w:p>
                  <w:pPr>
                    <w:adjustRightInd w:val="0"/>
                    <w:snapToGrid w:val="0"/>
                    <w:jc w:val="center"/>
                    <w:rPr>
                      <w:rFonts w:hAnsi="宋体"/>
                      <w:bCs/>
                      <w:szCs w:val="21"/>
                    </w:rPr>
                  </w:pPr>
                  <w:r>
                    <w:rPr>
                      <w:rFonts w:hint="eastAsia" w:hAnsi="宋体"/>
                      <w:bCs/>
                      <w:szCs w:val="21"/>
                    </w:rPr>
                    <w:t>G3</w:t>
                  </w:r>
                </w:p>
              </w:tc>
              <w:tc>
                <w:tcPr>
                  <w:tcW w:w="1688" w:type="dxa"/>
                  <w:vAlign w:val="center"/>
                </w:tcPr>
                <w:p>
                  <w:pPr>
                    <w:adjustRightInd w:val="0"/>
                    <w:snapToGrid w:val="0"/>
                    <w:jc w:val="center"/>
                    <w:rPr>
                      <w:rFonts w:hAnsi="宋体"/>
                      <w:bCs/>
                      <w:szCs w:val="21"/>
                    </w:rPr>
                  </w:pPr>
                  <w:r>
                    <w:rPr>
                      <w:kern w:val="0"/>
                      <w:szCs w:val="21"/>
                    </w:rPr>
                    <w:t>卸料粉尘</w:t>
                  </w:r>
                </w:p>
              </w:tc>
              <w:tc>
                <w:tcPr>
                  <w:tcW w:w="1453" w:type="dxa"/>
                  <w:vAlign w:val="center"/>
                </w:tcPr>
                <w:p>
                  <w:pPr>
                    <w:adjustRightInd w:val="0"/>
                    <w:snapToGrid w:val="0"/>
                    <w:jc w:val="center"/>
                    <w:rPr>
                      <w:rFonts w:hAnsi="宋体"/>
                      <w:bCs/>
                      <w:szCs w:val="21"/>
                    </w:rPr>
                  </w:pPr>
                  <w:r>
                    <w:rPr>
                      <w:rFonts w:hint="eastAsia" w:hAnsi="宋体"/>
                      <w:bCs/>
                      <w:szCs w:val="21"/>
                    </w:rPr>
                    <w:t>颗粒物</w:t>
                  </w:r>
                </w:p>
              </w:tc>
              <w:tc>
                <w:tcPr>
                  <w:tcW w:w="3076" w:type="dxa"/>
                  <w:vAlign w:val="center"/>
                </w:tcPr>
                <w:p>
                  <w:pPr>
                    <w:adjustRightInd w:val="0"/>
                    <w:snapToGrid w:val="0"/>
                    <w:jc w:val="center"/>
                    <w:rPr>
                      <w:rFonts w:hAnsi="宋体"/>
                      <w:bCs/>
                      <w:szCs w:val="21"/>
                    </w:rPr>
                  </w:pPr>
                  <w:r>
                    <w:rPr>
                      <w:rFonts w:hint="eastAsia" w:ascii="宋体" w:cs="宋体"/>
                      <w:kern w:val="0"/>
                      <w:szCs w:val="21"/>
                    </w:rPr>
                    <w:t>部分封闭并附纤维过滤袋</w:t>
                  </w:r>
                </w:p>
              </w:tc>
              <w:tc>
                <w:tcPr>
                  <w:tcW w:w="2783" w:type="dxa"/>
                  <w:vMerge w:val="continue"/>
                  <w:vAlign w:val="center"/>
                </w:tcPr>
                <w:p>
                  <w:pPr>
                    <w:adjustRightInd w:val="0"/>
                    <w:snapToGrid w:val="0"/>
                    <w:jc w:val="center"/>
                    <w:rPr>
                      <w:rFonts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trPr>
              <w:tc>
                <w:tcPr>
                  <w:tcW w:w="542" w:type="dxa"/>
                  <w:vMerge w:val="restart"/>
                  <w:vAlign w:val="center"/>
                </w:tcPr>
                <w:p>
                  <w:pPr>
                    <w:adjustRightInd w:val="0"/>
                    <w:snapToGrid w:val="0"/>
                    <w:jc w:val="center"/>
                    <w:rPr>
                      <w:rFonts w:hAnsi="宋体"/>
                      <w:bCs/>
                      <w:szCs w:val="21"/>
                    </w:rPr>
                  </w:pPr>
                  <w:r>
                    <w:rPr>
                      <w:rFonts w:hint="eastAsia" w:hAnsi="宋体"/>
                      <w:bCs/>
                      <w:szCs w:val="21"/>
                    </w:rPr>
                    <w:t>废水</w:t>
                  </w:r>
                </w:p>
              </w:tc>
              <w:tc>
                <w:tcPr>
                  <w:tcW w:w="646" w:type="dxa"/>
                  <w:vAlign w:val="center"/>
                </w:tcPr>
                <w:p>
                  <w:pPr>
                    <w:adjustRightInd w:val="0"/>
                    <w:snapToGrid w:val="0"/>
                    <w:jc w:val="center"/>
                    <w:rPr>
                      <w:bCs/>
                      <w:szCs w:val="21"/>
                    </w:rPr>
                  </w:pPr>
                  <w:r>
                    <w:rPr>
                      <w:bCs/>
                      <w:szCs w:val="21"/>
                    </w:rPr>
                    <w:t>W1</w:t>
                  </w:r>
                </w:p>
              </w:tc>
              <w:tc>
                <w:tcPr>
                  <w:tcW w:w="1688" w:type="dxa"/>
                  <w:vAlign w:val="center"/>
                </w:tcPr>
                <w:p>
                  <w:pPr>
                    <w:adjustRightInd w:val="0"/>
                    <w:snapToGrid w:val="0"/>
                    <w:jc w:val="center"/>
                    <w:rPr>
                      <w:bCs/>
                      <w:szCs w:val="21"/>
                    </w:rPr>
                  </w:pPr>
                  <w:r>
                    <w:rPr>
                      <w:kern w:val="0"/>
                      <w:szCs w:val="21"/>
                    </w:rPr>
                    <w:t>工艺废水</w:t>
                  </w:r>
                </w:p>
              </w:tc>
              <w:tc>
                <w:tcPr>
                  <w:tcW w:w="1453" w:type="dxa"/>
                  <w:vAlign w:val="center"/>
                </w:tcPr>
                <w:p>
                  <w:pPr>
                    <w:adjustRightInd w:val="0"/>
                    <w:snapToGrid w:val="0"/>
                    <w:jc w:val="center"/>
                    <w:rPr>
                      <w:bCs/>
                      <w:szCs w:val="21"/>
                    </w:rPr>
                  </w:pPr>
                  <w:r>
                    <w:rPr>
                      <w:kern w:val="0"/>
                      <w:szCs w:val="21"/>
                    </w:rPr>
                    <w:t>工艺废水</w:t>
                  </w:r>
                </w:p>
              </w:tc>
              <w:tc>
                <w:tcPr>
                  <w:tcW w:w="3076" w:type="dxa"/>
                  <w:vAlign w:val="center"/>
                </w:tcPr>
                <w:p>
                  <w:pPr>
                    <w:adjustRightInd w:val="0"/>
                    <w:snapToGrid w:val="0"/>
                    <w:jc w:val="center"/>
                    <w:rPr>
                      <w:bCs/>
                      <w:szCs w:val="21"/>
                    </w:rPr>
                  </w:pPr>
                  <w:r>
                    <w:rPr>
                      <w:kern w:val="0"/>
                      <w:szCs w:val="21"/>
                    </w:rPr>
                    <w:t>污水沉淀池处理后全部回用不外排</w:t>
                  </w:r>
                </w:p>
              </w:tc>
              <w:tc>
                <w:tcPr>
                  <w:tcW w:w="2783" w:type="dxa"/>
                  <w:vAlign w:val="center"/>
                </w:tcPr>
                <w:p>
                  <w:pPr>
                    <w:adjustRightInd w:val="0"/>
                    <w:snapToGrid w:val="0"/>
                    <w:jc w:val="center"/>
                    <w:rPr>
                      <w:bCs/>
                      <w:szCs w:val="21"/>
                    </w:rPr>
                  </w:pPr>
                  <w:r>
                    <w:rPr>
                      <w:rFonts w:hint="eastAsia" w:hAnsi="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trPr>
              <w:tc>
                <w:tcPr>
                  <w:tcW w:w="542" w:type="dxa"/>
                  <w:vMerge w:val="continue"/>
                  <w:vAlign w:val="center"/>
                </w:tcPr>
                <w:p>
                  <w:pPr>
                    <w:adjustRightInd w:val="0"/>
                    <w:snapToGrid w:val="0"/>
                    <w:jc w:val="center"/>
                    <w:rPr>
                      <w:rFonts w:hAnsi="宋体"/>
                      <w:bCs/>
                      <w:szCs w:val="21"/>
                    </w:rPr>
                  </w:pPr>
                </w:p>
              </w:tc>
              <w:tc>
                <w:tcPr>
                  <w:tcW w:w="646" w:type="dxa"/>
                  <w:vAlign w:val="center"/>
                </w:tcPr>
                <w:p>
                  <w:pPr>
                    <w:adjustRightInd w:val="0"/>
                    <w:snapToGrid w:val="0"/>
                    <w:jc w:val="center"/>
                    <w:rPr>
                      <w:bCs/>
                      <w:szCs w:val="21"/>
                    </w:rPr>
                  </w:pPr>
                  <w:r>
                    <w:rPr>
                      <w:bCs/>
                      <w:szCs w:val="21"/>
                    </w:rPr>
                    <w:t>W2</w:t>
                  </w:r>
                </w:p>
              </w:tc>
              <w:tc>
                <w:tcPr>
                  <w:tcW w:w="1688" w:type="dxa"/>
                  <w:vAlign w:val="center"/>
                </w:tcPr>
                <w:p>
                  <w:pPr>
                    <w:adjustRightInd w:val="0"/>
                    <w:snapToGrid w:val="0"/>
                    <w:jc w:val="center"/>
                    <w:rPr>
                      <w:bCs/>
                      <w:szCs w:val="21"/>
                    </w:rPr>
                  </w:pPr>
                  <w:r>
                    <w:rPr>
                      <w:kern w:val="0"/>
                      <w:szCs w:val="21"/>
                    </w:rPr>
                    <w:t>设施冲洗废水</w:t>
                  </w:r>
                </w:p>
              </w:tc>
              <w:tc>
                <w:tcPr>
                  <w:tcW w:w="1453" w:type="dxa"/>
                  <w:vAlign w:val="center"/>
                </w:tcPr>
                <w:p>
                  <w:pPr>
                    <w:adjustRightInd w:val="0"/>
                    <w:snapToGrid w:val="0"/>
                    <w:jc w:val="center"/>
                    <w:rPr>
                      <w:bCs/>
                      <w:szCs w:val="21"/>
                    </w:rPr>
                  </w:pPr>
                  <w:r>
                    <w:rPr>
                      <w:kern w:val="0"/>
                      <w:szCs w:val="21"/>
                    </w:rPr>
                    <w:t>设施冲洗废水</w:t>
                  </w:r>
                </w:p>
              </w:tc>
              <w:tc>
                <w:tcPr>
                  <w:tcW w:w="3076" w:type="dxa"/>
                  <w:vAlign w:val="center"/>
                </w:tcPr>
                <w:p>
                  <w:pPr>
                    <w:adjustRightInd w:val="0"/>
                    <w:snapToGrid w:val="0"/>
                    <w:jc w:val="center"/>
                    <w:rPr>
                      <w:bCs/>
                      <w:szCs w:val="21"/>
                    </w:rPr>
                  </w:pPr>
                  <w:r>
                    <w:rPr>
                      <w:kern w:val="0"/>
                      <w:szCs w:val="21"/>
                    </w:rPr>
                    <w:t>废水直接抽至储水池中备用</w:t>
                  </w:r>
                </w:p>
              </w:tc>
              <w:tc>
                <w:tcPr>
                  <w:tcW w:w="2783" w:type="dxa"/>
                  <w:vAlign w:val="center"/>
                </w:tcPr>
                <w:p>
                  <w:pPr>
                    <w:adjustRightInd w:val="0"/>
                    <w:snapToGrid w:val="0"/>
                    <w:jc w:val="center"/>
                    <w:rPr>
                      <w:bCs/>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trPr>
              <w:tc>
                <w:tcPr>
                  <w:tcW w:w="542" w:type="dxa"/>
                  <w:vMerge w:val="continue"/>
                  <w:vAlign w:val="center"/>
                </w:tcPr>
                <w:p>
                  <w:pPr>
                    <w:adjustRightInd w:val="0"/>
                    <w:snapToGrid w:val="0"/>
                    <w:jc w:val="center"/>
                    <w:rPr>
                      <w:rFonts w:hAnsi="宋体"/>
                      <w:bCs/>
                      <w:szCs w:val="21"/>
                    </w:rPr>
                  </w:pPr>
                </w:p>
              </w:tc>
              <w:tc>
                <w:tcPr>
                  <w:tcW w:w="646" w:type="dxa"/>
                  <w:vAlign w:val="center"/>
                </w:tcPr>
                <w:p>
                  <w:pPr>
                    <w:adjustRightInd w:val="0"/>
                    <w:snapToGrid w:val="0"/>
                    <w:jc w:val="center"/>
                    <w:rPr>
                      <w:bCs/>
                      <w:szCs w:val="21"/>
                    </w:rPr>
                  </w:pPr>
                  <w:r>
                    <w:rPr>
                      <w:bCs/>
                      <w:szCs w:val="21"/>
                    </w:rPr>
                    <w:t>W3</w:t>
                  </w:r>
                </w:p>
              </w:tc>
              <w:tc>
                <w:tcPr>
                  <w:tcW w:w="1688" w:type="dxa"/>
                  <w:vAlign w:val="center"/>
                </w:tcPr>
                <w:p>
                  <w:pPr>
                    <w:adjustRightInd w:val="0"/>
                    <w:snapToGrid w:val="0"/>
                    <w:jc w:val="center"/>
                    <w:rPr>
                      <w:bCs/>
                      <w:szCs w:val="21"/>
                    </w:rPr>
                  </w:pPr>
                  <w:r>
                    <w:rPr>
                      <w:kern w:val="0"/>
                      <w:szCs w:val="21"/>
                    </w:rPr>
                    <w:t>地面冲洗废水</w:t>
                  </w:r>
                </w:p>
              </w:tc>
              <w:tc>
                <w:tcPr>
                  <w:tcW w:w="1453" w:type="dxa"/>
                  <w:vAlign w:val="center"/>
                </w:tcPr>
                <w:p>
                  <w:pPr>
                    <w:adjustRightInd w:val="0"/>
                    <w:snapToGrid w:val="0"/>
                    <w:jc w:val="center"/>
                    <w:rPr>
                      <w:bCs/>
                      <w:szCs w:val="21"/>
                    </w:rPr>
                  </w:pPr>
                  <w:r>
                    <w:rPr>
                      <w:kern w:val="0"/>
                      <w:szCs w:val="21"/>
                    </w:rPr>
                    <w:t>地面冲洗废水</w:t>
                  </w:r>
                </w:p>
              </w:tc>
              <w:tc>
                <w:tcPr>
                  <w:tcW w:w="3076" w:type="dxa"/>
                  <w:vAlign w:val="center"/>
                </w:tcPr>
                <w:p>
                  <w:pPr>
                    <w:adjustRightInd w:val="0"/>
                    <w:snapToGrid w:val="0"/>
                    <w:jc w:val="center"/>
                    <w:rPr>
                      <w:bCs/>
                      <w:szCs w:val="21"/>
                    </w:rPr>
                  </w:pPr>
                  <w:r>
                    <w:rPr>
                      <w:kern w:val="0"/>
                      <w:szCs w:val="21"/>
                    </w:rPr>
                    <w:t>作为下一班次生产的补充用料</w:t>
                  </w:r>
                </w:p>
              </w:tc>
              <w:tc>
                <w:tcPr>
                  <w:tcW w:w="2783" w:type="dxa"/>
                  <w:vAlign w:val="center"/>
                </w:tcPr>
                <w:p>
                  <w:pPr>
                    <w:adjustRightInd w:val="0"/>
                    <w:snapToGrid w:val="0"/>
                    <w:jc w:val="center"/>
                    <w:rPr>
                      <w:bCs/>
                      <w:szCs w:val="21"/>
                    </w:rPr>
                  </w:pPr>
                  <w:r>
                    <w:rPr>
                      <w:rFonts w:hint="eastAsia" w:hAnsi="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trPr>
              <w:tc>
                <w:tcPr>
                  <w:tcW w:w="542" w:type="dxa"/>
                  <w:vMerge w:val="continue"/>
                  <w:vAlign w:val="center"/>
                </w:tcPr>
                <w:p>
                  <w:pPr>
                    <w:adjustRightInd w:val="0"/>
                    <w:snapToGrid w:val="0"/>
                    <w:jc w:val="center"/>
                    <w:rPr>
                      <w:rFonts w:hAnsi="宋体"/>
                      <w:bCs/>
                      <w:szCs w:val="21"/>
                    </w:rPr>
                  </w:pPr>
                </w:p>
              </w:tc>
              <w:tc>
                <w:tcPr>
                  <w:tcW w:w="646" w:type="dxa"/>
                  <w:vAlign w:val="center"/>
                </w:tcPr>
                <w:p>
                  <w:pPr>
                    <w:adjustRightInd w:val="0"/>
                    <w:snapToGrid w:val="0"/>
                    <w:jc w:val="center"/>
                    <w:rPr>
                      <w:bCs/>
                      <w:szCs w:val="21"/>
                    </w:rPr>
                  </w:pPr>
                  <w:r>
                    <w:rPr>
                      <w:bCs/>
                      <w:szCs w:val="21"/>
                    </w:rPr>
                    <w:t>W4</w:t>
                  </w:r>
                </w:p>
              </w:tc>
              <w:tc>
                <w:tcPr>
                  <w:tcW w:w="1688" w:type="dxa"/>
                  <w:vAlign w:val="center"/>
                </w:tcPr>
                <w:p>
                  <w:pPr>
                    <w:adjustRightInd w:val="0"/>
                    <w:snapToGrid w:val="0"/>
                    <w:jc w:val="center"/>
                    <w:rPr>
                      <w:bCs/>
                      <w:szCs w:val="21"/>
                    </w:rPr>
                  </w:pPr>
                  <w:r>
                    <w:rPr>
                      <w:bCs/>
                      <w:szCs w:val="21"/>
                    </w:rPr>
                    <w:t>员工生活办公</w:t>
                  </w:r>
                </w:p>
              </w:tc>
              <w:tc>
                <w:tcPr>
                  <w:tcW w:w="1453" w:type="dxa"/>
                  <w:vAlign w:val="center"/>
                </w:tcPr>
                <w:p>
                  <w:pPr>
                    <w:adjustRightInd w:val="0"/>
                    <w:snapToGrid w:val="0"/>
                    <w:jc w:val="center"/>
                    <w:rPr>
                      <w:kern w:val="0"/>
                      <w:szCs w:val="21"/>
                    </w:rPr>
                  </w:pPr>
                  <w:r>
                    <w:rPr>
                      <w:bCs/>
                      <w:szCs w:val="21"/>
                    </w:rPr>
                    <w:t>生活污水</w:t>
                  </w:r>
                </w:p>
              </w:tc>
              <w:tc>
                <w:tcPr>
                  <w:tcW w:w="3076" w:type="dxa"/>
                  <w:vAlign w:val="center"/>
                </w:tcPr>
                <w:p>
                  <w:pPr>
                    <w:adjustRightInd w:val="0"/>
                    <w:snapToGrid w:val="0"/>
                    <w:jc w:val="center"/>
                    <w:rPr>
                      <w:bCs/>
                      <w:szCs w:val="21"/>
                    </w:rPr>
                  </w:pPr>
                  <w:r>
                    <w:rPr>
                      <w:bCs/>
                      <w:szCs w:val="21"/>
                    </w:rPr>
                    <w:t>三级化粪池</w:t>
                  </w:r>
                </w:p>
              </w:tc>
              <w:tc>
                <w:tcPr>
                  <w:tcW w:w="2783" w:type="dxa"/>
                  <w:vAlign w:val="center"/>
                </w:tcPr>
                <w:p>
                  <w:pPr>
                    <w:adjustRightInd w:val="0"/>
                    <w:snapToGrid w:val="0"/>
                    <w:jc w:val="center"/>
                    <w:rPr>
                      <w:bCs/>
                      <w:szCs w:val="21"/>
                    </w:rPr>
                  </w:pPr>
                  <w:r>
                    <w:rPr>
                      <w:szCs w:val="21"/>
                    </w:rPr>
                    <w:t>《农田灌溉水质标准》（GB5084-2005）表1中旱作标准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trPr>
              <w:tc>
                <w:tcPr>
                  <w:tcW w:w="542" w:type="dxa"/>
                  <w:vMerge w:val="restart"/>
                  <w:vAlign w:val="center"/>
                </w:tcPr>
                <w:p>
                  <w:pPr>
                    <w:adjustRightInd w:val="0"/>
                    <w:snapToGrid w:val="0"/>
                    <w:jc w:val="center"/>
                    <w:rPr>
                      <w:rFonts w:hAnsi="宋体"/>
                      <w:bCs/>
                      <w:szCs w:val="21"/>
                    </w:rPr>
                  </w:pPr>
                  <w:r>
                    <w:rPr>
                      <w:rFonts w:hint="eastAsia" w:hAnsi="宋体"/>
                      <w:bCs/>
                      <w:szCs w:val="21"/>
                    </w:rPr>
                    <w:t>固体废物</w:t>
                  </w:r>
                </w:p>
              </w:tc>
              <w:tc>
                <w:tcPr>
                  <w:tcW w:w="646" w:type="dxa"/>
                  <w:vAlign w:val="center"/>
                </w:tcPr>
                <w:p>
                  <w:pPr>
                    <w:adjustRightInd w:val="0"/>
                    <w:snapToGrid w:val="0"/>
                    <w:jc w:val="center"/>
                    <w:rPr>
                      <w:rFonts w:hAnsi="宋体"/>
                      <w:bCs/>
                      <w:szCs w:val="21"/>
                    </w:rPr>
                  </w:pPr>
                  <w:r>
                    <w:rPr>
                      <w:rFonts w:hint="eastAsia" w:hAnsi="宋体"/>
                      <w:bCs/>
                      <w:szCs w:val="21"/>
                    </w:rPr>
                    <w:t>S</w:t>
                  </w:r>
                  <w:r>
                    <w:rPr>
                      <w:rFonts w:hAnsi="宋体"/>
                      <w:bCs/>
                      <w:szCs w:val="21"/>
                    </w:rPr>
                    <w:t>1</w:t>
                  </w:r>
                </w:p>
              </w:tc>
              <w:tc>
                <w:tcPr>
                  <w:tcW w:w="1688" w:type="dxa"/>
                  <w:vAlign w:val="center"/>
                </w:tcPr>
                <w:p>
                  <w:pPr>
                    <w:adjustRightInd w:val="0"/>
                    <w:snapToGrid w:val="0"/>
                    <w:jc w:val="center"/>
                    <w:rPr>
                      <w:rFonts w:hAnsi="宋体"/>
                      <w:bCs/>
                      <w:szCs w:val="21"/>
                    </w:rPr>
                  </w:pPr>
                  <w:r>
                    <w:rPr>
                      <w:kern w:val="0"/>
                      <w:sz w:val="24"/>
                    </w:rPr>
                    <w:t>生产残渣</w:t>
                  </w:r>
                </w:p>
              </w:tc>
              <w:tc>
                <w:tcPr>
                  <w:tcW w:w="1453" w:type="dxa"/>
                  <w:vAlign w:val="center"/>
                </w:tcPr>
                <w:p>
                  <w:pPr>
                    <w:adjustRightInd w:val="0"/>
                    <w:snapToGrid w:val="0"/>
                    <w:jc w:val="center"/>
                    <w:rPr>
                      <w:rFonts w:hAnsi="宋体"/>
                      <w:bCs/>
                      <w:szCs w:val="21"/>
                    </w:rPr>
                  </w:pPr>
                  <w:r>
                    <w:rPr>
                      <w:rFonts w:hint="eastAsia"/>
                      <w:bCs/>
                      <w:szCs w:val="21"/>
                    </w:rPr>
                    <w:t>泥沙</w:t>
                  </w:r>
                </w:p>
              </w:tc>
              <w:tc>
                <w:tcPr>
                  <w:tcW w:w="3076" w:type="dxa"/>
                  <w:vMerge w:val="restart"/>
                  <w:vAlign w:val="center"/>
                </w:tcPr>
                <w:p>
                  <w:pPr>
                    <w:adjustRightInd w:val="0"/>
                    <w:snapToGrid w:val="0"/>
                    <w:jc w:val="center"/>
                    <w:rPr>
                      <w:rFonts w:hAnsi="宋体"/>
                      <w:bCs/>
                      <w:szCs w:val="21"/>
                    </w:rPr>
                  </w:pPr>
                  <w:r>
                    <w:rPr>
                      <w:rFonts w:hint="eastAsia" w:ascii="宋体" w:cs="宋体"/>
                      <w:kern w:val="0"/>
                      <w:szCs w:val="21"/>
                    </w:rPr>
                    <w:t>出售给相关厂家回收利用</w:t>
                  </w:r>
                </w:p>
              </w:tc>
              <w:tc>
                <w:tcPr>
                  <w:tcW w:w="2783" w:type="dxa"/>
                  <w:vAlign w:val="center"/>
                </w:tcPr>
                <w:p>
                  <w:pPr>
                    <w:adjustRightInd w:val="0"/>
                    <w:snapToGrid w:val="0"/>
                    <w:jc w:val="center"/>
                    <w:rPr>
                      <w:rFonts w:hAnsi="宋体"/>
                      <w:bCs/>
                      <w:szCs w:val="21"/>
                    </w:rPr>
                  </w:pPr>
                  <w:r>
                    <w:rPr>
                      <w:rFonts w:hint="eastAsia" w:hAnsi="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trPr>
              <w:tc>
                <w:tcPr>
                  <w:tcW w:w="542" w:type="dxa"/>
                  <w:vMerge w:val="continue"/>
                  <w:vAlign w:val="center"/>
                </w:tcPr>
                <w:p>
                  <w:pPr>
                    <w:adjustRightInd w:val="0"/>
                    <w:snapToGrid w:val="0"/>
                    <w:jc w:val="center"/>
                    <w:rPr>
                      <w:rFonts w:hAnsi="宋体"/>
                      <w:bCs/>
                      <w:szCs w:val="21"/>
                    </w:rPr>
                  </w:pPr>
                </w:p>
              </w:tc>
              <w:tc>
                <w:tcPr>
                  <w:tcW w:w="646" w:type="dxa"/>
                  <w:vAlign w:val="center"/>
                </w:tcPr>
                <w:p>
                  <w:pPr>
                    <w:adjustRightInd w:val="0"/>
                    <w:snapToGrid w:val="0"/>
                    <w:jc w:val="center"/>
                    <w:rPr>
                      <w:rFonts w:hAnsi="宋体"/>
                      <w:bCs/>
                      <w:szCs w:val="21"/>
                    </w:rPr>
                  </w:pPr>
                  <w:r>
                    <w:rPr>
                      <w:rFonts w:hint="eastAsia" w:hAnsi="宋体"/>
                      <w:bCs/>
                      <w:szCs w:val="21"/>
                    </w:rPr>
                    <w:t>S</w:t>
                  </w:r>
                  <w:r>
                    <w:rPr>
                      <w:rFonts w:hAnsi="宋体"/>
                      <w:bCs/>
                      <w:szCs w:val="21"/>
                    </w:rPr>
                    <w:t>2</w:t>
                  </w:r>
                </w:p>
              </w:tc>
              <w:tc>
                <w:tcPr>
                  <w:tcW w:w="1688" w:type="dxa"/>
                  <w:vAlign w:val="center"/>
                </w:tcPr>
                <w:p>
                  <w:pPr>
                    <w:adjustRightInd w:val="0"/>
                    <w:snapToGrid w:val="0"/>
                    <w:jc w:val="center"/>
                    <w:rPr>
                      <w:rFonts w:hAnsi="宋体"/>
                      <w:bCs/>
                      <w:szCs w:val="21"/>
                    </w:rPr>
                  </w:pPr>
                  <w:r>
                    <w:rPr>
                      <w:kern w:val="0"/>
                      <w:sz w:val="24"/>
                    </w:rPr>
                    <w:t>生产残渣</w:t>
                  </w:r>
                </w:p>
              </w:tc>
              <w:tc>
                <w:tcPr>
                  <w:tcW w:w="1453" w:type="dxa"/>
                  <w:vAlign w:val="center"/>
                </w:tcPr>
                <w:p>
                  <w:pPr>
                    <w:adjustRightInd w:val="0"/>
                    <w:snapToGrid w:val="0"/>
                    <w:jc w:val="center"/>
                    <w:rPr>
                      <w:rFonts w:hAnsi="宋体"/>
                      <w:bCs/>
                      <w:szCs w:val="21"/>
                    </w:rPr>
                  </w:pPr>
                  <w:r>
                    <w:rPr>
                      <w:rFonts w:hint="eastAsia"/>
                      <w:szCs w:val="21"/>
                    </w:rPr>
                    <w:t>沉淀池淤泥</w:t>
                  </w:r>
                </w:p>
              </w:tc>
              <w:tc>
                <w:tcPr>
                  <w:tcW w:w="3076" w:type="dxa"/>
                  <w:vMerge w:val="continue"/>
                  <w:vAlign w:val="center"/>
                </w:tcPr>
                <w:p>
                  <w:pPr>
                    <w:adjustRightInd w:val="0"/>
                    <w:snapToGrid w:val="0"/>
                    <w:jc w:val="center"/>
                    <w:rPr>
                      <w:rFonts w:hAnsi="宋体"/>
                      <w:bCs/>
                      <w:szCs w:val="21"/>
                    </w:rPr>
                  </w:pPr>
                </w:p>
              </w:tc>
              <w:tc>
                <w:tcPr>
                  <w:tcW w:w="2783" w:type="dxa"/>
                  <w:vAlign w:val="center"/>
                </w:tcPr>
                <w:p>
                  <w:pPr>
                    <w:adjustRightInd w:val="0"/>
                    <w:snapToGrid w:val="0"/>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trPr>
              <w:tc>
                <w:tcPr>
                  <w:tcW w:w="542" w:type="dxa"/>
                  <w:vMerge w:val="continue"/>
                  <w:vAlign w:val="center"/>
                </w:tcPr>
                <w:p>
                  <w:pPr>
                    <w:adjustRightInd w:val="0"/>
                    <w:snapToGrid w:val="0"/>
                    <w:jc w:val="center"/>
                    <w:rPr>
                      <w:rFonts w:hAnsi="宋体"/>
                      <w:bCs/>
                      <w:szCs w:val="21"/>
                    </w:rPr>
                  </w:pPr>
                </w:p>
              </w:tc>
              <w:tc>
                <w:tcPr>
                  <w:tcW w:w="646" w:type="dxa"/>
                  <w:vAlign w:val="center"/>
                </w:tcPr>
                <w:p>
                  <w:pPr>
                    <w:adjustRightInd w:val="0"/>
                    <w:snapToGrid w:val="0"/>
                    <w:jc w:val="center"/>
                    <w:rPr>
                      <w:rFonts w:hAnsi="宋体"/>
                      <w:bCs/>
                      <w:szCs w:val="21"/>
                    </w:rPr>
                  </w:pPr>
                  <w:r>
                    <w:rPr>
                      <w:rFonts w:hint="eastAsia" w:hAnsi="宋体"/>
                      <w:bCs/>
                      <w:szCs w:val="21"/>
                    </w:rPr>
                    <w:t>S</w:t>
                  </w:r>
                  <w:r>
                    <w:rPr>
                      <w:rFonts w:hAnsi="宋体"/>
                      <w:bCs/>
                      <w:szCs w:val="21"/>
                    </w:rPr>
                    <w:t>3</w:t>
                  </w:r>
                </w:p>
              </w:tc>
              <w:tc>
                <w:tcPr>
                  <w:tcW w:w="1688" w:type="dxa"/>
                  <w:vAlign w:val="center"/>
                </w:tcPr>
                <w:p>
                  <w:pPr>
                    <w:adjustRightInd w:val="0"/>
                    <w:snapToGrid w:val="0"/>
                    <w:jc w:val="center"/>
                    <w:rPr>
                      <w:rFonts w:hAnsi="宋体"/>
                      <w:bCs/>
                      <w:szCs w:val="21"/>
                    </w:rPr>
                  </w:pPr>
                  <w:r>
                    <w:rPr>
                      <w:rFonts w:hint="eastAsia" w:hAnsi="宋体"/>
                      <w:bCs/>
                      <w:szCs w:val="21"/>
                    </w:rPr>
                    <w:t>员工生活办公</w:t>
                  </w:r>
                </w:p>
              </w:tc>
              <w:tc>
                <w:tcPr>
                  <w:tcW w:w="1453" w:type="dxa"/>
                  <w:vAlign w:val="center"/>
                </w:tcPr>
                <w:p>
                  <w:pPr>
                    <w:adjustRightInd w:val="0"/>
                    <w:snapToGrid w:val="0"/>
                    <w:jc w:val="center"/>
                    <w:rPr>
                      <w:rFonts w:hAnsi="宋体"/>
                      <w:bCs/>
                      <w:szCs w:val="21"/>
                    </w:rPr>
                  </w:pPr>
                  <w:r>
                    <w:rPr>
                      <w:rFonts w:hint="eastAsia"/>
                      <w:szCs w:val="21"/>
                    </w:rPr>
                    <w:t>生活垃圾</w:t>
                  </w:r>
                </w:p>
              </w:tc>
              <w:tc>
                <w:tcPr>
                  <w:tcW w:w="3076" w:type="dxa"/>
                  <w:vAlign w:val="center"/>
                </w:tcPr>
                <w:p>
                  <w:pPr>
                    <w:adjustRightInd w:val="0"/>
                    <w:snapToGrid w:val="0"/>
                    <w:jc w:val="center"/>
                    <w:rPr>
                      <w:rFonts w:hAnsi="宋体"/>
                      <w:bCs/>
                      <w:szCs w:val="21"/>
                    </w:rPr>
                  </w:pPr>
                  <w:r>
                    <w:rPr>
                      <w:szCs w:val="21"/>
                    </w:rPr>
                    <w:t>由环卫部门收集处理</w:t>
                  </w:r>
                </w:p>
              </w:tc>
              <w:tc>
                <w:tcPr>
                  <w:tcW w:w="2783" w:type="dxa"/>
                  <w:vAlign w:val="center"/>
                </w:tcPr>
                <w:p>
                  <w:pPr>
                    <w:adjustRightInd w:val="0"/>
                    <w:snapToGrid w:val="0"/>
                    <w:jc w:val="center"/>
                    <w:rPr>
                      <w:szCs w:val="21"/>
                    </w:rPr>
                  </w:pPr>
                  <w:r>
                    <w:rPr>
                      <w:rFonts w:hint="eastAsia" w:hAnsi="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trPr>
              <w:tc>
                <w:tcPr>
                  <w:tcW w:w="542" w:type="dxa"/>
                  <w:vAlign w:val="center"/>
                </w:tcPr>
                <w:p>
                  <w:pPr>
                    <w:adjustRightInd w:val="0"/>
                    <w:snapToGrid w:val="0"/>
                    <w:jc w:val="center"/>
                    <w:rPr>
                      <w:rFonts w:hAnsi="宋体"/>
                      <w:bCs/>
                      <w:szCs w:val="21"/>
                    </w:rPr>
                  </w:pPr>
                  <w:r>
                    <w:rPr>
                      <w:rFonts w:hint="eastAsia" w:hAnsi="宋体"/>
                      <w:bCs/>
                      <w:szCs w:val="21"/>
                    </w:rPr>
                    <w:t>噪声</w:t>
                  </w:r>
                </w:p>
              </w:tc>
              <w:tc>
                <w:tcPr>
                  <w:tcW w:w="646" w:type="dxa"/>
                  <w:vAlign w:val="center"/>
                </w:tcPr>
                <w:p>
                  <w:pPr>
                    <w:adjustRightInd w:val="0"/>
                    <w:snapToGrid w:val="0"/>
                    <w:jc w:val="center"/>
                    <w:rPr>
                      <w:rFonts w:hAnsi="宋体"/>
                      <w:bCs/>
                      <w:szCs w:val="21"/>
                    </w:rPr>
                  </w:pPr>
                  <w:r>
                    <w:rPr>
                      <w:rFonts w:hint="eastAsia" w:hAnsi="宋体"/>
                      <w:bCs/>
                      <w:szCs w:val="21"/>
                    </w:rPr>
                    <w:t>N</w:t>
                  </w:r>
                </w:p>
              </w:tc>
              <w:tc>
                <w:tcPr>
                  <w:tcW w:w="1688" w:type="dxa"/>
                  <w:vAlign w:val="center"/>
                </w:tcPr>
                <w:p>
                  <w:pPr>
                    <w:adjustRightInd w:val="0"/>
                    <w:snapToGrid w:val="0"/>
                    <w:jc w:val="center"/>
                    <w:rPr>
                      <w:rFonts w:hAnsi="宋体"/>
                      <w:bCs/>
                      <w:szCs w:val="21"/>
                    </w:rPr>
                  </w:pPr>
                  <w:r>
                    <w:rPr>
                      <w:rFonts w:hint="eastAsia" w:hAnsi="宋体"/>
                      <w:bCs/>
                      <w:szCs w:val="21"/>
                    </w:rPr>
                    <w:t>设备运行、原料搬运等</w:t>
                  </w:r>
                </w:p>
              </w:tc>
              <w:tc>
                <w:tcPr>
                  <w:tcW w:w="1453" w:type="dxa"/>
                  <w:vAlign w:val="center"/>
                </w:tcPr>
                <w:p>
                  <w:pPr>
                    <w:adjustRightInd w:val="0"/>
                    <w:snapToGrid w:val="0"/>
                    <w:jc w:val="center"/>
                    <w:rPr>
                      <w:rFonts w:hAnsi="宋体"/>
                      <w:bCs/>
                      <w:szCs w:val="21"/>
                    </w:rPr>
                  </w:pPr>
                  <w:r>
                    <w:rPr>
                      <w:rFonts w:hint="eastAsia" w:hAnsi="宋体"/>
                      <w:bCs/>
                      <w:szCs w:val="21"/>
                    </w:rPr>
                    <w:t>噪声</w:t>
                  </w:r>
                </w:p>
              </w:tc>
              <w:tc>
                <w:tcPr>
                  <w:tcW w:w="3076" w:type="dxa"/>
                  <w:vAlign w:val="center"/>
                </w:tcPr>
                <w:p>
                  <w:pPr>
                    <w:adjustRightInd w:val="0"/>
                    <w:snapToGrid w:val="0"/>
                    <w:jc w:val="center"/>
                    <w:rPr>
                      <w:rFonts w:hAnsi="宋体"/>
                      <w:bCs/>
                      <w:szCs w:val="21"/>
                    </w:rPr>
                  </w:pPr>
                  <w:r>
                    <w:rPr>
                      <w:rFonts w:hint="eastAsia"/>
                      <w:szCs w:val="21"/>
                    </w:rPr>
                    <w:t>基础减振、墙体隔声、距离衰减</w:t>
                  </w:r>
                </w:p>
              </w:tc>
              <w:tc>
                <w:tcPr>
                  <w:tcW w:w="2783" w:type="dxa"/>
                  <w:vAlign w:val="center"/>
                </w:tcPr>
                <w:p>
                  <w:pPr>
                    <w:adjustRightInd w:val="0"/>
                    <w:snapToGrid w:val="0"/>
                    <w:jc w:val="center"/>
                    <w:rPr>
                      <w:szCs w:val="21"/>
                    </w:rPr>
                  </w:pPr>
                  <w:r>
                    <w:rPr>
                      <w:rFonts w:hint="eastAsia"/>
                      <w:szCs w:val="21"/>
                    </w:rPr>
                    <w:t>——</w:t>
                  </w:r>
                </w:p>
              </w:tc>
            </w:tr>
          </w:tbl>
          <w:p>
            <w:pPr>
              <w:snapToGrid w:val="0"/>
              <w:spacing w:line="360" w:lineRule="auto"/>
              <w:rPr>
                <w:b/>
                <w:sz w:val="24"/>
              </w:rPr>
            </w:pPr>
            <w:r>
              <w:rPr>
                <w:rFonts w:hint="eastAsia"/>
                <w:b/>
                <w:sz w:val="24"/>
              </w:rPr>
              <w:t>主要污染工序：</w:t>
            </w:r>
          </w:p>
          <w:p>
            <w:pPr>
              <w:snapToGrid w:val="0"/>
              <w:spacing w:line="360" w:lineRule="auto"/>
              <w:ind w:firstLine="482" w:firstLineChars="200"/>
              <w:rPr>
                <w:b/>
                <w:sz w:val="24"/>
              </w:rPr>
            </w:pPr>
            <w:r>
              <w:rPr>
                <w:rFonts w:hint="eastAsia"/>
                <w:b/>
                <w:sz w:val="24"/>
              </w:rPr>
              <w:t>一、施工期间主要污染工序</w:t>
            </w:r>
          </w:p>
          <w:p>
            <w:pPr>
              <w:snapToGrid w:val="0"/>
              <w:spacing w:line="360" w:lineRule="auto"/>
              <w:ind w:firstLine="482" w:firstLineChars="200"/>
              <w:rPr>
                <w:b/>
                <w:sz w:val="24"/>
              </w:rPr>
            </w:pPr>
            <w:r>
              <w:rPr>
                <w:b/>
                <w:sz w:val="24"/>
              </w:rPr>
              <w:t xml:space="preserve">1、废水 </w:t>
            </w:r>
          </w:p>
          <w:p>
            <w:pPr>
              <w:snapToGrid w:val="0"/>
              <w:spacing w:line="360" w:lineRule="auto"/>
              <w:ind w:firstLine="480" w:firstLineChars="200"/>
              <w:rPr>
                <w:sz w:val="24"/>
              </w:rPr>
            </w:pPr>
            <w:r>
              <w:rPr>
                <w:sz w:val="24"/>
              </w:rPr>
              <w:t>施工期产生的污水主要分为三类：一类是泥浆水、砂石冲洗水、设备车辆冲洗水等施工废水；第二类是施工人员的生活污水；第三类是地下涌水。</w:t>
            </w:r>
          </w:p>
          <w:p>
            <w:pPr>
              <w:pStyle w:val="81"/>
              <w:numPr>
                <w:ilvl w:val="0"/>
                <w:numId w:val="3"/>
              </w:numPr>
              <w:snapToGrid w:val="0"/>
              <w:spacing w:line="360" w:lineRule="auto"/>
              <w:ind w:firstLineChars="0"/>
              <w:rPr>
                <w:sz w:val="24"/>
              </w:rPr>
            </w:pPr>
            <w:r>
              <w:rPr>
                <w:sz w:val="24"/>
              </w:rPr>
              <w:t xml:space="preserve">建筑废水 </w:t>
            </w:r>
          </w:p>
          <w:p>
            <w:pPr>
              <w:snapToGrid w:val="0"/>
              <w:spacing w:line="360" w:lineRule="auto"/>
              <w:ind w:firstLine="480" w:firstLineChars="200"/>
              <w:rPr>
                <w:sz w:val="24"/>
              </w:rPr>
            </w:pPr>
            <w:r>
              <w:rPr>
                <w:sz w:val="24"/>
              </w:rPr>
              <w:t>本项目的规划总建筑面积为</w:t>
            </w:r>
            <w:r>
              <w:rPr>
                <w:bCs/>
                <w:sz w:val="24"/>
              </w:rPr>
              <w:t>14</w:t>
            </w:r>
            <w:r>
              <w:rPr>
                <w:rFonts w:hint="eastAsia"/>
                <w:bCs/>
                <w:sz w:val="24"/>
              </w:rPr>
              <w:t>0</w:t>
            </w:r>
            <w:r>
              <w:rPr>
                <w:bCs/>
                <w:sz w:val="24"/>
              </w:rPr>
              <w:t>000</w:t>
            </w:r>
            <w:r>
              <w:rPr>
                <w:sz w:val="24"/>
              </w:rPr>
              <w:t>m</w:t>
            </w:r>
            <w:r>
              <w:rPr>
                <w:sz w:val="24"/>
                <w:vertAlign w:val="superscript"/>
              </w:rPr>
              <w:t>2</w:t>
            </w:r>
            <w:r>
              <w:rPr>
                <w:sz w:val="24"/>
              </w:rPr>
              <w:t>，根据《广东省用水定额》（DB44/T 1461-2014） 中房屋工程建筑以建筑面积为基数，建筑工地的用水定额为2.9L/m</w:t>
            </w:r>
            <w:r>
              <w:rPr>
                <w:sz w:val="24"/>
                <w:vertAlign w:val="superscript"/>
              </w:rPr>
              <w:t>2</w:t>
            </w:r>
            <w:r>
              <w:rPr>
                <w:sz w:val="24"/>
              </w:rPr>
              <w:t>日，则总用水量约为 1142.78m</w:t>
            </w:r>
            <w:r>
              <w:rPr>
                <w:sz w:val="24"/>
                <w:vertAlign w:val="superscript"/>
              </w:rPr>
              <w:t>3</w:t>
            </w:r>
            <w:r>
              <w:rPr>
                <w:sz w:val="24"/>
              </w:rPr>
              <w:t>，施工期约为3年，则施工期用水量约为 1.04m</w:t>
            </w:r>
            <w:r>
              <w:rPr>
                <w:sz w:val="24"/>
                <w:vertAlign w:val="superscript"/>
              </w:rPr>
              <w:t>3</w:t>
            </w:r>
            <w:r>
              <w:rPr>
                <w:sz w:val="24"/>
              </w:rPr>
              <w:t>/d，施工废水排污系数按用水量的90%计算，则施工废水排放量约为 0.936m</w:t>
            </w:r>
            <w:r>
              <w:rPr>
                <w:sz w:val="24"/>
                <w:vertAlign w:val="superscript"/>
              </w:rPr>
              <w:t>3</w:t>
            </w:r>
            <w:r>
              <w:rPr>
                <w:sz w:val="24"/>
              </w:rPr>
              <w:t>/d，主要污染物为SS和石油类，根据对同类房屋建筑施工废水的产生情况类比分析，本项目施工期工程废水各污染物的产生量和产生浓度情况见表</w:t>
            </w:r>
            <w:r>
              <w:rPr>
                <w:rFonts w:hint="eastAsia"/>
                <w:sz w:val="24"/>
              </w:rPr>
              <w:t>1</w:t>
            </w:r>
            <w:r>
              <w:rPr>
                <w:sz w:val="24"/>
              </w:rPr>
              <w:t>6</w:t>
            </w:r>
            <w:r>
              <w:rPr>
                <w:rFonts w:hint="eastAsia"/>
                <w:sz w:val="24"/>
              </w:rPr>
              <w:t>。</w:t>
            </w:r>
          </w:p>
          <w:p>
            <w:pPr>
              <w:snapToGrid w:val="0"/>
              <w:ind w:firstLine="422" w:firstLineChars="200"/>
              <w:jc w:val="center"/>
              <w:rPr>
                <w:b/>
              </w:rPr>
            </w:pPr>
            <w:r>
              <w:rPr>
                <w:b/>
              </w:rPr>
              <w:t>表16</w:t>
            </w:r>
            <w:r>
              <w:rPr>
                <w:rFonts w:hint="eastAsia"/>
                <w:b/>
              </w:rPr>
              <w:t xml:space="preserve">  </w:t>
            </w:r>
            <w:r>
              <w:rPr>
                <w:b/>
              </w:rPr>
              <w:t xml:space="preserve"> 施工工程废水及其污染物产生量及产生浓度</w:t>
            </w:r>
          </w:p>
          <w:tbl>
            <w:tblPr>
              <w:tblStyle w:val="26"/>
              <w:tblW w:w="94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4"/>
              <w:gridCol w:w="1894"/>
              <w:gridCol w:w="1894"/>
              <w:gridCol w:w="1894"/>
              <w:gridCol w:w="1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94" w:type="dxa"/>
                  <w:vAlign w:val="center"/>
                </w:tcPr>
                <w:p>
                  <w:pPr>
                    <w:snapToGrid w:val="0"/>
                    <w:jc w:val="center"/>
                    <w:rPr>
                      <w:b/>
                      <w:bCs/>
                      <w:sz w:val="24"/>
                    </w:rPr>
                  </w:pPr>
                  <w:r>
                    <w:rPr>
                      <w:b/>
                    </w:rPr>
                    <w:t>用水量(m</w:t>
                  </w:r>
                  <w:r>
                    <w:rPr>
                      <w:b/>
                      <w:vertAlign w:val="superscript"/>
                    </w:rPr>
                    <w:t>3</w:t>
                  </w:r>
                  <w:r>
                    <w:rPr>
                      <w:b/>
                    </w:rPr>
                    <w:t xml:space="preserve"> /d)</w:t>
                  </w:r>
                </w:p>
              </w:tc>
              <w:tc>
                <w:tcPr>
                  <w:tcW w:w="1894" w:type="dxa"/>
                  <w:vAlign w:val="center"/>
                </w:tcPr>
                <w:p>
                  <w:pPr>
                    <w:snapToGrid w:val="0"/>
                    <w:jc w:val="center"/>
                    <w:rPr>
                      <w:b/>
                      <w:bCs/>
                      <w:sz w:val="24"/>
                    </w:rPr>
                  </w:pPr>
                  <w:r>
                    <w:rPr>
                      <w:b/>
                    </w:rPr>
                    <w:t>污水量（m</w:t>
                  </w:r>
                  <w:r>
                    <w:rPr>
                      <w:b/>
                      <w:vertAlign w:val="superscript"/>
                    </w:rPr>
                    <w:t>3</w:t>
                  </w:r>
                  <w:r>
                    <w:rPr>
                      <w:b/>
                    </w:rPr>
                    <w:t xml:space="preserve"> /d）</w:t>
                  </w:r>
                </w:p>
              </w:tc>
              <w:tc>
                <w:tcPr>
                  <w:tcW w:w="1894" w:type="dxa"/>
                  <w:vAlign w:val="center"/>
                </w:tcPr>
                <w:p>
                  <w:pPr>
                    <w:snapToGrid w:val="0"/>
                    <w:jc w:val="center"/>
                    <w:rPr>
                      <w:b/>
                      <w:bCs/>
                      <w:sz w:val="24"/>
                    </w:rPr>
                  </w:pPr>
                  <w:r>
                    <w:rPr>
                      <w:b/>
                    </w:rPr>
                    <w:t>主要污染因子</w:t>
                  </w:r>
                </w:p>
              </w:tc>
              <w:tc>
                <w:tcPr>
                  <w:tcW w:w="1894" w:type="dxa"/>
                  <w:vAlign w:val="center"/>
                </w:tcPr>
                <w:p>
                  <w:pPr>
                    <w:snapToGrid w:val="0"/>
                    <w:jc w:val="center"/>
                    <w:rPr>
                      <w:b/>
                      <w:bCs/>
                      <w:sz w:val="24"/>
                    </w:rPr>
                  </w:pPr>
                  <w:r>
                    <w:rPr>
                      <w:b/>
                    </w:rPr>
                    <w:t>产生浓度(mg/L)</w:t>
                  </w:r>
                </w:p>
              </w:tc>
              <w:tc>
                <w:tcPr>
                  <w:tcW w:w="1894" w:type="dxa"/>
                  <w:vAlign w:val="center"/>
                </w:tcPr>
                <w:p>
                  <w:pPr>
                    <w:snapToGrid w:val="0"/>
                    <w:jc w:val="center"/>
                    <w:rPr>
                      <w:b/>
                      <w:bCs/>
                      <w:sz w:val="24"/>
                    </w:rPr>
                  </w:pPr>
                  <w:r>
                    <w:rPr>
                      <w:b/>
                    </w:rPr>
                    <w:t>产生量(kg/d)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94" w:type="dxa"/>
                  <w:vMerge w:val="restart"/>
                  <w:vAlign w:val="center"/>
                </w:tcPr>
                <w:p>
                  <w:pPr>
                    <w:snapToGrid w:val="0"/>
                    <w:jc w:val="center"/>
                    <w:rPr>
                      <w:bCs/>
                      <w:sz w:val="24"/>
                    </w:rPr>
                  </w:pPr>
                  <w:r>
                    <w:t>1.04</w:t>
                  </w:r>
                </w:p>
              </w:tc>
              <w:tc>
                <w:tcPr>
                  <w:tcW w:w="1894" w:type="dxa"/>
                  <w:vMerge w:val="restart"/>
                  <w:vAlign w:val="center"/>
                </w:tcPr>
                <w:p>
                  <w:pPr>
                    <w:snapToGrid w:val="0"/>
                    <w:jc w:val="center"/>
                    <w:rPr>
                      <w:bCs/>
                      <w:sz w:val="24"/>
                    </w:rPr>
                  </w:pPr>
                  <w:r>
                    <w:t>0.936</w:t>
                  </w:r>
                </w:p>
              </w:tc>
              <w:tc>
                <w:tcPr>
                  <w:tcW w:w="1894" w:type="dxa"/>
                  <w:vAlign w:val="center"/>
                </w:tcPr>
                <w:p>
                  <w:pPr>
                    <w:snapToGrid w:val="0"/>
                    <w:jc w:val="center"/>
                    <w:rPr>
                      <w:bCs/>
                      <w:sz w:val="24"/>
                    </w:rPr>
                  </w:pPr>
                  <w:r>
                    <w:rPr>
                      <w:rFonts w:hint="eastAsia"/>
                      <w:bCs/>
                      <w:sz w:val="24"/>
                    </w:rPr>
                    <w:t>S</w:t>
                  </w:r>
                  <w:r>
                    <w:rPr>
                      <w:bCs/>
                      <w:sz w:val="24"/>
                    </w:rPr>
                    <w:t>S</w:t>
                  </w:r>
                </w:p>
              </w:tc>
              <w:tc>
                <w:tcPr>
                  <w:tcW w:w="1894" w:type="dxa"/>
                  <w:vAlign w:val="center"/>
                </w:tcPr>
                <w:p>
                  <w:pPr>
                    <w:snapToGrid w:val="0"/>
                    <w:jc w:val="center"/>
                    <w:rPr>
                      <w:bCs/>
                      <w:sz w:val="24"/>
                    </w:rPr>
                  </w:pPr>
                  <w:r>
                    <w:rPr>
                      <w:rFonts w:hint="eastAsia"/>
                      <w:bCs/>
                      <w:sz w:val="24"/>
                    </w:rPr>
                    <w:t>3</w:t>
                  </w:r>
                  <w:r>
                    <w:rPr>
                      <w:bCs/>
                      <w:sz w:val="24"/>
                    </w:rPr>
                    <w:t>00</w:t>
                  </w:r>
                </w:p>
              </w:tc>
              <w:tc>
                <w:tcPr>
                  <w:tcW w:w="1894" w:type="dxa"/>
                  <w:vAlign w:val="center"/>
                </w:tcPr>
                <w:p>
                  <w:pPr>
                    <w:snapToGrid w:val="0"/>
                    <w:jc w:val="center"/>
                    <w:rPr>
                      <w:bCs/>
                      <w:sz w:val="24"/>
                    </w:rPr>
                  </w:pPr>
                  <w:r>
                    <w:rPr>
                      <w:rFonts w:hint="eastAsia"/>
                      <w:bCs/>
                      <w:sz w:val="24"/>
                    </w:rPr>
                    <w:t>0</w:t>
                  </w:r>
                  <w:r>
                    <w:rPr>
                      <w:bCs/>
                      <w:sz w:val="24"/>
                    </w:rPr>
                    <w:t>.2808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94" w:type="dxa"/>
                  <w:vMerge w:val="continue"/>
                  <w:vAlign w:val="center"/>
                </w:tcPr>
                <w:p>
                  <w:pPr>
                    <w:snapToGrid w:val="0"/>
                    <w:jc w:val="center"/>
                    <w:rPr>
                      <w:bCs/>
                      <w:sz w:val="24"/>
                    </w:rPr>
                  </w:pPr>
                </w:p>
              </w:tc>
              <w:tc>
                <w:tcPr>
                  <w:tcW w:w="1894" w:type="dxa"/>
                  <w:vMerge w:val="continue"/>
                  <w:vAlign w:val="center"/>
                </w:tcPr>
                <w:p>
                  <w:pPr>
                    <w:snapToGrid w:val="0"/>
                    <w:jc w:val="center"/>
                    <w:rPr>
                      <w:bCs/>
                      <w:sz w:val="24"/>
                    </w:rPr>
                  </w:pPr>
                </w:p>
              </w:tc>
              <w:tc>
                <w:tcPr>
                  <w:tcW w:w="1894" w:type="dxa"/>
                  <w:vAlign w:val="center"/>
                </w:tcPr>
                <w:p>
                  <w:pPr>
                    <w:snapToGrid w:val="0"/>
                    <w:jc w:val="center"/>
                    <w:rPr>
                      <w:bCs/>
                      <w:sz w:val="24"/>
                    </w:rPr>
                  </w:pPr>
                  <w:r>
                    <w:t>石油类</w:t>
                  </w:r>
                </w:p>
              </w:tc>
              <w:tc>
                <w:tcPr>
                  <w:tcW w:w="1894" w:type="dxa"/>
                  <w:vAlign w:val="center"/>
                </w:tcPr>
                <w:p>
                  <w:pPr>
                    <w:snapToGrid w:val="0"/>
                    <w:jc w:val="center"/>
                    <w:rPr>
                      <w:bCs/>
                      <w:sz w:val="24"/>
                    </w:rPr>
                  </w:pPr>
                  <w:r>
                    <w:rPr>
                      <w:rFonts w:hint="eastAsia"/>
                      <w:bCs/>
                      <w:sz w:val="24"/>
                    </w:rPr>
                    <w:t>4</w:t>
                  </w:r>
                  <w:r>
                    <w:rPr>
                      <w:bCs/>
                      <w:sz w:val="24"/>
                    </w:rPr>
                    <w:t>0</w:t>
                  </w:r>
                </w:p>
              </w:tc>
              <w:tc>
                <w:tcPr>
                  <w:tcW w:w="1894" w:type="dxa"/>
                  <w:vAlign w:val="center"/>
                </w:tcPr>
                <w:p>
                  <w:pPr>
                    <w:snapToGrid w:val="0"/>
                    <w:jc w:val="center"/>
                    <w:rPr>
                      <w:bCs/>
                      <w:sz w:val="24"/>
                    </w:rPr>
                  </w:pPr>
                  <w:r>
                    <w:rPr>
                      <w:rFonts w:hint="eastAsia"/>
                      <w:bCs/>
                      <w:sz w:val="24"/>
                    </w:rPr>
                    <w:t>0</w:t>
                  </w:r>
                  <w:r>
                    <w:rPr>
                      <w:bCs/>
                      <w:sz w:val="24"/>
                    </w:rPr>
                    <w:t>.0374</w:t>
                  </w:r>
                </w:p>
              </w:tc>
            </w:tr>
          </w:tbl>
          <w:p>
            <w:pPr>
              <w:pStyle w:val="81"/>
              <w:numPr>
                <w:ilvl w:val="0"/>
                <w:numId w:val="3"/>
              </w:numPr>
              <w:snapToGrid w:val="0"/>
              <w:spacing w:line="360" w:lineRule="auto"/>
              <w:ind w:firstLineChars="0"/>
              <w:rPr>
                <w:sz w:val="24"/>
              </w:rPr>
            </w:pPr>
            <w:r>
              <w:rPr>
                <w:sz w:val="24"/>
              </w:rPr>
              <w:t xml:space="preserve">生活污水 </w:t>
            </w:r>
          </w:p>
          <w:p>
            <w:pPr>
              <w:snapToGrid w:val="0"/>
              <w:spacing w:line="360" w:lineRule="auto"/>
              <w:ind w:firstLine="480" w:firstLineChars="200"/>
              <w:rPr>
                <w:sz w:val="24"/>
              </w:rPr>
            </w:pPr>
            <w:r>
              <w:rPr>
                <w:sz w:val="24"/>
              </w:rPr>
              <w:t>由于目前项目施工方案暂未制定，类比同类型建设项目，施工高峰时的施工人员按200人计算。参照《广东省用水定额》（DB 44/T1461-2014），施工期的员工生活用水按0.15m</w:t>
            </w:r>
            <w:r>
              <w:rPr>
                <w:sz w:val="24"/>
                <w:vertAlign w:val="superscript"/>
              </w:rPr>
              <w:t xml:space="preserve">3 </w:t>
            </w:r>
            <w:r>
              <w:rPr>
                <w:sz w:val="24"/>
              </w:rPr>
              <w:t>/人日计算，排污系数按0.9计算，则施工人员生活用水量为30m</w:t>
            </w:r>
            <w:r>
              <w:rPr>
                <w:sz w:val="24"/>
                <w:vertAlign w:val="superscript"/>
              </w:rPr>
              <w:t>3</w:t>
            </w:r>
            <w:r>
              <w:rPr>
                <w:sz w:val="24"/>
              </w:rPr>
              <w:t>/d，污水产生量为27m</w:t>
            </w:r>
            <w:r>
              <w:rPr>
                <w:sz w:val="24"/>
                <w:vertAlign w:val="superscript"/>
              </w:rPr>
              <w:t>3</w:t>
            </w:r>
            <w:r>
              <w:rPr>
                <w:sz w:val="24"/>
              </w:rPr>
              <w:t xml:space="preserve"> /d，则施工人员生活污水污染物负荷见下表。</w:t>
            </w:r>
          </w:p>
          <w:p>
            <w:pPr>
              <w:snapToGrid w:val="0"/>
              <w:ind w:firstLine="422" w:firstLineChars="200"/>
              <w:jc w:val="center"/>
              <w:rPr>
                <w:b/>
              </w:rPr>
            </w:pPr>
            <w:r>
              <w:rPr>
                <w:b/>
              </w:rPr>
              <w:t>表</w:t>
            </w:r>
            <w:r>
              <w:rPr>
                <w:rFonts w:hint="eastAsia"/>
                <w:b/>
              </w:rPr>
              <w:t>1</w:t>
            </w:r>
            <w:r>
              <w:rPr>
                <w:b/>
              </w:rPr>
              <w:t>7</w:t>
            </w:r>
            <w:r>
              <w:rPr>
                <w:rFonts w:hint="eastAsia"/>
                <w:b/>
              </w:rPr>
              <w:t xml:space="preserve"> </w:t>
            </w:r>
            <w:r>
              <w:rPr>
                <w:b/>
              </w:rPr>
              <w:t xml:space="preserve"> 施工人员生活污水污染物负荷</w:t>
            </w:r>
          </w:p>
          <w:tbl>
            <w:tblPr>
              <w:tblStyle w:val="26"/>
              <w:tblW w:w="94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587"/>
              <w:gridCol w:w="1621"/>
              <w:gridCol w:w="1606"/>
              <w:gridCol w:w="1634"/>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60" w:type="dxa"/>
                </w:tcPr>
                <w:p>
                  <w:pPr>
                    <w:snapToGrid w:val="0"/>
                    <w:jc w:val="center"/>
                    <w:rPr>
                      <w:b/>
                      <w:bCs/>
                      <w:sz w:val="24"/>
                    </w:rPr>
                  </w:pPr>
                  <w:r>
                    <w:rPr>
                      <w:b/>
                    </w:rPr>
                    <w:t>项目</w:t>
                  </w:r>
                </w:p>
              </w:tc>
              <w:tc>
                <w:tcPr>
                  <w:tcW w:w="1587" w:type="dxa"/>
                </w:tcPr>
                <w:p>
                  <w:pPr>
                    <w:snapToGrid w:val="0"/>
                    <w:jc w:val="center"/>
                    <w:rPr>
                      <w:b/>
                      <w:bCs/>
                      <w:sz w:val="24"/>
                    </w:rPr>
                  </w:pPr>
                  <w:r>
                    <w:rPr>
                      <w:b/>
                    </w:rPr>
                    <w:t>SS</w:t>
                  </w:r>
                </w:p>
              </w:tc>
              <w:tc>
                <w:tcPr>
                  <w:tcW w:w="1621" w:type="dxa"/>
                </w:tcPr>
                <w:p>
                  <w:pPr>
                    <w:snapToGrid w:val="0"/>
                    <w:jc w:val="center"/>
                    <w:rPr>
                      <w:b/>
                      <w:bCs/>
                      <w:sz w:val="24"/>
                    </w:rPr>
                  </w:pPr>
                  <w:r>
                    <w:rPr>
                      <w:b/>
                    </w:rPr>
                    <w:t>COD</w:t>
                  </w:r>
                  <w:r>
                    <w:rPr>
                      <w:b/>
                      <w:vertAlign w:val="subscript"/>
                    </w:rPr>
                    <w:t>cr</w:t>
                  </w:r>
                </w:p>
              </w:tc>
              <w:tc>
                <w:tcPr>
                  <w:tcW w:w="1606" w:type="dxa"/>
                </w:tcPr>
                <w:p>
                  <w:pPr>
                    <w:snapToGrid w:val="0"/>
                    <w:jc w:val="center"/>
                    <w:rPr>
                      <w:b/>
                      <w:bCs/>
                      <w:sz w:val="24"/>
                    </w:rPr>
                  </w:pPr>
                  <w:r>
                    <w:rPr>
                      <w:b/>
                    </w:rPr>
                    <w:t>BOD</w:t>
                  </w:r>
                  <w:r>
                    <w:rPr>
                      <w:b/>
                      <w:vertAlign w:val="subscript"/>
                    </w:rPr>
                    <w:t>5</w:t>
                  </w:r>
                </w:p>
              </w:tc>
              <w:tc>
                <w:tcPr>
                  <w:tcW w:w="1634" w:type="dxa"/>
                </w:tcPr>
                <w:p>
                  <w:pPr>
                    <w:snapToGrid w:val="0"/>
                    <w:jc w:val="center"/>
                    <w:rPr>
                      <w:b/>
                      <w:bCs/>
                      <w:sz w:val="24"/>
                    </w:rPr>
                  </w:pPr>
                  <w:r>
                    <w:rPr>
                      <w:b/>
                    </w:rPr>
                    <w:t>NH3-N</w:t>
                  </w:r>
                </w:p>
              </w:tc>
              <w:tc>
                <w:tcPr>
                  <w:tcW w:w="1467" w:type="dxa"/>
                </w:tcPr>
                <w:p>
                  <w:pPr>
                    <w:snapToGrid w:val="0"/>
                    <w:jc w:val="center"/>
                    <w:rPr>
                      <w:b/>
                    </w:rPr>
                  </w:pPr>
                  <w:r>
                    <w:rPr>
                      <w:b/>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60" w:type="dxa"/>
                </w:tcPr>
                <w:p>
                  <w:pPr>
                    <w:snapToGrid w:val="0"/>
                    <w:jc w:val="center"/>
                    <w:rPr>
                      <w:bCs/>
                      <w:sz w:val="24"/>
                    </w:rPr>
                  </w:pPr>
                  <w:r>
                    <w:t>浓度 mg/L</w:t>
                  </w:r>
                </w:p>
              </w:tc>
              <w:tc>
                <w:tcPr>
                  <w:tcW w:w="1587" w:type="dxa"/>
                </w:tcPr>
                <w:p>
                  <w:pPr>
                    <w:snapToGrid w:val="0"/>
                    <w:jc w:val="center"/>
                    <w:rPr>
                      <w:bCs/>
                      <w:sz w:val="24"/>
                    </w:rPr>
                  </w:pPr>
                  <w:r>
                    <w:t>150</w:t>
                  </w:r>
                </w:p>
              </w:tc>
              <w:tc>
                <w:tcPr>
                  <w:tcW w:w="1621" w:type="dxa"/>
                </w:tcPr>
                <w:p>
                  <w:pPr>
                    <w:snapToGrid w:val="0"/>
                    <w:jc w:val="center"/>
                    <w:rPr>
                      <w:bCs/>
                      <w:sz w:val="24"/>
                    </w:rPr>
                  </w:pPr>
                  <w:r>
                    <w:rPr>
                      <w:bCs/>
                      <w:sz w:val="24"/>
                    </w:rPr>
                    <w:t>250</w:t>
                  </w:r>
                </w:p>
              </w:tc>
              <w:tc>
                <w:tcPr>
                  <w:tcW w:w="1606" w:type="dxa"/>
                </w:tcPr>
                <w:p>
                  <w:pPr>
                    <w:snapToGrid w:val="0"/>
                    <w:jc w:val="center"/>
                    <w:rPr>
                      <w:bCs/>
                      <w:sz w:val="24"/>
                    </w:rPr>
                  </w:pPr>
                  <w:r>
                    <w:rPr>
                      <w:bCs/>
                      <w:sz w:val="24"/>
                    </w:rPr>
                    <w:t>150</w:t>
                  </w:r>
                </w:p>
              </w:tc>
              <w:tc>
                <w:tcPr>
                  <w:tcW w:w="1634" w:type="dxa"/>
                </w:tcPr>
                <w:p>
                  <w:pPr>
                    <w:snapToGrid w:val="0"/>
                    <w:jc w:val="center"/>
                    <w:rPr>
                      <w:bCs/>
                      <w:sz w:val="24"/>
                    </w:rPr>
                  </w:pPr>
                  <w:r>
                    <w:rPr>
                      <w:bCs/>
                      <w:sz w:val="24"/>
                    </w:rPr>
                    <w:t>30</w:t>
                  </w:r>
                </w:p>
              </w:tc>
              <w:tc>
                <w:tcPr>
                  <w:tcW w:w="1467" w:type="dxa"/>
                </w:tcPr>
                <w:p>
                  <w:pPr>
                    <w:snapToGrid w:val="0"/>
                    <w:jc w:val="center"/>
                    <w:rPr>
                      <w:bCs/>
                      <w:sz w:val="24"/>
                    </w:rPr>
                  </w:pPr>
                  <w:r>
                    <w:rPr>
                      <w:rFonts w:hint="eastAsia"/>
                      <w:bCs/>
                      <w:sz w:val="24"/>
                    </w:rPr>
                    <w:t>2</w:t>
                  </w:r>
                  <w:r>
                    <w:rPr>
                      <w:bCs/>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60" w:type="dxa"/>
                </w:tcPr>
                <w:p>
                  <w:pPr>
                    <w:snapToGrid w:val="0"/>
                    <w:jc w:val="center"/>
                    <w:rPr>
                      <w:bCs/>
                      <w:sz w:val="24"/>
                    </w:rPr>
                  </w:pPr>
                  <w:r>
                    <w:t>产生量 kg/d</w:t>
                  </w:r>
                </w:p>
              </w:tc>
              <w:tc>
                <w:tcPr>
                  <w:tcW w:w="1587" w:type="dxa"/>
                </w:tcPr>
                <w:p>
                  <w:pPr>
                    <w:snapToGrid w:val="0"/>
                    <w:jc w:val="center"/>
                    <w:rPr>
                      <w:bCs/>
                      <w:sz w:val="24"/>
                    </w:rPr>
                  </w:pPr>
                  <w:r>
                    <w:rPr>
                      <w:rFonts w:hint="eastAsia"/>
                      <w:bCs/>
                      <w:sz w:val="24"/>
                    </w:rPr>
                    <w:t>4</w:t>
                  </w:r>
                  <w:r>
                    <w:rPr>
                      <w:bCs/>
                      <w:sz w:val="24"/>
                    </w:rPr>
                    <w:t>.05</w:t>
                  </w:r>
                </w:p>
              </w:tc>
              <w:tc>
                <w:tcPr>
                  <w:tcW w:w="1621" w:type="dxa"/>
                </w:tcPr>
                <w:p>
                  <w:pPr>
                    <w:snapToGrid w:val="0"/>
                    <w:jc w:val="center"/>
                    <w:rPr>
                      <w:bCs/>
                      <w:sz w:val="24"/>
                    </w:rPr>
                  </w:pPr>
                  <w:r>
                    <w:rPr>
                      <w:rFonts w:hint="eastAsia"/>
                    </w:rPr>
                    <w:t>6</w:t>
                  </w:r>
                  <w:r>
                    <w:t>.75</w:t>
                  </w:r>
                </w:p>
              </w:tc>
              <w:tc>
                <w:tcPr>
                  <w:tcW w:w="1606" w:type="dxa"/>
                </w:tcPr>
                <w:p>
                  <w:pPr>
                    <w:snapToGrid w:val="0"/>
                    <w:jc w:val="center"/>
                    <w:rPr>
                      <w:bCs/>
                      <w:sz w:val="24"/>
                    </w:rPr>
                  </w:pPr>
                  <w:r>
                    <w:rPr>
                      <w:bCs/>
                      <w:sz w:val="24"/>
                    </w:rPr>
                    <w:t>1.05</w:t>
                  </w:r>
                </w:p>
              </w:tc>
              <w:tc>
                <w:tcPr>
                  <w:tcW w:w="1634" w:type="dxa"/>
                </w:tcPr>
                <w:p>
                  <w:pPr>
                    <w:snapToGrid w:val="0"/>
                    <w:jc w:val="center"/>
                    <w:rPr>
                      <w:bCs/>
                      <w:sz w:val="24"/>
                    </w:rPr>
                  </w:pPr>
                  <w:r>
                    <w:rPr>
                      <w:bCs/>
                      <w:sz w:val="24"/>
                    </w:rPr>
                    <w:t>0.81</w:t>
                  </w:r>
                </w:p>
              </w:tc>
              <w:tc>
                <w:tcPr>
                  <w:tcW w:w="1467" w:type="dxa"/>
                </w:tcPr>
                <w:p>
                  <w:pPr>
                    <w:snapToGrid w:val="0"/>
                    <w:jc w:val="center"/>
                    <w:rPr>
                      <w:bCs/>
                      <w:sz w:val="24"/>
                    </w:rPr>
                  </w:pPr>
                  <w:r>
                    <w:rPr>
                      <w:rFonts w:hint="eastAsia"/>
                      <w:bCs/>
                      <w:sz w:val="24"/>
                    </w:rPr>
                    <w:t>0</w:t>
                  </w:r>
                  <w:r>
                    <w:rPr>
                      <w:bCs/>
                      <w:sz w:val="24"/>
                    </w:rPr>
                    <w:t>.54</w:t>
                  </w:r>
                </w:p>
              </w:tc>
            </w:tr>
          </w:tbl>
          <w:p>
            <w:pPr>
              <w:pStyle w:val="81"/>
              <w:numPr>
                <w:ilvl w:val="0"/>
                <w:numId w:val="3"/>
              </w:numPr>
              <w:snapToGrid w:val="0"/>
              <w:spacing w:line="360" w:lineRule="auto"/>
              <w:ind w:firstLineChars="0"/>
              <w:rPr>
                <w:sz w:val="24"/>
              </w:rPr>
            </w:pPr>
            <w:r>
              <w:rPr>
                <w:sz w:val="24"/>
              </w:rPr>
              <w:t xml:space="preserve">地下涌水 </w:t>
            </w:r>
          </w:p>
          <w:p>
            <w:pPr>
              <w:snapToGrid w:val="0"/>
              <w:spacing w:line="360" w:lineRule="auto"/>
              <w:ind w:firstLine="480" w:firstLineChars="200"/>
              <w:rPr>
                <w:sz w:val="24"/>
              </w:rPr>
            </w:pPr>
            <w:r>
              <w:rPr>
                <w:sz w:val="24"/>
              </w:rPr>
              <w:t xml:space="preserve">在基坑和和地下层开挖时由于地下水渗漏产生地下涌水，主要污染物类泥砂等悬浮物。 </w:t>
            </w:r>
          </w:p>
          <w:p>
            <w:pPr>
              <w:snapToGrid w:val="0"/>
              <w:spacing w:line="360" w:lineRule="auto"/>
              <w:ind w:firstLine="482" w:firstLineChars="200"/>
              <w:rPr>
                <w:b/>
                <w:sz w:val="24"/>
              </w:rPr>
            </w:pPr>
            <w:r>
              <w:rPr>
                <w:b/>
                <w:sz w:val="24"/>
              </w:rPr>
              <w:t xml:space="preserve">2、施工废气 </w:t>
            </w:r>
          </w:p>
          <w:p>
            <w:pPr>
              <w:snapToGrid w:val="0"/>
              <w:spacing w:line="360" w:lineRule="auto"/>
              <w:ind w:firstLine="480" w:firstLineChars="200"/>
              <w:rPr>
                <w:sz w:val="24"/>
              </w:rPr>
            </w:pPr>
            <w:r>
              <w:rPr>
                <w:sz w:val="24"/>
              </w:rPr>
              <w:t xml:space="preserve">施工过程主要产生的废气主要包括扬尘、施工设备燃料废气和运输车辆汽车尾气和装修废气。 </w:t>
            </w:r>
          </w:p>
          <w:p>
            <w:pPr>
              <w:pStyle w:val="81"/>
              <w:numPr>
                <w:ilvl w:val="0"/>
                <w:numId w:val="4"/>
              </w:numPr>
              <w:snapToGrid w:val="0"/>
              <w:spacing w:line="360" w:lineRule="auto"/>
              <w:ind w:firstLineChars="0"/>
              <w:rPr>
                <w:sz w:val="24"/>
              </w:rPr>
            </w:pPr>
            <w:r>
              <w:rPr>
                <w:sz w:val="24"/>
              </w:rPr>
              <w:t xml:space="preserve">扬尘 </w:t>
            </w:r>
          </w:p>
          <w:p>
            <w:pPr>
              <w:pStyle w:val="81"/>
              <w:numPr>
                <w:ilvl w:val="0"/>
                <w:numId w:val="5"/>
              </w:numPr>
              <w:snapToGrid w:val="0"/>
              <w:spacing w:line="360" w:lineRule="auto"/>
              <w:ind w:firstLineChars="0"/>
              <w:rPr>
                <w:sz w:val="24"/>
              </w:rPr>
            </w:pPr>
            <w:r>
              <w:rPr>
                <w:sz w:val="24"/>
              </w:rPr>
              <w:t xml:space="preserve"> 风力扬尘 </w:t>
            </w:r>
          </w:p>
          <w:p>
            <w:pPr>
              <w:snapToGrid w:val="0"/>
              <w:spacing w:line="360" w:lineRule="auto"/>
              <w:ind w:firstLine="480" w:firstLineChars="200"/>
              <w:rPr>
                <w:sz w:val="24"/>
              </w:rPr>
            </w:pPr>
            <w:r>
              <w:rPr>
                <w:sz w:val="24"/>
              </w:rPr>
              <w:t>露天堆放的建材及裸露的施工区表层浮土由于天气干燥及大风，产生风力扬尘。尘粒在空气中的传播情况与风速等气象条件有关，也与尘粒本身的沉降速度有关，不同粒径的尘粒沉降速度见表</w:t>
            </w:r>
            <w:r>
              <w:rPr>
                <w:rFonts w:hint="eastAsia"/>
                <w:sz w:val="24"/>
              </w:rPr>
              <w:t>1</w:t>
            </w:r>
            <w:r>
              <w:rPr>
                <w:sz w:val="24"/>
              </w:rPr>
              <w:t>7。</w:t>
            </w:r>
          </w:p>
          <w:p>
            <w:pPr>
              <w:snapToGrid w:val="0"/>
              <w:ind w:left="420"/>
              <w:jc w:val="center"/>
              <w:rPr>
                <w:b/>
              </w:rPr>
            </w:pPr>
            <w:r>
              <w:rPr>
                <w:b/>
              </w:rPr>
              <w:t>表</w:t>
            </w:r>
            <w:r>
              <w:rPr>
                <w:rFonts w:hint="eastAsia"/>
                <w:b/>
              </w:rPr>
              <w:t>1</w:t>
            </w:r>
            <w:r>
              <w:rPr>
                <w:b/>
              </w:rPr>
              <w:t>8</w:t>
            </w:r>
            <w:r>
              <w:rPr>
                <w:rFonts w:hint="eastAsia"/>
                <w:b/>
              </w:rPr>
              <w:t xml:space="preserve">  </w:t>
            </w:r>
            <w:r>
              <w:rPr>
                <w:b/>
              </w:rPr>
              <w:t xml:space="preserve"> 不同粒径的尘粒沉降速度</w:t>
            </w:r>
          </w:p>
          <w:tbl>
            <w:tblPr>
              <w:tblStyle w:val="26"/>
              <w:tblW w:w="94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8"/>
              <w:gridCol w:w="1030"/>
              <w:gridCol w:w="882"/>
              <w:gridCol w:w="1031"/>
              <w:gridCol w:w="1030"/>
              <w:gridCol w:w="1030"/>
              <w:gridCol w:w="1030"/>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jc w:val="center"/>
              </w:trPr>
              <w:tc>
                <w:tcPr>
                  <w:tcW w:w="2378" w:type="dxa"/>
                  <w:vAlign w:val="center"/>
                </w:tcPr>
                <w:p>
                  <w:pPr>
                    <w:snapToGrid w:val="0"/>
                    <w:jc w:val="center"/>
                    <w:rPr>
                      <w:bCs/>
                      <w:sz w:val="24"/>
                    </w:rPr>
                  </w:pPr>
                  <w:r>
                    <w:t>粒径（微米）</w:t>
                  </w:r>
                </w:p>
              </w:tc>
              <w:tc>
                <w:tcPr>
                  <w:tcW w:w="1030" w:type="dxa"/>
                  <w:vAlign w:val="center"/>
                </w:tcPr>
                <w:p>
                  <w:pPr>
                    <w:snapToGrid w:val="0"/>
                    <w:jc w:val="center"/>
                    <w:rPr>
                      <w:bCs/>
                      <w:sz w:val="24"/>
                    </w:rPr>
                  </w:pPr>
                  <w:r>
                    <w:rPr>
                      <w:rFonts w:hint="eastAsia"/>
                      <w:bCs/>
                      <w:sz w:val="24"/>
                    </w:rPr>
                    <w:t>1</w:t>
                  </w:r>
                  <w:r>
                    <w:rPr>
                      <w:bCs/>
                      <w:sz w:val="24"/>
                    </w:rPr>
                    <w:t>0</w:t>
                  </w:r>
                </w:p>
              </w:tc>
              <w:tc>
                <w:tcPr>
                  <w:tcW w:w="882" w:type="dxa"/>
                  <w:vAlign w:val="center"/>
                </w:tcPr>
                <w:p>
                  <w:pPr>
                    <w:snapToGrid w:val="0"/>
                    <w:jc w:val="center"/>
                    <w:rPr>
                      <w:bCs/>
                      <w:sz w:val="24"/>
                    </w:rPr>
                  </w:pPr>
                  <w:r>
                    <w:rPr>
                      <w:rFonts w:hint="eastAsia"/>
                      <w:bCs/>
                      <w:sz w:val="24"/>
                    </w:rPr>
                    <w:t>2</w:t>
                  </w:r>
                  <w:r>
                    <w:rPr>
                      <w:bCs/>
                      <w:sz w:val="24"/>
                    </w:rPr>
                    <w:t>0</w:t>
                  </w:r>
                </w:p>
              </w:tc>
              <w:tc>
                <w:tcPr>
                  <w:tcW w:w="1031" w:type="dxa"/>
                  <w:vAlign w:val="center"/>
                </w:tcPr>
                <w:p>
                  <w:pPr>
                    <w:snapToGrid w:val="0"/>
                    <w:jc w:val="center"/>
                    <w:rPr>
                      <w:bCs/>
                      <w:sz w:val="24"/>
                    </w:rPr>
                  </w:pPr>
                  <w:r>
                    <w:rPr>
                      <w:rFonts w:hint="eastAsia"/>
                      <w:bCs/>
                      <w:sz w:val="24"/>
                    </w:rPr>
                    <w:t>3</w:t>
                  </w:r>
                  <w:r>
                    <w:rPr>
                      <w:bCs/>
                      <w:sz w:val="24"/>
                    </w:rPr>
                    <w:t>0</w:t>
                  </w:r>
                </w:p>
              </w:tc>
              <w:tc>
                <w:tcPr>
                  <w:tcW w:w="1030" w:type="dxa"/>
                  <w:vAlign w:val="center"/>
                </w:tcPr>
                <w:p>
                  <w:pPr>
                    <w:snapToGrid w:val="0"/>
                    <w:jc w:val="center"/>
                    <w:rPr>
                      <w:bCs/>
                      <w:sz w:val="24"/>
                    </w:rPr>
                  </w:pPr>
                  <w:r>
                    <w:rPr>
                      <w:rFonts w:hint="eastAsia"/>
                      <w:bCs/>
                      <w:sz w:val="24"/>
                    </w:rPr>
                    <w:t>4</w:t>
                  </w:r>
                  <w:r>
                    <w:rPr>
                      <w:bCs/>
                      <w:sz w:val="24"/>
                    </w:rPr>
                    <w:t>0</w:t>
                  </w:r>
                </w:p>
              </w:tc>
              <w:tc>
                <w:tcPr>
                  <w:tcW w:w="1030" w:type="dxa"/>
                  <w:vAlign w:val="center"/>
                </w:tcPr>
                <w:p>
                  <w:pPr>
                    <w:snapToGrid w:val="0"/>
                    <w:jc w:val="center"/>
                    <w:rPr>
                      <w:bCs/>
                      <w:sz w:val="24"/>
                    </w:rPr>
                  </w:pPr>
                  <w:r>
                    <w:rPr>
                      <w:rFonts w:hint="eastAsia"/>
                      <w:bCs/>
                      <w:sz w:val="24"/>
                    </w:rPr>
                    <w:t>5</w:t>
                  </w:r>
                  <w:r>
                    <w:rPr>
                      <w:bCs/>
                      <w:sz w:val="24"/>
                    </w:rPr>
                    <w:t>0</w:t>
                  </w:r>
                </w:p>
              </w:tc>
              <w:tc>
                <w:tcPr>
                  <w:tcW w:w="1030" w:type="dxa"/>
                  <w:vAlign w:val="center"/>
                </w:tcPr>
                <w:p>
                  <w:pPr>
                    <w:snapToGrid w:val="0"/>
                    <w:jc w:val="center"/>
                    <w:rPr>
                      <w:bCs/>
                      <w:sz w:val="24"/>
                    </w:rPr>
                  </w:pPr>
                  <w:r>
                    <w:rPr>
                      <w:rFonts w:hint="eastAsia"/>
                      <w:bCs/>
                      <w:sz w:val="24"/>
                    </w:rPr>
                    <w:t>6</w:t>
                  </w:r>
                  <w:r>
                    <w:rPr>
                      <w:bCs/>
                      <w:sz w:val="24"/>
                    </w:rPr>
                    <w:t>0</w:t>
                  </w:r>
                </w:p>
              </w:tc>
              <w:tc>
                <w:tcPr>
                  <w:tcW w:w="990" w:type="dxa"/>
                  <w:vAlign w:val="center"/>
                </w:tcPr>
                <w:p>
                  <w:pPr>
                    <w:snapToGrid w:val="0"/>
                    <w:jc w:val="center"/>
                    <w:rPr>
                      <w:bCs/>
                      <w:sz w:val="24"/>
                    </w:rPr>
                  </w:pPr>
                  <w:r>
                    <w:rPr>
                      <w:rFonts w:hint="eastAsia"/>
                      <w:bCs/>
                      <w:sz w:val="24"/>
                    </w:rPr>
                    <w:t>7</w:t>
                  </w:r>
                  <w:r>
                    <w:rPr>
                      <w:bCs/>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2378" w:type="dxa"/>
                  <w:vAlign w:val="center"/>
                </w:tcPr>
                <w:p>
                  <w:pPr>
                    <w:snapToGrid w:val="0"/>
                    <w:jc w:val="center"/>
                    <w:rPr>
                      <w:bCs/>
                      <w:sz w:val="24"/>
                    </w:rPr>
                  </w:pPr>
                  <w:r>
                    <w:t>沉降速度（m/s）</w:t>
                  </w:r>
                </w:p>
              </w:tc>
              <w:tc>
                <w:tcPr>
                  <w:tcW w:w="1030" w:type="dxa"/>
                  <w:vAlign w:val="center"/>
                </w:tcPr>
                <w:p>
                  <w:pPr>
                    <w:snapToGrid w:val="0"/>
                    <w:jc w:val="center"/>
                    <w:rPr>
                      <w:bCs/>
                      <w:sz w:val="24"/>
                    </w:rPr>
                  </w:pPr>
                  <w:r>
                    <w:t>0.012</w:t>
                  </w:r>
                </w:p>
              </w:tc>
              <w:tc>
                <w:tcPr>
                  <w:tcW w:w="882" w:type="dxa"/>
                  <w:vAlign w:val="center"/>
                </w:tcPr>
                <w:p>
                  <w:pPr>
                    <w:snapToGrid w:val="0"/>
                    <w:jc w:val="center"/>
                    <w:rPr>
                      <w:bCs/>
                      <w:sz w:val="24"/>
                    </w:rPr>
                  </w:pPr>
                  <w:r>
                    <w:t>0.027</w:t>
                  </w:r>
                </w:p>
              </w:tc>
              <w:tc>
                <w:tcPr>
                  <w:tcW w:w="1031" w:type="dxa"/>
                  <w:vAlign w:val="center"/>
                </w:tcPr>
                <w:p>
                  <w:pPr>
                    <w:snapToGrid w:val="0"/>
                    <w:jc w:val="center"/>
                    <w:rPr>
                      <w:bCs/>
                      <w:sz w:val="24"/>
                    </w:rPr>
                  </w:pPr>
                  <w:r>
                    <w:t>0.03</w:t>
                  </w:r>
                </w:p>
              </w:tc>
              <w:tc>
                <w:tcPr>
                  <w:tcW w:w="1030" w:type="dxa"/>
                  <w:vAlign w:val="center"/>
                </w:tcPr>
                <w:p>
                  <w:pPr>
                    <w:snapToGrid w:val="0"/>
                    <w:jc w:val="center"/>
                    <w:rPr>
                      <w:bCs/>
                      <w:sz w:val="24"/>
                    </w:rPr>
                  </w:pPr>
                  <w:r>
                    <w:t>0.048</w:t>
                  </w:r>
                </w:p>
              </w:tc>
              <w:tc>
                <w:tcPr>
                  <w:tcW w:w="1030" w:type="dxa"/>
                  <w:vAlign w:val="center"/>
                </w:tcPr>
                <w:p>
                  <w:pPr>
                    <w:snapToGrid w:val="0"/>
                    <w:jc w:val="center"/>
                    <w:rPr>
                      <w:bCs/>
                      <w:sz w:val="24"/>
                    </w:rPr>
                  </w:pPr>
                  <w:r>
                    <w:t>0.075</w:t>
                  </w:r>
                </w:p>
              </w:tc>
              <w:tc>
                <w:tcPr>
                  <w:tcW w:w="1030" w:type="dxa"/>
                  <w:vAlign w:val="center"/>
                </w:tcPr>
                <w:p>
                  <w:pPr>
                    <w:snapToGrid w:val="0"/>
                    <w:jc w:val="center"/>
                    <w:rPr>
                      <w:bCs/>
                      <w:sz w:val="24"/>
                    </w:rPr>
                  </w:pPr>
                  <w:r>
                    <w:t>0.108</w:t>
                  </w:r>
                </w:p>
              </w:tc>
              <w:tc>
                <w:tcPr>
                  <w:tcW w:w="990" w:type="dxa"/>
                  <w:vAlign w:val="center"/>
                </w:tcPr>
                <w:p>
                  <w:pPr>
                    <w:snapToGrid w:val="0"/>
                    <w:jc w:val="center"/>
                    <w:rPr>
                      <w:bCs/>
                      <w:sz w:val="24"/>
                    </w:rPr>
                  </w:pPr>
                  <w:r>
                    <w:t>0.147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jc w:val="center"/>
              </w:trPr>
              <w:tc>
                <w:tcPr>
                  <w:tcW w:w="2378" w:type="dxa"/>
                  <w:vAlign w:val="center"/>
                </w:tcPr>
                <w:p>
                  <w:pPr>
                    <w:snapToGrid w:val="0"/>
                    <w:jc w:val="center"/>
                    <w:rPr>
                      <w:bCs/>
                      <w:sz w:val="24"/>
                    </w:rPr>
                  </w:pPr>
                  <w:r>
                    <w:t>粒径（微米）</w:t>
                  </w:r>
                </w:p>
              </w:tc>
              <w:tc>
                <w:tcPr>
                  <w:tcW w:w="1030" w:type="dxa"/>
                  <w:vAlign w:val="center"/>
                </w:tcPr>
                <w:p>
                  <w:pPr>
                    <w:snapToGrid w:val="0"/>
                    <w:jc w:val="center"/>
                    <w:rPr>
                      <w:bCs/>
                      <w:sz w:val="24"/>
                    </w:rPr>
                  </w:pPr>
                  <w:r>
                    <w:t>80</w:t>
                  </w:r>
                </w:p>
              </w:tc>
              <w:tc>
                <w:tcPr>
                  <w:tcW w:w="882" w:type="dxa"/>
                  <w:vAlign w:val="center"/>
                </w:tcPr>
                <w:p>
                  <w:pPr>
                    <w:snapToGrid w:val="0"/>
                    <w:jc w:val="center"/>
                    <w:rPr>
                      <w:bCs/>
                      <w:sz w:val="24"/>
                    </w:rPr>
                  </w:pPr>
                  <w:r>
                    <w:t>90</w:t>
                  </w:r>
                </w:p>
              </w:tc>
              <w:tc>
                <w:tcPr>
                  <w:tcW w:w="1031" w:type="dxa"/>
                  <w:vAlign w:val="center"/>
                </w:tcPr>
                <w:p>
                  <w:pPr>
                    <w:snapToGrid w:val="0"/>
                    <w:jc w:val="center"/>
                    <w:rPr>
                      <w:bCs/>
                      <w:sz w:val="24"/>
                    </w:rPr>
                  </w:pPr>
                  <w:r>
                    <w:t>100</w:t>
                  </w:r>
                </w:p>
              </w:tc>
              <w:tc>
                <w:tcPr>
                  <w:tcW w:w="1030" w:type="dxa"/>
                  <w:vAlign w:val="center"/>
                </w:tcPr>
                <w:p>
                  <w:pPr>
                    <w:snapToGrid w:val="0"/>
                    <w:jc w:val="center"/>
                    <w:rPr>
                      <w:bCs/>
                      <w:sz w:val="24"/>
                    </w:rPr>
                  </w:pPr>
                  <w:r>
                    <w:t>150</w:t>
                  </w:r>
                </w:p>
              </w:tc>
              <w:tc>
                <w:tcPr>
                  <w:tcW w:w="1030" w:type="dxa"/>
                  <w:vAlign w:val="center"/>
                </w:tcPr>
                <w:p>
                  <w:pPr>
                    <w:snapToGrid w:val="0"/>
                    <w:jc w:val="center"/>
                    <w:rPr>
                      <w:bCs/>
                      <w:sz w:val="24"/>
                    </w:rPr>
                  </w:pPr>
                  <w:r>
                    <w:rPr>
                      <w:rFonts w:hint="eastAsia"/>
                      <w:bCs/>
                      <w:sz w:val="24"/>
                    </w:rPr>
                    <w:t>2</w:t>
                  </w:r>
                  <w:r>
                    <w:rPr>
                      <w:bCs/>
                      <w:sz w:val="24"/>
                    </w:rPr>
                    <w:t>00</w:t>
                  </w:r>
                </w:p>
              </w:tc>
              <w:tc>
                <w:tcPr>
                  <w:tcW w:w="1030" w:type="dxa"/>
                  <w:vAlign w:val="center"/>
                </w:tcPr>
                <w:p>
                  <w:pPr>
                    <w:snapToGrid w:val="0"/>
                    <w:jc w:val="center"/>
                    <w:rPr>
                      <w:bCs/>
                      <w:sz w:val="24"/>
                    </w:rPr>
                  </w:pPr>
                  <w:r>
                    <w:rPr>
                      <w:rFonts w:hint="eastAsia"/>
                      <w:bCs/>
                      <w:sz w:val="24"/>
                    </w:rPr>
                    <w:t>2</w:t>
                  </w:r>
                  <w:r>
                    <w:rPr>
                      <w:bCs/>
                      <w:sz w:val="24"/>
                    </w:rPr>
                    <w:t>50</w:t>
                  </w:r>
                </w:p>
              </w:tc>
              <w:tc>
                <w:tcPr>
                  <w:tcW w:w="990" w:type="dxa"/>
                  <w:vAlign w:val="center"/>
                </w:tcPr>
                <w:p>
                  <w:pPr>
                    <w:snapToGrid w:val="0"/>
                    <w:jc w:val="center"/>
                    <w:rPr>
                      <w:bCs/>
                      <w:sz w:val="24"/>
                    </w:rPr>
                  </w:pPr>
                  <w:r>
                    <w:rPr>
                      <w:rFonts w:hint="eastAsia"/>
                      <w:bCs/>
                      <w:sz w:val="24"/>
                    </w:rPr>
                    <w:t>3</w:t>
                  </w:r>
                  <w:r>
                    <w:rPr>
                      <w:bCs/>
                      <w:sz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jc w:val="center"/>
              </w:trPr>
              <w:tc>
                <w:tcPr>
                  <w:tcW w:w="2378" w:type="dxa"/>
                  <w:vAlign w:val="center"/>
                </w:tcPr>
                <w:p>
                  <w:pPr>
                    <w:snapToGrid w:val="0"/>
                    <w:jc w:val="center"/>
                    <w:rPr>
                      <w:bCs/>
                      <w:sz w:val="24"/>
                    </w:rPr>
                  </w:pPr>
                  <w:r>
                    <w:t>沉降速度（m/s）</w:t>
                  </w:r>
                </w:p>
              </w:tc>
              <w:tc>
                <w:tcPr>
                  <w:tcW w:w="1030" w:type="dxa"/>
                  <w:vAlign w:val="center"/>
                </w:tcPr>
                <w:p>
                  <w:pPr>
                    <w:snapToGrid w:val="0"/>
                    <w:jc w:val="center"/>
                    <w:rPr>
                      <w:bCs/>
                      <w:sz w:val="24"/>
                    </w:rPr>
                  </w:pPr>
                  <w:r>
                    <w:t>0.158</w:t>
                  </w:r>
                </w:p>
              </w:tc>
              <w:tc>
                <w:tcPr>
                  <w:tcW w:w="882" w:type="dxa"/>
                  <w:vAlign w:val="center"/>
                </w:tcPr>
                <w:p>
                  <w:pPr>
                    <w:snapToGrid w:val="0"/>
                    <w:jc w:val="center"/>
                    <w:rPr>
                      <w:bCs/>
                      <w:sz w:val="24"/>
                    </w:rPr>
                  </w:pPr>
                  <w:r>
                    <w:t>0.170</w:t>
                  </w:r>
                </w:p>
              </w:tc>
              <w:tc>
                <w:tcPr>
                  <w:tcW w:w="1031" w:type="dxa"/>
                  <w:vAlign w:val="center"/>
                </w:tcPr>
                <w:p>
                  <w:pPr>
                    <w:snapToGrid w:val="0"/>
                    <w:jc w:val="center"/>
                    <w:rPr>
                      <w:bCs/>
                      <w:sz w:val="24"/>
                    </w:rPr>
                  </w:pPr>
                  <w:r>
                    <w:t>0.182</w:t>
                  </w:r>
                </w:p>
              </w:tc>
              <w:tc>
                <w:tcPr>
                  <w:tcW w:w="1030" w:type="dxa"/>
                  <w:vAlign w:val="center"/>
                </w:tcPr>
                <w:p>
                  <w:pPr>
                    <w:snapToGrid w:val="0"/>
                    <w:jc w:val="center"/>
                    <w:rPr>
                      <w:bCs/>
                      <w:sz w:val="24"/>
                    </w:rPr>
                  </w:pPr>
                  <w:r>
                    <w:t>0.239</w:t>
                  </w:r>
                </w:p>
              </w:tc>
              <w:tc>
                <w:tcPr>
                  <w:tcW w:w="1030" w:type="dxa"/>
                  <w:vAlign w:val="center"/>
                </w:tcPr>
                <w:p>
                  <w:pPr>
                    <w:snapToGrid w:val="0"/>
                    <w:jc w:val="center"/>
                    <w:rPr>
                      <w:bCs/>
                      <w:sz w:val="24"/>
                    </w:rPr>
                  </w:pPr>
                  <w:r>
                    <w:t>0.804</w:t>
                  </w:r>
                </w:p>
              </w:tc>
              <w:tc>
                <w:tcPr>
                  <w:tcW w:w="1030" w:type="dxa"/>
                  <w:vAlign w:val="center"/>
                </w:tcPr>
                <w:p>
                  <w:pPr>
                    <w:snapToGrid w:val="0"/>
                    <w:jc w:val="center"/>
                    <w:rPr>
                      <w:bCs/>
                      <w:sz w:val="24"/>
                    </w:rPr>
                  </w:pPr>
                  <w:r>
                    <w:t>1.005</w:t>
                  </w:r>
                </w:p>
              </w:tc>
              <w:tc>
                <w:tcPr>
                  <w:tcW w:w="990" w:type="dxa"/>
                  <w:vAlign w:val="center"/>
                </w:tcPr>
                <w:p>
                  <w:pPr>
                    <w:snapToGrid w:val="0"/>
                    <w:jc w:val="center"/>
                    <w:rPr>
                      <w:bCs/>
                      <w:sz w:val="24"/>
                    </w:rPr>
                  </w:pPr>
                  <w:r>
                    <w:t>1.829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jc w:val="center"/>
              </w:trPr>
              <w:tc>
                <w:tcPr>
                  <w:tcW w:w="2378" w:type="dxa"/>
                  <w:vAlign w:val="center"/>
                </w:tcPr>
                <w:p>
                  <w:pPr>
                    <w:snapToGrid w:val="0"/>
                    <w:jc w:val="center"/>
                    <w:rPr>
                      <w:bCs/>
                      <w:sz w:val="24"/>
                    </w:rPr>
                  </w:pPr>
                  <w:r>
                    <w:t>粒径（微米）</w:t>
                  </w:r>
                </w:p>
              </w:tc>
              <w:tc>
                <w:tcPr>
                  <w:tcW w:w="1030" w:type="dxa"/>
                  <w:vAlign w:val="center"/>
                </w:tcPr>
                <w:p>
                  <w:pPr>
                    <w:snapToGrid w:val="0"/>
                    <w:jc w:val="center"/>
                    <w:rPr>
                      <w:bCs/>
                      <w:sz w:val="24"/>
                    </w:rPr>
                  </w:pPr>
                  <w:r>
                    <w:t>450</w:t>
                  </w:r>
                </w:p>
              </w:tc>
              <w:tc>
                <w:tcPr>
                  <w:tcW w:w="882" w:type="dxa"/>
                  <w:vAlign w:val="center"/>
                </w:tcPr>
                <w:p>
                  <w:pPr>
                    <w:snapToGrid w:val="0"/>
                    <w:jc w:val="center"/>
                    <w:rPr>
                      <w:bCs/>
                      <w:sz w:val="24"/>
                    </w:rPr>
                  </w:pPr>
                  <w:r>
                    <w:rPr>
                      <w:rFonts w:hint="eastAsia"/>
                      <w:bCs/>
                      <w:sz w:val="24"/>
                    </w:rPr>
                    <w:t>5</w:t>
                  </w:r>
                  <w:r>
                    <w:rPr>
                      <w:bCs/>
                      <w:sz w:val="24"/>
                    </w:rPr>
                    <w:t>50</w:t>
                  </w:r>
                </w:p>
              </w:tc>
              <w:tc>
                <w:tcPr>
                  <w:tcW w:w="1031" w:type="dxa"/>
                  <w:vAlign w:val="center"/>
                </w:tcPr>
                <w:p>
                  <w:pPr>
                    <w:snapToGrid w:val="0"/>
                    <w:jc w:val="center"/>
                    <w:rPr>
                      <w:bCs/>
                      <w:sz w:val="24"/>
                    </w:rPr>
                  </w:pPr>
                  <w:r>
                    <w:rPr>
                      <w:rFonts w:hint="eastAsia"/>
                      <w:bCs/>
                      <w:sz w:val="24"/>
                    </w:rPr>
                    <w:t>6</w:t>
                  </w:r>
                  <w:r>
                    <w:rPr>
                      <w:bCs/>
                      <w:sz w:val="24"/>
                    </w:rPr>
                    <w:t>50</w:t>
                  </w:r>
                </w:p>
              </w:tc>
              <w:tc>
                <w:tcPr>
                  <w:tcW w:w="1030" w:type="dxa"/>
                  <w:vAlign w:val="center"/>
                </w:tcPr>
                <w:p>
                  <w:pPr>
                    <w:snapToGrid w:val="0"/>
                    <w:jc w:val="center"/>
                    <w:rPr>
                      <w:bCs/>
                      <w:sz w:val="24"/>
                    </w:rPr>
                  </w:pPr>
                  <w:r>
                    <w:rPr>
                      <w:rFonts w:hint="eastAsia"/>
                      <w:bCs/>
                      <w:sz w:val="24"/>
                    </w:rPr>
                    <w:t>7</w:t>
                  </w:r>
                  <w:r>
                    <w:rPr>
                      <w:bCs/>
                      <w:sz w:val="24"/>
                    </w:rPr>
                    <w:t>50</w:t>
                  </w:r>
                </w:p>
              </w:tc>
              <w:tc>
                <w:tcPr>
                  <w:tcW w:w="1030" w:type="dxa"/>
                  <w:vAlign w:val="center"/>
                </w:tcPr>
                <w:p>
                  <w:pPr>
                    <w:snapToGrid w:val="0"/>
                    <w:jc w:val="center"/>
                    <w:rPr>
                      <w:bCs/>
                      <w:sz w:val="24"/>
                    </w:rPr>
                  </w:pPr>
                  <w:r>
                    <w:rPr>
                      <w:rFonts w:hint="eastAsia"/>
                      <w:bCs/>
                      <w:sz w:val="24"/>
                    </w:rPr>
                    <w:t>8</w:t>
                  </w:r>
                  <w:r>
                    <w:rPr>
                      <w:bCs/>
                      <w:sz w:val="24"/>
                    </w:rPr>
                    <w:t>50</w:t>
                  </w:r>
                </w:p>
              </w:tc>
              <w:tc>
                <w:tcPr>
                  <w:tcW w:w="1030" w:type="dxa"/>
                  <w:vAlign w:val="center"/>
                </w:tcPr>
                <w:p>
                  <w:pPr>
                    <w:snapToGrid w:val="0"/>
                    <w:jc w:val="center"/>
                    <w:rPr>
                      <w:bCs/>
                      <w:sz w:val="24"/>
                    </w:rPr>
                  </w:pPr>
                  <w:r>
                    <w:rPr>
                      <w:rFonts w:hint="eastAsia"/>
                      <w:bCs/>
                      <w:sz w:val="24"/>
                    </w:rPr>
                    <w:t>9</w:t>
                  </w:r>
                  <w:r>
                    <w:rPr>
                      <w:bCs/>
                      <w:sz w:val="24"/>
                    </w:rPr>
                    <w:t>50</w:t>
                  </w:r>
                </w:p>
              </w:tc>
              <w:tc>
                <w:tcPr>
                  <w:tcW w:w="990" w:type="dxa"/>
                  <w:vAlign w:val="center"/>
                </w:tcPr>
                <w:p>
                  <w:pPr>
                    <w:snapToGrid w:val="0"/>
                    <w:jc w:val="center"/>
                    <w:rPr>
                      <w:bCs/>
                      <w:sz w:val="24"/>
                    </w:rPr>
                  </w:pPr>
                  <w:r>
                    <w:rPr>
                      <w:rFonts w:hint="eastAsia"/>
                      <w:bCs/>
                      <w:sz w:val="24"/>
                    </w:rPr>
                    <w:t>1</w:t>
                  </w:r>
                  <w:r>
                    <w:rPr>
                      <w:bCs/>
                      <w:sz w:val="24"/>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2378" w:type="dxa"/>
                  <w:vAlign w:val="center"/>
                </w:tcPr>
                <w:p>
                  <w:pPr>
                    <w:snapToGrid w:val="0"/>
                    <w:jc w:val="center"/>
                    <w:rPr>
                      <w:bCs/>
                      <w:sz w:val="24"/>
                    </w:rPr>
                  </w:pPr>
                  <w:r>
                    <w:t>沉降速度（m/s）</w:t>
                  </w:r>
                </w:p>
              </w:tc>
              <w:tc>
                <w:tcPr>
                  <w:tcW w:w="1030" w:type="dxa"/>
                  <w:vAlign w:val="center"/>
                </w:tcPr>
                <w:p>
                  <w:pPr>
                    <w:snapToGrid w:val="0"/>
                    <w:jc w:val="center"/>
                    <w:rPr>
                      <w:bCs/>
                      <w:sz w:val="24"/>
                    </w:rPr>
                  </w:pPr>
                  <w:r>
                    <w:t>2.211</w:t>
                  </w:r>
                </w:p>
              </w:tc>
              <w:tc>
                <w:tcPr>
                  <w:tcW w:w="882" w:type="dxa"/>
                  <w:vAlign w:val="center"/>
                </w:tcPr>
                <w:p>
                  <w:pPr>
                    <w:snapToGrid w:val="0"/>
                    <w:jc w:val="center"/>
                    <w:rPr>
                      <w:bCs/>
                      <w:sz w:val="24"/>
                    </w:rPr>
                  </w:pPr>
                  <w:r>
                    <w:t>2.614</w:t>
                  </w:r>
                </w:p>
              </w:tc>
              <w:tc>
                <w:tcPr>
                  <w:tcW w:w="1031" w:type="dxa"/>
                  <w:vAlign w:val="center"/>
                </w:tcPr>
                <w:p>
                  <w:pPr>
                    <w:snapToGrid w:val="0"/>
                    <w:jc w:val="center"/>
                    <w:rPr>
                      <w:bCs/>
                      <w:sz w:val="24"/>
                    </w:rPr>
                  </w:pPr>
                  <w:r>
                    <w:t>3.016</w:t>
                  </w:r>
                </w:p>
              </w:tc>
              <w:tc>
                <w:tcPr>
                  <w:tcW w:w="1030" w:type="dxa"/>
                  <w:vAlign w:val="center"/>
                </w:tcPr>
                <w:p>
                  <w:pPr>
                    <w:snapToGrid w:val="0"/>
                    <w:jc w:val="center"/>
                    <w:rPr>
                      <w:bCs/>
                      <w:sz w:val="24"/>
                    </w:rPr>
                  </w:pPr>
                  <w:r>
                    <w:t>3.418</w:t>
                  </w:r>
                </w:p>
              </w:tc>
              <w:tc>
                <w:tcPr>
                  <w:tcW w:w="1030" w:type="dxa"/>
                  <w:vAlign w:val="center"/>
                </w:tcPr>
                <w:p>
                  <w:pPr>
                    <w:snapToGrid w:val="0"/>
                    <w:jc w:val="center"/>
                    <w:rPr>
                      <w:bCs/>
                      <w:sz w:val="24"/>
                    </w:rPr>
                  </w:pPr>
                  <w:r>
                    <w:t>3.820</w:t>
                  </w:r>
                </w:p>
              </w:tc>
              <w:tc>
                <w:tcPr>
                  <w:tcW w:w="1030" w:type="dxa"/>
                  <w:vAlign w:val="center"/>
                </w:tcPr>
                <w:p>
                  <w:pPr>
                    <w:snapToGrid w:val="0"/>
                    <w:jc w:val="center"/>
                    <w:rPr>
                      <w:bCs/>
                      <w:sz w:val="24"/>
                    </w:rPr>
                  </w:pPr>
                  <w:r>
                    <w:t>4.222</w:t>
                  </w:r>
                </w:p>
              </w:tc>
              <w:tc>
                <w:tcPr>
                  <w:tcW w:w="990" w:type="dxa"/>
                  <w:vAlign w:val="center"/>
                </w:tcPr>
                <w:p>
                  <w:pPr>
                    <w:snapToGrid w:val="0"/>
                    <w:jc w:val="center"/>
                    <w:rPr>
                      <w:bCs/>
                      <w:sz w:val="24"/>
                    </w:rPr>
                  </w:pPr>
                  <w:r>
                    <w:t>4.624</w:t>
                  </w:r>
                </w:p>
              </w:tc>
            </w:tr>
          </w:tbl>
          <w:p>
            <w:pPr>
              <w:adjustRightInd w:val="0"/>
              <w:snapToGrid w:val="0"/>
              <w:spacing w:line="360" w:lineRule="auto"/>
              <w:ind w:firstLine="480" w:firstLineChars="200"/>
              <w:rPr>
                <w:sz w:val="24"/>
              </w:rPr>
            </w:pPr>
            <w:r>
              <w:rPr>
                <w:rFonts w:hint="eastAsia" w:ascii="宋体" w:hAnsi="宋体" w:cs="宋体"/>
                <w:sz w:val="24"/>
              </w:rPr>
              <w:t>②</w:t>
            </w:r>
            <w:r>
              <w:rPr>
                <w:sz w:val="24"/>
              </w:rPr>
              <w:t xml:space="preserve"> 车辆行驶的动力扬尘</w:t>
            </w:r>
          </w:p>
          <w:p>
            <w:pPr>
              <w:adjustRightInd w:val="0"/>
              <w:snapToGrid w:val="0"/>
              <w:spacing w:line="360" w:lineRule="auto"/>
              <w:ind w:firstLine="480" w:firstLineChars="200"/>
              <w:rPr>
                <w:sz w:val="24"/>
              </w:rPr>
            </w:pPr>
            <w:r>
              <w:rPr>
                <w:sz w:val="24"/>
              </w:rPr>
              <w:t>一般情况下，建筑工地的车辆行驶产生的扬尘占总扬尘的60%以上，在完全干燥的情况下，可按下列经验公式计算：</w:t>
            </w:r>
          </w:p>
          <w:p>
            <w:pPr>
              <w:adjustRightInd w:val="0"/>
              <w:snapToGrid w:val="0"/>
              <w:spacing w:line="360" w:lineRule="auto"/>
              <w:ind w:firstLine="2880" w:firstLineChars="1200"/>
              <w:rPr>
                <w:sz w:val="24"/>
              </w:rPr>
            </w:pPr>
            <w:r>
              <w:rPr>
                <w:sz w:val="24"/>
              </w:rPr>
              <w:t xml:space="preserve">  Q </w:t>
            </w:r>
            <w:r>
              <w:rPr>
                <w:sz w:val="24"/>
              </w:rPr>
              <w:sym w:font="Symbol" w:char="F03D"/>
            </w:r>
            <w:r>
              <w:rPr>
                <w:sz w:val="24"/>
              </w:rPr>
              <w:t xml:space="preserve"> 0.123(V / 5)(W / 6.8)</w:t>
            </w:r>
            <w:r>
              <w:rPr>
                <w:sz w:val="24"/>
                <w:vertAlign w:val="superscript"/>
              </w:rPr>
              <w:t xml:space="preserve"> 0.85</w:t>
            </w:r>
            <w:r>
              <w:rPr>
                <w:sz w:val="24"/>
              </w:rPr>
              <w:t xml:space="preserve"> (P / 0.5)</w:t>
            </w:r>
            <w:r>
              <w:rPr>
                <w:sz w:val="24"/>
                <w:vertAlign w:val="superscript"/>
              </w:rPr>
              <w:t xml:space="preserve"> 0.75</w:t>
            </w:r>
            <w:r>
              <w:rPr>
                <w:sz w:val="24"/>
              </w:rPr>
              <w:t xml:space="preserve"> </w:t>
            </w:r>
          </w:p>
          <w:p>
            <w:pPr>
              <w:adjustRightInd w:val="0"/>
              <w:snapToGrid w:val="0"/>
              <w:spacing w:line="360" w:lineRule="auto"/>
              <w:ind w:firstLine="480" w:firstLineChars="200"/>
              <w:rPr>
                <w:sz w:val="24"/>
              </w:rPr>
            </w:pPr>
            <w:r>
              <w:rPr>
                <w:sz w:val="24"/>
              </w:rPr>
              <w:t xml:space="preserve">式中：Q－车辆行驶时的扬尘，kg/km·辆； </w:t>
            </w:r>
          </w:p>
          <w:p>
            <w:pPr>
              <w:adjustRightInd w:val="0"/>
              <w:snapToGrid w:val="0"/>
              <w:spacing w:line="360" w:lineRule="auto"/>
              <w:ind w:firstLine="480" w:firstLineChars="200"/>
              <w:rPr>
                <w:sz w:val="24"/>
              </w:rPr>
            </w:pPr>
            <w:r>
              <w:rPr>
                <w:sz w:val="24"/>
              </w:rPr>
              <w:t xml:space="preserve">V －汽车速度，km/h； </w:t>
            </w:r>
          </w:p>
          <w:p>
            <w:pPr>
              <w:adjustRightInd w:val="0"/>
              <w:snapToGrid w:val="0"/>
              <w:spacing w:line="360" w:lineRule="auto"/>
              <w:ind w:firstLine="480" w:firstLineChars="200"/>
              <w:rPr>
                <w:sz w:val="24"/>
              </w:rPr>
            </w:pPr>
            <w:r>
              <w:rPr>
                <w:sz w:val="24"/>
              </w:rPr>
              <w:t xml:space="preserve">W －汽车载重量，t； </w:t>
            </w:r>
          </w:p>
          <w:p>
            <w:pPr>
              <w:adjustRightInd w:val="0"/>
              <w:snapToGrid w:val="0"/>
              <w:spacing w:line="360" w:lineRule="auto"/>
              <w:ind w:firstLine="480" w:firstLineChars="200"/>
              <w:rPr>
                <w:sz w:val="24"/>
              </w:rPr>
            </w:pPr>
            <w:r>
              <w:rPr>
                <w:sz w:val="24"/>
              </w:rPr>
              <w:t>P －道路表面粉尘量，kg/㎡。</w:t>
            </w:r>
          </w:p>
          <w:p>
            <w:pPr>
              <w:adjustRightInd w:val="0"/>
              <w:snapToGrid w:val="0"/>
              <w:spacing w:line="360" w:lineRule="auto"/>
              <w:ind w:firstLine="480" w:firstLineChars="200"/>
              <w:rPr>
                <w:sz w:val="24"/>
              </w:rPr>
            </w:pPr>
            <w:r>
              <w:rPr>
                <w:sz w:val="24"/>
              </w:rPr>
              <w:t xml:space="preserve"> 表18为一辆10吨卡车通过一段长度为1km的路面时，不同路面的清洁程度，不同行驶速度下的扬尘量。 </w:t>
            </w:r>
          </w:p>
          <w:p>
            <w:pPr>
              <w:adjustRightInd w:val="0"/>
              <w:snapToGrid w:val="0"/>
              <w:ind w:firstLine="422" w:firstLineChars="200"/>
              <w:jc w:val="center"/>
              <w:rPr>
                <w:b/>
              </w:rPr>
            </w:pPr>
            <w:r>
              <w:rPr>
                <w:b/>
              </w:rPr>
              <w:t>表19</w:t>
            </w:r>
            <w:r>
              <w:rPr>
                <w:rFonts w:hint="eastAsia"/>
                <w:b/>
              </w:rPr>
              <w:t xml:space="preserve">  </w:t>
            </w:r>
            <w:r>
              <w:rPr>
                <w:b/>
              </w:rPr>
              <w:t xml:space="preserve"> 在不同车速和地面清洁程度的汽车扬尘Q （kg/km·辆）</w:t>
            </w:r>
          </w:p>
          <w:tbl>
            <w:tblPr>
              <w:tblStyle w:val="26"/>
              <w:tblW w:w="9223"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8"/>
              <w:gridCol w:w="1129"/>
              <w:gridCol w:w="968"/>
              <w:gridCol w:w="1131"/>
              <w:gridCol w:w="1129"/>
              <w:gridCol w:w="1129"/>
              <w:gridCol w:w="1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608" w:type="dxa"/>
                </w:tcPr>
                <w:p>
                  <w:pPr>
                    <w:snapToGrid w:val="0"/>
                    <w:jc w:val="center"/>
                    <w:rPr>
                      <w:b/>
                      <w:bCs/>
                      <w:sz w:val="24"/>
                    </w:rPr>
                  </w:pPr>
                  <w:r>
                    <w:rPr>
                      <w:b/>
                    </w:rPr>
                    <w:t>粒径（微米）</w:t>
                  </w:r>
                </w:p>
              </w:tc>
              <w:tc>
                <w:tcPr>
                  <w:tcW w:w="1129" w:type="dxa"/>
                </w:tcPr>
                <w:p>
                  <w:pPr>
                    <w:snapToGrid w:val="0"/>
                    <w:jc w:val="center"/>
                    <w:rPr>
                      <w:b/>
                      <w:bCs/>
                      <w:sz w:val="24"/>
                    </w:rPr>
                  </w:pPr>
                  <w:r>
                    <w:rPr>
                      <w:b/>
                    </w:rPr>
                    <w:t>0.1</w:t>
                  </w:r>
                </w:p>
              </w:tc>
              <w:tc>
                <w:tcPr>
                  <w:tcW w:w="968" w:type="dxa"/>
                </w:tcPr>
                <w:p>
                  <w:pPr>
                    <w:snapToGrid w:val="0"/>
                    <w:jc w:val="center"/>
                    <w:rPr>
                      <w:b/>
                      <w:bCs/>
                      <w:sz w:val="24"/>
                    </w:rPr>
                  </w:pPr>
                  <w:r>
                    <w:rPr>
                      <w:b/>
                    </w:rPr>
                    <w:t>0.2</w:t>
                  </w:r>
                </w:p>
              </w:tc>
              <w:tc>
                <w:tcPr>
                  <w:tcW w:w="1131" w:type="dxa"/>
                </w:tcPr>
                <w:p>
                  <w:pPr>
                    <w:snapToGrid w:val="0"/>
                    <w:jc w:val="center"/>
                    <w:rPr>
                      <w:b/>
                      <w:bCs/>
                      <w:sz w:val="24"/>
                    </w:rPr>
                  </w:pPr>
                  <w:r>
                    <w:rPr>
                      <w:b/>
                    </w:rPr>
                    <w:t>0.3</w:t>
                  </w:r>
                </w:p>
              </w:tc>
              <w:tc>
                <w:tcPr>
                  <w:tcW w:w="1129" w:type="dxa"/>
                </w:tcPr>
                <w:p>
                  <w:pPr>
                    <w:snapToGrid w:val="0"/>
                    <w:jc w:val="center"/>
                    <w:rPr>
                      <w:b/>
                      <w:bCs/>
                      <w:sz w:val="24"/>
                    </w:rPr>
                  </w:pPr>
                  <w:r>
                    <w:rPr>
                      <w:b/>
                    </w:rPr>
                    <w:t>0.4</w:t>
                  </w:r>
                </w:p>
              </w:tc>
              <w:tc>
                <w:tcPr>
                  <w:tcW w:w="1129" w:type="dxa"/>
                </w:tcPr>
                <w:p>
                  <w:pPr>
                    <w:snapToGrid w:val="0"/>
                    <w:jc w:val="center"/>
                    <w:rPr>
                      <w:b/>
                      <w:bCs/>
                      <w:sz w:val="24"/>
                    </w:rPr>
                  </w:pPr>
                  <w:r>
                    <w:rPr>
                      <w:b/>
                      <w:bCs/>
                      <w:sz w:val="24"/>
                    </w:rPr>
                    <w:t>0.5</w:t>
                  </w:r>
                </w:p>
              </w:tc>
              <w:tc>
                <w:tcPr>
                  <w:tcW w:w="1129" w:type="dxa"/>
                </w:tcPr>
                <w:p>
                  <w:pPr>
                    <w:snapToGrid w:val="0"/>
                    <w:jc w:val="center"/>
                    <w:rPr>
                      <w:b/>
                      <w:bCs/>
                      <w:sz w:val="24"/>
                    </w:rPr>
                  </w:pPr>
                  <w:r>
                    <w:rPr>
                      <w:rFonts w:hint="eastAsia"/>
                      <w:b/>
                      <w:bCs/>
                      <w:sz w:val="24"/>
                    </w:rPr>
                    <w:t>0</w:t>
                  </w:r>
                  <w:r>
                    <w:rPr>
                      <w:b/>
                      <w:bCs/>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trPr>
              <w:tc>
                <w:tcPr>
                  <w:tcW w:w="2608" w:type="dxa"/>
                </w:tcPr>
                <w:p>
                  <w:pPr>
                    <w:snapToGrid w:val="0"/>
                    <w:jc w:val="center"/>
                    <w:rPr>
                      <w:bCs/>
                      <w:sz w:val="24"/>
                    </w:rPr>
                  </w:pPr>
                  <w:r>
                    <w:t>5(km/h)</w:t>
                  </w:r>
                </w:p>
              </w:tc>
              <w:tc>
                <w:tcPr>
                  <w:tcW w:w="1129" w:type="dxa"/>
                </w:tcPr>
                <w:p>
                  <w:pPr>
                    <w:snapToGrid w:val="0"/>
                    <w:jc w:val="center"/>
                    <w:rPr>
                      <w:bCs/>
                      <w:sz w:val="24"/>
                    </w:rPr>
                  </w:pPr>
                  <w:r>
                    <w:t>0.051</w:t>
                  </w:r>
                </w:p>
              </w:tc>
              <w:tc>
                <w:tcPr>
                  <w:tcW w:w="968" w:type="dxa"/>
                </w:tcPr>
                <w:p>
                  <w:pPr>
                    <w:snapToGrid w:val="0"/>
                    <w:jc w:val="center"/>
                    <w:rPr>
                      <w:bCs/>
                      <w:sz w:val="24"/>
                    </w:rPr>
                  </w:pPr>
                  <w:r>
                    <w:t>0.086</w:t>
                  </w:r>
                </w:p>
              </w:tc>
              <w:tc>
                <w:tcPr>
                  <w:tcW w:w="1131" w:type="dxa"/>
                </w:tcPr>
                <w:p>
                  <w:pPr>
                    <w:snapToGrid w:val="0"/>
                    <w:jc w:val="center"/>
                    <w:rPr>
                      <w:bCs/>
                      <w:sz w:val="24"/>
                    </w:rPr>
                  </w:pPr>
                  <w:r>
                    <w:t>0.116</w:t>
                  </w:r>
                </w:p>
              </w:tc>
              <w:tc>
                <w:tcPr>
                  <w:tcW w:w="1129" w:type="dxa"/>
                </w:tcPr>
                <w:p>
                  <w:pPr>
                    <w:snapToGrid w:val="0"/>
                    <w:jc w:val="center"/>
                    <w:rPr>
                      <w:bCs/>
                      <w:sz w:val="24"/>
                    </w:rPr>
                  </w:pPr>
                  <w:r>
                    <w:t>0.144</w:t>
                  </w:r>
                </w:p>
              </w:tc>
              <w:tc>
                <w:tcPr>
                  <w:tcW w:w="1129" w:type="dxa"/>
                </w:tcPr>
                <w:p>
                  <w:pPr>
                    <w:snapToGrid w:val="0"/>
                    <w:jc w:val="center"/>
                    <w:rPr>
                      <w:bCs/>
                      <w:sz w:val="24"/>
                    </w:rPr>
                  </w:pPr>
                  <w:r>
                    <w:t>0.171</w:t>
                  </w:r>
                </w:p>
              </w:tc>
              <w:tc>
                <w:tcPr>
                  <w:tcW w:w="1129" w:type="dxa"/>
                </w:tcPr>
                <w:p>
                  <w:pPr>
                    <w:snapToGrid w:val="0"/>
                    <w:jc w:val="center"/>
                    <w:rPr>
                      <w:bCs/>
                      <w:sz w:val="24"/>
                    </w:rPr>
                  </w:pPr>
                  <w:r>
                    <w:t>0.287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trPr>
              <w:tc>
                <w:tcPr>
                  <w:tcW w:w="2608" w:type="dxa"/>
                </w:tcPr>
                <w:p>
                  <w:pPr>
                    <w:snapToGrid w:val="0"/>
                    <w:jc w:val="center"/>
                    <w:rPr>
                      <w:bCs/>
                      <w:sz w:val="24"/>
                    </w:rPr>
                  </w:pPr>
                  <w:r>
                    <w:t>10(km/h)</w:t>
                  </w:r>
                </w:p>
              </w:tc>
              <w:tc>
                <w:tcPr>
                  <w:tcW w:w="1129" w:type="dxa"/>
                </w:tcPr>
                <w:p>
                  <w:pPr>
                    <w:snapToGrid w:val="0"/>
                    <w:jc w:val="center"/>
                    <w:rPr>
                      <w:bCs/>
                      <w:sz w:val="24"/>
                    </w:rPr>
                  </w:pPr>
                  <w:r>
                    <w:t>0.102</w:t>
                  </w:r>
                </w:p>
              </w:tc>
              <w:tc>
                <w:tcPr>
                  <w:tcW w:w="968" w:type="dxa"/>
                </w:tcPr>
                <w:p>
                  <w:pPr>
                    <w:snapToGrid w:val="0"/>
                    <w:jc w:val="center"/>
                    <w:rPr>
                      <w:bCs/>
                      <w:sz w:val="24"/>
                    </w:rPr>
                  </w:pPr>
                  <w:r>
                    <w:t>0.171</w:t>
                  </w:r>
                </w:p>
              </w:tc>
              <w:tc>
                <w:tcPr>
                  <w:tcW w:w="1131" w:type="dxa"/>
                </w:tcPr>
                <w:p>
                  <w:pPr>
                    <w:snapToGrid w:val="0"/>
                    <w:jc w:val="center"/>
                    <w:rPr>
                      <w:bCs/>
                      <w:sz w:val="24"/>
                    </w:rPr>
                  </w:pPr>
                  <w:r>
                    <w:t>0.232</w:t>
                  </w:r>
                </w:p>
              </w:tc>
              <w:tc>
                <w:tcPr>
                  <w:tcW w:w="1129" w:type="dxa"/>
                </w:tcPr>
                <w:p>
                  <w:pPr>
                    <w:snapToGrid w:val="0"/>
                    <w:jc w:val="center"/>
                    <w:rPr>
                      <w:bCs/>
                      <w:sz w:val="24"/>
                    </w:rPr>
                  </w:pPr>
                  <w:r>
                    <w:t>0.289</w:t>
                  </w:r>
                </w:p>
              </w:tc>
              <w:tc>
                <w:tcPr>
                  <w:tcW w:w="1129" w:type="dxa"/>
                </w:tcPr>
                <w:p>
                  <w:pPr>
                    <w:snapToGrid w:val="0"/>
                    <w:jc w:val="center"/>
                    <w:rPr>
                      <w:bCs/>
                      <w:sz w:val="24"/>
                    </w:rPr>
                  </w:pPr>
                  <w:r>
                    <w:t>0.341</w:t>
                  </w:r>
                </w:p>
              </w:tc>
              <w:tc>
                <w:tcPr>
                  <w:tcW w:w="1129" w:type="dxa"/>
                </w:tcPr>
                <w:p>
                  <w:pPr>
                    <w:snapToGrid w:val="0"/>
                    <w:jc w:val="center"/>
                    <w:rPr>
                      <w:bCs/>
                      <w:sz w:val="24"/>
                    </w:rPr>
                  </w:pPr>
                  <w:r>
                    <w:t>0.574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trPr>
              <w:tc>
                <w:tcPr>
                  <w:tcW w:w="2608" w:type="dxa"/>
                </w:tcPr>
                <w:p>
                  <w:pPr>
                    <w:snapToGrid w:val="0"/>
                    <w:jc w:val="center"/>
                    <w:rPr>
                      <w:bCs/>
                      <w:sz w:val="24"/>
                    </w:rPr>
                  </w:pPr>
                  <w:r>
                    <w:t>15(km/h)</w:t>
                  </w:r>
                </w:p>
              </w:tc>
              <w:tc>
                <w:tcPr>
                  <w:tcW w:w="1129" w:type="dxa"/>
                </w:tcPr>
                <w:p>
                  <w:pPr>
                    <w:snapToGrid w:val="0"/>
                    <w:jc w:val="center"/>
                    <w:rPr>
                      <w:bCs/>
                      <w:sz w:val="24"/>
                    </w:rPr>
                  </w:pPr>
                  <w:r>
                    <w:t>0.153</w:t>
                  </w:r>
                </w:p>
              </w:tc>
              <w:tc>
                <w:tcPr>
                  <w:tcW w:w="968" w:type="dxa"/>
                </w:tcPr>
                <w:p>
                  <w:pPr>
                    <w:snapToGrid w:val="0"/>
                    <w:jc w:val="center"/>
                    <w:rPr>
                      <w:bCs/>
                      <w:sz w:val="24"/>
                    </w:rPr>
                  </w:pPr>
                  <w:r>
                    <w:t>0.257</w:t>
                  </w:r>
                </w:p>
              </w:tc>
              <w:tc>
                <w:tcPr>
                  <w:tcW w:w="1131" w:type="dxa"/>
                </w:tcPr>
                <w:p>
                  <w:pPr>
                    <w:snapToGrid w:val="0"/>
                    <w:jc w:val="center"/>
                    <w:rPr>
                      <w:bCs/>
                      <w:sz w:val="24"/>
                    </w:rPr>
                  </w:pPr>
                  <w:r>
                    <w:t>0.349</w:t>
                  </w:r>
                </w:p>
              </w:tc>
              <w:tc>
                <w:tcPr>
                  <w:tcW w:w="1129" w:type="dxa"/>
                </w:tcPr>
                <w:p>
                  <w:pPr>
                    <w:snapToGrid w:val="0"/>
                    <w:jc w:val="center"/>
                    <w:rPr>
                      <w:bCs/>
                      <w:sz w:val="24"/>
                    </w:rPr>
                  </w:pPr>
                  <w:r>
                    <w:t>0.433</w:t>
                  </w:r>
                </w:p>
              </w:tc>
              <w:tc>
                <w:tcPr>
                  <w:tcW w:w="1129" w:type="dxa"/>
                </w:tcPr>
                <w:p>
                  <w:pPr>
                    <w:snapToGrid w:val="0"/>
                    <w:jc w:val="center"/>
                    <w:rPr>
                      <w:bCs/>
                      <w:sz w:val="24"/>
                    </w:rPr>
                  </w:pPr>
                  <w:r>
                    <w:t>0.512</w:t>
                  </w:r>
                </w:p>
              </w:tc>
              <w:tc>
                <w:tcPr>
                  <w:tcW w:w="1129" w:type="dxa"/>
                </w:tcPr>
                <w:p>
                  <w:pPr>
                    <w:snapToGrid w:val="0"/>
                    <w:jc w:val="center"/>
                    <w:rPr>
                      <w:bCs/>
                      <w:sz w:val="24"/>
                    </w:rPr>
                  </w:pPr>
                  <w:r>
                    <w:t>0.861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5" w:hRule="atLeast"/>
              </w:trPr>
              <w:tc>
                <w:tcPr>
                  <w:tcW w:w="2608" w:type="dxa"/>
                </w:tcPr>
                <w:p>
                  <w:pPr>
                    <w:snapToGrid w:val="0"/>
                    <w:jc w:val="center"/>
                    <w:rPr>
                      <w:bCs/>
                      <w:sz w:val="24"/>
                    </w:rPr>
                  </w:pPr>
                  <w:r>
                    <w:t>20(km/h)</w:t>
                  </w:r>
                </w:p>
              </w:tc>
              <w:tc>
                <w:tcPr>
                  <w:tcW w:w="1129" w:type="dxa"/>
                </w:tcPr>
                <w:p>
                  <w:pPr>
                    <w:snapToGrid w:val="0"/>
                    <w:jc w:val="center"/>
                    <w:rPr>
                      <w:bCs/>
                      <w:sz w:val="24"/>
                    </w:rPr>
                  </w:pPr>
                  <w:r>
                    <w:t>0.255</w:t>
                  </w:r>
                </w:p>
              </w:tc>
              <w:tc>
                <w:tcPr>
                  <w:tcW w:w="968" w:type="dxa"/>
                </w:tcPr>
                <w:p>
                  <w:pPr>
                    <w:snapToGrid w:val="0"/>
                    <w:jc w:val="center"/>
                    <w:rPr>
                      <w:bCs/>
                      <w:sz w:val="24"/>
                    </w:rPr>
                  </w:pPr>
                  <w:r>
                    <w:t>0.429</w:t>
                  </w:r>
                </w:p>
              </w:tc>
              <w:tc>
                <w:tcPr>
                  <w:tcW w:w="1131" w:type="dxa"/>
                </w:tcPr>
                <w:p>
                  <w:pPr>
                    <w:snapToGrid w:val="0"/>
                    <w:jc w:val="center"/>
                    <w:rPr>
                      <w:bCs/>
                      <w:sz w:val="24"/>
                    </w:rPr>
                  </w:pPr>
                  <w:r>
                    <w:t>0.582</w:t>
                  </w:r>
                </w:p>
              </w:tc>
              <w:tc>
                <w:tcPr>
                  <w:tcW w:w="1129" w:type="dxa"/>
                </w:tcPr>
                <w:p>
                  <w:pPr>
                    <w:snapToGrid w:val="0"/>
                    <w:jc w:val="center"/>
                    <w:rPr>
                      <w:bCs/>
                      <w:sz w:val="24"/>
                    </w:rPr>
                  </w:pPr>
                  <w:r>
                    <w:t>0.722</w:t>
                  </w:r>
                </w:p>
              </w:tc>
              <w:tc>
                <w:tcPr>
                  <w:tcW w:w="1129" w:type="dxa"/>
                </w:tcPr>
                <w:p>
                  <w:pPr>
                    <w:snapToGrid w:val="0"/>
                    <w:jc w:val="center"/>
                    <w:rPr>
                      <w:bCs/>
                      <w:sz w:val="24"/>
                    </w:rPr>
                  </w:pPr>
                  <w:r>
                    <w:t>0.853</w:t>
                  </w:r>
                </w:p>
              </w:tc>
              <w:tc>
                <w:tcPr>
                  <w:tcW w:w="1129" w:type="dxa"/>
                </w:tcPr>
                <w:p>
                  <w:pPr>
                    <w:snapToGrid w:val="0"/>
                    <w:jc w:val="center"/>
                    <w:rPr>
                      <w:bCs/>
                      <w:sz w:val="24"/>
                    </w:rPr>
                  </w:pPr>
                  <w:r>
                    <w:t>1.435</w:t>
                  </w:r>
                </w:p>
              </w:tc>
            </w:tr>
          </w:tbl>
          <w:p>
            <w:pPr>
              <w:pStyle w:val="81"/>
              <w:numPr>
                <w:ilvl w:val="0"/>
                <w:numId w:val="4"/>
              </w:numPr>
              <w:adjustRightInd w:val="0"/>
              <w:snapToGrid w:val="0"/>
              <w:spacing w:line="360" w:lineRule="auto"/>
              <w:ind w:firstLineChars="0"/>
              <w:rPr>
                <w:sz w:val="24"/>
              </w:rPr>
            </w:pPr>
            <w:r>
              <w:rPr>
                <w:sz w:val="24"/>
              </w:rPr>
              <w:t xml:space="preserve">施工机械和施工运输车辆机动车尾气 </w:t>
            </w:r>
          </w:p>
          <w:p>
            <w:pPr>
              <w:adjustRightInd w:val="0"/>
              <w:snapToGrid w:val="0"/>
              <w:spacing w:line="360" w:lineRule="auto"/>
              <w:ind w:firstLine="480" w:firstLineChars="200"/>
              <w:rPr>
                <w:sz w:val="24"/>
              </w:rPr>
            </w:pPr>
            <w:r>
              <w:rPr>
                <w:sz w:val="24"/>
              </w:rPr>
              <w:t>施工机械一般使用柴油作动力，开动时会产生一些燃油废气；施工运输车辆一般是大型柴油车，产生机动车尾气。施工机械和运输车辆产生的废气污染物主要为CO、NO</w:t>
            </w:r>
            <w:r>
              <w:rPr>
                <w:sz w:val="24"/>
                <w:vertAlign w:val="subscript"/>
              </w:rPr>
              <w:t>x</w:t>
            </w:r>
            <w:r>
              <w:rPr>
                <w:sz w:val="24"/>
              </w:rPr>
              <w:t>、PM</w:t>
            </w:r>
            <w:r>
              <w:rPr>
                <w:sz w:val="24"/>
                <w:vertAlign w:val="subscript"/>
              </w:rPr>
              <w:t>10</w:t>
            </w:r>
            <w:r>
              <w:rPr>
                <w:sz w:val="24"/>
              </w:rPr>
              <w:t xml:space="preserve">。 </w:t>
            </w:r>
          </w:p>
          <w:p>
            <w:pPr>
              <w:pStyle w:val="81"/>
              <w:numPr>
                <w:ilvl w:val="0"/>
                <w:numId w:val="4"/>
              </w:numPr>
              <w:adjustRightInd w:val="0"/>
              <w:snapToGrid w:val="0"/>
              <w:spacing w:line="360" w:lineRule="auto"/>
              <w:ind w:firstLineChars="0"/>
              <w:rPr>
                <w:sz w:val="24"/>
              </w:rPr>
            </w:pPr>
            <w:r>
              <w:rPr>
                <w:sz w:val="24"/>
              </w:rPr>
              <w:t xml:space="preserve">装修废气 </w:t>
            </w:r>
          </w:p>
          <w:p>
            <w:pPr>
              <w:adjustRightInd w:val="0"/>
              <w:snapToGrid w:val="0"/>
              <w:spacing w:line="360" w:lineRule="auto"/>
              <w:ind w:firstLine="480" w:firstLineChars="200"/>
              <w:rPr>
                <w:sz w:val="24"/>
              </w:rPr>
            </w:pPr>
            <w:r>
              <w:rPr>
                <w:sz w:val="24"/>
              </w:rPr>
              <w:t>室内装修阶段对环境产生污染的材料主要是人造板、饰面人造板以及油漆等有机溶剂，挥发出来的废气的主要污染因子为二甲苯、甲苯、甲醛和氨，此外还有少量的汽油、丁醇和丙醇等。</w:t>
            </w:r>
          </w:p>
          <w:p>
            <w:pPr>
              <w:adjustRightInd w:val="0"/>
              <w:snapToGrid w:val="0"/>
              <w:spacing w:line="360" w:lineRule="auto"/>
              <w:ind w:firstLine="480" w:firstLineChars="200"/>
              <w:rPr>
                <w:b/>
                <w:sz w:val="24"/>
              </w:rPr>
            </w:pPr>
            <w:r>
              <w:rPr>
                <w:sz w:val="24"/>
              </w:rPr>
              <w:t xml:space="preserve"> </w:t>
            </w:r>
            <w:r>
              <w:rPr>
                <w:b/>
                <w:sz w:val="24"/>
              </w:rPr>
              <w:t xml:space="preserve">3、噪声 </w:t>
            </w:r>
          </w:p>
          <w:p>
            <w:pPr>
              <w:adjustRightInd w:val="0"/>
              <w:snapToGrid w:val="0"/>
              <w:spacing w:line="360" w:lineRule="auto"/>
              <w:ind w:firstLine="480" w:firstLineChars="200"/>
              <w:rPr>
                <w:sz w:val="24"/>
              </w:rPr>
            </w:pPr>
            <w:r>
              <w:rPr>
                <w:sz w:val="24"/>
              </w:rPr>
              <w:t xml:space="preserve">施工期噪声污染源主要为施工期四个阶段产生的噪声。 </w:t>
            </w:r>
          </w:p>
          <w:p>
            <w:pPr>
              <w:adjustRightInd w:val="0"/>
              <w:snapToGrid w:val="0"/>
              <w:spacing w:line="360" w:lineRule="auto"/>
              <w:ind w:firstLine="480" w:firstLineChars="200"/>
              <w:rPr>
                <w:sz w:val="24"/>
              </w:rPr>
            </w:pPr>
            <w:r>
              <w:rPr>
                <w:sz w:val="24"/>
              </w:rPr>
              <w:t xml:space="preserve">土方工程阶段：主要包括土方石方等。主要噪声源是施工机械（如挖掘机、推土机、装卸机以及各种运输车辆等），这类施工机械绝大部分是移动性声源。 </w:t>
            </w:r>
          </w:p>
          <w:p>
            <w:pPr>
              <w:adjustRightInd w:val="0"/>
              <w:snapToGrid w:val="0"/>
              <w:spacing w:line="360" w:lineRule="auto"/>
              <w:ind w:firstLine="480" w:firstLineChars="200"/>
              <w:rPr>
                <w:sz w:val="24"/>
              </w:rPr>
            </w:pPr>
            <w:r>
              <w:rPr>
                <w:sz w:val="24"/>
              </w:rPr>
              <w:t xml:space="preserve">基础工程阶段：包括挖桩、砌筑基础等。基础工程阶段的主要噪声源是钻桩机，以及一些打井机、风镐、移动式空压机等。这些声源基本都是一些固定声源，其中以钻桩机为最主要的声源，虽然施工时间占整个建筑施工周期比较小，但其噪声较大，危害较为严重。 </w:t>
            </w:r>
          </w:p>
          <w:p>
            <w:pPr>
              <w:adjustRightInd w:val="0"/>
              <w:snapToGrid w:val="0"/>
              <w:spacing w:line="360" w:lineRule="auto"/>
              <w:ind w:firstLine="480" w:firstLineChars="200"/>
              <w:rPr>
                <w:sz w:val="24"/>
              </w:rPr>
            </w:pPr>
            <w:r>
              <w:rPr>
                <w:sz w:val="24"/>
              </w:rPr>
              <w:t xml:space="preserve">主体工程阶段：包括钢筋混凝土工程、钢木工程、砌体工程和装修等。结构施工阶段是建筑施工中周期最长的阶段，使用的设备品种较多。主要声源有各种运输设备，如汽车吊车、塔式中车、运输平台、施工电梯等。结构工程设备如振捣棒、商品砼运输车辆等。装修阶段主要噪声源包括砂轮机、电钻、电梯、吊车、切割机等。 </w:t>
            </w:r>
          </w:p>
          <w:p>
            <w:pPr>
              <w:adjustRightInd w:val="0"/>
              <w:snapToGrid w:val="0"/>
              <w:spacing w:line="360" w:lineRule="auto"/>
              <w:ind w:firstLine="480" w:firstLineChars="200"/>
              <w:rPr>
                <w:sz w:val="24"/>
              </w:rPr>
            </w:pPr>
            <w:r>
              <w:rPr>
                <w:sz w:val="24"/>
              </w:rPr>
              <w:t xml:space="preserve">扫尾工程阶段：包括回填土方、修路、清理现场等。扫尾阶段主要为道路绿化，清理现场等，一般为人工手动服务，不存在大型机械施工。 </w:t>
            </w:r>
          </w:p>
          <w:p>
            <w:pPr>
              <w:adjustRightInd w:val="0"/>
              <w:snapToGrid w:val="0"/>
              <w:spacing w:line="360" w:lineRule="auto"/>
              <w:ind w:firstLine="480" w:firstLineChars="200"/>
              <w:rPr>
                <w:sz w:val="24"/>
              </w:rPr>
            </w:pPr>
            <w:r>
              <w:rPr>
                <w:sz w:val="24"/>
              </w:rPr>
              <w:t xml:space="preserve">根据对建筑施工噪声的分类和主要噪声源的分析，可以得出建筑施工噪声源主要为施工机械噪声，如挖土机械、钻桩机械、升降机等，施工作业噪声主要指一些零星的敲打声、装卸车辆的撞击声、拆装模板的撞击声等，施工车辆的噪声属于交通噪声。这些施工噪声中对声环境影响最大是机械噪声，各种施工机械的声级见表20。 </w:t>
            </w:r>
          </w:p>
          <w:p>
            <w:pPr>
              <w:adjustRightInd w:val="0"/>
              <w:snapToGrid w:val="0"/>
              <w:ind w:left="420"/>
              <w:jc w:val="center"/>
              <w:rPr>
                <w:b/>
              </w:rPr>
            </w:pPr>
            <w:r>
              <w:rPr>
                <w:b/>
              </w:rPr>
              <w:t>表20</w:t>
            </w:r>
            <w:r>
              <w:rPr>
                <w:rFonts w:hint="eastAsia"/>
                <w:b/>
              </w:rPr>
              <w:t xml:space="preserve">  </w:t>
            </w:r>
            <w:r>
              <w:rPr>
                <w:b/>
              </w:rPr>
              <w:t xml:space="preserve"> 各类施工机械5米处声级值 单位：dB(A)</w:t>
            </w:r>
          </w:p>
          <w:tbl>
            <w:tblPr>
              <w:tblStyle w:val="26"/>
              <w:tblW w:w="91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5"/>
              <w:gridCol w:w="2268"/>
              <w:gridCol w:w="2592"/>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8" w:hRule="atLeast"/>
                <w:jc w:val="center"/>
              </w:trPr>
              <w:tc>
                <w:tcPr>
                  <w:tcW w:w="2515" w:type="dxa"/>
                  <w:vAlign w:val="center"/>
                </w:tcPr>
                <w:p>
                  <w:pPr>
                    <w:snapToGrid w:val="0"/>
                    <w:jc w:val="center"/>
                    <w:rPr>
                      <w:b/>
                      <w:bCs/>
                      <w:sz w:val="24"/>
                    </w:rPr>
                  </w:pPr>
                  <w:r>
                    <w:rPr>
                      <w:b/>
                    </w:rPr>
                    <w:t>机械名称</w:t>
                  </w:r>
                </w:p>
              </w:tc>
              <w:tc>
                <w:tcPr>
                  <w:tcW w:w="2268" w:type="dxa"/>
                  <w:vAlign w:val="center"/>
                </w:tcPr>
                <w:p>
                  <w:pPr>
                    <w:snapToGrid w:val="0"/>
                    <w:jc w:val="center"/>
                    <w:rPr>
                      <w:b/>
                      <w:bCs/>
                      <w:sz w:val="24"/>
                    </w:rPr>
                  </w:pPr>
                  <w:r>
                    <w:rPr>
                      <w:b/>
                    </w:rPr>
                    <w:t>声级测值</w:t>
                  </w:r>
                </w:p>
              </w:tc>
              <w:tc>
                <w:tcPr>
                  <w:tcW w:w="2592" w:type="dxa"/>
                  <w:vAlign w:val="center"/>
                </w:tcPr>
                <w:p>
                  <w:pPr>
                    <w:snapToGrid w:val="0"/>
                    <w:jc w:val="center"/>
                    <w:rPr>
                      <w:b/>
                      <w:bCs/>
                      <w:sz w:val="24"/>
                    </w:rPr>
                  </w:pPr>
                  <w:r>
                    <w:rPr>
                      <w:b/>
                    </w:rPr>
                    <w:t>机械名称</w:t>
                  </w:r>
                </w:p>
              </w:tc>
              <w:tc>
                <w:tcPr>
                  <w:tcW w:w="1773" w:type="dxa"/>
                  <w:vAlign w:val="center"/>
                </w:tcPr>
                <w:p>
                  <w:pPr>
                    <w:snapToGrid w:val="0"/>
                    <w:jc w:val="center"/>
                    <w:rPr>
                      <w:b/>
                      <w:bCs/>
                      <w:sz w:val="24"/>
                    </w:rPr>
                  </w:pPr>
                  <w:r>
                    <w:rPr>
                      <w:b/>
                    </w:rPr>
                    <w:t>声级测值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 w:hRule="atLeast"/>
                <w:jc w:val="center"/>
              </w:trPr>
              <w:tc>
                <w:tcPr>
                  <w:tcW w:w="2515" w:type="dxa"/>
                  <w:vAlign w:val="center"/>
                </w:tcPr>
                <w:p>
                  <w:pPr>
                    <w:snapToGrid w:val="0"/>
                    <w:jc w:val="center"/>
                    <w:rPr>
                      <w:bCs/>
                      <w:sz w:val="24"/>
                    </w:rPr>
                  </w:pPr>
                  <w:r>
                    <w:t>电锯、电刨</w:t>
                  </w:r>
                </w:p>
              </w:tc>
              <w:tc>
                <w:tcPr>
                  <w:tcW w:w="2268" w:type="dxa"/>
                  <w:vAlign w:val="center"/>
                </w:tcPr>
                <w:p>
                  <w:pPr>
                    <w:snapToGrid w:val="0"/>
                    <w:jc w:val="center"/>
                    <w:rPr>
                      <w:bCs/>
                      <w:sz w:val="24"/>
                    </w:rPr>
                  </w:pPr>
                  <w:r>
                    <w:t>95</w:t>
                  </w:r>
                </w:p>
              </w:tc>
              <w:tc>
                <w:tcPr>
                  <w:tcW w:w="2592" w:type="dxa"/>
                  <w:vAlign w:val="center"/>
                </w:tcPr>
                <w:p>
                  <w:pPr>
                    <w:snapToGrid w:val="0"/>
                    <w:jc w:val="center"/>
                    <w:rPr>
                      <w:bCs/>
                      <w:sz w:val="24"/>
                    </w:rPr>
                  </w:pPr>
                  <w:r>
                    <w:t>推土机</w:t>
                  </w:r>
                </w:p>
              </w:tc>
              <w:tc>
                <w:tcPr>
                  <w:tcW w:w="1773" w:type="dxa"/>
                  <w:vAlign w:val="center"/>
                </w:tcPr>
                <w:p>
                  <w:pPr>
                    <w:snapToGrid w:val="0"/>
                    <w:jc w:val="center"/>
                    <w:rPr>
                      <w:bCs/>
                      <w:sz w:val="24"/>
                    </w:rPr>
                  </w:pPr>
                  <w: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 w:hRule="atLeast"/>
                <w:jc w:val="center"/>
              </w:trPr>
              <w:tc>
                <w:tcPr>
                  <w:tcW w:w="2515" w:type="dxa"/>
                  <w:vAlign w:val="center"/>
                </w:tcPr>
                <w:p>
                  <w:pPr>
                    <w:snapToGrid w:val="0"/>
                    <w:jc w:val="center"/>
                    <w:rPr>
                      <w:bCs/>
                      <w:sz w:val="24"/>
                    </w:rPr>
                  </w:pPr>
                  <w:r>
                    <w:t>振捣棒</w:t>
                  </w:r>
                </w:p>
              </w:tc>
              <w:tc>
                <w:tcPr>
                  <w:tcW w:w="2268" w:type="dxa"/>
                  <w:vAlign w:val="center"/>
                </w:tcPr>
                <w:p>
                  <w:pPr>
                    <w:snapToGrid w:val="0"/>
                    <w:jc w:val="center"/>
                    <w:rPr>
                      <w:bCs/>
                      <w:sz w:val="24"/>
                    </w:rPr>
                  </w:pPr>
                  <w:r>
                    <w:t>95</w:t>
                  </w:r>
                </w:p>
              </w:tc>
              <w:tc>
                <w:tcPr>
                  <w:tcW w:w="2592" w:type="dxa"/>
                  <w:vAlign w:val="center"/>
                </w:tcPr>
                <w:p>
                  <w:pPr>
                    <w:snapToGrid w:val="0"/>
                    <w:jc w:val="center"/>
                    <w:rPr>
                      <w:bCs/>
                      <w:sz w:val="24"/>
                    </w:rPr>
                  </w:pPr>
                  <w:r>
                    <w:t>挖掘机</w:t>
                  </w:r>
                </w:p>
              </w:tc>
              <w:tc>
                <w:tcPr>
                  <w:tcW w:w="1773" w:type="dxa"/>
                  <w:vAlign w:val="center"/>
                </w:tcPr>
                <w:p>
                  <w:pPr>
                    <w:snapToGrid w:val="0"/>
                    <w:jc w:val="center"/>
                    <w:rPr>
                      <w:bCs/>
                      <w:sz w:val="24"/>
                    </w:rPr>
                  </w:pPr>
                  <w: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 w:hRule="atLeast"/>
                <w:jc w:val="center"/>
              </w:trPr>
              <w:tc>
                <w:tcPr>
                  <w:tcW w:w="2515" w:type="dxa"/>
                  <w:vAlign w:val="center"/>
                </w:tcPr>
                <w:p>
                  <w:pPr>
                    <w:snapToGrid w:val="0"/>
                    <w:jc w:val="center"/>
                    <w:rPr>
                      <w:bCs/>
                      <w:sz w:val="24"/>
                    </w:rPr>
                  </w:pPr>
                  <w:r>
                    <w:t>振荡器</w:t>
                  </w:r>
                </w:p>
              </w:tc>
              <w:tc>
                <w:tcPr>
                  <w:tcW w:w="2268" w:type="dxa"/>
                  <w:vAlign w:val="center"/>
                </w:tcPr>
                <w:p>
                  <w:pPr>
                    <w:snapToGrid w:val="0"/>
                    <w:jc w:val="center"/>
                    <w:rPr>
                      <w:bCs/>
                      <w:sz w:val="24"/>
                    </w:rPr>
                  </w:pPr>
                  <w:r>
                    <w:t>95</w:t>
                  </w:r>
                </w:p>
              </w:tc>
              <w:tc>
                <w:tcPr>
                  <w:tcW w:w="2592" w:type="dxa"/>
                  <w:vAlign w:val="center"/>
                </w:tcPr>
                <w:p>
                  <w:pPr>
                    <w:snapToGrid w:val="0"/>
                    <w:jc w:val="center"/>
                    <w:rPr>
                      <w:bCs/>
                      <w:sz w:val="24"/>
                    </w:rPr>
                  </w:pPr>
                  <w:r>
                    <w:t>风动机械</w:t>
                  </w:r>
                </w:p>
              </w:tc>
              <w:tc>
                <w:tcPr>
                  <w:tcW w:w="1773" w:type="dxa"/>
                  <w:vAlign w:val="center"/>
                </w:tcPr>
                <w:p>
                  <w:pPr>
                    <w:snapToGrid w:val="0"/>
                    <w:jc w:val="center"/>
                    <w:rPr>
                      <w:bCs/>
                      <w:sz w:val="24"/>
                    </w:rPr>
                  </w:pPr>
                  <w: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 w:hRule="atLeast"/>
                <w:jc w:val="center"/>
              </w:trPr>
              <w:tc>
                <w:tcPr>
                  <w:tcW w:w="2515" w:type="dxa"/>
                  <w:vAlign w:val="center"/>
                </w:tcPr>
                <w:p>
                  <w:pPr>
                    <w:snapToGrid w:val="0"/>
                    <w:jc w:val="center"/>
                    <w:rPr>
                      <w:bCs/>
                      <w:sz w:val="24"/>
                    </w:rPr>
                  </w:pPr>
                  <w:r>
                    <w:t>钻桩机</w:t>
                  </w:r>
                </w:p>
              </w:tc>
              <w:tc>
                <w:tcPr>
                  <w:tcW w:w="2268" w:type="dxa"/>
                  <w:vAlign w:val="center"/>
                </w:tcPr>
                <w:p>
                  <w:pPr>
                    <w:snapToGrid w:val="0"/>
                    <w:jc w:val="center"/>
                    <w:rPr>
                      <w:bCs/>
                      <w:sz w:val="24"/>
                    </w:rPr>
                  </w:pPr>
                  <w:r>
                    <w:t>100</w:t>
                  </w:r>
                </w:p>
              </w:tc>
              <w:tc>
                <w:tcPr>
                  <w:tcW w:w="2592" w:type="dxa"/>
                  <w:vAlign w:val="center"/>
                </w:tcPr>
                <w:p>
                  <w:pPr>
                    <w:snapToGrid w:val="0"/>
                    <w:jc w:val="center"/>
                    <w:rPr>
                      <w:bCs/>
                      <w:sz w:val="24"/>
                    </w:rPr>
                  </w:pPr>
                  <w:r>
                    <w:t>卷扬机</w:t>
                  </w:r>
                </w:p>
              </w:tc>
              <w:tc>
                <w:tcPr>
                  <w:tcW w:w="1773" w:type="dxa"/>
                  <w:vAlign w:val="center"/>
                </w:tcPr>
                <w:p>
                  <w:pPr>
                    <w:snapToGrid w:val="0"/>
                    <w:jc w:val="center"/>
                    <w:rPr>
                      <w:bCs/>
                      <w:sz w:val="24"/>
                    </w:rPr>
                  </w:pPr>
                  <w: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 w:hRule="atLeast"/>
                <w:jc w:val="center"/>
              </w:trPr>
              <w:tc>
                <w:tcPr>
                  <w:tcW w:w="2515" w:type="dxa"/>
                  <w:vAlign w:val="center"/>
                </w:tcPr>
                <w:p>
                  <w:pPr>
                    <w:snapToGrid w:val="0"/>
                    <w:jc w:val="center"/>
                  </w:pPr>
                  <w:r>
                    <w:t>钻孔机</w:t>
                  </w:r>
                </w:p>
              </w:tc>
              <w:tc>
                <w:tcPr>
                  <w:tcW w:w="2268" w:type="dxa"/>
                  <w:vAlign w:val="center"/>
                </w:tcPr>
                <w:p>
                  <w:pPr>
                    <w:snapToGrid w:val="0"/>
                    <w:jc w:val="center"/>
                  </w:pPr>
                  <w:r>
                    <w:rPr>
                      <w:rFonts w:hint="eastAsia"/>
                    </w:rPr>
                    <w:t>1</w:t>
                  </w:r>
                  <w:r>
                    <w:t>00</w:t>
                  </w:r>
                </w:p>
              </w:tc>
              <w:tc>
                <w:tcPr>
                  <w:tcW w:w="2592" w:type="dxa"/>
                  <w:vAlign w:val="center"/>
                </w:tcPr>
                <w:p>
                  <w:pPr>
                    <w:snapToGrid w:val="0"/>
                    <w:jc w:val="center"/>
                  </w:pPr>
                  <w:r>
                    <w:t>吊车、升降机</w:t>
                  </w:r>
                </w:p>
              </w:tc>
              <w:tc>
                <w:tcPr>
                  <w:tcW w:w="1773" w:type="dxa"/>
                  <w:vAlign w:val="center"/>
                </w:tcPr>
                <w:p>
                  <w:pPr>
                    <w:snapToGrid w:val="0"/>
                    <w:jc w:val="center"/>
                  </w:pPr>
                  <w:r>
                    <w:rPr>
                      <w:rFonts w:hint="eastAsia"/>
                    </w:rPr>
                    <w:t>8</w:t>
                  </w:r>
                  <w:r>
                    <w:t>0</w:t>
                  </w:r>
                </w:p>
              </w:tc>
            </w:tr>
          </w:tbl>
          <w:p>
            <w:pPr>
              <w:adjustRightInd w:val="0"/>
              <w:snapToGrid w:val="0"/>
              <w:spacing w:line="360" w:lineRule="auto"/>
              <w:ind w:firstLine="480" w:firstLineChars="200"/>
              <w:rPr>
                <w:sz w:val="24"/>
              </w:rPr>
            </w:pPr>
            <w:r>
              <w:rPr>
                <w:sz w:val="24"/>
              </w:rPr>
              <w:t>以上施工机械产生的噪声传到施工场界的值可能会超过《建筑施工场界环境噪声排放标准》（GB12523-2011）的标准，</w:t>
            </w:r>
            <w:r>
              <w:rPr>
                <w:rFonts w:hint="eastAsia"/>
                <w:sz w:val="24"/>
              </w:rPr>
              <w:t>由于</w:t>
            </w:r>
            <w:r>
              <w:rPr>
                <w:sz w:val="24"/>
              </w:rPr>
              <w:t>本项目周围为空地</w:t>
            </w:r>
            <w:r>
              <w:rPr>
                <w:rFonts w:hint="eastAsia"/>
                <w:sz w:val="24"/>
              </w:rPr>
              <w:t>，500米范围内无敏感点。因此不</w:t>
            </w:r>
            <w:r>
              <w:rPr>
                <w:sz w:val="24"/>
              </w:rPr>
              <w:t>会对周围</w:t>
            </w:r>
            <w:r>
              <w:rPr>
                <w:rFonts w:hint="eastAsia"/>
                <w:sz w:val="24"/>
              </w:rPr>
              <w:t>环境</w:t>
            </w:r>
            <w:r>
              <w:rPr>
                <w:sz w:val="24"/>
              </w:rPr>
              <w:t>造成</w:t>
            </w:r>
            <w:r>
              <w:rPr>
                <w:rFonts w:hint="eastAsia"/>
                <w:sz w:val="24"/>
              </w:rPr>
              <w:t>太大</w:t>
            </w:r>
            <w:r>
              <w:rPr>
                <w:sz w:val="24"/>
              </w:rPr>
              <w:t xml:space="preserve">影响。 </w:t>
            </w:r>
          </w:p>
          <w:p>
            <w:pPr>
              <w:adjustRightInd w:val="0"/>
              <w:snapToGrid w:val="0"/>
              <w:spacing w:line="360" w:lineRule="auto"/>
              <w:ind w:firstLine="482" w:firstLineChars="200"/>
              <w:rPr>
                <w:b/>
                <w:sz w:val="24"/>
              </w:rPr>
            </w:pPr>
            <w:r>
              <w:rPr>
                <w:b/>
                <w:sz w:val="24"/>
              </w:rPr>
              <w:t xml:space="preserve">4、固体废物 </w:t>
            </w:r>
          </w:p>
          <w:p>
            <w:pPr>
              <w:adjustRightInd w:val="0"/>
              <w:snapToGrid w:val="0"/>
              <w:spacing w:line="360" w:lineRule="auto"/>
              <w:ind w:firstLine="480" w:firstLineChars="200"/>
              <w:rPr>
                <w:sz w:val="24"/>
              </w:rPr>
            </w:pPr>
            <w:r>
              <w:rPr>
                <w:sz w:val="24"/>
              </w:rPr>
              <w:t xml:space="preserve">施工期间的固体废物主要是建筑垃圾、施工人员的生活垃圾和弃土。 </w:t>
            </w:r>
          </w:p>
          <w:p>
            <w:pPr>
              <w:pStyle w:val="81"/>
              <w:numPr>
                <w:ilvl w:val="0"/>
                <w:numId w:val="6"/>
              </w:numPr>
              <w:adjustRightInd w:val="0"/>
              <w:snapToGrid w:val="0"/>
              <w:spacing w:line="360" w:lineRule="auto"/>
              <w:ind w:firstLineChars="0"/>
              <w:rPr>
                <w:sz w:val="24"/>
              </w:rPr>
            </w:pPr>
            <w:r>
              <w:rPr>
                <w:sz w:val="24"/>
              </w:rPr>
              <w:t xml:space="preserve">建筑垃圾 </w:t>
            </w:r>
          </w:p>
          <w:p>
            <w:pPr>
              <w:adjustRightInd w:val="0"/>
              <w:snapToGrid w:val="0"/>
              <w:spacing w:line="360" w:lineRule="auto"/>
              <w:ind w:firstLine="480" w:firstLineChars="200"/>
              <w:rPr>
                <w:sz w:val="24"/>
              </w:rPr>
            </w:pPr>
            <w:r>
              <w:rPr>
                <w:sz w:val="24"/>
              </w:rPr>
              <w:t xml:space="preserve">施工期间建筑工地会产生大量余泥、渣土、地表开挖的淤泥、施工剩余废物料，以及在运输过程中，车辆若不注意清洁运输而沿途撒落的尘土。施工期建筑垃圾产生量采用建筑面积发展预测，预测模型为： </w:t>
            </w:r>
          </w:p>
          <w:p>
            <w:pPr>
              <w:adjustRightInd w:val="0"/>
              <w:snapToGrid w:val="0"/>
              <w:spacing w:line="360" w:lineRule="auto"/>
              <w:ind w:firstLine="480" w:firstLineChars="200"/>
              <w:jc w:val="center"/>
              <w:rPr>
                <w:sz w:val="24"/>
              </w:rPr>
            </w:pPr>
            <w:r>
              <w:rPr>
                <w:sz w:val="24"/>
              </w:rPr>
              <w:t>J</w:t>
            </w:r>
            <w:r>
              <w:rPr>
                <w:sz w:val="24"/>
                <w:vertAlign w:val="subscript"/>
              </w:rPr>
              <w:t>S</w:t>
            </w:r>
            <w:r>
              <w:rPr>
                <w:sz w:val="24"/>
              </w:rPr>
              <w:t xml:space="preserve"> </w:t>
            </w:r>
            <w:r>
              <w:rPr>
                <w:sz w:val="24"/>
              </w:rPr>
              <w:sym w:font="Symbol" w:char="F03D"/>
            </w:r>
            <w:r>
              <w:rPr>
                <w:sz w:val="24"/>
              </w:rPr>
              <w:t xml:space="preserve"> Q</w:t>
            </w:r>
            <w:r>
              <w:rPr>
                <w:sz w:val="24"/>
                <w:vertAlign w:val="subscript"/>
              </w:rPr>
              <w:t>S</w:t>
            </w:r>
            <w:r>
              <w:rPr>
                <w:sz w:val="24"/>
              </w:rPr>
              <w:t xml:space="preserve"> </w:t>
            </w:r>
            <w:r>
              <w:rPr>
                <w:sz w:val="24"/>
              </w:rPr>
              <w:sym w:font="Symbol" w:char="F0B4"/>
            </w:r>
            <w:r>
              <w:rPr>
                <w:sz w:val="24"/>
              </w:rPr>
              <w:t xml:space="preserve"> C</w:t>
            </w:r>
            <w:r>
              <w:rPr>
                <w:sz w:val="24"/>
                <w:vertAlign w:val="subscript"/>
              </w:rPr>
              <w:t>S</w:t>
            </w:r>
          </w:p>
          <w:p>
            <w:pPr>
              <w:adjustRightInd w:val="0"/>
              <w:snapToGrid w:val="0"/>
              <w:spacing w:line="360" w:lineRule="auto"/>
              <w:ind w:firstLine="480" w:firstLineChars="200"/>
              <w:rPr>
                <w:sz w:val="24"/>
              </w:rPr>
            </w:pPr>
            <w:r>
              <w:rPr>
                <w:sz w:val="24"/>
              </w:rPr>
              <w:t>式中：J</w:t>
            </w:r>
            <w:r>
              <w:rPr>
                <w:sz w:val="24"/>
                <w:vertAlign w:val="subscript"/>
              </w:rPr>
              <w:t>S</w:t>
            </w:r>
            <w:r>
              <w:rPr>
                <w:sz w:val="24"/>
              </w:rPr>
              <w:t xml:space="preserve"> ——年建筑垃圾产生量（吨）；</w:t>
            </w:r>
          </w:p>
          <w:p>
            <w:pPr>
              <w:adjustRightInd w:val="0"/>
              <w:snapToGrid w:val="0"/>
              <w:spacing w:line="360" w:lineRule="auto"/>
              <w:ind w:firstLine="960" w:firstLineChars="400"/>
              <w:rPr>
                <w:sz w:val="24"/>
              </w:rPr>
            </w:pPr>
            <w:r>
              <w:rPr>
                <w:sz w:val="24"/>
              </w:rPr>
              <w:t xml:space="preserve"> Q</w:t>
            </w:r>
            <w:r>
              <w:rPr>
                <w:sz w:val="24"/>
                <w:vertAlign w:val="subscript"/>
              </w:rPr>
              <w:t>S</w:t>
            </w:r>
            <w:r>
              <w:rPr>
                <w:sz w:val="24"/>
              </w:rPr>
              <w:t>——建筑面积（m</w:t>
            </w:r>
            <w:r>
              <w:rPr>
                <w:sz w:val="24"/>
                <w:vertAlign w:val="superscript"/>
              </w:rPr>
              <w:t>2</w:t>
            </w:r>
            <w:r>
              <w:rPr>
                <w:sz w:val="24"/>
              </w:rPr>
              <w:t>）；</w:t>
            </w:r>
          </w:p>
          <w:p>
            <w:pPr>
              <w:adjustRightInd w:val="0"/>
              <w:snapToGrid w:val="0"/>
              <w:spacing w:line="360" w:lineRule="auto"/>
              <w:ind w:firstLine="960" w:firstLineChars="400"/>
              <w:rPr>
                <w:sz w:val="24"/>
              </w:rPr>
            </w:pPr>
            <w:r>
              <w:rPr>
                <w:sz w:val="24"/>
              </w:rPr>
              <w:t xml:space="preserve"> C</w:t>
            </w:r>
            <w:r>
              <w:rPr>
                <w:sz w:val="24"/>
                <w:vertAlign w:val="subscript"/>
              </w:rPr>
              <w:t>S</w:t>
            </w:r>
            <w:r>
              <w:rPr>
                <w:sz w:val="24"/>
              </w:rPr>
              <w:t>——平均每平方米建筑面积垃圾产生量（吨/m</w:t>
            </w:r>
            <w:r>
              <w:rPr>
                <w:sz w:val="24"/>
                <w:vertAlign w:val="superscript"/>
              </w:rPr>
              <w:t>2</w:t>
            </w:r>
            <w:r>
              <w:rPr>
                <w:sz w:val="24"/>
              </w:rPr>
              <w:t xml:space="preserve">）。 </w:t>
            </w:r>
          </w:p>
          <w:p>
            <w:pPr>
              <w:adjustRightInd w:val="0"/>
              <w:snapToGrid w:val="0"/>
              <w:spacing w:line="360" w:lineRule="auto"/>
              <w:ind w:firstLine="480" w:firstLineChars="200"/>
              <w:rPr>
                <w:sz w:val="24"/>
              </w:rPr>
            </w:pPr>
            <w:r>
              <w:rPr>
                <w:sz w:val="24"/>
              </w:rPr>
              <w:t>参照《中国城市建筑垃圾产量计算及预测方法》（陆宁，陆路，李萍，马红军，朱琳），中国现阶段每建筑1万平方米，就会产生废弃砖和水泥块等建筑垃圾550吨。因此，本环评按每1万平方米施工面积产生建筑垃圾约550吨计算，即0.055t/m</w:t>
            </w:r>
            <w:r>
              <w:rPr>
                <w:sz w:val="24"/>
                <w:vertAlign w:val="superscript"/>
              </w:rPr>
              <w:t>2</w:t>
            </w:r>
            <w:r>
              <w:rPr>
                <w:sz w:val="24"/>
              </w:rPr>
              <w:t>的单位建筑垃圾产生量进行估算，本项目总建筑面积约为</w:t>
            </w:r>
            <w:r>
              <w:rPr>
                <w:bCs/>
                <w:sz w:val="24"/>
              </w:rPr>
              <w:t>14</w:t>
            </w:r>
            <w:r>
              <w:rPr>
                <w:rFonts w:hint="eastAsia"/>
                <w:bCs/>
                <w:sz w:val="24"/>
              </w:rPr>
              <w:t>0</w:t>
            </w:r>
            <w:r>
              <w:rPr>
                <w:bCs/>
                <w:sz w:val="24"/>
              </w:rPr>
              <w:t>000</w:t>
            </w:r>
            <w:r>
              <w:rPr>
                <w:sz w:val="24"/>
              </w:rPr>
              <w:t>m</w:t>
            </w:r>
            <w:r>
              <w:rPr>
                <w:sz w:val="24"/>
                <w:vertAlign w:val="superscript"/>
              </w:rPr>
              <w:t>2</w:t>
            </w:r>
            <w:r>
              <w:rPr>
                <w:sz w:val="24"/>
              </w:rPr>
              <w:t xml:space="preserve">，则产生的建筑垃圾约为2.17万t。 </w:t>
            </w:r>
          </w:p>
          <w:p>
            <w:pPr>
              <w:pStyle w:val="81"/>
              <w:numPr>
                <w:ilvl w:val="0"/>
                <w:numId w:val="6"/>
              </w:numPr>
              <w:adjustRightInd w:val="0"/>
              <w:snapToGrid w:val="0"/>
              <w:spacing w:line="360" w:lineRule="auto"/>
              <w:ind w:firstLineChars="0"/>
              <w:rPr>
                <w:sz w:val="24"/>
              </w:rPr>
            </w:pPr>
            <w:r>
              <w:rPr>
                <w:sz w:val="24"/>
              </w:rPr>
              <w:t xml:space="preserve">生活垃圾 </w:t>
            </w:r>
          </w:p>
          <w:p>
            <w:pPr>
              <w:adjustRightInd w:val="0"/>
              <w:snapToGrid w:val="0"/>
              <w:spacing w:line="360" w:lineRule="auto"/>
              <w:ind w:firstLine="480" w:firstLineChars="200"/>
              <w:rPr>
                <w:sz w:val="24"/>
              </w:rPr>
            </w:pPr>
            <w:r>
              <w:rPr>
                <w:sz w:val="24"/>
              </w:rPr>
              <w:t xml:space="preserve">生活垃圾则包括残剩食物、塑料、废纸、各种玻璃瓶等。采用人口发展预测法。预测模型为：Ws =Ps×Cs </w:t>
            </w:r>
          </w:p>
          <w:p>
            <w:pPr>
              <w:adjustRightInd w:val="0"/>
              <w:snapToGrid w:val="0"/>
              <w:spacing w:line="360" w:lineRule="auto"/>
              <w:ind w:firstLine="480" w:firstLineChars="200"/>
              <w:rPr>
                <w:sz w:val="24"/>
              </w:rPr>
            </w:pPr>
            <w:r>
              <w:rPr>
                <w:sz w:val="24"/>
              </w:rPr>
              <w:t>式中：Ws—生活垃圾产生量（吨/日），</w:t>
            </w:r>
          </w:p>
          <w:p>
            <w:pPr>
              <w:adjustRightInd w:val="0"/>
              <w:snapToGrid w:val="0"/>
              <w:spacing w:line="360" w:lineRule="auto"/>
              <w:ind w:firstLine="1200" w:firstLineChars="500"/>
              <w:rPr>
                <w:sz w:val="24"/>
              </w:rPr>
            </w:pPr>
            <w:r>
              <w:rPr>
                <w:sz w:val="24"/>
              </w:rPr>
              <w:t xml:space="preserve"> Ps—年施工人员人数（人）， </w:t>
            </w:r>
          </w:p>
          <w:p>
            <w:pPr>
              <w:adjustRightInd w:val="0"/>
              <w:snapToGrid w:val="0"/>
              <w:spacing w:line="360" w:lineRule="auto"/>
              <w:ind w:firstLine="1200" w:firstLineChars="500"/>
              <w:rPr>
                <w:sz w:val="24"/>
              </w:rPr>
            </w:pPr>
            <w:r>
              <w:rPr>
                <w:sz w:val="24"/>
              </w:rPr>
              <w:t xml:space="preserve">Cs—年人均生活垃圾产生量（吨/日•人）。 </w:t>
            </w:r>
          </w:p>
          <w:p>
            <w:pPr>
              <w:adjustRightInd w:val="0"/>
              <w:snapToGrid w:val="0"/>
              <w:spacing w:line="360" w:lineRule="auto"/>
              <w:ind w:firstLine="480" w:firstLineChars="200"/>
              <w:rPr>
                <w:sz w:val="24"/>
              </w:rPr>
            </w:pPr>
            <w:r>
              <w:rPr>
                <w:sz w:val="24"/>
              </w:rPr>
              <w:t xml:space="preserve">根据同类工程的施工情况，本项目建设期所需施工人数按200人计算，人均垃圾产生量按0.5kg/d计算，则建设期生活垃圾产生量为100kg/d。 </w:t>
            </w:r>
          </w:p>
          <w:p>
            <w:pPr>
              <w:pStyle w:val="81"/>
              <w:numPr>
                <w:ilvl w:val="0"/>
                <w:numId w:val="6"/>
              </w:numPr>
              <w:adjustRightInd w:val="0"/>
              <w:snapToGrid w:val="0"/>
              <w:spacing w:line="360" w:lineRule="auto"/>
              <w:ind w:firstLineChars="0"/>
              <w:rPr>
                <w:sz w:val="24"/>
              </w:rPr>
            </w:pPr>
            <w:r>
              <w:rPr>
                <w:sz w:val="24"/>
              </w:rPr>
              <w:t xml:space="preserve">土石方 </w:t>
            </w:r>
          </w:p>
          <w:p>
            <w:pPr>
              <w:adjustRightInd w:val="0"/>
              <w:snapToGrid w:val="0"/>
              <w:spacing w:line="360" w:lineRule="auto"/>
              <w:ind w:firstLine="480" w:firstLineChars="200"/>
              <w:rPr>
                <w:sz w:val="24"/>
              </w:rPr>
            </w:pPr>
            <w:r>
              <w:rPr>
                <w:sz w:val="24"/>
              </w:rPr>
              <w:t>项目挖方量为20万m</w:t>
            </w:r>
            <w:r>
              <w:rPr>
                <w:sz w:val="24"/>
                <w:vertAlign w:val="superscript"/>
              </w:rPr>
              <w:t>3</w:t>
            </w:r>
            <w:r>
              <w:rPr>
                <w:sz w:val="24"/>
              </w:rPr>
              <w:t>，回填方量为5 万m</w:t>
            </w:r>
            <w:r>
              <w:rPr>
                <w:sz w:val="24"/>
                <w:vertAlign w:val="superscript"/>
              </w:rPr>
              <w:t>3</w:t>
            </w:r>
            <w:r>
              <w:rPr>
                <w:sz w:val="24"/>
              </w:rPr>
              <w:t>，弃土量约为15m</w:t>
            </w:r>
            <w:r>
              <w:rPr>
                <w:sz w:val="24"/>
                <w:vertAlign w:val="superscript"/>
              </w:rPr>
              <w:t>3</w:t>
            </w:r>
            <w:r>
              <w:rPr>
                <w:sz w:val="24"/>
              </w:rPr>
              <w:t>，项目的弃土拟运</w:t>
            </w:r>
            <w:r>
              <w:rPr>
                <w:rFonts w:hint="eastAsia"/>
                <w:sz w:val="24"/>
              </w:rPr>
              <w:t>政府</w:t>
            </w:r>
            <w:r>
              <w:rPr>
                <w:sz w:val="24"/>
              </w:rPr>
              <w:t xml:space="preserve">指定的堆土场。 </w:t>
            </w:r>
          </w:p>
          <w:p>
            <w:pPr>
              <w:adjustRightInd w:val="0"/>
              <w:snapToGrid w:val="0"/>
              <w:spacing w:line="360" w:lineRule="auto"/>
              <w:ind w:firstLine="482" w:firstLineChars="200"/>
              <w:rPr>
                <w:b/>
                <w:sz w:val="24"/>
              </w:rPr>
            </w:pPr>
            <w:r>
              <w:rPr>
                <w:b/>
                <w:sz w:val="24"/>
              </w:rPr>
              <w:t xml:space="preserve">5、生态环境 </w:t>
            </w:r>
          </w:p>
          <w:p>
            <w:pPr>
              <w:adjustRightInd w:val="0"/>
              <w:snapToGrid w:val="0"/>
              <w:spacing w:line="360" w:lineRule="auto"/>
              <w:ind w:firstLine="480" w:firstLineChars="200"/>
              <w:rPr>
                <w:sz w:val="24"/>
              </w:rPr>
            </w:pPr>
            <w:r>
              <w:rPr>
                <w:sz w:val="24"/>
              </w:rPr>
              <w:t>水土流失：在挖方、填筑过程造成表土裸露，造成水土流失</w:t>
            </w:r>
            <w:r>
              <w:rPr>
                <w:rFonts w:hint="eastAsia"/>
                <w:bCs/>
                <w:sz w:val="24"/>
              </w:rPr>
              <w:t>。</w:t>
            </w:r>
          </w:p>
          <w:p>
            <w:pPr>
              <w:adjustRightInd w:val="0"/>
              <w:snapToGrid w:val="0"/>
              <w:spacing w:line="360" w:lineRule="auto"/>
              <w:ind w:firstLine="482" w:firstLineChars="200"/>
              <w:rPr>
                <w:b/>
                <w:sz w:val="24"/>
              </w:rPr>
            </w:pPr>
            <w:r>
              <w:rPr>
                <w:rFonts w:hint="eastAsia"/>
                <w:b/>
                <w:sz w:val="24"/>
              </w:rPr>
              <w:t>二、</w:t>
            </w:r>
            <w:r>
              <w:rPr>
                <w:b/>
                <w:sz w:val="24"/>
              </w:rPr>
              <w:t>营运期污染工序</w:t>
            </w:r>
          </w:p>
          <w:p>
            <w:pPr>
              <w:pStyle w:val="59"/>
              <w:adjustRightInd w:val="0"/>
              <w:snapToGrid w:val="0"/>
              <w:spacing w:line="360" w:lineRule="auto"/>
              <w:ind w:firstLine="482"/>
              <w:rPr>
                <w:b/>
                <w:sz w:val="24"/>
              </w:rPr>
            </w:pPr>
            <w:r>
              <w:rPr>
                <w:b/>
                <w:sz w:val="24"/>
              </w:rPr>
              <w:t>1、</w:t>
            </w:r>
            <w:r>
              <w:rPr>
                <w:rFonts w:hint="eastAsia"/>
                <w:b/>
                <w:sz w:val="24"/>
              </w:rPr>
              <w:t>水污染源</w:t>
            </w:r>
          </w:p>
          <w:p>
            <w:pPr>
              <w:pStyle w:val="59"/>
              <w:adjustRightInd w:val="0"/>
              <w:snapToGrid w:val="0"/>
              <w:spacing w:line="360" w:lineRule="auto"/>
              <w:ind w:firstLine="480"/>
              <w:rPr>
                <w:b/>
                <w:sz w:val="24"/>
              </w:rPr>
            </w:pPr>
            <w:r>
              <w:rPr>
                <w:rFonts w:hint="eastAsia"/>
                <w:sz w:val="24"/>
                <w:szCs w:val="18"/>
              </w:rPr>
              <w:t>项目营运期产生的废水主要为</w:t>
            </w:r>
            <w:r>
              <w:rPr>
                <w:rFonts w:hint="eastAsia" w:ascii="宋体" w:cs="宋体"/>
                <w:kern w:val="0"/>
                <w:sz w:val="24"/>
              </w:rPr>
              <w:t>工艺废水、设施冲洗废水、地面冲洗废水和</w:t>
            </w:r>
            <w:r>
              <w:rPr>
                <w:rFonts w:hint="eastAsia"/>
                <w:sz w:val="24"/>
              </w:rPr>
              <w:t>生活污水。</w:t>
            </w:r>
          </w:p>
          <w:p>
            <w:pPr>
              <w:tabs>
                <w:tab w:val="left" w:pos="2940"/>
              </w:tabs>
              <w:spacing w:line="360" w:lineRule="auto"/>
              <w:ind w:left="480"/>
              <w:rPr>
                <w:sz w:val="24"/>
              </w:rPr>
            </w:pPr>
            <w:r>
              <w:rPr>
                <w:sz w:val="24"/>
              </w:rPr>
              <w:t>（1）</w:t>
            </w:r>
            <w:r>
              <w:rPr>
                <w:kern w:val="0"/>
                <w:sz w:val="24"/>
              </w:rPr>
              <w:t>工艺废水</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项目生产水洗工段中泥浆抽入浓缩机进行沉淀会产生含</w:t>
            </w:r>
            <w:r>
              <w:rPr>
                <w:rFonts w:ascii="TimesNewRomanPSMT" w:hAnsi="TimesNewRomanPSMT" w:cs="TimesNewRomanPSMT"/>
                <w:kern w:val="0"/>
                <w:sz w:val="24"/>
              </w:rPr>
              <w:t>SS</w:t>
            </w:r>
            <w:r>
              <w:rPr>
                <w:rFonts w:hint="eastAsia" w:ascii="宋体" w:cs="宋体"/>
                <w:kern w:val="0"/>
                <w:sz w:val="24"/>
              </w:rPr>
              <w:t>等污染物的生产废水。项目用水环节主要是生产用水，项目生产线首日用水约</w:t>
            </w:r>
            <w:r>
              <w:rPr>
                <w:rFonts w:ascii="TimesNewRomanPSMT" w:hAnsi="TimesNewRomanPSMT" w:cs="TimesNewRomanPSMT"/>
                <w:kern w:val="0"/>
                <w:sz w:val="24"/>
              </w:rPr>
              <w:t>900m</w:t>
            </w:r>
            <w:r>
              <w:rPr>
                <w:rFonts w:ascii="TimesNewRomanPSMT" w:hAnsi="TimesNewRomanPSMT" w:cs="TimesNewRomanPSMT"/>
                <w:kern w:val="0"/>
                <w:sz w:val="24"/>
                <w:vertAlign w:val="superscript"/>
              </w:rPr>
              <w:t>3</w:t>
            </w:r>
            <w:r>
              <w:rPr>
                <w:rFonts w:hint="eastAsia" w:ascii="宋体" w:cs="宋体"/>
                <w:kern w:val="0"/>
                <w:sz w:val="24"/>
              </w:rPr>
              <w:t>，预计年用水量为</w:t>
            </w:r>
            <w:r>
              <w:rPr>
                <w:rFonts w:ascii="TimesNewRomanPSMT" w:hAnsi="TimesNewRomanPSMT" w:cs="TimesNewRomanPSMT"/>
                <w:kern w:val="0"/>
                <w:sz w:val="24"/>
              </w:rPr>
              <w:t>252000t</w:t>
            </w:r>
            <w:r>
              <w:rPr>
                <w:rFonts w:hint="eastAsia" w:ascii="宋体" w:cs="宋体"/>
                <w:kern w:val="0"/>
                <w:sz w:val="24"/>
              </w:rPr>
              <w:t>，包含循环水量和新鲜水量。</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项目洗土沙用水对水质要求不高，经两级浓缩罐浓缩后可以直接循环使用到生产中。在生产过程中，由于会有蒸发损耗和产品生产用水损耗，因此每日需要补充新鲜水确保生产可持续进行，进行生产废水经过厂区沉淀池处理后全部回用不外排。</w:t>
            </w:r>
          </w:p>
          <w:p>
            <w:pPr>
              <w:autoSpaceDE w:val="0"/>
              <w:autoSpaceDN w:val="0"/>
              <w:adjustRightInd w:val="0"/>
              <w:spacing w:line="360" w:lineRule="auto"/>
              <w:ind w:firstLine="480" w:firstLineChars="200"/>
              <w:rPr>
                <w:rFonts w:ascii="TimesNewRomanPSMT" w:hAnsi="TimesNewRomanPSMT" w:cs="TimesNewRomanPSMT"/>
                <w:kern w:val="0"/>
                <w:sz w:val="24"/>
              </w:rPr>
            </w:pPr>
            <w:r>
              <w:rPr>
                <w:rFonts w:hint="eastAsia" w:ascii="宋体" w:cs="宋体"/>
                <w:kern w:val="0"/>
                <w:sz w:val="24"/>
              </w:rPr>
              <w:t>项目采购回来的原料用量为</w:t>
            </w:r>
            <w:r>
              <w:rPr>
                <w:rFonts w:ascii="TimesNewRomanPSMT" w:hAnsi="TimesNewRomanPSMT" w:cs="TimesNewRomanPSMT"/>
                <w:kern w:val="0"/>
                <w:sz w:val="24"/>
              </w:rPr>
              <w:t>4.6</w:t>
            </w:r>
            <w:r>
              <w:rPr>
                <w:rFonts w:hint="eastAsia" w:ascii="宋体" w:cs="宋体"/>
                <w:kern w:val="0"/>
                <w:sz w:val="24"/>
              </w:rPr>
              <w:t>万</w:t>
            </w:r>
            <w:r>
              <w:rPr>
                <w:rFonts w:ascii="TimesNewRomanPSMT" w:hAnsi="TimesNewRomanPSMT" w:cs="TimesNewRomanPSMT"/>
                <w:kern w:val="0"/>
                <w:sz w:val="24"/>
              </w:rPr>
              <w:t>t/a</w:t>
            </w:r>
            <w:r>
              <w:rPr>
                <w:rFonts w:hint="eastAsia" w:ascii="宋体" w:cs="宋体"/>
                <w:kern w:val="0"/>
                <w:sz w:val="24"/>
              </w:rPr>
              <w:t>，含水量为</w:t>
            </w:r>
            <w:r>
              <w:rPr>
                <w:rFonts w:ascii="TimesNewRomanPSMT" w:hAnsi="TimesNewRomanPSMT" w:cs="TimesNewRomanPSMT"/>
                <w:kern w:val="0"/>
                <w:sz w:val="24"/>
              </w:rPr>
              <w:t>13~15%</w:t>
            </w:r>
            <w:r>
              <w:rPr>
                <w:rFonts w:hint="eastAsia" w:ascii="宋体" w:cs="宋体"/>
                <w:kern w:val="0"/>
                <w:sz w:val="24"/>
              </w:rPr>
              <w:t>，原料总含水量为</w:t>
            </w:r>
            <w:r>
              <w:rPr>
                <w:rFonts w:ascii="TimesNewRomanPSMT" w:hAnsi="TimesNewRomanPSMT" w:cs="TimesNewRomanPSMT"/>
                <w:kern w:val="0"/>
                <w:sz w:val="24"/>
              </w:rPr>
              <w:t>46000t/a</w:t>
            </w:r>
            <w:r>
              <w:rPr>
                <w:rFonts w:hint="eastAsia" w:ascii="宋体" w:cs="宋体"/>
                <w:kern w:val="0"/>
                <w:sz w:val="24"/>
              </w:rPr>
              <w:t>×</w:t>
            </w:r>
            <w:r>
              <w:rPr>
                <w:rFonts w:ascii="TimesNewRomanPSMT" w:hAnsi="TimesNewRomanPSMT" w:cs="TimesNewRomanPSMT"/>
                <w:kern w:val="0"/>
                <w:sz w:val="24"/>
              </w:rPr>
              <w:t>13%=5980t/a</w:t>
            </w:r>
            <w:r>
              <w:rPr>
                <w:rFonts w:hint="eastAsia" w:ascii="宋体" w:cs="宋体"/>
                <w:kern w:val="0"/>
                <w:sz w:val="24"/>
              </w:rPr>
              <w:t>，生产过程中筛选出来的泥沙量为</w:t>
            </w:r>
            <w:r>
              <w:rPr>
                <w:rFonts w:ascii="TimesNewRomanPSMT" w:hAnsi="TimesNewRomanPSMT" w:cs="TimesNewRomanPSMT"/>
                <w:kern w:val="0"/>
                <w:sz w:val="24"/>
              </w:rPr>
              <w:t>1.12</w:t>
            </w:r>
            <w:r>
              <w:rPr>
                <w:rFonts w:hint="eastAsia" w:ascii="宋体" w:cs="宋体"/>
                <w:kern w:val="0"/>
                <w:sz w:val="24"/>
              </w:rPr>
              <w:t>万</w:t>
            </w:r>
            <w:r>
              <w:rPr>
                <w:rFonts w:ascii="TimesNewRomanPSMT" w:hAnsi="TimesNewRomanPSMT" w:cs="TimesNewRomanPSMT"/>
                <w:kern w:val="0"/>
                <w:sz w:val="24"/>
              </w:rPr>
              <w:t>t/a</w:t>
            </w:r>
            <w:r>
              <w:rPr>
                <w:rFonts w:hint="eastAsia" w:ascii="宋体" w:cs="宋体"/>
                <w:kern w:val="0"/>
                <w:sz w:val="24"/>
              </w:rPr>
              <w:t>，含水率为</w:t>
            </w:r>
            <w:r>
              <w:rPr>
                <w:rFonts w:ascii="TimesNewRomanPSMT" w:hAnsi="TimesNewRomanPSMT" w:cs="TimesNewRomanPSMT"/>
                <w:kern w:val="0"/>
                <w:sz w:val="24"/>
              </w:rPr>
              <w:t>30%</w:t>
            </w:r>
            <w:r>
              <w:rPr>
                <w:rFonts w:hint="eastAsia" w:ascii="宋体" w:cs="宋体"/>
                <w:kern w:val="0"/>
                <w:sz w:val="24"/>
              </w:rPr>
              <w:t>，泥沙含水量为</w:t>
            </w:r>
            <w:r>
              <w:rPr>
                <w:rFonts w:ascii="TimesNewRomanPSMT" w:hAnsi="TimesNewRomanPSMT" w:cs="TimesNewRomanPSMT"/>
                <w:kern w:val="0"/>
                <w:sz w:val="24"/>
              </w:rPr>
              <w:t>11200</w:t>
            </w:r>
            <w:r>
              <w:rPr>
                <w:rFonts w:hint="eastAsia" w:ascii="宋体" w:cs="宋体"/>
                <w:kern w:val="0"/>
                <w:sz w:val="24"/>
              </w:rPr>
              <w:t>×</w:t>
            </w:r>
            <w:r>
              <w:rPr>
                <w:rFonts w:ascii="TimesNewRomanPSMT" w:hAnsi="TimesNewRomanPSMT" w:cs="TimesNewRomanPSMT"/>
                <w:kern w:val="0"/>
                <w:sz w:val="24"/>
              </w:rPr>
              <w:t>30%=3360t/a</w:t>
            </w:r>
            <w:r>
              <w:rPr>
                <w:rFonts w:hint="eastAsia" w:ascii="宋体" w:cs="宋体"/>
                <w:kern w:val="0"/>
                <w:sz w:val="24"/>
              </w:rPr>
              <w:t>，高岭土产品年产量为</w:t>
            </w:r>
            <w:r>
              <w:rPr>
                <w:rFonts w:ascii="TimesNewRomanPSMT" w:hAnsi="TimesNewRomanPSMT" w:cs="TimesNewRomanPSMT"/>
                <w:kern w:val="0"/>
                <w:sz w:val="24"/>
              </w:rPr>
              <w:t>4</w:t>
            </w:r>
            <w:r>
              <w:rPr>
                <w:rFonts w:hint="eastAsia" w:ascii="宋体" w:cs="宋体"/>
                <w:kern w:val="0"/>
                <w:sz w:val="24"/>
              </w:rPr>
              <w:t>万</w:t>
            </w:r>
            <w:r>
              <w:rPr>
                <w:rFonts w:ascii="TimesNewRomanPSMT" w:hAnsi="TimesNewRomanPSMT" w:cs="TimesNewRomanPSMT"/>
                <w:kern w:val="0"/>
                <w:sz w:val="24"/>
              </w:rPr>
              <w:t>t/a</w:t>
            </w:r>
            <w:r>
              <w:rPr>
                <w:rFonts w:hint="eastAsia" w:ascii="宋体" w:cs="宋体"/>
                <w:kern w:val="0"/>
                <w:sz w:val="24"/>
              </w:rPr>
              <w:t>，含水率为</w:t>
            </w:r>
            <w:r>
              <w:rPr>
                <w:rFonts w:ascii="TimesNewRomanPSMT" w:hAnsi="TimesNewRomanPSMT" w:cs="TimesNewRomanPSMT"/>
                <w:kern w:val="0"/>
                <w:sz w:val="24"/>
              </w:rPr>
              <w:t>30%</w:t>
            </w:r>
            <w:r>
              <w:rPr>
                <w:rFonts w:hint="eastAsia" w:ascii="宋体" w:cs="宋体"/>
                <w:kern w:val="0"/>
                <w:sz w:val="24"/>
              </w:rPr>
              <w:t>，则产品含水量为</w:t>
            </w:r>
            <w:r>
              <w:rPr>
                <w:rFonts w:ascii="TimesNewRomanPSMT" w:hAnsi="TimesNewRomanPSMT" w:cs="TimesNewRomanPSMT"/>
                <w:kern w:val="0"/>
                <w:sz w:val="24"/>
              </w:rPr>
              <w:t>40000</w:t>
            </w:r>
            <w:r>
              <w:rPr>
                <w:rFonts w:hint="eastAsia" w:ascii="宋体" w:cs="宋体"/>
                <w:kern w:val="0"/>
                <w:sz w:val="24"/>
              </w:rPr>
              <w:t>×</w:t>
            </w:r>
            <w:r>
              <w:rPr>
                <w:rFonts w:ascii="TimesNewRomanPSMT" w:hAnsi="TimesNewRomanPSMT" w:cs="TimesNewRomanPSMT"/>
                <w:kern w:val="0"/>
                <w:sz w:val="24"/>
              </w:rPr>
              <w:t>30%=12000t/a</w:t>
            </w:r>
            <w:r>
              <w:rPr>
                <w:rFonts w:hint="eastAsia" w:ascii="宋体" w:cs="宋体"/>
                <w:kern w:val="0"/>
                <w:sz w:val="24"/>
              </w:rPr>
              <w:t>，年消耗在产品和泥沙的水量为</w:t>
            </w:r>
            <w:r>
              <w:rPr>
                <w:rFonts w:ascii="TimesNewRomanPSMT" w:hAnsi="TimesNewRomanPSMT" w:cs="TimesNewRomanPSMT"/>
                <w:kern w:val="0"/>
                <w:sz w:val="24"/>
              </w:rPr>
              <w:t>9380t/a</w:t>
            </w:r>
            <w:r>
              <w:rPr>
                <w:rFonts w:hint="eastAsia" w:ascii="宋体" w:cs="宋体"/>
                <w:kern w:val="0"/>
                <w:sz w:val="24"/>
              </w:rPr>
              <w:t>（约</w:t>
            </w:r>
            <w:r>
              <w:rPr>
                <w:rFonts w:ascii="TimesNewRomanPSMT" w:hAnsi="TimesNewRomanPSMT" w:cs="TimesNewRomanPSMT"/>
                <w:kern w:val="0"/>
                <w:sz w:val="24"/>
              </w:rPr>
              <w:t>33.5t/d</w:t>
            </w:r>
            <w:r>
              <w:rPr>
                <w:rFonts w:hint="eastAsia" w:ascii="宋体" w:cs="宋体"/>
                <w:kern w:val="0"/>
                <w:sz w:val="24"/>
              </w:rPr>
              <w:t>）。</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蒸发损失消耗量占循环用水量的</w:t>
            </w:r>
            <w:r>
              <w:rPr>
                <w:rFonts w:ascii="TimesNewRomanPSMT" w:hAnsi="TimesNewRomanPSMT" w:cs="TimesNewRomanPSMT"/>
                <w:kern w:val="0"/>
                <w:sz w:val="24"/>
              </w:rPr>
              <w:t>1%</w:t>
            </w:r>
            <w:r>
              <w:rPr>
                <w:rFonts w:hint="eastAsia" w:ascii="宋体" w:cs="宋体"/>
                <w:kern w:val="0"/>
                <w:sz w:val="24"/>
              </w:rPr>
              <w:t>，循环水量</w:t>
            </w:r>
            <w:r>
              <w:rPr>
                <w:rFonts w:ascii="TimesNewRomanPSMT" w:hAnsi="TimesNewRomanPSMT" w:cs="TimesNewRomanPSMT"/>
                <w:kern w:val="0"/>
                <w:sz w:val="24"/>
              </w:rPr>
              <w:t>+</w:t>
            </w:r>
            <w:r>
              <w:rPr>
                <w:rFonts w:hint="eastAsia" w:ascii="宋体" w:cs="宋体"/>
                <w:kern w:val="0"/>
                <w:sz w:val="24"/>
              </w:rPr>
              <w:t>蒸发损耗水量</w:t>
            </w:r>
            <w:r>
              <w:rPr>
                <w:rFonts w:ascii="TimesNewRomanPSMT" w:hAnsi="TimesNewRomanPSMT" w:cs="TimesNewRomanPSMT"/>
                <w:kern w:val="0"/>
                <w:sz w:val="24"/>
              </w:rPr>
              <w:t>=</w:t>
            </w:r>
            <w:r>
              <w:rPr>
                <w:rFonts w:hint="eastAsia" w:ascii="宋体" w:cs="宋体"/>
                <w:kern w:val="0"/>
                <w:sz w:val="24"/>
              </w:rPr>
              <w:t>总用水量</w:t>
            </w:r>
            <w:r>
              <w:rPr>
                <w:rFonts w:ascii="TimesNewRomanPSMT" w:hAnsi="TimesNewRomanPSMT" w:cs="TimesNewRomanPSMT"/>
                <w:kern w:val="0"/>
                <w:sz w:val="24"/>
              </w:rPr>
              <w:t>-</w:t>
            </w:r>
            <w:r>
              <w:rPr>
                <w:rFonts w:hint="eastAsia" w:ascii="宋体" w:cs="宋体"/>
                <w:kern w:val="0"/>
                <w:sz w:val="24"/>
              </w:rPr>
              <w:t>产品生产用水损耗</w:t>
            </w:r>
            <w:r>
              <w:rPr>
                <w:rFonts w:ascii="TimesNewRomanPSMT" w:hAnsi="TimesNewRomanPSMT" w:cs="TimesNewRomanPSMT"/>
                <w:kern w:val="0"/>
                <w:sz w:val="24"/>
              </w:rPr>
              <w:t>=252000-9380=242620t/a</w:t>
            </w:r>
            <w:r>
              <w:rPr>
                <w:rFonts w:hint="eastAsia" w:ascii="宋体" w:cs="宋体"/>
                <w:kern w:val="0"/>
                <w:sz w:val="24"/>
              </w:rPr>
              <w:t>，则计算得出循环水量为</w:t>
            </w:r>
            <w:r>
              <w:rPr>
                <w:rFonts w:ascii="TimesNewRomanPSMT" w:hAnsi="TimesNewRomanPSMT" w:cs="TimesNewRomanPSMT"/>
                <w:kern w:val="0"/>
                <w:sz w:val="24"/>
              </w:rPr>
              <w:t>240217t/a</w:t>
            </w:r>
            <w:r>
              <w:rPr>
                <w:rFonts w:hint="eastAsia" w:ascii="宋体" w:cs="宋体"/>
                <w:kern w:val="0"/>
                <w:sz w:val="24"/>
              </w:rPr>
              <w:t>（约</w:t>
            </w:r>
            <w:r>
              <w:rPr>
                <w:rFonts w:ascii="TimesNewRomanPSMT" w:hAnsi="TimesNewRomanPSMT" w:cs="TimesNewRomanPSMT"/>
                <w:kern w:val="0"/>
                <w:sz w:val="24"/>
              </w:rPr>
              <w:t>858t/d</w:t>
            </w:r>
            <w:r>
              <w:rPr>
                <w:rFonts w:hint="eastAsia" w:ascii="宋体" w:cs="宋体"/>
                <w:kern w:val="0"/>
                <w:sz w:val="24"/>
              </w:rPr>
              <w:t>），损耗水量为</w:t>
            </w:r>
            <w:r>
              <w:rPr>
                <w:rFonts w:ascii="TimesNewRomanPSMT" w:hAnsi="TimesNewRomanPSMT" w:cs="TimesNewRomanPSMT"/>
                <w:kern w:val="0"/>
                <w:sz w:val="24"/>
              </w:rPr>
              <w:t>2402 t/a</w:t>
            </w:r>
            <w:r>
              <w:rPr>
                <w:rFonts w:hint="eastAsia" w:ascii="宋体" w:cs="宋体"/>
                <w:kern w:val="0"/>
                <w:sz w:val="24"/>
              </w:rPr>
              <w:t>（约</w:t>
            </w:r>
            <w:r>
              <w:rPr>
                <w:rFonts w:ascii="TimesNewRomanPSMT" w:hAnsi="TimesNewRomanPSMT" w:cs="TimesNewRomanPSMT"/>
                <w:kern w:val="0"/>
                <w:sz w:val="24"/>
              </w:rPr>
              <w:t>8.57t/d</w:t>
            </w:r>
            <w:r>
              <w:rPr>
                <w:rFonts w:hint="eastAsia" w:ascii="宋体" w:cs="宋体"/>
                <w:kern w:val="0"/>
                <w:sz w:val="24"/>
              </w:rPr>
              <w:t>）。生产废水经过厂区污水沉淀池处理后全部回用不外排。</w:t>
            </w:r>
          </w:p>
          <w:p>
            <w:pPr>
              <w:tabs>
                <w:tab w:val="left" w:pos="2940"/>
              </w:tabs>
              <w:spacing w:line="360" w:lineRule="auto"/>
              <w:ind w:firstLine="480" w:firstLineChars="200"/>
              <w:rPr>
                <w:sz w:val="24"/>
              </w:rPr>
            </w:pPr>
            <w:r>
              <w:rPr>
                <w:rFonts w:hint="eastAsia"/>
                <w:sz w:val="24"/>
              </w:rPr>
              <w:t>（2）</w:t>
            </w:r>
            <w:r>
              <w:rPr>
                <w:rFonts w:hint="eastAsia" w:ascii="宋体" w:cs="宋体"/>
                <w:kern w:val="0"/>
                <w:sz w:val="24"/>
              </w:rPr>
              <w:t>设施冲洗废水</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本项目在车间进出口处设有车辆冲洗池，对进出厂房的车辆进行冲洗，一方面保持进出车辆清洁卫生，另一方面提高原料回收效率，防止资源浪费。根据建设单位提供的资料，清洗沉淀池尺寸为</w:t>
            </w:r>
            <w:r>
              <w:rPr>
                <w:rFonts w:ascii="TimesNewRomanPSMT" w:hAnsi="TimesNewRomanPSMT" w:cs="TimesNewRomanPSMT"/>
                <w:kern w:val="0"/>
                <w:sz w:val="24"/>
              </w:rPr>
              <w:t>15</w:t>
            </w:r>
            <w:r>
              <w:rPr>
                <w:rFonts w:hint="eastAsia" w:ascii="宋体" w:cs="宋体"/>
                <w:kern w:val="0"/>
                <w:sz w:val="24"/>
              </w:rPr>
              <w:t>米</w:t>
            </w:r>
            <w:r>
              <w:rPr>
                <w:rFonts w:ascii="TimesNewRomanPSMT" w:hAnsi="TimesNewRomanPSMT" w:cs="TimesNewRomanPSMT"/>
                <w:kern w:val="0"/>
                <w:sz w:val="24"/>
              </w:rPr>
              <w:t>*4.5</w:t>
            </w:r>
            <w:r>
              <w:rPr>
                <w:rFonts w:hint="eastAsia" w:ascii="宋体" w:cs="宋体"/>
                <w:kern w:val="0"/>
                <w:sz w:val="24"/>
              </w:rPr>
              <w:t>米</w:t>
            </w:r>
            <w:r>
              <w:rPr>
                <w:rFonts w:ascii="TimesNewRomanPSMT" w:hAnsi="TimesNewRomanPSMT" w:cs="TimesNewRomanPSMT"/>
                <w:kern w:val="0"/>
                <w:sz w:val="24"/>
              </w:rPr>
              <w:t>*0.5</w:t>
            </w:r>
            <w:r>
              <w:rPr>
                <w:rFonts w:hint="eastAsia" w:ascii="宋体" w:cs="宋体"/>
                <w:kern w:val="0"/>
                <w:sz w:val="24"/>
              </w:rPr>
              <w:t>米，合计</w:t>
            </w:r>
            <w:r>
              <w:rPr>
                <w:rFonts w:ascii="TimesNewRomanPSMT" w:hAnsi="TimesNewRomanPSMT" w:cs="TimesNewRomanPSMT"/>
                <w:kern w:val="0"/>
                <w:sz w:val="24"/>
              </w:rPr>
              <w:t>33.75m</w:t>
            </w:r>
            <w:r>
              <w:rPr>
                <w:rFonts w:ascii="TimesNewRomanPSMT" w:hAnsi="TimesNewRomanPSMT" w:cs="TimesNewRomanPSMT"/>
                <w:kern w:val="0"/>
                <w:sz w:val="24"/>
                <w:vertAlign w:val="superscript"/>
              </w:rPr>
              <w:t>3</w:t>
            </w:r>
            <w:r>
              <w:rPr>
                <w:rFonts w:hint="eastAsia" w:ascii="宋体" w:cs="宋体"/>
                <w:kern w:val="0"/>
                <w:sz w:val="24"/>
              </w:rPr>
              <w:t>，池里装一定容量的水，车辆走过对轮胎进行清洗，车辆经过会有部分水溢流，溢出的水回收至储水池，池里定期补充清水。每日补充新鲜水量约</w:t>
            </w:r>
            <w:r>
              <w:rPr>
                <w:rFonts w:ascii="TimesNewRomanPSMT" w:hAnsi="TimesNewRomanPSMT" w:cs="TimesNewRomanPSMT"/>
                <w:kern w:val="0"/>
                <w:sz w:val="24"/>
              </w:rPr>
              <w:t>30m</w:t>
            </w:r>
            <w:r>
              <w:rPr>
                <w:rFonts w:ascii="TimesNewRomanPSMT" w:hAnsi="TimesNewRomanPSMT" w:cs="TimesNewRomanPSMT"/>
                <w:kern w:val="0"/>
                <w:sz w:val="24"/>
                <w:vertAlign w:val="superscript"/>
              </w:rPr>
              <w:t>3</w:t>
            </w:r>
            <w:r>
              <w:rPr>
                <w:rFonts w:hint="eastAsia" w:ascii="TimesNewRomanPSMT" w:hAnsi="TimesNewRomanPSMT" w:cs="TimesNewRomanPSMT"/>
                <w:kern w:val="0"/>
                <w:sz w:val="24"/>
              </w:rPr>
              <w:t>（</w:t>
            </w:r>
            <w:r>
              <w:rPr>
                <w:rFonts w:ascii="TimesNewRomanPSMT" w:hAnsi="TimesNewRomanPSMT" w:cs="TimesNewRomanPSMT"/>
                <w:kern w:val="0"/>
                <w:sz w:val="24"/>
              </w:rPr>
              <w:t>8400 t/a</w:t>
            </w:r>
            <w:r>
              <w:rPr>
                <w:rFonts w:hint="eastAsia" w:ascii="TimesNewRomanPSMT" w:hAnsi="TimesNewRomanPSMT" w:cs="TimesNewRomanPSMT"/>
                <w:kern w:val="0"/>
                <w:sz w:val="24"/>
              </w:rPr>
              <w:t>），</w:t>
            </w:r>
            <w:r>
              <w:rPr>
                <w:rFonts w:hint="eastAsia" w:ascii="宋体" w:cs="宋体"/>
                <w:kern w:val="0"/>
                <w:sz w:val="24"/>
              </w:rPr>
              <w:t>清洗损耗量约</w:t>
            </w:r>
            <w:r>
              <w:rPr>
                <w:rFonts w:ascii="TimesNewRomanPSMT" w:hAnsi="TimesNewRomanPSMT" w:cs="TimesNewRomanPSMT"/>
                <w:kern w:val="0"/>
                <w:sz w:val="24"/>
              </w:rPr>
              <w:t>10%</w:t>
            </w:r>
            <w:r>
              <w:rPr>
                <w:rFonts w:hint="eastAsia" w:ascii="宋体" w:cs="宋体"/>
                <w:kern w:val="0"/>
                <w:sz w:val="24"/>
              </w:rPr>
              <w:t>，回收水量为</w:t>
            </w:r>
            <w:r>
              <w:rPr>
                <w:rFonts w:ascii="TimesNewRomanPSMT" w:hAnsi="TimesNewRomanPSMT" w:cs="TimesNewRomanPSMT"/>
                <w:kern w:val="0"/>
                <w:sz w:val="24"/>
              </w:rPr>
              <w:t>27m</w:t>
            </w:r>
            <w:r>
              <w:rPr>
                <w:rFonts w:ascii="TimesNewRomanPSMT" w:hAnsi="TimesNewRomanPSMT" w:cs="TimesNewRomanPSMT"/>
                <w:kern w:val="0"/>
                <w:sz w:val="24"/>
                <w:vertAlign w:val="superscript"/>
              </w:rPr>
              <w:t>3</w:t>
            </w:r>
            <w:r>
              <w:rPr>
                <w:rFonts w:hint="eastAsia" w:ascii="TimesNewRomanPSMT" w:hAnsi="TimesNewRomanPSMT" w:cs="TimesNewRomanPSMT"/>
                <w:kern w:val="0"/>
                <w:sz w:val="24"/>
              </w:rPr>
              <w:t>（7</w:t>
            </w:r>
            <w:r>
              <w:rPr>
                <w:rFonts w:ascii="TimesNewRomanPSMT" w:hAnsi="TimesNewRomanPSMT" w:cs="TimesNewRomanPSMT"/>
                <w:kern w:val="0"/>
                <w:sz w:val="24"/>
              </w:rPr>
              <w:t>560 t/a</w:t>
            </w:r>
            <w:r>
              <w:rPr>
                <w:rFonts w:hint="eastAsia" w:ascii="TimesNewRomanPSMT" w:hAnsi="TimesNewRomanPSMT" w:cs="TimesNewRomanPSMT"/>
                <w:kern w:val="0"/>
                <w:sz w:val="24"/>
              </w:rPr>
              <w:t>），</w:t>
            </w:r>
            <w:r>
              <w:rPr>
                <w:rFonts w:hint="eastAsia" w:ascii="宋体" w:cs="宋体"/>
                <w:kern w:val="0"/>
                <w:sz w:val="24"/>
              </w:rPr>
              <w:t>溢流的废水直接抽至储水池中备用，沉渣经过滤后每天回收至原料仓内作为原料使用，此过程无污染物产生。</w:t>
            </w:r>
          </w:p>
          <w:p>
            <w:pPr>
              <w:tabs>
                <w:tab w:val="left" w:pos="2940"/>
              </w:tabs>
              <w:spacing w:line="360" w:lineRule="auto"/>
              <w:ind w:firstLine="480" w:firstLineChars="200"/>
              <w:rPr>
                <w:sz w:val="24"/>
              </w:rPr>
            </w:pPr>
            <w:r>
              <w:rPr>
                <w:rFonts w:hint="eastAsia"/>
                <w:sz w:val="24"/>
              </w:rPr>
              <w:t>（3）</w:t>
            </w:r>
            <w:r>
              <w:rPr>
                <w:rFonts w:hint="eastAsia" w:ascii="宋体" w:cs="宋体"/>
                <w:kern w:val="0"/>
                <w:sz w:val="24"/>
              </w:rPr>
              <w:t>地面冲洗废水</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为了减少材料损耗和保持车间的卫生，建设单位会对生产车间出入料的位置进行冲洗，冲洗面积约</w:t>
            </w:r>
            <w:r>
              <w:rPr>
                <w:rFonts w:ascii="TimesNewRomanPSMT" w:hAnsi="TimesNewRomanPSMT" w:cs="TimesNewRomanPSMT"/>
                <w:kern w:val="0"/>
                <w:sz w:val="24"/>
              </w:rPr>
              <w:t>500m</w:t>
            </w:r>
            <w:r>
              <w:rPr>
                <w:rFonts w:ascii="TimesNewRomanPSMT" w:hAnsi="TimesNewRomanPSMT" w:cs="TimesNewRomanPSMT"/>
                <w:kern w:val="0"/>
                <w:sz w:val="24"/>
                <w:vertAlign w:val="superscript"/>
              </w:rPr>
              <w:t>2</w:t>
            </w:r>
            <w:r>
              <w:rPr>
                <w:rFonts w:hint="eastAsia" w:ascii="宋体" w:cs="宋体"/>
                <w:kern w:val="0"/>
                <w:sz w:val="24"/>
              </w:rPr>
              <w:t>，每天产生冲洗用水量为</w:t>
            </w:r>
            <w:r>
              <w:rPr>
                <w:rFonts w:ascii="TimesNewRomanPSMT" w:hAnsi="TimesNewRomanPSMT" w:cs="TimesNewRomanPSMT"/>
                <w:kern w:val="0"/>
                <w:sz w:val="24"/>
              </w:rPr>
              <w:t>30m</w:t>
            </w:r>
            <w:r>
              <w:rPr>
                <w:rFonts w:ascii="TimesNewRomanPSMT" w:hAnsi="TimesNewRomanPSMT" w:cs="TimesNewRomanPSMT"/>
                <w:kern w:val="0"/>
                <w:sz w:val="24"/>
                <w:vertAlign w:val="superscript"/>
              </w:rPr>
              <w:t>3</w:t>
            </w:r>
            <w:r>
              <w:rPr>
                <w:rFonts w:hint="eastAsia" w:ascii="TimesNewRomanPSMT" w:hAnsi="TimesNewRomanPSMT" w:cs="TimesNewRomanPSMT"/>
                <w:kern w:val="0"/>
                <w:sz w:val="24"/>
              </w:rPr>
              <w:t>（</w:t>
            </w:r>
            <w:r>
              <w:rPr>
                <w:rFonts w:ascii="TimesNewRomanPSMT" w:hAnsi="TimesNewRomanPSMT" w:cs="TimesNewRomanPSMT"/>
                <w:kern w:val="0"/>
                <w:sz w:val="24"/>
              </w:rPr>
              <w:t>8400 t/a</w:t>
            </w:r>
            <w:r>
              <w:rPr>
                <w:rFonts w:hint="eastAsia" w:ascii="TimesNewRomanPSMT" w:hAnsi="TimesNewRomanPSMT" w:cs="TimesNewRomanPSMT"/>
                <w:kern w:val="0"/>
                <w:sz w:val="24"/>
              </w:rPr>
              <w:t>），</w:t>
            </w:r>
            <w:r>
              <w:rPr>
                <w:rFonts w:hint="eastAsia" w:ascii="宋体" w:cs="宋体"/>
                <w:kern w:val="0"/>
                <w:sz w:val="24"/>
              </w:rPr>
              <w:t>损耗率约</w:t>
            </w:r>
            <w:r>
              <w:rPr>
                <w:rFonts w:ascii="TimesNewRomanPSMT" w:hAnsi="TimesNewRomanPSMT" w:cs="TimesNewRomanPSMT"/>
                <w:kern w:val="0"/>
                <w:sz w:val="24"/>
              </w:rPr>
              <w:t>10%</w:t>
            </w:r>
            <w:r>
              <w:rPr>
                <w:rFonts w:hint="eastAsia" w:ascii="宋体" w:cs="宋体"/>
                <w:kern w:val="0"/>
                <w:sz w:val="24"/>
              </w:rPr>
              <w:t>，则产生地面冲洗废水量约</w:t>
            </w:r>
            <w:r>
              <w:rPr>
                <w:rFonts w:ascii="TimesNewRomanPSMT" w:hAnsi="TimesNewRomanPSMT" w:cs="TimesNewRomanPSMT"/>
                <w:kern w:val="0"/>
                <w:sz w:val="24"/>
              </w:rPr>
              <w:t>27t/d</w:t>
            </w:r>
            <w:r>
              <w:rPr>
                <w:kern w:val="0"/>
                <w:sz w:val="24"/>
              </w:rPr>
              <w:t>（7560 t/a）。每地上的瓷沙经冲洗后回收至沉淀池内进行缓冲，然后直接抽取至球磨机内作为生产用水使用，沉淀池尺寸为1m×1m×1m，地面冲洗废</w:t>
            </w:r>
            <w:r>
              <w:rPr>
                <w:rFonts w:hint="eastAsia" w:ascii="宋体" w:cs="宋体"/>
                <w:kern w:val="0"/>
                <w:sz w:val="24"/>
              </w:rPr>
              <w:t>水经泵抽至捣浆机内和其他原料一起加工生产，冲洗废水和泥沙作为下一班次生产的补充用料，不产生废水。此过程无污染物产生。</w:t>
            </w:r>
          </w:p>
          <w:p>
            <w:pPr>
              <w:adjustRightInd w:val="0"/>
              <w:snapToGrid w:val="0"/>
              <w:spacing w:line="360" w:lineRule="auto"/>
              <w:ind w:firstLine="480" w:firstLineChars="200"/>
              <w:rPr>
                <w:sz w:val="24"/>
              </w:rPr>
            </w:pPr>
            <w:r>
              <w:rPr>
                <w:rFonts w:hint="eastAsia"/>
                <w:sz w:val="24"/>
              </w:rPr>
              <w:t>（4）生活污水</w:t>
            </w:r>
          </w:p>
          <w:p>
            <w:pPr>
              <w:adjustRightInd w:val="0"/>
              <w:snapToGrid w:val="0"/>
              <w:spacing w:line="360" w:lineRule="auto"/>
              <w:ind w:firstLine="480" w:firstLineChars="200"/>
              <w:rPr>
                <w:sz w:val="24"/>
              </w:rPr>
            </w:pPr>
            <w:r>
              <w:rPr>
                <w:rFonts w:hint="eastAsia"/>
                <w:sz w:val="24"/>
              </w:rPr>
              <w:t>本项目共设员工1</w:t>
            </w:r>
            <w:r>
              <w:rPr>
                <w:sz w:val="24"/>
              </w:rPr>
              <w:t>5</w:t>
            </w:r>
            <w:r>
              <w:rPr>
                <w:rFonts w:hint="eastAsia"/>
                <w:sz w:val="24"/>
              </w:rPr>
              <w:t>人，</w:t>
            </w:r>
            <w:r>
              <w:rPr>
                <w:rFonts w:hint="eastAsia" w:ascii="宋体" w:cs="宋体"/>
                <w:kern w:val="0"/>
                <w:sz w:val="24"/>
              </w:rPr>
              <w:t>均不在厂内食宿</w:t>
            </w:r>
            <w:r>
              <w:rPr>
                <w:rFonts w:hint="eastAsia"/>
                <w:sz w:val="24"/>
              </w:rPr>
              <w:t>。生活用水量参考《广东省用水定额》（</w:t>
            </w:r>
            <w:r>
              <w:rPr>
                <w:sz w:val="24"/>
              </w:rPr>
              <w:t>DB44/T1461-2014</w:t>
            </w:r>
            <w:r>
              <w:rPr>
                <w:rFonts w:hint="eastAsia"/>
                <w:sz w:val="24"/>
              </w:rPr>
              <w:t>）要求，员工生活用水量按0.0</w:t>
            </w:r>
            <w:r>
              <w:rPr>
                <w:sz w:val="24"/>
              </w:rPr>
              <w:t>4</w:t>
            </w:r>
            <w:r>
              <w:rPr>
                <w:rFonts w:hint="eastAsia"/>
                <w:sz w:val="24"/>
              </w:rPr>
              <w:t>m</w:t>
            </w:r>
            <w:r>
              <w:rPr>
                <w:rFonts w:hint="eastAsia"/>
                <w:sz w:val="24"/>
                <w:vertAlign w:val="superscript"/>
              </w:rPr>
              <w:t>3</w:t>
            </w:r>
            <w:r>
              <w:rPr>
                <w:rFonts w:hint="eastAsia"/>
                <w:sz w:val="24"/>
              </w:rPr>
              <w:t>/人.d核算，则本项目员工生活用水量为</w:t>
            </w:r>
            <w:r>
              <w:rPr>
                <w:sz w:val="24"/>
              </w:rPr>
              <w:t>0.6</w:t>
            </w:r>
            <w:r>
              <w:rPr>
                <w:rFonts w:hint="eastAsia"/>
                <w:sz w:val="24"/>
              </w:rPr>
              <w:t>m</w:t>
            </w:r>
            <w:r>
              <w:rPr>
                <w:rFonts w:hint="eastAsia"/>
                <w:sz w:val="24"/>
                <w:vertAlign w:val="superscript"/>
              </w:rPr>
              <w:t>3</w:t>
            </w:r>
            <w:r>
              <w:rPr>
                <w:sz w:val="24"/>
              </w:rPr>
              <w:t>/d</w:t>
            </w:r>
            <w:r>
              <w:rPr>
                <w:rFonts w:hint="eastAsia"/>
                <w:sz w:val="24"/>
              </w:rPr>
              <w:t>，即</w:t>
            </w:r>
            <w:r>
              <w:rPr>
                <w:sz w:val="24"/>
              </w:rPr>
              <w:t>168</w:t>
            </w:r>
            <w:r>
              <w:rPr>
                <w:rFonts w:hint="eastAsia"/>
                <w:sz w:val="24"/>
              </w:rPr>
              <w:t xml:space="preserve"> m</w:t>
            </w:r>
            <w:r>
              <w:rPr>
                <w:rFonts w:hint="eastAsia"/>
                <w:sz w:val="24"/>
                <w:vertAlign w:val="superscript"/>
              </w:rPr>
              <w:t>3</w:t>
            </w:r>
            <w:r>
              <w:rPr>
                <w:sz w:val="24"/>
              </w:rPr>
              <w:t>/a</w:t>
            </w:r>
            <w:r>
              <w:rPr>
                <w:rFonts w:hint="eastAsia"/>
                <w:sz w:val="24"/>
              </w:rPr>
              <w:t>（年工作</w:t>
            </w:r>
            <w:r>
              <w:rPr>
                <w:sz w:val="24"/>
              </w:rPr>
              <w:t>280</w:t>
            </w:r>
            <w:r>
              <w:rPr>
                <w:rFonts w:hint="eastAsia"/>
                <w:sz w:val="24"/>
              </w:rPr>
              <w:t>天），排水系数取</w:t>
            </w:r>
            <w:r>
              <w:rPr>
                <w:sz w:val="24"/>
              </w:rPr>
              <w:t>90%</w:t>
            </w:r>
            <w:r>
              <w:rPr>
                <w:rFonts w:hint="eastAsia"/>
                <w:sz w:val="24"/>
              </w:rPr>
              <w:t>，则项目生活污水总排放量为</w:t>
            </w:r>
            <w:r>
              <w:rPr>
                <w:sz w:val="24"/>
              </w:rPr>
              <w:t>0.54</w:t>
            </w:r>
            <w:r>
              <w:rPr>
                <w:rFonts w:hint="eastAsia"/>
                <w:sz w:val="24"/>
              </w:rPr>
              <w:t xml:space="preserve"> m</w:t>
            </w:r>
            <w:r>
              <w:rPr>
                <w:rFonts w:hint="eastAsia"/>
                <w:sz w:val="24"/>
                <w:vertAlign w:val="superscript"/>
              </w:rPr>
              <w:t>3</w:t>
            </w:r>
            <w:r>
              <w:rPr>
                <w:sz w:val="24"/>
              </w:rPr>
              <w:t>/d</w:t>
            </w:r>
            <w:r>
              <w:rPr>
                <w:rFonts w:hint="eastAsia"/>
                <w:sz w:val="24"/>
              </w:rPr>
              <w:t>，即</w:t>
            </w:r>
            <w:r>
              <w:rPr>
                <w:sz w:val="24"/>
              </w:rPr>
              <w:t>151.2</w:t>
            </w:r>
            <w:r>
              <w:rPr>
                <w:rFonts w:hint="eastAsia"/>
                <w:sz w:val="24"/>
              </w:rPr>
              <w:t xml:space="preserve"> m</w:t>
            </w:r>
            <w:r>
              <w:rPr>
                <w:rFonts w:hint="eastAsia"/>
                <w:sz w:val="24"/>
                <w:vertAlign w:val="superscript"/>
              </w:rPr>
              <w:t>3</w:t>
            </w:r>
            <w:r>
              <w:rPr>
                <w:sz w:val="24"/>
              </w:rPr>
              <w:t>/a</w:t>
            </w:r>
            <w:r>
              <w:rPr>
                <w:rFonts w:hint="eastAsia"/>
                <w:sz w:val="24"/>
              </w:rPr>
              <w:t>。类比同行业生活污水水质，生活污水的污染物产生排放情况见下表。</w:t>
            </w:r>
          </w:p>
          <w:p>
            <w:pPr>
              <w:pStyle w:val="18"/>
              <w:adjustRightInd w:val="0"/>
              <w:snapToGrid w:val="0"/>
              <w:spacing w:after="0"/>
              <w:ind w:left="0" w:leftChars="0"/>
              <w:jc w:val="center"/>
              <w:rPr>
                <w:b/>
                <w:sz w:val="21"/>
                <w:szCs w:val="21"/>
              </w:rPr>
            </w:pPr>
            <w:r>
              <w:rPr>
                <w:b/>
                <w:sz w:val="21"/>
                <w:szCs w:val="21"/>
              </w:rPr>
              <w:t>表21   本项目生活污水污染物产生排放情况一览表</w:t>
            </w:r>
          </w:p>
          <w:tbl>
            <w:tblPr>
              <w:tblStyle w:val="25"/>
              <w:tblW w:w="94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3"/>
              <w:gridCol w:w="2231"/>
              <w:gridCol w:w="1299"/>
              <w:gridCol w:w="1299"/>
              <w:gridCol w:w="1487"/>
              <w:gridCol w:w="1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8" w:hRule="atLeast"/>
                <w:jc w:val="center"/>
              </w:trPr>
              <w:tc>
                <w:tcPr>
                  <w:tcW w:w="1853" w:type="dxa"/>
                  <w:vAlign w:val="center"/>
                </w:tcPr>
                <w:p>
                  <w:pPr>
                    <w:pStyle w:val="19"/>
                    <w:adjustRightInd w:val="0"/>
                    <w:snapToGrid w:val="0"/>
                    <w:spacing w:after="0" w:line="240" w:lineRule="auto"/>
                    <w:ind w:firstLine="0"/>
                    <w:jc w:val="center"/>
                    <w:rPr>
                      <w:b/>
                      <w:sz w:val="21"/>
                      <w:szCs w:val="21"/>
                    </w:rPr>
                  </w:pPr>
                  <w:r>
                    <w:rPr>
                      <w:rFonts w:hint="eastAsia"/>
                      <w:b/>
                      <w:sz w:val="21"/>
                      <w:szCs w:val="21"/>
                    </w:rPr>
                    <w:t>水量</w:t>
                  </w:r>
                </w:p>
              </w:tc>
              <w:tc>
                <w:tcPr>
                  <w:tcW w:w="2231" w:type="dxa"/>
                  <w:vAlign w:val="center"/>
                </w:tcPr>
                <w:p>
                  <w:pPr>
                    <w:pStyle w:val="19"/>
                    <w:adjustRightInd w:val="0"/>
                    <w:snapToGrid w:val="0"/>
                    <w:spacing w:after="0" w:line="240" w:lineRule="auto"/>
                    <w:ind w:firstLine="0"/>
                    <w:jc w:val="center"/>
                    <w:rPr>
                      <w:b/>
                      <w:sz w:val="21"/>
                      <w:szCs w:val="21"/>
                    </w:rPr>
                  </w:pPr>
                  <w:r>
                    <w:rPr>
                      <w:rFonts w:hint="eastAsia"/>
                      <w:b/>
                      <w:sz w:val="21"/>
                      <w:szCs w:val="21"/>
                    </w:rPr>
                    <w:t>项目</w:t>
                  </w:r>
                </w:p>
              </w:tc>
              <w:tc>
                <w:tcPr>
                  <w:tcW w:w="1299" w:type="dxa"/>
                  <w:vAlign w:val="center"/>
                </w:tcPr>
                <w:p>
                  <w:pPr>
                    <w:pStyle w:val="19"/>
                    <w:adjustRightInd w:val="0"/>
                    <w:snapToGrid w:val="0"/>
                    <w:spacing w:after="0" w:line="240" w:lineRule="auto"/>
                    <w:ind w:firstLine="0"/>
                    <w:jc w:val="center"/>
                    <w:rPr>
                      <w:b/>
                      <w:bCs/>
                      <w:sz w:val="21"/>
                      <w:szCs w:val="21"/>
                      <w:vertAlign w:val="subscript"/>
                    </w:rPr>
                  </w:pPr>
                  <w:r>
                    <w:rPr>
                      <w:b/>
                      <w:bCs/>
                      <w:sz w:val="21"/>
                      <w:szCs w:val="21"/>
                    </w:rPr>
                    <w:t>COD</w:t>
                  </w:r>
                  <w:r>
                    <w:rPr>
                      <w:b/>
                      <w:bCs/>
                      <w:sz w:val="21"/>
                      <w:szCs w:val="21"/>
                      <w:vertAlign w:val="subscript"/>
                    </w:rPr>
                    <w:t>cr</w:t>
                  </w:r>
                </w:p>
              </w:tc>
              <w:tc>
                <w:tcPr>
                  <w:tcW w:w="1299" w:type="dxa"/>
                  <w:vAlign w:val="center"/>
                </w:tcPr>
                <w:p>
                  <w:pPr>
                    <w:pStyle w:val="19"/>
                    <w:adjustRightInd w:val="0"/>
                    <w:snapToGrid w:val="0"/>
                    <w:spacing w:after="0" w:line="240" w:lineRule="auto"/>
                    <w:ind w:firstLine="0"/>
                    <w:jc w:val="center"/>
                    <w:rPr>
                      <w:b/>
                      <w:sz w:val="21"/>
                      <w:szCs w:val="21"/>
                    </w:rPr>
                  </w:pPr>
                  <w:r>
                    <w:rPr>
                      <w:b/>
                      <w:sz w:val="21"/>
                      <w:szCs w:val="21"/>
                    </w:rPr>
                    <w:t>BOD</w:t>
                  </w:r>
                  <w:r>
                    <w:rPr>
                      <w:b/>
                      <w:sz w:val="21"/>
                      <w:szCs w:val="21"/>
                      <w:vertAlign w:val="subscript"/>
                    </w:rPr>
                    <w:t>5</w:t>
                  </w:r>
                </w:p>
              </w:tc>
              <w:tc>
                <w:tcPr>
                  <w:tcW w:w="1487" w:type="dxa"/>
                  <w:vAlign w:val="center"/>
                </w:tcPr>
                <w:p>
                  <w:pPr>
                    <w:pStyle w:val="19"/>
                    <w:adjustRightInd w:val="0"/>
                    <w:snapToGrid w:val="0"/>
                    <w:spacing w:after="0" w:line="240" w:lineRule="auto"/>
                    <w:ind w:firstLine="0"/>
                    <w:jc w:val="center"/>
                    <w:rPr>
                      <w:b/>
                      <w:sz w:val="21"/>
                      <w:szCs w:val="21"/>
                    </w:rPr>
                  </w:pPr>
                  <w:r>
                    <w:rPr>
                      <w:b/>
                      <w:sz w:val="21"/>
                      <w:szCs w:val="21"/>
                    </w:rPr>
                    <w:t>SS</w:t>
                  </w:r>
                </w:p>
              </w:tc>
              <w:tc>
                <w:tcPr>
                  <w:tcW w:w="1301" w:type="dxa"/>
                  <w:vAlign w:val="center"/>
                </w:tcPr>
                <w:p>
                  <w:pPr>
                    <w:pStyle w:val="19"/>
                    <w:adjustRightInd w:val="0"/>
                    <w:snapToGrid w:val="0"/>
                    <w:spacing w:after="0" w:line="240" w:lineRule="auto"/>
                    <w:ind w:firstLine="0"/>
                    <w:jc w:val="center"/>
                    <w:rPr>
                      <w:b/>
                      <w:sz w:val="21"/>
                      <w:szCs w:val="21"/>
                    </w:rPr>
                  </w:pPr>
                  <w:r>
                    <w:rPr>
                      <w:b/>
                      <w:sz w:val="21"/>
                      <w:szCs w:val="21"/>
                    </w:rPr>
                    <w:t>NH</w:t>
                  </w:r>
                  <w:r>
                    <w:rPr>
                      <w:b/>
                      <w:sz w:val="21"/>
                      <w:szCs w:val="21"/>
                      <w:vertAlign w:val="subscript"/>
                    </w:rPr>
                    <w:t>3</w:t>
                  </w:r>
                  <w:r>
                    <w:rPr>
                      <w:b/>
                      <w:sz w:val="21"/>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8" w:hRule="atLeast"/>
                <w:jc w:val="center"/>
              </w:trPr>
              <w:tc>
                <w:tcPr>
                  <w:tcW w:w="1853" w:type="dxa"/>
                  <w:vMerge w:val="restart"/>
                  <w:vAlign w:val="center"/>
                </w:tcPr>
                <w:p>
                  <w:pPr>
                    <w:pStyle w:val="19"/>
                    <w:adjustRightInd w:val="0"/>
                    <w:snapToGrid w:val="0"/>
                    <w:spacing w:after="0" w:line="240" w:lineRule="auto"/>
                    <w:ind w:firstLine="0"/>
                    <w:jc w:val="center"/>
                    <w:rPr>
                      <w:sz w:val="21"/>
                      <w:szCs w:val="21"/>
                    </w:rPr>
                  </w:pPr>
                  <w:r>
                    <w:rPr>
                      <w:sz w:val="21"/>
                      <w:szCs w:val="21"/>
                    </w:rPr>
                    <w:t>生活污水（151.2m</w:t>
                  </w:r>
                  <w:r>
                    <w:rPr>
                      <w:sz w:val="21"/>
                      <w:szCs w:val="21"/>
                      <w:vertAlign w:val="superscript"/>
                    </w:rPr>
                    <w:t>3</w:t>
                  </w:r>
                  <w:r>
                    <w:rPr>
                      <w:sz w:val="21"/>
                      <w:szCs w:val="21"/>
                    </w:rPr>
                    <w:t>/a）</w:t>
                  </w:r>
                </w:p>
              </w:tc>
              <w:tc>
                <w:tcPr>
                  <w:tcW w:w="2231" w:type="dxa"/>
                  <w:vAlign w:val="center"/>
                </w:tcPr>
                <w:p>
                  <w:pPr>
                    <w:pStyle w:val="19"/>
                    <w:adjustRightInd w:val="0"/>
                    <w:snapToGrid w:val="0"/>
                    <w:spacing w:after="0" w:line="240" w:lineRule="auto"/>
                    <w:ind w:firstLine="0"/>
                    <w:jc w:val="center"/>
                    <w:rPr>
                      <w:sz w:val="21"/>
                      <w:szCs w:val="21"/>
                    </w:rPr>
                  </w:pPr>
                  <w:r>
                    <w:rPr>
                      <w:sz w:val="21"/>
                      <w:szCs w:val="21"/>
                    </w:rPr>
                    <w:t>产生浓度(mg/L)</w:t>
                  </w:r>
                </w:p>
              </w:tc>
              <w:tc>
                <w:tcPr>
                  <w:tcW w:w="1299" w:type="dxa"/>
                  <w:vAlign w:val="center"/>
                </w:tcPr>
                <w:p>
                  <w:pPr>
                    <w:pStyle w:val="19"/>
                    <w:adjustRightInd w:val="0"/>
                    <w:snapToGrid w:val="0"/>
                    <w:spacing w:after="0" w:line="240" w:lineRule="auto"/>
                    <w:ind w:firstLine="0"/>
                    <w:jc w:val="center"/>
                    <w:rPr>
                      <w:sz w:val="21"/>
                      <w:szCs w:val="21"/>
                    </w:rPr>
                  </w:pPr>
                  <w:r>
                    <w:rPr>
                      <w:sz w:val="21"/>
                      <w:szCs w:val="21"/>
                    </w:rPr>
                    <w:t>250</w:t>
                  </w:r>
                </w:p>
              </w:tc>
              <w:tc>
                <w:tcPr>
                  <w:tcW w:w="1299" w:type="dxa"/>
                  <w:vAlign w:val="center"/>
                </w:tcPr>
                <w:p>
                  <w:pPr>
                    <w:pStyle w:val="19"/>
                    <w:adjustRightInd w:val="0"/>
                    <w:snapToGrid w:val="0"/>
                    <w:spacing w:after="0" w:line="240" w:lineRule="auto"/>
                    <w:ind w:firstLine="0"/>
                    <w:jc w:val="center"/>
                    <w:rPr>
                      <w:sz w:val="21"/>
                      <w:szCs w:val="21"/>
                    </w:rPr>
                  </w:pPr>
                  <w:r>
                    <w:rPr>
                      <w:sz w:val="21"/>
                      <w:szCs w:val="21"/>
                    </w:rPr>
                    <w:t>150</w:t>
                  </w:r>
                </w:p>
              </w:tc>
              <w:tc>
                <w:tcPr>
                  <w:tcW w:w="1487" w:type="dxa"/>
                  <w:vAlign w:val="center"/>
                </w:tcPr>
                <w:p>
                  <w:pPr>
                    <w:pStyle w:val="19"/>
                    <w:adjustRightInd w:val="0"/>
                    <w:snapToGrid w:val="0"/>
                    <w:spacing w:after="0" w:line="240" w:lineRule="auto"/>
                    <w:ind w:firstLine="0"/>
                    <w:jc w:val="center"/>
                    <w:rPr>
                      <w:sz w:val="21"/>
                      <w:szCs w:val="21"/>
                    </w:rPr>
                  </w:pPr>
                  <w:r>
                    <w:rPr>
                      <w:sz w:val="21"/>
                      <w:szCs w:val="21"/>
                    </w:rPr>
                    <w:t>150</w:t>
                  </w:r>
                </w:p>
              </w:tc>
              <w:tc>
                <w:tcPr>
                  <w:tcW w:w="1301" w:type="dxa"/>
                  <w:vAlign w:val="center"/>
                </w:tcPr>
                <w:p>
                  <w:pPr>
                    <w:pStyle w:val="19"/>
                    <w:adjustRightInd w:val="0"/>
                    <w:snapToGrid w:val="0"/>
                    <w:spacing w:after="0" w:line="240" w:lineRule="auto"/>
                    <w:ind w:firstLine="0"/>
                    <w:jc w:val="center"/>
                    <w:rPr>
                      <w:sz w:val="21"/>
                      <w:szCs w:val="21"/>
                    </w:rPr>
                  </w:pPr>
                  <w:r>
                    <w:rPr>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8" w:hRule="atLeast"/>
                <w:jc w:val="center"/>
              </w:trPr>
              <w:tc>
                <w:tcPr>
                  <w:tcW w:w="1853" w:type="dxa"/>
                  <w:vMerge w:val="continue"/>
                  <w:vAlign w:val="center"/>
                </w:tcPr>
                <w:p>
                  <w:pPr>
                    <w:widowControl/>
                    <w:jc w:val="center"/>
                    <w:rPr>
                      <w:szCs w:val="21"/>
                    </w:rPr>
                  </w:pPr>
                </w:p>
              </w:tc>
              <w:tc>
                <w:tcPr>
                  <w:tcW w:w="2231" w:type="dxa"/>
                  <w:vAlign w:val="center"/>
                </w:tcPr>
                <w:p>
                  <w:pPr>
                    <w:pStyle w:val="19"/>
                    <w:adjustRightInd w:val="0"/>
                    <w:snapToGrid w:val="0"/>
                    <w:spacing w:after="0" w:line="240" w:lineRule="auto"/>
                    <w:ind w:firstLine="0"/>
                    <w:jc w:val="center"/>
                    <w:rPr>
                      <w:sz w:val="21"/>
                      <w:szCs w:val="21"/>
                    </w:rPr>
                  </w:pPr>
                  <w:r>
                    <w:rPr>
                      <w:sz w:val="21"/>
                      <w:szCs w:val="21"/>
                    </w:rPr>
                    <w:t>产生量(t/a)</w:t>
                  </w:r>
                </w:p>
              </w:tc>
              <w:tc>
                <w:tcPr>
                  <w:tcW w:w="1299" w:type="dxa"/>
                  <w:vAlign w:val="center"/>
                </w:tcPr>
                <w:p>
                  <w:pPr>
                    <w:widowControl/>
                    <w:jc w:val="center"/>
                    <w:rPr>
                      <w:rFonts w:eastAsia="等线"/>
                      <w:kern w:val="0"/>
                      <w:szCs w:val="21"/>
                    </w:rPr>
                  </w:pPr>
                  <w:r>
                    <w:rPr>
                      <w:szCs w:val="21"/>
                    </w:rPr>
                    <w:t xml:space="preserve">0.038 </w:t>
                  </w:r>
                </w:p>
              </w:tc>
              <w:tc>
                <w:tcPr>
                  <w:tcW w:w="1299" w:type="dxa"/>
                  <w:vAlign w:val="center"/>
                </w:tcPr>
                <w:p>
                  <w:pPr>
                    <w:jc w:val="center"/>
                    <w:rPr>
                      <w:rFonts w:eastAsia="等线"/>
                      <w:szCs w:val="21"/>
                    </w:rPr>
                  </w:pPr>
                  <w:r>
                    <w:rPr>
                      <w:szCs w:val="21"/>
                    </w:rPr>
                    <w:t xml:space="preserve">0.023 </w:t>
                  </w:r>
                </w:p>
              </w:tc>
              <w:tc>
                <w:tcPr>
                  <w:tcW w:w="1487" w:type="dxa"/>
                  <w:vAlign w:val="center"/>
                </w:tcPr>
                <w:p>
                  <w:pPr>
                    <w:jc w:val="center"/>
                    <w:rPr>
                      <w:rFonts w:eastAsia="等线"/>
                      <w:szCs w:val="21"/>
                    </w:rPr>
                  </w:pPr>
                  <w:r>
                    <w:rPr>
                      <w:szCs w:val="21"/>
                    </w:rPr>
                    <w:t>0.023</w:t>
                  </w:r>
                </w:p>
              </w:tc>
              <w:tc>
                <w:tcPr>
                  <w:tcW w:w="1301" w:type="dxa"/>
                  <w:vAlign w:val="center"/>
                </w:tcPr>
                <w:p>
                  <w:pPr>
                    <w:jc w:val="center"/>
                    <w:rPr>
                      <w:rFonts w:eastAsia="等线"/>
                      <w:szCs w:val="21"/>
                    </w:rPr>
                  </w:pPr>
                  <w:r>
                    <w:rPr>
                      <w:szCs w:val="21"/>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8" w:hRule="atLeast"/>
                <w:jc w:val="center"/>
              </w:trPr>
              <w:tc>
                <w:tcPr>
                  <w:tcW w:w="1853" w:type="dxa"/>
                  <w:vMerge w:val="continue"/>
                  <w:vAlign w:val="center"/>
                </w:tcPr>
                <w:p>
                  <w:pPr>
                    <w:widowControl/>
                    <w:jc w:val="center"/>
                    <w:rPr>
                      <w:szCs w:val="21"/>
                    </w:rPr>
                  </w:pPr>
                </w:p>
              </w:tc>
              <w:tc>
                <w:tcPr>
                  <w:tcW w:w="2231" w:type="dxa"/>
                  <w:vAlign w:val="center"/>
                </w:tcPr>
                <w:p>
                  <w:pPr>
                    <w:pStyle w:val="19"/>
                    <w:adjustRightInd w:val="0"/>
                    <w:snapToGrid w:val="0"/>
                    <w:spacing w:after="0" w:line="240" w:lineRule="auto"/>
                    <w:ind w:firstLine="0"/>
                    <w:jc w:val="center"/>
                    <w:rPr>
                      <w:sz w:val="21"/>
                      <w:szCs w:val="21"/>
                    </w:rPr>
                  </w:pPr>
                  <w:r>
                    <w:rPr>
                      <w:sz w:val="21"/>
                      <w:szCs w:val="21"/>
                    </w:rPr>
                    <w:t>排放浓度(mg/L)</w:t>
                  </w:r>
                </w:p>
              </w:tc>
              <w:tc>
                <w:tcPr>
                  <w:tcW w:w="1299" w:type="dxa"/>
                  <w:vAlign w:val="center"/>
                </w:tcPr>
                <w:p>
                  <w:pPr>
                    <w:pStyle w:val="19"/>
                    <w:adjustRightInd w:val="0"/>
                    <w:snapToGrid w:val="0"/>
                    <w:spacing w:after="0" w:line="240" w:lineRule="auto"/>
                    <w:ind w:firstLine="0"/>
                    <w:jc w:val="center"/>
                    <w:rPr>
                      <w:sz w:val="21"/>
                      <w:szCs w:val="21"/>
                    </w:rPr>
                  </w:pPr>
                  <w:r>
                    <w:rPr>
                      <w:sz w:val="21"/>
                      <w:szCs w:val="21"/>
                    </w:rPr>
                    <w:t>200</w:t>
                  </w:r>
                </w:p>
              </w:tc>
              <w:tc>
                <w:tcPr>
                  <w:tcW w:w="1299" w:type="dxa"/>
                  <w:vAlign w:val="center"/>
                </w:tcPr>
                <w:p>
                  <w:pPr>
                    <w:pStyle w:val="19"/>
                    <w:adjustRightInd w:val="0"/>
                    <w:snapToGrid w:val="0"/>
                    <w:spacing w:after="0" w:line="240" w:lineRule="auto"/>
                    <w:ind w:firstLine="0"/>
                    <w:jc w:val="center"/>
                    <w:rPr>
                      <w:sz w:val="21"/>
                      <w:szCs w:val="21"/>
                    </w:rPr>
                  </w:pPr>
                  <w:r>
                    <w:rPr>
                      <w:sz w:val="21"/>
                      <w:szCs w:val="21"/>
                    </w:rPr>
                    <w:t>100</w:t>
                  </w:r>
                </w:p>
              </w:tc>
              <w:tc>
                <w:tcPr>
                  <w:tcW w:w="1487" w:type="dxa"/>
                  <w:vAlign w:val="center"/>
                </w:tcPr>
                <w:p>
                  <w:pPr>
                    <w:pStyle w:val="19"/>
                    <w:adjustRightInd w:val="0"/>
                    <w:snapToGrid w:val="0"/>
                    <w:spacing w:after="0" w:line="240" w:lineRule="auto"/>
                    <w:ind w:firstLine="0"/>
                    <w:jc w:val="center"/>
                    <w:rPr>
                      <w:sz w:val="21"/>
                      <w:szCs w:val="21"/>
                    </w:rPr>
                  </w:pPr>
                  <w:r>
                    <w:rPr>
                      <w:sz w:val="21"/>
                      <w:szCs w:val="21"/>
                    </w:rPr>
                    <w:t>100</w:t>
                  </w:r>
                </w:p>
              </w:tc>
              <w:tc>
                <w:tcPr>
                  <w:tcW w:w="1301" w:type="dxa"/>
                  <w:vAlign w:val="center"/>
                </w:tcPr>
                <w:p>
                  <w:pPr>
                    <w:pStyle w:val="19"/>
                    <w:adjustRightInd w:val="0"/>
                    <w:snapToGrid w:val="0"/>
                    <w:spacing w:after="0" w:line="240" w:lineRule="auto"/>
                    <w:ind w:firstLine="0"/>
                    <w:jc w:val="center"/>
                    <w:rPr>
                      <w:sz w:val="21"/>
                      <w:szCs w:val="21"/>
                    </w:rPr>
                  </w:pPr>
                  <w:r>
                    <w:rPr>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8" w:hRule="atLeast"/>
                <w:jc w:val="center"/>
              </w:trPr>
              <w:tc>
                <w:tcPr>
                  <w:tcW w:w="1853" w:type="dxa"/>
                  <w:vMerge w:val="continue"/>
                  <w:vAlign w:val="center"/>
                </w:tcPr>
                <w:p>
                  <w:pPr>
                    <w:widowControl/>
                    <w:jc w:val="center"/>
                    <w:rPr>
                      <w:szCs w:val="21"/>
                    </w:rPr>
                  </w:pPr>
                </w:p>
              </w:tc>
              <w:tc>
                <w:tcPr>
                  <w:tcW w:w="2231" w:type="dxa"/>
                  <w:vAlign w:val="center"/>
                </w:tcPr>
                <w:p>
                  <w:pPr>
                    <w:pStyle w:val="19"/>
                    <w:adjustRightInd w:val="0"/>
                    <w:snapToGrid w:val="0"/>
                    <w:spacing w:after="0" w:line="240" w:lineRule="auto"/>
                    <w:ind w:firstLine="0"/>
                    <w:jc w:val="center"/>
                    <w:rPr>
                      <w:sz w:val="21"/>
                      <w:szCs w:val="21"/>
                    </w:rPr>
                  </w:pPr>
                  <w:r>
                    <w:rPr>
                      <w:sz w:val="21"/>
                      <w:szCs w:val="21"/>
                    </w:rPr>
                    <w:t>排放量(t/a)</w:t>
                  </w:r>
                </w:p>
              </w:tc>
              <w:tc>
                <w:tcPr>
                  <w:tcW w:w="1299" w:type="dxa"/>
                  <w:vAlign w:val="center"/>
                </w:tcPr>
                <w:p>
                  <w:pPr>
                    <w:widowControl/>
                    <w:jc w:val="center"/>
                    <w:rPr>
                      <w:rFonts w:eastAsia="等线"/>
                      <w:kern w:val="0"/>
                      <w:szCs w:val="21"/>
                    </w:rPr>
                  </w:pPr>
                  <w:r>
                    <w:rPr>
                      <w:szCs w:val="21"/>
                    </w:rPr>
                    <w:t xml:space="preserve">0.030 </w:t>
                  </w:r>
                </w:p>
              </w:tc>
              <w:tc>
                <w:tcPr>
                  <w:tcW w:w="1299" w:type="dxa"/>
                  <w:vAlign w:val="center"/>
                </w:tcPr>
                <w:p>
                  <w:pPr>
                    <w:jc w:val="center"/>
                    <w:rPr>
                      <w:rFonts w:eastAsia="等线"/>
                      <w:szCs w:val="21"/>
                    </w:rPr>
                  </w:pPr>
                  <w:r>
                    <w:rPr>
                      <w:szCs w:val="21"/>
                    </w:rPr>
                    <w:t xml:space="preserve">0.015 </w:t>
                  </w:r>
                </w:p>
              </w:tc>
              <w:tc>
                <w:tcPr>
                  <w:tcW w:w="1487" w:type="dxa"/>
                  <w:vAlign w:val="center"/>
                </w:tcPr>
                <w:p>
                  <w:pPr>
                    <w:jc w:val="center"/>
                    <w:rPr>
                      <w:rFonts w:eastAsia="等线"/>
                      <w:szCs w:val="21"/>
                    </w:rPr>
                  </w:pPr>
                  <w:r>
                    <w:rPr>
                      <w:szCs w:val="21"/>
                    </w:rPr>
                    <w:t xml:space="preserve">0.015 </w:t>
                  </w:r>
                </w:p>
              </w:tc>
              <w:tc>
                <w:tcPr>
                  <w:tcW w:w="1301" w:type="dxa"/>
                  <w:vAlign w:val="center"/>
                </w:tcPr>
                <w:p>
                  <w:pPr>
                    <w:jc w:val="center"/>
                    <w:rPr>
                      <w:rFonts w:eastAsia="等线"/>
                      <w:szCs w:val="21"/>
                    </w:rPr>
                  </w:pPr>
                  <w:r>
                    <w:rPr>
                      <w:szCs w:val="21"/>
                    </w:rPr>
                    <w:t xml:space="preserve">0.004 </w:t>
                  </w:r>
                </w:p>
              </w:tc>
            </w:tr>
          </w:tbl>
          <w:p>
            <w:pPr>
              <w:tabs>
                <w:tab w:val="left" w:pos="2940"/>
              </w:tabs>
              <w:spacing w:line="360" w:lineRule="auto"/>
              <w:ind w:firstLine="480" w:firstLineChars="200"/>
              <w:rPr>
                <w:sz w:val="24"/>
              </w:rPr>
            </w:pPr>
            <w:r>
              <w:rPr>
                <w:kern w:val="0"/>
                <w:sz w:val="24"/>
                <w:szCs w:val="18"/>
              </w:rPr>
              <w:t>生活污水的污染物主要为</w:t>
            </w:r>
            <w:r>
              <w:rPr>
                <w:sz w:val="24"/>
                <w:szCs w:val="18"/>
              </w:rPr>
              <w:t>COD</w:t>
            </w:r>
            <w:r>
              <w:rPr>
                <w:sz w:val="24"/>
                <w:szCs w:val="18"/>
                <w:vertAlign w:val="subscript"/>
              </w:rPr>
              <w:t>cr</w:t>
            </w:r>
            <w:r>
              <w:rPr>
                <w:sz w:val="24"/>
                <w:szCs w:val="18"/>
                <w:lang w:val="zh-CN"/>
              </w:rPr>
              <w:t>、</w:t>
            </w:r>
            <w:r>
              <w:rPr>
                <w:sz w:val="24"/>
                <w:szCs w:val="18"/>
              </w:rPr>
              <w:t>BOD</w:t>
            </w:r>
            <w:r>
              <w:rPr>
                <w:sz w:val="24"/>
                <w:szCs w:val="18"/>
                <w:vertAlign w:val="subscript"/>
              </w:rPr>
              <w:t>5</w:t>
            </w:r>
            <w:r>
              <w:rPr>
                <w:sz w:val="24"/>
                <w:szCs w:val="18"/>
                <w:lang w:val="zh-CN"/>
              </w:rPr>
              <w:t>、</w:t>
            </w:r>
            <w:r>
              <w:rPr>
                <w:sz w:val="24"/>
                <w:szCs w:val="18"/>
              </w:rPr>
              <w:t>SS</w:t>
            </w:r>
            <w:r>
              <w:rPr>
                <w:sz w:val="24"/>
                <w:szCs w:val="18"/>
                <w:lang w:val="zh-CN"/>
              </w:rPr>
              <w:t>、氨氮等。</w:t>
            </w:r>
            <w:r>
              <w:rPr>
                <w:kern w:val="0"/>
                <w:sz w:val="24"/>
                <w:szCs w:val="18"/>
              </w:rPr>
              <w:t>生活污水</w:t>
            </w:r>
            <w:r>
              <w:rPr>
                <w:sz w:val="24"/>
                <w:szCs w:val="18"/>
              </w:rPr>
              <w:t>三级</w:t>
            </w:r>
            <w:r>
              <w:rPr>
                <w:sz w:val="24"/>
                <w:szCs w:val="18"/>
                <w:lang w:val="zh-CN"/>
              </w:rPr>
              <w:t>化粪池处理</w:t>
            </w:r>
            <w:r>
              <w:rPr>
                <w:sz w:val="24"/>
                <w:szCs w:val="18"/>
              </w:rPr>
              <w:t>达到</w:t>
            </w:r>
            <w:r>
              <w:rPr>
                <w:sz w:val="24"/>
                <w:szCs w:val="18"/>
                <w:lang w:val="zh-CN"/>
              </w:rPr>
              <w:t>《农田灌溉水质标准》（GB5084-2005）表1旱作标准后</w:t>
            </w:r>
            <w:r>
              <w:rPr>
                <w:rFonts w:hint="eastAsia"/>
                <w:sz w:val="24"/>
              </w:rPr>
              <w:t>排入灌溉水沟</w:t>
            </w:r>
            <w:r>
              <w:rPr>
                <w:sz w:val="24"/>
              </w:rPr>
              <w:t>，厂区不设置生活污水排放口。</w:t>
            </w:r>
          </w:p>
          <w:p>
            <w:pPr>
              <w:tabs>
                <w:tab w:val="left" w:pos="2940"/>
              </w:tabs>
              <w:spacing w:line="360" w:lineRule="auto"/>
              <w:ind w:firstLine="482" w:firstLineChars="200"/>
              <w:rPr>
                <w:b/>
                <w:sz w:val="24"/>
              </w:rPr>
            </w:pPr>
            <w:r>
              <w:rPr>
                <w:b/>
                <w:sz w:val="24"/>
              </w:rPr>
              <w:t>2、</w:t>
            </w:r>
            <w:r>
              <w:rPr>
                <w:rFonts w:hint="eastAsia"/>
                <w:b/>
                <w:sz w:val="24"/>
              </w:rPr>
              <w:t>大气污染源</w:t>
            </w:r>
          </w:p>
          <w:p>
            <w:pPr>
              <w:autoSpaceDE w:val="0"/>
              <w:autoSpaceDN w:val="0"/>
              <w:adjustRightInd w:val="0"/>
              <w:spacing w:line="360" w:lineRule="auto"/>
              <w:ind w:firstLine="480" w:firstLineChars="200"/>
              <w:rPr>
                <w:kern w:val="0"/>
                <w:sz w:val="24"/>
              </w:rPr>
            </w:pPr>
            <w:r>
              <w:rPr>
                <w:kern w:val="0"/>
                <w:sz w:val="24"/>
              </w:rPr>
              <w:t>本项目主要水洗高岭土并根据物料的密度和粒径进行物理筛分，项目生产所需原料均由铲车装入链式喂料机，通过输送带将材料输送到滚动筛前端进行高压水冲洗，其中筛分、洗沙、旋流分离、脱水、压滤等均在密闭容器内进行，原料均加水形成沙浆，不会产生粉尘。项目产生的废气主要为装卸工序粉尘、堆场粉尘和卸料粉尘。</w:t>
            </w:r>
          </w:p>
          <w:p>
            <w:pPr>
              <w:autoSpaceDE w:val="0"/>
              <w:autoSpaceDN w:val="0"/>
              <w:adjustRightInd w:val="0"/>
              <w:spacing w:line="360" w:lineRule="auto"/>
              <w:ind w:firstLine="480" w:firstLineChars="200"/>
              <w:jc w:val="left"/>
              <w:rPr>
                <w:rFonts w:ascii="宋体" w:cs="宋体"/>
                <w:kern w:val="0"/>
                <w:sz w:val="24"/>
              </w:rPr>
            </w:pPr>
            <w:r>
              <w:rPr>
                <w:rFonts w:hint="eastAsia" w:ascii="宋体" w:cs="宋体"/>
                <w:kern w:val="0"/>
                <w:sz w:val="24"/>
              </w:rPr>
              <w:t>（</w:t>
            </w:r>
            <w:r>
              <w:rPr>
                <w:rFonts w:ascii="TimesNewRomanPSMT" w:hAnsi="TimesNewRomanPSMT" w:cs="TimesNewRomanPSMT"/>
                <w:kern w:val="0"/>
                <w:sz w:val="24"/>
              </w:rPr>
              <w:t>1</w:t>
            </w:r>
            <w:r>
              <w:rPr>
                <w:rFonts w:hint="eastAsia" w:ascii="宋体" w:cs="宋体"/>
                <w:kern w:val="0"/>
                <w:sz w:val="24"/>
              </w:rPr>
              <w:t>）投料工序扬尘</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项目在投料工序可能会产生一定量的粉尘，投料时粉尘含水率为</w:t>
            </w:r>
            <w:r>
              <w:rPr>
                <w:rFonts w:ascii="TimesNewRomanPSMT" w:hAnsi="TimesNewRomanPSMT" w:cs="TimesNewRomanPSMT"/>
                <w:kern w:val="0"/>
                <w:sz w:val="24"/>
              </w:rPr>
              <w:t>13%</w:t>
            </w:r>
            <w:r>
              <w:rPr>
                <w:rFonts w:hint="eastAsia" w:ascii="宋体" w:cs="宋体"/>
                <w:kern w:val="0"/>
                <w:sz w:val="24"/>
              </w:rPr>
              <w:t>，物料投放粉尘产生量根据《逸散性工业粉尘控制技术》前端式装载机在卸料运行时的排放公式计算：</w:t>
            </w:r>
          </w:p>
          <w:p>
            <w:pPr>
              <w:autoSpaceDE w:val="0"/>
              <w:autoSpaceDN w:val="0"/>
              <w:adjustRightInd w:val="0"/>
              <w:jc w:val="center"/>
              <w:rPr>
                <w:rFonts w:ascii="宋体" w:cs="宋体"/>
                <w:kern w:val="0"/>
                <w:sz w:val="28"/>
                <w:szCs w:val="28"/>
              </w:rPr>
            </w:pPr>
            <w:r>
              <w:drawing>
                <wp:inline distT="0" distB="0" distL="0" distR="0">
                  <wp:extent cx="2346960" cy="49847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0"/>
                          <a:stretch>
                            <a:fillRect/>
                          </a:stretch>
                        </pic:blipFill>
                        <pic:spPr>
                          <a:xfrm>
                            <a:off x="0" y="0"/>
                            <a:ext cx="2379894" cy="505728"/>
                          </a:xfrm>
                          <a:prstGeom prst="rect">
                            <a:avLst/>
                          </a:prstGeom>
                        </pic:spPr>
                      </pic:pic>
                    </a:graphicData>
                  </a:graphic>
                </wp:inline>
              </w:drawing>
            </w:r>
          </w:p>
          <w:p>
            <w:pPr>
              <w:autoSpaceDE w:val="0"/>
              <w:autoSpaceDN w:val="0"/>
              <w:adjustRightInd w:val="0"/>
              <w:spacing w:line="360" w:lineRule="auto"/>
              <w:ind w:firstLine="480" w:firstLineChars="200"/>
              <w:jc w:val="left"/>
              <w:rPr>
                <w:kern w:val="0"/>
                <w:sz w:val="24"/>
              </w:rPr>
            </w:pPr>
            <w:r>
              <w:rPr>
                <w:kern w:val="0"/>
                <w:sz w:val="24"/>
              </w:rPr>
              <w:t>式中：</w:t>
            </w:r>
          </w:p>
          <w:p>
            <w:pPr>
              <w:autoSpaceDE w:val="0"/>
              <w:autoSpaceDN w:val="0"/>
              <w:adjustRightInd w:val="0"/>
              <w:spacing w:line="360" w:lineRule="auto"/>
              <w:ind w:firstLine="480" w:firstLineChars="200"/>
              <w:jc w:val="left"/>
              <w:rPr>
                <w:kern w:val="0"/>
                <w:sz w:val="24"/>
              </w:rPr>
            </w:pPr>
            <w:r>
              <w:rPr>
                <w:kern w:val="0"/>
                <w:sz w:val="24"/>
              </w:rPr>
              <w:t>EF——排放因子，kg/t（批量上堆物料）；</w:t>
            </w:r>
          </w:p>
          <w:p>
            <w:pPr>
              <w:autoSpaceDE w:val="0"/>
              <w:autoSpaceDN w:val="0"/>
              <w:adjustRightInd w:val="0"/>
              <w:spacing w:line="360" w:lineRule="auto"/>
              <w:ind w:firstLine="480" w:firstLineChars="200"/>
              <w:jc w:val="left"/>
              <w:rPr>
                <w:kern w:val="0"/>
                <w:sz w:val="24"/>
              </w:rPr>
            </w:pPr>
            <w:r>
              <w:rPr>
                <w:kern w:val="0"/>
                <w:sz w:val="24"/>
              </w:rPr>
              <w:t>S——物料的粉沙含量，重量%，本项目物料为高岭土，参考表土的粉沙含量为40%；</w:t>
            </w:r>
          </w:p>
          <w:p>
            <w:pPr>
              <w:autoSpaceDE w:val="0"/>
              <w:autoSpaceDN w:val="0"/>
              <w:adjustRightInd w:val="0"/>
              <w:spacing w:line="360" w:lineRule="auto"/>
              <w:ind w:firstLine="480" w:firstLineChars="200"/>
              <w:jc w:val="left"/>
              <w:rPr>
                <w:kern w:val="0"/>
                <w:sz w:val="24"/>
              </w:rPr>
            </w:pPr>
            <w:r>
              <w:rPr>
                <w:kern w:val="0"/>
                <w:sz w:val="24"/>
              </w:rPr>
              <w:t>M——储料含水分，重量%，本项目为13%。</w:t>
            </w:r>
          </w:p>
          <w:p>
            <w:pPr>
              <w:autoSpaceDE w:val="0"/>
              <w:autoSpaceDN w:val="0"/>
              <w:adjustRightInd w:val="0"/>
              <w:spacing w:line="360" w:lineRule="auto"/>
              <w:ind w:firstLine="480" w:firstLineChars="200"/>
              <w:jc w:val="left"/>
              <w:rPr>
                <w:kern w:val="0"/>
                <w:sz w:val="24"/>
              </w:rPr>
            </w:pPr>
            <w:r>
              <w:rPr>
                <w:kern w:val="0"/>
                <w:sz w:val="24"/>
              </w:rPr>
              <w:t>U——平均风速，m/s，年平均风速为2.3m/s;</w:t>
            </w:r>
          </w:p>
          <w:p>
            <w:pPr>
              <w:autoSpaceDE w:val="0"/>
              <w:autoSpaceDN w:val="0"/>
              <w:adjustRightInd w:val="0"/>
              <w:spacing w:line="360" w:lineRule="auto"/>
              <w:ind w:firstLine="480" w:firstLineChars="200"/>
              <w:jc w:val="left"/>
              <w:rPr>
                <w:kern w:val="0"/>
                <w:sz w:val="24"/>
              </w:rPr>
            </w:pPr>
            <w:r>
              <w:rPr>
                <w:kern w:val="0"/>
                <w:sz w:val="24"/>
              </w:rPr>
              <w:t>Y——装载机的有效容量，m</w:t>
            </w:r>
            <w:r>
              <w:rPr>
                <w:kern w:val="0"/>
                <w:sz w:val="24"/>
                <w:vertAlign w:val="superscript"/>
              </w:rPr>
              <w:t>3</w:t>
            </w:r>
            <w:r>
              <w:rPr>
                <w:kern w:val="0"/>
                <w:sz w:val="24"/>
              </w:rPr>
              <w:t>，本项目喂料机的容量为10m</w:t>
            </w:r>
            <w:r>
              <w:rPr>
                <w:kern w:val="0"/>
                <w:sz w:val="24"/>
                <w:vertAlign w:val="superscript"/>
              </w:rPr>
              <w:t>3</w:t>
            </w:r>
            <w:r>
              <w:rPr>
                <w:kern w:val="0"/>
                <w:sz w:val="24"/>
              </w:rPr>
              <w:t>。</w:t>
            </w:r>
          </w:p>
          <w:p>
            <w:pPr>
              <w:autoSpaceDE w:val="0"/>
              <w:autoSpaceDN w:val="0"/>
              <w:adjustRightInd w:val="0"/>
              <w:spacing w:line="360" w:lineRule="auto"/>
              <w:ind w:firstLine="480" w:firstLineChars="200"/>
              <w:rPr>
                <w:kern w:val="0"/>
                <w:sz w:val="24"/>
              </w:rPr>
            </w:pPr>
            <w:r>
              <w:rPr>
                <w:kern w:val="0"/>
                <w:sz w:val="24"/>
              </w:rPr>
              <w:t>根据公式计算，本项目投料粉尘产生系数为2.6×10</w:t>
            </w:r>
            <w:r>
              <w:rPr>
                <w:kern w:val="0"/>
                <w:sz w:val="24"/>
                <w:vertAlign w:val="superscript"/>
              </w:rPr>
              <w:t>-3</w:t>
            </w:r>
            <w:r>
              <w:rPr>
                <w:kern w:val="0"/>
                <w:sz w:val="24"/>
              </w:rPr>
              <w:t>kg/t。本项目处理高岭土4.6万吨/年，则投料粉尘产生量为0.12t/a，产生速率为0.048kg/h（按照年工作280日，每日投料时间为8h计算）。项目在投料工序安装喷雾降尘装置，根据《逸散性工业粉尘控制技术》，喷雾降尘装置去除粉尘效率不低于50%，则投料粉尘排放量为0.054t/a，排放速率为0.024kg/h。本项目投料采取轻放、密闭等措施，输送带为全封闭，传输过程中无粉尘产生，原料和投料车间为一个整体车间，统称为原料车间，通过加装彩钢板，做好密封阻挡隔尘工作，防止该区域粉尘扩散至其他生产区域及厂外。</w:t>
            </w:r>
          </w:p>
          <w:p>
            <w:pPr>
              <w:autoSpaceDE w:val="0"/>
              <w:autoSpaceDN w:val="0"/>
              <w:adjustRightInd w:val="0"/>
              <w:spacing w:line="360" w:lineRule="auto"/>
              <w:ind w:firstLine="480" w:firstLineChars="200"/>
              <w:jc w:val="left"/>
              <w:rPr>
                <w:rFonts w:ascii="宋体" w:cs="宋体"/>
                <w:kern w:val="0"/>
                <w:sz w:val="24"/>
              </w:rPr>
            </w:pPr>
            <w:r>
              <w:rPr>
                <w:rFonts w:hint="eastAsia" w:ascii="宋体" w:cs="宋体"/>
                <w:kern w:val="0"/>
                <w:sz w:val="24"/>
              </w:rPr>
              <w:t>（</w:t>
            </w:r>
            <w:r>
              <w:rPr>
                <w:rFonts w:ascii="TimesNewRomanPSMT" w:hAnsi="TimesNewRomanPSMT" w:cs="TimesNewRomanPSMT"/>
                <w:kern w:val="0"/>
                <w:sz w:val="24"/>
              </w:rPr>
              <w:t>2</w:t>
            </w:r>
            <w:r>
              <w:rPr>
                <w:rFonts w:hint="eastAsia" w:ascii="宋体" w:cs="宋体"/>
                <w:kern w:val="0"/>
                <w:sz w:val="24"/>
              </w:rPr>
              <w:t>）堆场粉尘</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高岭土在堆场时起尘量受风速、堆体几何形状、密度、含水率等多种因素影响，本评价引用风洞实验计算公式估算堆场起尘量：</w:t>
            </w:r>
          </w:p>
          <w:p>
            <w:pPr>
              <w:autoSpaceDE w:val="0"/>
              <w:autoSpaceDN w:val="0"/>
              <w:adjustRightInd w:val="0"/>
              <w:spacing w:line="360" w:lineRule="auto"/>
              <w:ind w:firstLine="480" w:firstLineChars="200"/>
              <w:jc w:val="center"/>
              <w:rPr>
                <w:rFonts w:ascii="宋体" w:cs="宋体"/>
                <w:kern w:val="0"/>
                <w:sz w:val="24"/>
              </w:rPr>
            </w:pPr>
            <w:r>
              <w:rPr>
                <w:rFonts w:ascii="宋体" w:cs="宋体"/>
                <w:kern w:val="0"/>
                <w:sz w:val="24"/>
              </w:rPr>
              <w:drawing>
                <wp:inline distT="0" distB="0" distL="0" distR="0">
                  <wp:extent cx="1348740" cy="297180"/>
                  <wp:effectExtent l="0" t="0" r="3810" b="762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353324" cy="298190"/>
                          </a:xfrm>
                          <a:prstGeom prst="rect">
                            <a:avLst/>
                          </a:prstGeom>
                          <a:noFill/>
                          <a:ln>
                            <a:noFill/>
                          </a:ln>
                        </pic:spPr>
                      </pic:pic>
                    </a:graphicData>
                  </a:graphic>
                </wp:inline>
              </w:drawing>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式中：</w:t>
            </w:r>
          </w:p>
          <w:p>
            <w:pPr>
              <w:autoSpaceDE w:val="0"/>
              <w:autoSpaceDN w:val="0"/>
              <w:adjustRightInd w:val="0"/>
              <w:spacing w:line="360" w:lineRule="auto"/>
              <w:ind w:firstLine="480" w:firstLineChars="200"/>
              <w:rPr>
                <w:rFonts w:ascii="宋体" w:cs="宋体"/>
                <w:kern w:val="0"/>
                <w:sz w:val="24"/>
              </w:rPr>
            </w:pPr>
            <w:r>
              <w:rPr>
                <w:rFonts w:ascii="TimesNewRomanPSMT" w:hAnsi="TimesNewRomanPSMT" w:cs="TimesNewRomanPSMT"/>
                <w:kern w:val="0"/>
                <w:sz w:val="24"/>
              </w:rPr>
              <w:t>Q</w:t>
            </w:r>
            <w:r>
              <w:rPr>
                <w:rFonts w:hint="eastAsia" w:ascii="宋体" w:cs="宋体"/>
                <w:kern w:val="0"/>
                <w:sz w:val="24"/>
              </w:rPr>
              <w:t>：起尘率，</w:t>
            </w:r>
            <w:r>
              <w:rPr>
                <w:rFonts w:ascii="TimesNewRomanPSMT" w:hAnsi="TimesNewRomanPSMT" w:cs="TimesNewRomanPSMT"/>
                <w:kern w:val="0"/>
                <w:sz w:val="24"/>
              </w:rPr>
              <w:t>kg/a</w:t>
            </w:r>
            <w:r>
              <w:rPr>
                <w:rFonts w:hint="eastAsia" w:ascii="宋体" w:cs="宋体"/>
                <w:kern w:val="0"/>
                <w:sz w:val="24"/>
              </w:rPr>
              <w:t>·</w:t>
            </w:r>
            <w:r>
              <w:rPr>
                <w:rFonts w:ascii="TimesNewRomanPSMT" w:hAnsi="TimesNewRomanPSMT" w:cs="TimesNewRomanPSMT"/>
                <w:kern w:val="0"/>
                <w:sz w:val="24"/>
              </w:rPr>
              <w:t>t-</w:t>
            </w:r>
            <w:r>
              <w:rPr>
                <w:rFonts w:hint="eastAsia" w:ascii="宋体" w:cs="宋体"/>
                <w:kern w:val="0"/>
                <w:sz w:val="24"/>
              </w:rPr>
              <w:t>物料</w:t>
            </w:r>
          </w:p>
          <w:p>
            <w:pPr>
              <w:autoSpaceDE w:val="0"/>
              <w:autoSpaceDN w:val="0"/>
              <w:adjustRightInd w:val="0"/>
              <w:spacing w:line="360" w:lineRule="auto"/>
              <w:ind w:firstLine="480" w:firstLineChars="200"/>
              <w:rPr>
                <w:rFonts w:ascii="宋体" w:cs="宋体"/>
                <w:kern w:val="0"/>
                <w:sz w:val="24"/>
              </w:rPr>
            </w:pPr>
            <w:r>
              <w:rPr>
                <w:rFonts w:ascii="TimesNewRomanPSMT" w:hAnsi="TimesNewRomanPSMT" w:cs="TimesNewRomanPSMT"/>
                <w:kern w:val="0"/>
                <w:sz w:val="24"/>
              </w:rPr>
              <w:t>u</w:t>
            </w:r>
            <w:r>
              <w:rPr>
                <w:rFonts w:hint="eastAsia" w:ascii="宋体" w:cs="宋体"/>
                <w:kern w:val="0"/>
                <w:sz w:val="24"/>
              </w:rPr>
              <w:t>：平均风速，</w:t>
            </w:r>
            <w:r>
              <w:rPr>
                <w:rFonts w:ascii="TimesNewRomanPSMT" w:hAnsi="TimesNewRomanPSMT" w:cs="TimesNewRomanPSMT"/>
                <w:kern w:val="0"/>
                <w:sz w:val="24"/>
              </w:rPr>
              <w:t>m/s</w:t>
            </w:r>
            <w:r>
              <w:rPr>
                <w:rFonts w:hint="eastAsia" w:ascii="宋体" w:cs="宋体"/>
                <w:kern w:val="0"/>
                <w:sz w:val="24"/>
              </w:rPr>
              <w:t>；</w:t>
            </w:r>
          </w:p>
          <w:p>
            <w:pPr>
              <w:autoSpaceDE w:val="0"/>
              <w:autoSpaceDN w:val="0"/>
              <w:adjustRightInd w:val="0"/>
              <w:spacing w:line="360" w:lineRule="auto"/>
              <w:ind w:firstLine="480" w:firstLineChars="200"/>
              <w:rPr>
                <w:rFonts w:ascii="宋体" w:cs="宋体"/>
                <w:kern w:val="0"/>
                <w:sz w:val="24"/>
              </w:rPr>
            </w:pPr>
            <w:r>
              <w:rPr>
                <w:rFonts w:ascii="TimesNewRomanPSMT" w:hAnsi="TimesNewRomanPSMT" w:cs="TimesNewRomanPSMT"/>
                <w:kern w:val="0"/>
                <w:sz w:val="24"/>
              </w:rPr>
              <w:t>w</w:t>
            </w:r>
            <w:r>
              <w:rPr>
                <w:rFonts w:hint="eastAsia" w:ascii="宋体" w:cs="宋体"/>
                <w:kern w:val="0"/>
                <w:sz w:val="24"/>
              </w:rPr>
              <w:t>：物料含水率，</w:t>
            </w:r>
            <w:r>
              <w:rPr>
                <w:rFonts w:ascii="TimesNewRomanPSMT" w:hAnsi="TimesNewRomanPSMT" w:cs="TimesNewRomanPSMT"/>
                <w:kern w:val="0"/>
                <w:sz w:val="24"/>
              </w:rPr>
              <w:t>%</w:t>
            </w:r>
            <w:r>
              <w:rPr>
                <w:rFonts w:hint="eastAsia" w:ascii="宋体" w:cs="宋体"/>
                <w:kern w:val="0"/>
                <w:sz w:val="24"/>
              </w:rPr>
              <w:t>。</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由于项目堆场均在厂房内，风速较小，接近静风（</w:t>
            </w:r>
            <w:r>
              <w:rPr>
                <w:rFonts w:ascii="TimesNewRomanPSMT" w:hAnsi="TimesNewRomanPSMT" w:cs="TimesNewRomanPSMT"/>
                <w:kern w:val="0"/>
                <w:sz w:val="24"/>
              </w:rPr>
              <w:t>0.5m/s</w:t>
            </w:r>
            <w:r>
              <w:rPr>
                <w:rFonts w:hint="eastAsia" w:ascii="宋体" w:cs="宋体"/>
                <w:kern w:val="0"/>
                <w:sz w:val="24"/>
              </w:rPr>
              <w:t>），且要求经常洒水，原料含水率为</w:t>
            </w:r>
            <w:r>
              <w:rPr>
                <w:rFonts w:ascii="TimesNewRomanPSMT" w:hAnsi="TimesNewRomanPSMT" w:cs="TimesNewRomanPSMT"/>
                <w:kern w:val="0"/>
                <w:sz w:val="24"/>
              </w:rPr>
              <w:t>13%~15%</w:t>
            </w:r>
            <w:r>
              <w:rPr>
                <w:rFonts w:hint="eastAsia" w:ascii="宋体" w:cs="宋体"/>
                <w:kern w:val="0"/>
                <w:sz w:val="24"/>
              </w:rPr>
              <w:t>和产品的含水率为</w:t>
            </w:r>
            <w:r>
              <w:rPr>
                <w:rFonts w:ascii="TimesNewRomanPSMT" w:hAnsi="TimesNewRomanPSMT" w:cs="TimesNewRomanPSMT"/>
                <w:kern w:val="0"/>
                <w:sz w:val="24"/>
              </w:rPr>
              <w:t>30%</w:t>
            </w:r>
            <w:r>
              <w:rPr>
                <w:rFonts w:hint="eastAsia" w:ascii="宋体" w:cs="宋体"/>
                <w:kern w:val="0"/>
                <w:sz w:val="24"/>
              </w:rPr>
              <w:t>，则每吨原料的起尘量为</w:t>
            </w:r>
            <w:r>
              <w:rPr>
                <w:rFonts w:ascii="TimesNewRomanPSMT" w:hAnsi="TimesNewRomanPSMT" w:cs="TimesNewRomanPSMT"/>
                <w:kern w:val="0"/>
                <w:sz w:val="24"/>
              </w:rPr>
              <w:t>0.0005kg/a</w:t>
            </w:r>
            <w:r>
              <w:rPr>
                <w:rFonts w:hint="eastAsia" w:ascii="宋体" w:cs="宋体"/>
                <w:kern w:val="0"/>
                <w:sz w:val="24"/>
              </w:rPr>
              <w:t>·</w:t>
            </w:r>
            <w:r>
              <w:rPr>
                <w:rFonts w:ascii="TimesNewRomanPSMT" w:hAnsi="TimesNewRomanPSMT" w:cs="TimesNewRomanPSMT"/>
                <w:kern w:val="0"/>
                <w:sz w:val="24"/>
              </w:rPr>
              <w:t>t-</w:t>
            </w:r>
            <w:r>
              <w:rPr>
                <w:rFonts w:hint="eastAsia" w:ascii="宋体" w:cs="宋体"/>
                <w:kern w:val="0"/>
                <w:sz w:val="24"/>
              </w:rPr>
              <w:t>物料每吨产品的起尘量为</w:t>
            </w:r>
            <w:r>
              <w:rPr>
                <w:rFonts w:ascii="TimesNewRomanPSMT" w:hAnsi="TimesNewRomanPSMT" w:cs="TimesNewRomanPSMT"/>
                <w:kern w:val="0"/>
                <w:sz w:val="24"/>
              </w:rPr>
              <w:t>1.69</w:t>
            </w:r>
            <w:r>
              <w:rPr>
                <w:rFonts w:hint="eastAsia" w:ascii="宋体" w:cs="宋体"/>
                <w:kern w:val="0"/>
                <w:sz w:val="24"/>
              </w:rPr>
              <w:t>×</w:t>
            </w:r>
            <w:r>
              <w:rPr>
                <w:rFonts w:ascii="TimesNewRomanPSMT" w:hAnsi="TimesNewRomanPSMT" w:cs="TimesNewRomanPSMT"/>
                <w:kern w:val="0"/>
                <w:sz w:val="24"/>
              </w:rPr>
              <w:t>10</w:t>
            </w:r>
            <w:r>
              <w:rPr>
                <w:rFonts w:ascii="TimesNewRomanPSMT" w:hAnsi="TimesNewRomanPSMT" w:cs="TimesNewRomanPSMT"/>
                <w:kern w:val="0"/>
                <w:sz w:val="24"/>
                <w:vertAlign w:val="superscript"/>
              </w:rPr>
              <w:t>-5</w:t>
            </w:r>
            <w:r>
              <w:rPr>
                <w:rFonts w:ascii="TimesNewRomanPSMT" w:hAnsi="TimesNewRomanPSMT" w:cs="TimesNewRomanPSMT"/>
                <w:kern w:val="0"/>
                <w:sz w:val="24"/>
              </w:rPr>
              <w:t>kg/a</w:t>
            </w:r>
            <w:r>
              <w:rPr>
                <w:rFonts w:hint="eastAsia" w:ascii="宋体" w:cs="宋体"/>
                <w:kern w:val="0"/>
                <w:sz w:val="24"/>
              </w:rPr>
              <w:t>·</w:t>
            </w:r>
            <w:r>
              <w:rPr>
                <w:rFonts w:ascii="TimesNewRomanPSMT" w:hAnsi="TimesNewRomanPSMT" w:cs="TimesNewRomanPSMT"/>
                <w:kern w:val="0"/>
                <w:sz w:val="24"/>
              </w:rPr>
              <w:t>t-</w:t>
            </w:r>
            <w:r>
              <w:rPr>
                <w:rFonts w:hint="eastAsia" w:ascii="宋体" w:cs="宋体"/>
                <w:kern w:val="0"/>
                <w:sz w:val="24"/>
              </w:rPr>
              <w:t>物料。厂内常年物料原料储存量为</w:t>
            </w:r>
            <w:r>
              <w:rPr>
                <w:rFonts w:ascii="TimesNewRomanPSMT" w:hAnsi="TimesNewRomanPSMT" w:cs="TimesNewRomanPSMT"/>
                <w:kern w:val="0"/>
                <w:sz w:val="24"/>
              </w:rPr>
              <w:t>3000</w:t>
            </w:r>
            <w:r>
              <w:rPr>
                <w:rFonts w:hint="eastAsia" w:ascii="宋体" w:cs="宋体"/>
                <w:kern w:val="0"/>
                <w:sz w:val="24"/>
              </w:rPr>
              <w:t>吨，年产生粉尘量为</w:t>
            </w:r>
            <w:r>
              <w:rPr>
                <w:rFonts w:ascii="TimesNewRomanPSMT" w:hAnsi="TimesNewRomanPSMT" w:cs="TimesNewRomanPSMT"/>
                <w:kern w:val="0"/>
                <w:sz w:val="24"/>
              </w:rPr>
              <w:t>0.0015t/a</w:t>
            </w:r>
            <w:r>
              <w:rPr>
                <w:rFonts w:hint="eastAsia" w:ascii="宋体" w:cs="宋体"/>
                <w:kern w:val="0"/>
                <w:sz w:val="24"/>
              </w:rPr>
              <w:t>，产品储料量为</w:t>
            </w:r>
            <w:r>
              <w:rPr>
                <w:rFonts w:ascii="TimesNewRomanPSMT" w:hAnsi="TimesNewRomanPSMT" w:cs="TimesNewRomanPSMT"/>
                <w:kern w:val="0"/>
                <w:sz w:val="24"/>
              </w:rPr>
              <w:t>1000t</w:t>
            </w:r>
            <w:r>
              <w:rPr>
                <w:rFonts w:hint="eastAsia" w:ascii="宋体" w:cs="宋体"/>
                <w:kern w:val="0"/>
                <w:sz w:val="24"/>
              </w:rPr>
              <w:t>，年产生粉尘量为</w:t>
            </w:r>
            <w:r>
              <w:rPr>
                <w:rFonts w:ascii="TimesNewRomanPSMT" w:hAnsi="TimesNewRomanPSMT" w:cs="TimesNewRomanPSMT"/>
                <w:kern w:val="0"/>
                <w:sz w:val="24"/>
              </w:rPr>
              <w:t>3.4</w:t>
            </w:r>
            <w:r>
              <w:rPr>
                <w:rFonts w:hint="eastAsia" w:ascii="宋体" w:cs="宋体"/>
                <w:kern w:val="0"/>
                <w:sz w:val="24"/>
              </w:rPr>
              <w:t>×</w:t>
            </w:r>
            <w:r>
              <w:rPr>
                <w:rFonts w:ascii="TimesNewRomanPSMT" w:hAnsi="TimesNewRomanPSMT" w:cs="TimesNewRomanPSMT"/>
                <w:kern w:val="0"/>
                <w:sz w:val="24"/>
              </w:rPr>
              <w:t>10</w:t>
            </w:r>
            <w:r>
              <w:rPr>
                <w:rFonts w:ascii="TimesNewRomanPSMT" w:hAnsi="TimesNewRomanPSMT" w:cs="TimesNewRomanPSMT"/>
                <w:kern w:val="0"/>
                <w:sz w:val="24"/>
                <w:vertAlign w:val="superscript"/>
              </w:rPr>
              <w:t>-5</w:t>
            </w:r>
            <w:r>
              <w:rPr>
                <w:rFonts w:ascii="TimesNewRomanPSMT" w:hAnsi="TimesNewRomanPSMT" w:cs="TimesNewRomanPSMT"/>
                <w:kern w:val="0"/>
                <w:sz w:val="24"/>
              </w:rPr>
              <w:t>t/a</w:t>
            </w:r>
            <w:r>
              <w:rPr>
                <w:rFonts w:hint="eastAsia" w:ascii="宋体" w:cs="宋体"/>
                <w:kern w:val="0"/>
                <w:sz w:val="24"/>
              </w:rPr>
              <w:t>，则项目堆场起尘量约为</w:t>
            </w:r>
            <w:r>
              <w:rPr>
                <w:rFonts w:ascii="TimesNewRomanPSMT" w:hAnsi="TimesNewRomanPSMT" w:cs="TimesNewRomanPSMT"/>
                <w:kern w:val="0"/>
                <w:sz w:val="24"/>
              </w:rPr>
              <w:t>0.002t/a</w:t>
            </w:r>
            <w:r>
              <w:rPr>
                <w:rFonts w:hint="eastAsia" w:ascii="宋体" w:cs="宋体"/>
                <w:kern w:val="0"/>
                <w:sz w:val="24"/>
              </w:rPr>
              <w:t>，产生速率为</w:t>
            </w:r>
            <w:r>
              <w:rPr>
                <w:rFonts w:ascii="TimesNewRomanPSMT" w:hAnsi="TimesNewRomanPSMT" w:cs="TimesNewRomanPSMT"/>
                <w:kern w:val="0"/>
                <w:sz w:val="24"/>
              </w:rPr>
              <w:t>8.3</w:t>
            </w:r>
            <w:r>
              <w:rPr>
                <w:rFonts w:hint="eastAsia" w:ascii="宋体" w:cs="宋体"/>
                <w:kern w:val="0"/>
                <w:sz w:val="24"/>
              </w:rPr>
              <w:t>×</w:t>
            </w:r>
            <w:r>
              <w:rPr>
                <w:rFonts w:ascii="TimesNewRomanPSMT" w:hAnsi="TimesNewRomanPSMT" w:cs="TimesNewRomanPSMT"/>
                <w:kern w:val="0"/>
                <w:sz w:val="24"/>
              </w:rPr>
              <w:t>10</w:t>
            </w:r>
            <w:r>
              <w:rPr>
                <w:rFonts w:ascii="TimesNewRomanPSMT" w:hAnsi="TimesNewRomanPSMT" w:cs="TimesNewRomanPSMT"/>
                <w:kern w:val="0"/>
                <w:sz w:val="24"/>
                <w:vertAlign w:val="superscript"/>
              </w:rPr>
              <w:t>-4</w:t>
            </w:r>
            <w:r>
              <w:rPr>
                <w:rFonts w:ascii="TimesNewRomanPSMT" w:hAnsi="TimesNewRomanPSMT" w:cs="TimesNewRomanPSMT"/>
                <w:kern w:val="0"/>
                <w:sz w:val="24"/>
              </w:rPr>
              <w:t>kg/h</w:t>
            </w:r>
            <w:r>
              <w:rPr>
                <w:rFonts w:hint="eastAsia" w:ascii="宋体" w:cs="宋体"/>
                <w:kern w:val="0"/>
                <w:sz w:val="24"/>
              </w:rPr>
              <w:t>，起尘量较少，为进一步减少对周边大气的环境影响，本环评建议在堆场区域进行定期洒水降尘，降低堆场粉尘的影响，原料区和投料区合并为一个整体，统称原料车间，产品区独立一个区域，以下称为产品车间，产品车间和原料车间与生产区其他区域采用彩钢板进行密封分隔，经过上述措施处理后，本项目堆场粉尘对周围大气环境影响较小。</w:t>
            </w:r>
          </w:p>
          <w:p>
            <w:pPr>
              <w:autoSpaceDE w:val="0"/>
              <w:autoSpaceDN w:val="0"/>
              <w:adjustRightInd w:val="0"/>
              <w:spacing w:line="360" w:lineRule="auto"/>
              <w:ind w:firstLine="480" w:firstLineChars="200"/>
              <w:jc w:val="left"/>
              <w:rPr>
                <w:kern w:val="0"/>
                <w:sz w:val="24"/>
              </w:rPr>
            </w:pPr>
            <w:r>
              <w:rPr>
                <w:kern w:val="0"/>
                <w:sz w:val="24"/>
              </w:rPr>
              <w:t>(3)卸料粉尘</w:t>
            </w:r>
          </w:p>
          <w:p>
            <w:pPr>
              <w:autoSpaceDE w:val="0"/>
              <w:autoSpaceDN w:val="0"/>
              <w:adjustRightInd w:val="0"/>
              <w:spacing w:line="360" w:lineRule="auto"/>
              <w:ind w:firstLine="480" w:firstLineChars="200"/>
              <w:rPr>
                <w:kern w:val="0"/>
                <w:sz w:val="24"/>
              </w:rPr>
            </w:pPr>
            <w:r>
              <w:rPr>
                <w:kern w:val="0"/>
                <w:sz w:val="24"/>
              </w:rPr>
              <w:t>项目卸料过程会产生粉尘，本评价卸料粉尘起尘量采用秦皇岛煤码头环境影响评价时通过试验得出的计算公式：</w:t>
            </w:r>
          </w:p>
          <w:p>
            <w:pPr>
              <w:autoSpaceDE w:val="0"/>
              <w:autoSpaceDN w:val="0"/>
              <w:adjustRightInd w:val="0"/>
              <w:spacing w:line="360" w:lineRule="auto"/>
              <w:ind w:firstLine="480" w:firstLineChars="200"/>
              <w:jc w:val="center"/>
              <w:rPr>
                <w:kern w:val="0"/>
                <w:sz w:val="24"/>
              </w:rPr>
            </w:pPr>
            <w:r>
              <w:rPr>
                <w:kern w:val="0"/>
                <w:sz w:val="24"/>
              </w:rPr>
              <w:drawing>
                <wp:inline distT="0" distB="0" distL="0" distR="0">
                  <wp:extent cx="1607820" cy="38862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607820" cy="388620"/>
                          </a:xfrm>
                          <a:prstGeom prst="rect">
                            <a:avLst/>
                          </a:prstGeom>
                          <a:noFill/>
                          <a:ln>
                            <a:noFill/>
                          </a:ln>
                        </pic:spPr>
                      </pic:pic>
                    </a:graphicData>
                  </a:graphic>
                </wp:inline>
              </w:drawing>
            </w:r>
          </w:p>
          <w:p>
            <w:pPr>
              <w:autoSpaceDE w:val="0"/>
              <w:autoSpaceDN w:val="0"/>
              <w:adjustRightInd w:val="0"/>
              <w:spacing w:line="360" w:lineRule="auto"/>
              <w:ind w:firstLine="480" w:firstLineChars="200"/>
              <w:jc w:val="left"/>
              <w:rPr>
                <w:kern w:val="0"/>
                <w:sz w:val="24"/>
              </w:rPr>
            </w:pPr>
            <w:r>
              <w:rPr>
                <w:kern w:val="0"/>
                <w:sz w:val="24"/>
              </w:rPr>
              <w:t>式中：</w:t>
            </w:r>
          </w:p>
          <w:p>
            <w:pPr>
              <w:autoSpaceDE w:val="0"/>
              <w:autoSpaceDN w:val="0"/>
              <w:adjustRightInd w:val="0"/>
              <w:spacing w:line="360" w:lineRule="auto"/>
              <w:ind w:firstLine="480" w:firstLineChars="200"/>
              <w:jc w:val="left"/>
              <w:rPr>
                <w:kern w:val="0"/>
                <w:sz w:val="24"/>
              </w:rPr>
            </w:pPr>
            <w:r>
              <w:rPr>
                <w:kern w:val="0"/>
                <w:sz w:val="24"/>
              </w:rPr>
              <w:t>Q——原料卸料起尘量，kg/t-物料。</w:t>
            </w:r>
          </w:p>
          <w:p>
            <w:pPr>
              <w:autoSpaceDE w:val="0"/>
              <w:autoSpaceDN w:val="0"/>
              <w:adjustRightInd w:val="0"/>
              <w:spacing w:line="360" w:lineRule="auto"/>
              <w:ind w:firstLine="480" w:firstLineChars="200"/>
              <w:jc w:val="left"/>
              <w:rPr>
                <w:kern w:val="0"/>
                <w:sz w:val="24"/>
              </w:rPr>
            </w:pPr>
            <w:r>
              <w:rPr>
                <w:kern w:val="0"/>
                <w:sz w:val="24"/>
              </w:rPr>
              <w:t>U——平均风速，m/s，项目原料堆场在厂房内部，平均风速按0.5m/s 计算。</w:t>
            </w:r>
          </w:p>
          <w:p>
            <w:pPr>
              <w:autoSpaceDE w:val="0"/>
              <w:autoSpaceDN w:val="0"/>
              <w:adjustRightInd w:val="0"/>
              <w:spacing w:line="360" w:lineRule="auto"/>
              <w:ind w:firstLine="480" w:firstLineChars="200"/>
              <w:jc w:val="left"/>
              <w:rPr>
                <w:kern w:val="0"/>
                <w:sz w:val="24"/>
              </w:rPr>
            </w:pPr>
            <w:r>
              <w:rPr>
                <w:kern w:val="0"/>
                <w:sz w:val="24"/>
              </w:rPr>
              <w:t>H——装卸高度，m；根据实际调查，卸料高度约1.5m。</w:t>
            </w:r>
          </w:p>
          <w:p>
            <w:pPr>
              <w:autoSpaceDE w:val="0"/>
              <w:autoSpaceDN w:val="0"/>
              <w:adjustRightInd w:val="0"/>
              <w:spacing w:line="360" w:lineRule="auto"/>
              <w:ind w:firstLine="480" w:firstLineChars="200"/>
              <w:jc w:val="left"/>
              <w:rPr>
                <w:kern w:val="0"/>
                <w:sz w:val="24"/>
              </w:rPr>
            </w:pPr>
            <w:r>
              <w:rPr>
                <w:kern w:val="0"/>
                <w:sz w:val="24"/>
              </w:rPr>
              <w:t>W——物料含水率，%。本评价取13%。</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根据上式计算，本项目卸料起尘量为</w:t>
            </w:r>
            <w:r>
              <w:rPr>
                <w:rFonts w:ascii="TimesNewRomanPSMT" w:hAnsi="TimesNewRomanPSMT" w:cs="TimesNewRomanPSMT"/>
                <w:kern w:val="0"/>
                <w:sz w:val="24"/>
              </w:rPr>
              <w:t>0.002kg/t-</w:t>
            </w:r>
            <w:r>
              <w:rPr>
                <w:rFonts w:hint="eastAsia" w:ascii="宋体" w:cs="宋体"/>
                <w:kern w:val="0"/>
                <w:sz w:val="24"/>
              </w:rPr>
              <w:t>物料，项目卸料量为</w:t>
            </w:r>
            <w:r>
              <w:rPr>
                <w:rFonts w:ascii="TimesNewRomanPSMT" w:hAnsi="TimesNewRomanPSMT" w:cs="TimesNewRomanPSMT"/>
                <w:kern w:val="0"/>
                <w:sz w:val="24"/>
              </w:rPr>
              <w:t>4.6</w:t>
            </w:r>
            <w:r>
              <w:rPr>
                <w:rFonts w:hint="eastAsia" w:ascii="宋体" w:cs="宋体"/>
                <w:kern w:val="0"/>
                <w:sz w:val="24"/>
              </w:rPr>
              <w:t>万</w:t>
            </w:r>
            <w:r>
              <w:rPr>
                <w:rFonts w:ascii="TimesNewRomanPSMT" w:hAnsi="TimesNewRomanPSMT" w:cs="TimesNewRomanPSMT"/>
                <w:kern w:val="0"/>
                <w:sz w:val="24"/>
              </w:rPr>
              <w:t>t</w:t>
            </w:r>
            <w:r>
              <w:rPr>
                <w:rFonts w:hint="eastAsia" w:ascii="宋体" w:cs="宋体"/>
                <w:kern w:val="0"/>
                <w:sz w:val="24"/>
              </w:rPr>
              <w:t>，则卸料粉尘量为</w:t>
            </w:r>
            <w:r>
              <w:rPr>
                <w:rFonts w:ascii="TimesNewRomanPSMT" w:hAnsi="TimesNewRomanPSMT" w:cs="TimesNewRomanPSMT"/>
                <w:kern w:val="0"/>
                <w:sz w:val="24"/>
              </w:rPr>
              <w:t>0.092t/a</w:t>
            </w:r>
            <w:r>
              <w:rPr>
                <w:rFonts w:hint="eastAsia" w:ascii="宋体" w:cs="宋体"/>
                <w:kern w:val="0"/>
                <w:sz w:val="24"/>
              </w:rPr>
              <w:t>，为减少卸料粉尘对周边环境的影响，建设单位采用部分封闭并附纤维过滤袋的方法进行卸料，并在卸料区安装喷雾除尘装置，根据《逸散性工业粉尘控制技术》，采用部分封闭并附纤维过滤袋的方法进行卸料，降尘效率可达</w:t>
            </w:r>
            <w:r>
              <w:rPr>
                <w:rFonts w:ascii="TimesNewRomanPSMT" w:hAnsi="TimesNewRomanPSMT" w:cs="TimesNewRomanPSMT"/>
                <w:kern w:val="0"/>
                <w:sz w:val="24"/>
              </w:rPr>
              <w:t>90%</w:t>
            </w:r>
            <w:r>
              <w:rPr>
                <w:rFonts w:hint="eastAsia" w:ascii="宋体" w:cs="宋体"/>
                <w:kern w:val="0"/>
                <w:sz w:val="24"/>
              </w:rPr>
              <w:t>，喷雾除尘降尘效率可达</w:t>
            </w:r>
            <w:r>
              <w:rPr>
                <w:rFonts w:ascii="TimesNewRomanPSMT" w:hAnsi="TimesNewRomanPSMT" w:cs="TimesNewRomanPSMT"/>
                <w:kern w:val="0"/>
                <w:sz w:val="24"/>
              </w:rPr>
              <w:t>50%</w:t>
            </w:r>
            <w:r>
              <w:rPr>
                <w:rFonts w:hint="eastAsia" w:ascii="宋体" w:cs="宋体"/>
                <w:kern w:val="0"/>
                <w:sz w:val="24"/>
              </w:rPr>
              <w:t>，本项目除尘效率按</w:t>
            </w:r>
            <w:r>
              <w:rPr>
                <w:rFonts w:ascii="TimesNewRomanPSMT" w:hAnsi="TimesNewRomanPSMT" w:cs="TimesNewRomanPSMT"/>
                <w:kern w:val="0"/>
                <w:sz w:val="24"/>
              </w:rPr>
              <w:t>90%</w:t>
            </w:r>
            <w:r>
              <w:rPr>
                <w:rFonts w:hint="eastAsia" w:ascii="宋体" w:cs="宋体"/>
                <w:kern w:val="0"/>
                <w:sz w:val="24"/>
              </w:rPr>
              <w:t>计算，则本项目无组织排放粉尘量为</w:t>
            </w:r>
            <w:r>
              <w:rPr>
                <w:rFonts w:ascii="TimesNewRomanPSMT" w:hAnsi="TimesNewRomanPSMT" w:cs="TimesNewRomanPSMT"/>
                <w:kern w:val="0"/>
                <w:sz w:val="24"/>
              </w:rPr>
              <w:t>0.009t/a</w:t>
            </w:r>
            <w:r>
              <w:rPr>
                <w:rFonts w:hint="eastAsia" w:ascii="宋体" w:cs="宋体"/>
                <w:kern w:val="0"/>
                <w:sz w:val="24"/>
              </w:rPr>
              <w:t>，卸料时间较短，每车装料约</w:t>
            </w:r>
            <w:r>
              <w:rPr>
                <w:rFonts w:ascii="TimesNewRomanPSMT" w:hAnsi="TimesNewRomanPSMT" w:cs="TimesNewRomanPSMT"/>
                <w:kern w:val="0"/>
                <w:sz w:val="24"/>
              </w:rPr>
              <w:t>30t</w:t>
            </w:r>
            <w:r>
              <w:rPr>
                <w:rFonts w:hint="eastAsia" w:ascii="宋体" w:cs="宋体"/>
                <w:kern w:val="0"/>
                <w:sz w:val="24"/>
              </w:rPr>
              <w:t>，卸料需要</w:t>
            </w:r>
            <w:r>
              <w:rPr>
                <w:rFonts w:ascii="TimesNewRomanPSMT" w:hAnsi="TimesNewRomanPSMT" w:cs="TimesNewRomanPSMT"/>
                <w:kern w:val="0"/>
                <w:sz w:val="24"/>
              </w:rPr>
              <w:t>1533</w:t>
            </w:r>
            <w:r>
              <w:rPr>
                <w:rFonts w:hint="eastAsia" w:ascii="宋体" w:cs="宋体"/>
                <w:kern w:val="0"/>
                <w:sz w:val="24"/>
              </w:rPr>
              <w:t>次，每次卸料时间约</w:t>
            </w:r>
            <w:r>
              <w:rPr>
                <w:rFonts w:ascii="TimesNewRomanPSMT" w:hAnsi="TimesNewRomanPSMT" w:cs="TimesNewRomanPSMT"/>
                <w:kern w:val="0"/>
                <w:sz w:val="24"/>
              </w:rPr>
              <w:t>0.1h</w:t>
            </w:r>
            <w:r>
              <w:rPr>
                <w:rFonts w:hint="eastAsia" w:ascii="宋体" w:cs="宋体"/>
                <w:kern w:val="0"/>
                <w:sz w:val="24"/>
              </w:rPr>
              <w:t>，年卸料时间约</w:t>
            </w:r>
            <w:r>
              <w:rPr>
                <w:rFonts w:ascii="TimesNewRomanPSMT" w:hAnsi="TimesNewRomanPSMT" w:cs="TimesNewRomanPSMT"/>
                <w:kern w:val="0"/>
                <w:sz w:val="24"/>
              </w:rPr>
              <w:t>153h</w:t>
            </w:r>
            <w:r>
              <w:rPr>
                <w:rFonts w:hint="eastAsia" w:ascii="宋体" w:cs="宋体"/>
                <w:kern w:val="0"/>
                <w:sz w:val="24"/>
              </w:rPr>
              <w:t>，卸料粉尘排放量为</w:t>
            </w:r>
            <w:r>
              <w:rPr>
                <w:rFonts w:ascii="TimesNewRomanPSMT" w:hAnsi="TimesNewRomanPSMT" w:cs="TimesNewRomanPSMT"/>
                <w:kern w:val="0"/>
                <w:sz w:val="24"/>
              </w:rPr>
              <w:t>0.028kg/h</w:t>
            </w:r>
            <w:r>
              <w:rPr>
                <w:rFonts w:hint="eastAsia" w:ascii="宋体" w:cs="宋体"/>
                <w:kern w:val="0"/>
                <w:sz w:val="24"/>
              </w:rPr>
              <w:t>。本项目卸货在原料区内进行，原料区和投料区合并为一个整体，统称为原料车间；原料车间与其他生产区域分隔做好密封工作，且卸货过程中要关闭好原料车间各个进出口大门，做好车间围挡隔尘措施，防止粉尘对周边环境产生影响。</w:t>
            </w:r>
          </w:p>
          <w:p>
            <w:pPr>
              <w:pStyle w:val="8"/>
              <w:adjustRightInd w:val="0"/>
              <w:snapToGrid w:val="0"/>
              <w:spacing w:line="360" w:lineRule="auto"/>
              <w:ind w:right="0" w:firstLine="482" w:firstLineChars="200"/>
              <w:rPr>
                <w:b/>
                <w:sz w:val="24"/>
                <w:szCs w:val="24"/>
              </w:rPr>
            </w:pPr>
            <w:r>
              <w:rPr>
                <w:b/>
                <w:sz w:val="24"/>
                <w:szCs w:val="24"/>
              </w:rPr>
              <w:t>3、</w:t>
            </w:r>
            <w:r>
              <w:rPr>
                <w:rFonts w:hint="eastAsia"/>
                <w:b/>
                <w:sz w:val="24"/>
                <w:szCs w:val="24"/>
              </w:rPr>
              <w:t>噪声</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项目营运期产生的噪声主要为</w:t>
            </w:r>
            <w:r>
              <w:rPr>
                <w:rFonts w:hint="eastAsia"/>
                <w:sz w:val="24"/>
              </w:rPr>
              <w:t>捣浆机</w:t>
            </w:r>
            <w:r>
              <w:rPr>
                <w:rFonts w:hint="eastAsia" w:ascii="宋体" w:cs="宋体"/>
                <w:kern w:val="0"/>
                <w:sz w:val="24"/>
              </w:rPr>
              <w:t>、</w:t>
            </w:r>
            <w:r>
              <w:rPr>
                <w:rFonts w:hint="eastAsia"/>
                <w:sz w:val="24"/>
              </w:rPr>
              <w:t>自定中心振动筛</w:t>
            </w:r>
            <w:r>
              <w:rPr>
                <w:rFonts w:hint="eastAsia" w:ascii="宋体" w:cs="宋体"/>
                <w:kern w:val="0"/>
                <w:sz w:val="24"/>
              </w:rPr>
              <w:t>、</w:t>
            </w:r>
            <w:r>
              <w:rPr>
                <w:rFonts w:hint="eastAsia"/>
                <w:sz w:val="24"/>
              </w:rPr>
              <w:t>水力旋流器</w:t>
            </w:r>
            <w:r>
              <w:rPr>
                <w:rFonts w:hint="eastAsia" w:ascii="宋体" w:cs="宋体"/>
                <w:kern w:val="0"/>
                <w:sz w:val="24"/>
              </w:rPr>
              <w:t>、</w:t>
            </w:r>
            <w:r>
              <w:rPr>
                <w:rFonts w:hint="eastAsia"/>
                <w:sz w:val="24"/>
              </w:rPr>
              <w:t>压滤机</w:t>
            </w:r>
            <w:r>
              <w:rPr>
                <w:rFonts w:hint="eastAsia" w:ascii="宋体" w:cs="宋体"/>
                <w:kern w:val="0"/>
                <w:sz w:val="24"/>
              </w:rPr>
              <w:t>等设备运行噪声，噪声级在</w:t>
            </w:r>
            <w:r>
              <w:rPr>
                <w:kern w:val="0"/>
                <w:sz w:val="24"/>
              </w:rPr>
              <w:t>7</w:t>
            </w:r>
            <w:r>
              <w:rPr>
                <w:rFonts w:ascii="TimesNewRomanPSMT" w:hAnsi="TimesNewRomanPSMT" w:cs="TimesNewRomanPSMT"/>
                <w:kern w:val="0"/>
                <w:sz w:val="24"/>
              </w:rPr>
              <w:t>0</w:t>
            </w:r>
            <w:r>
              <w:rPr>
                <w:rFonts w:hint="eastAsia" w:ascii="宋体" w:cs="宋体"/>
                <w:kern w:val="0"/>
                <w:sz w:val="24"/>
              </w:rPr>
              <w:t>～</w:t>
            </w:r>
            <w:r>
              <w:rPr>
                <w:rFonts w:ascii="TimesNewRomanPSMT" w:hAnsi="TimesNewRomanPSMT" w:cs="TimesNewRomanPSMT"/>
                <w:kern w:val="0"/>
                <w:sz w:val="24"/>
              </w:rPr>
              <w:t>90dB(A)</w:t>
            </w:r>
            <w:r>
              <w:rPr>
                <w:rFonts w:hint="eastAsia" w:ascii="宋体" w:cs="宋体"/>
                <w:kern w:val="0"/>
                <w:sz w:val="24"/>
              </w:rPr>
              <w:t>。本项目噪声源采取了如下综合降噪措施：选用环保低噪声设备、安装减震垫、建筑隔声等。</w:t>
            </w:r>
          </w:p>
          <w:p>
            <w:pPr>
              <w:autoSpaceDE w:val="0"/>
              <w:autoSpaceDN w:val="0"/>
              <w:adjustRightInd w:val="0"/>
              <w:jc w:val="center"/>
              <w:rPr>
                <w:rFonts w:ascii="宋体" w:cs="宋体"/>
                <w:kern w:val="0"/>
                <w:sz w:val="24"/>
              </w:rPr>
            </w:pPr>
            <w:r>
              <w:rPr>
                <w:rFonts w:hint="eastAsia"/>
                <w:b/>
                <w:szCs w:val="21"/>
              </w:rPr>
              <w:t>表</w:t>
            </w:r>
            <w:r>
              <w:rPr>
                <w:b/>
                <w:szCs w:val="21"/>
              </w:rPr>
              <w:t>22</w:t>
            </w:r>
            <w:r>
              <w:rPr>
                <w:rFonts w:hint="eastAsia"/>
                <w:b/>
                <w:szCs w:val="21"/>
              </w:rPr>
              <w:t xml:space="preserve"> 本项目主要设备及噪声值</w:t>
            </w:r>
          </w:p>
          <w:tbl>
            <w:tblPr>
              <w:tblStyle w:val="25"/>
              <w:tblW w:w="95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2"/>
              <w:gridCol w:w="2454"/>
              <w:gridCol w:w="1706"/>
              <w:gridCol w:w="2340"/>
              <w:gridCol w:w="2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82" w:type="dxa"/>
                  <w:vAlign w:val="center"/>
                </w:tcPr>
                <w:p>
                  <w:pPr>
                    <w:jc w:val="center"/>
                    <w:rPr>
                      <w:b/>
                      <w:szCs w:val="21"/>
                    </w:rPr>
                  </w:pPr>
                  <w:r>
                    <w:rPr>
                      <w:rFonts w:hint="eastAsia"/>
                      <w:b/>
                      <w:szCs w:val="21"/>
                    </w:rPr>
                    <w:t>序号</w:t>
                  </w:r>
                </w:p>
              </w:tc>
              <w:tc>
                <w:tcPr>
                  <w:tcW w:w="2454" w:type="dxa"/>
                  <w:vAlign w:val="center"/>
                </w:tcPr>
                <w:p>
                  <w:pPr>
                    <w:jc w:val="center"/>
                    <w:rPr>
                      <w:b/>
                      <w:szCs w:val="21"/>
                    </w:rPr>
                  </w:pPr>
                  <w:r>
                    <w:rPr>
                      <w:rFonts w:hint="eastAsia"/>
                      <w:b/>
                      <w:szCs w:val="21"/>
                    </w:rPr>
                    <w:t>设备名称</w:t>
                  </w:r>
                </w:p>
              </w:tc>
              <w:tc>
                <w:tcPr>
                  <w:tcW w:w="1706" w:type="dxa"/>
                  <w:vAlign w:val="center"/>
                </w:tcPr>
                <w:p>
                  <w:pPr>
                    <w:jc w:val="center"/>
                    <w:rPr>
                      <w:b/>
                      <w:szCs w:val="21"/>
                    </w:rPr>
                  </w:pPr>
                  <w:r>
                    <w:rPr>
                      <w:rFonts w:hint="eastAsia"/>
                      <w:b/>
                      <w:szCs w:val="21"/>
                    </w:rPr>
                    <w:t>数量/台</w:t>
                  </w:r>
                </w:p>
              </w:tc>
              <w:tc>
                <w:tcPr>
                  <w:tcW w:w="2340" w:type="dxa"/>
                  <w:vAlign w:val="center"/>
                </w:tcPr>
                <w:p>
                  <w:pPr>
                    <w:jc w:val="center"/>
                    <w:rPr>
                      <w:b/>
                      <w:szCs w:val="21"/>
                    </w:rPr>
                  </w:pPr>
                  <w:r>
                    <w:rPr>
                      <w:rFonts w:hint="eastAsia"/>
                      <w:b/>
                      <w:szCs w:val="21"/>
                    </w:rPr>
                    <w:t>工序/用途</w:t>
                  </w:r>
                </w:p>
              </w:tc>
              <w:tc>
                <w:tcPr>
                  <w:tcW w:w="2030" w:type="dxa"/>
                </w:tcPr>
                <w:p>
                  <w:pPr>
                    <w:jc w:val="center"/>
                    <w:rPr>
                      <w:b/>
                      <w:szCs w:val="21"/>
                    </w:rPr>
                  </w:pPr>
                  <w:r>
                    <w:rPr>
                      <w:rFonts w:hint="eastAsia"/>
                      <w:b/>
                      <w:szCs w:val="21"/>
                    </w:rPr>
                    <w:t>噪声强度dB(A)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82" w:type="dxa"/>
                  <w:vAlign w:val="center"/>
                </w:tcPr>
                <w:p>
                  <w:pPr>
                    <w:jc w:val="center"/>
                    <w:rPr>
                      <w:szCs w:val="21"/>
                    </w:rPr>
                  </w:pPr>
                  <w:r>
                    <w:rPr>
                      <w:rFonts w:hint="eastAsia"/>
                      <w:szCs w:val="21"/>
                    </w:rPr>
                    <w:t>1</w:t>
                  </w:r>
                </w:p>
              </w:tc>
              <w:tc>
                <w:tcPr>
                  <w:tcW w:w="2454" w:type="dxa"/>
                  <w:vAlign w:val="center"/>
                </w:tcPr>
                <w:p>
                  <w:pPr>
                    <w:widowControl/>
                    <w:adjustRightInd w:val="0"/>
                    <w:snapToGrid w:val="0"/>
                    <w:jc w:val="center"/>
                    <w:rPr>
                      <w:szCs w:val="21"/>
                    </w:rPr>
                  </w:pPr>
                  <w:r>
                    <w:rPr>
                      <w:rFonts w:hint="eastAsia"/>
                      <w:szCs w:val="21"/>
                    </w:rPr>
                    <w:t>捣浆机</w:t>
                  </w:r>
                </w:p>
              </w:tc>
              <w:tc>
                <w:tcPr>
                  <w:tcW w:w="1706" w:type="dxa"/>
                  <w:vAlign w:val="center"/>
                </w:tcPr>
                <w:p>
                  <w:pPr>
                    <w:widowControl/>
                    <w:adjustRightInd w:val="0"/>
                    <w:snapToGrid w:val="0"/>
                    <w:jc w:val="center"/>
                    <w:rPr>
                      <w:szCs w:val="21"/>
                    </w:rPr>
                  </w:pPr>
                  <w:r>
                    <w:rPr>
                      <w:rFonts w:hint="eastAsia"/>
                      <w:szCs w:val="21"/>
                    </w:rPr>
                    <w:t>1</w:t>
                  </w:r>
                </w:p>
              </w:tc>
              <w:tc>
                <w:tcPr>
                  <w:tcW w:w="2340" w:type="dxa"/>
                  <w:vAlign w:val="center"/>
                </w:tcPr>
                <w:p>
                  <w:pPr>
                    <w:widowControl/>
                    <w:adjustRightInd w:val="0"/>
                    <w:snapToGrid w:val="0"/>
                    <w:jc w:val="center"/>
                    <w:rPr>
                      <w:szCs w:val="21"/>
                    </w:rPr>
                  </w:pPr>
                  <w:r>
                    <w:rPr>
                      <w:rFonts w:hint="eastAsia"/>
                      <w:szCs w:val="21"/>
                    </w:rPr>
                    <w:t>双轮</w:t>
                  </w:r>
                </w:p>
              </w:tc>
              <w:tc>
                <w:tcPr>
                  <w:tcW w:w="2030" w:type="dxa"/>
                  <w:vAlign w:val="center"/>
                </w:tcPr>
                <w:p>
                  <w:pPr>
                    <w:widowControl/>
                    <w:adjustRightInd w:val="0"/>
                    <w:snapToGrid w:val="0"/>
                    <w:jc w:val="center"/>
                    <w:rPr>
                      <w:szCs w:val="21"/>
                    </w:rPr>
                  </w:pPr>
                  <w:r>
                    <w:rPr>
                      <w:rFonts w:hint="eastAsia"/>
                      <w:szCs w:val="21"/>
                    </w:rPr>
                    <w:t>75</w:t>
                  </w:r>
                  <w:r>
                    <w:rPr>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82" w:type="dxa"/>
                  <w:vAlign w:val="center"/>
                </w:tcPr>
                <w:p>
                  <w:pPr>
                    <w:jc w:val="center"/>
                    <w:rPr>
                      <w:szCs w:val="21"/>
                    </w:rPr>
                  </w:pPr>
                  <w:r>
                    <w:rPr>
                      <w:rFonts w:hint="eastAsia"/>
                      <w:szCs w:val="21"/>
                    </w:rPr>
                    <w:t>2</w:t>
                  </w:r>
                </w:p>
              </w:tc>
              <w:tc>
                <w:tcPr>
                  <w:tcW w:w="2454" w:type="dxa"/>
                  <w:vAlign w:val="center"/>
                </w:tcPr>
                <w:p>
                  <w:pPr>
                    <w:widowControl/>
                    <w:adjustRightInd w:val="0"/>
                    <w:snapToGrid w:val="0"/>
                    <w:jc w:val="center"/>
                    <w:rPr>
                      <w:szCs w:val="21"/>
                    </w:rPr>
                  </w:pPr>
                  <w:r>
                    <w:rPr>
                      <w:rFonts w:hint="eastAsia"/>
                      <w:szCs w:val="21"/>
                    </w:rPr>
                    <w:t>自定中心振动筛</w:t>
                  </w:r>
                </w:p>
              </w:tc>
              <w:tc>
                <w:tcPr>
                  <w:tcW w:w="1706" w:type="dxa"/>
                  <w:vAlign w:val="center"/>
                </w:tcPr>
                <w:p>
                  <w:pPr>
                    <w:widowControl/>
                    <w:adjustRightInd w:val="0"/>
                    <w:snapToGrid w:val="0"/>
                    <w:jc w:val="center"/>
                    <w:rPr>
                      <w:szCs w:val="21"/>
                    </w:rPr>
                  </w:pPr>
                  <w:r>
                    <w:rPr>
                      <w:szCs w:val="21"/>
                    </w:rPr>
                    <w:t>1</w:t>
                  </w:r>
                </w:p>
              </w:tc>
              <w:tc>
                <w:tcPr>
                  <w:tcW w:w="2340" w:type="dxa"/>
                  <w:vAlign w:val="center"/>
                </w:tcPr>
                <w:p>
                  <w:pPr>
                    <w:widowControl/>
                    <w:adjustRightInd w:val="0"/>
                    <w:snapToGrid w:val="0"/>
                    <w:jc w:val="center"/>
                    <w:rPr>
                      <w:szCs w:val="21"/>
                    </w:rPr>
                  </w:pPr>
                  <w:r>
                    <w:rPr>
                      <w:rFonts w:hint="eastAsia"/>
                      <w:szCs w:val="21"/>
                    </w:rPr>
                    <w:t>1</w:t>
                  </w:r>
                  <w:r>
                    <w:rPr>
                      <w:szCs w:val="21"/>
                    </w:rPr>
                    <w:t>220mm X 2500mm</w:t>
                  </w:r>
                </w:p>
              </w:tc>
              <w:tc>
                <w:tcPr>
                  <w:tcW w:w="2030" w:type="dxa"/>
                  <w:vAlign w:val="center"/>
                </w:tcPr>
                <w:p>
                  <w:pPr>
                    <w:widowControl/>
                    <w:adjustRightInd w:val="0"/>
                    <w:snapToGrid w:val="0"/>
                    <w:jc w:val="center"/>
                    <w:rPr>
                      <w:szCs w:val="21"/>
                    </w:rPr>
                  </w:pPr>
                  <w:r>
                    <w:rPr>
                      <w:rFonts w:hint="eastAsia"/>
                      <w:szCs w:val="21"/>
                    </w:rPr>
                    <w:t>7</w:t>
                  </w:r>
                  <w:r>
                    <w:rPr>
                      <w:szCs w:val="21"/>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82" w:type="dxa"/>
                  <w:vAlign w:val="center"/>
                </w:tcPr>
                <w:p>
                  <w:pPr>
                    <w:jc w:val="center"/>
                    <w:rPr>
                      <w:szCs w:val="21"/>
                    </w:rPr>
                  </w:pPr>
                  <w:r>
                    <w:rPr>
                      <w:rFonts w:hint="eastAsia"/>
                      <w:szCs w:val="21"/>
                    </w:rPr>
                    <w:t>3</w:t>
                  </w:r>
                </w:p>
              </w:tc>
              <w:tc>
                <w:tcPr>
                  <w:tcW w:w="2454" w:type="dxa"/>
                  <w:vAlign w:val="center"/>
                </w:tcPr>
                <w:p>
                  <w:pPr>
                    <w:widowControl/>
                    <w:adjustRightInd w:val="0"/>
                    <w:snapToGrid w:val="0"/>
                    <w:jc w:val="center"/>
                    <w:rPr>
                      <w:szCs w:val="21"/>
                    </w:rPr>
                  </w:pPr>
                  <w:r>
                    <w:rPr>
                      <w:rFonts w:hint="eastAsia"/>
                      <w:szCs w:val="21"/>
                    </w:rPr>
                    <w:t>水力旋流器</w:t>
                  </w:r>
                </w:p>
              </w:tc>
              <w:tc>
                <w:tcPr>
                  <w:tcW w:w="1706" w:type="dxa"/>
                  <w:vAlign w:val="center"/>
                </w:tcPr>
                <w:p>
                  <w:pPr>
                    <w:widowControl/>
                    <w:adjustRightInd w:val="0"/>
                    <w:snapToGrid w:val="0"/>
                    <w:jc w:val="center"/>
                    <w:rPr>
                      <w:szCs w:val="21"/>
                    </w:rPr>
                  </w:pPr>
                  <w:r>
                    <w:rPr>
                      <w:rFonts w:hint="eastAsia"/>
                      <w:szCs w:val="21"/>
                    </w:rPr>
                    <w:t>1</w:t>
                  </w:r>
                </w:p>
              </w:tc>
              <w:tc>
                <w:tcPr>
                  <w:tcW w:w="2340" w:type="dxa"/>
                  <w:vAlign w:val="center"/>
                </w:tcPr>
                <w:p>
                  <w:pPr>
                    <w:widowControl/>
                    <w:adjustRightInd w:val="0"/>
                    <w:snapToGrid w:val="0"/>
                    <w:jc w:val="center"/>
                    <w:rPr>
                      <w:szCs w:val="21"/>
                    </w:rPr>
                  </w:pPr>
                  <w:r>
                    <w:rPr>
                      <w:rFonts w:hint="eastAsia"/>
                      <w:szCs w:val="21"/>
                    </w:rPr>
                    <w:t>2</w:t>
                  </w:r>
                  <w:r>
                    <w:rPr>
                      <w:szCs w:val="21"/>
                    </w:rPr>
                    <w:t>50</w:t>
                  </w:r>
                  <w:r>
                    <w:rPr>
                      <w:rFonts w:hint="eastAsia"/>
                      <w:szCs w:val="21"/>
                    </w:rPr>
                    <w:t>mm</w:t>
                  </w:r>
                </w:p>
              </w:tc>
              <w:tc>
                <w:tcPr>
                  <w:tcW w:w="2030" w:type="dxa"/>
                  <w:vAlign w:val="center"/>
                </w:tcPr>
                <w:p>
                  <w:pPr>
                    <w:widowControl/>
                    <w:adjustRightInd w:val="0"/>
                    <w:snapToGrid w:val="0"/>
                    <w:jc w:val="center"/>
                    <w:rPr>
                      <w:szCs w:val="21"/>
                    </w:rPr>
                  </w:pPr>
                  <w:r>
                    <w:rPr>
                      <w:rFonts w:hint="eastAsia"/>
                      <w:szCs w:val="21"/>
                    </w:rPr>
                    <w:t>75</w:t>
                  </w:r>
                  <w:r>
                    <w:rPr>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82" w:type="dxa"/>
                  <w:vAlign w:val="center"/>
                </w:tcPr>
                <w:p>
                  <w:pPr>
                    <w:jc w:val="center"/>
                    <w:rPr>
                      <w:szCs w:val="21"/>
                    </w:rPr>
                  </w:pPr>
                  <w:r>
                    <w:rPr>
                      <w:rFonts w:hint="eastAsia"/>
                      <w:szCs w:val="21"/>
                    </w:rPr>
                    <w:t>4</w:t>
                  </w:r>
                </w:p>
              </w:tc>
              <w:tc>
                <w:tcPr>
                  <w:tcW w:w="2454" w:type="dxa"/>
                  <w:vAlign w:val="center"/>
                </w:tcPr>
                <w:p>
                  <w:pPr>
                    <w:widowControl/>
                    <w:adjustRightInd w:val="0"/>
                    <w:snapToGrid w:val="0"/>
                    <w:jc w:val="center"/>
                    <w:rPr>
                      <w:szCs w:val="21"/>
                    </w:rPr>
                  </w:pPr>
                  <w:r>
                    <w:rPr>
                      <w:rFonts w:hint="eastAsia"/>
                      <w:szCs w:val="21"/>
                    </w:rPr>
                    <w:t>压滤机</w:t>
                  </w:r>
                </w:p>
              </w:tc>
              <w:tc>
                <w:tcPr>
                  <w:tcW w:w="1706" w:type="dxa"/>
                  <w:vAlign w:val="center"/>
                </w:tcPr>
                <w:p>
                  <w:pPr>
                    <w:widowControl/>
                    <w:adjustRightInd w:val="0"/>
                    <w:snapToGrid w:val="0"/>
                    <w:jc w:val="center"/>
                    <w:rPr>
                      <w:szCs w:val="21"/>
                    </w:rPr>
                  </w:pPr>
                  <w:r>
                    <w:rPr>
                      <w:rFonts w:hint="eastAsia"/>
                      <w:szCs w:val="21"/>
                    </w:rPr>
                    <w:t>1</w:t>
                  </w:r>
                </w:p>
              </w:tc>
              <w:tc>
                <w:tcPr>
                  <w:tcW w:w="2340" w:type="dxa"/>
                  <w:vAlign w:val="center"/>
                </w:tcPr>
                <w:p>
                  <w:pPr>
                    <w:widowControl/>
                    <w:adjustRightInd w:val="0"/>
                    <w:snapToGrid w:val="0"/>
                    <w:jc w:val="center"/>
                    <w:rPr>
                      <w:szCs w:val="21"/>
                    </w:rPr>
                  </w:pPr>
                  <w:r>
                    <w:rPr>
                      <w:rFonts w:hint="eastAsia"/>
                      <w:szCs w:val="21"/>
                    </w:rPr>
                    <w:t>8</w:t>
                  </w:r>
                  <w:r>
                    <w:rPr>
                      <w:szCs w:val="21"/>
                    </w:rPr>
                    <w:t>00mmX 800mm AG2</w:t>
                  </w:r>
                  <w:r>
                    <w:rPr>
                      <w:rFonts w:hint="eastAsia"/>
                      <w:szCs w:val="21"/>
                    </w:rPr>
                    <w:t>型</w:t>
                  </w:r>
                </w:p>
              </w:tc>
              <w:tc>
                <w:tcPr>
                  <w:tcW w:w="2030" w:type="dxa"/>
                  <w:vAlign w:val="center"/>
                </w:tcPr>
                <w:p>
                  <w:pPr>
                    <w:widowControl/>
                    <w:adjustRightInd w:val="0"/>
                    <w:snapToGrid w:val="0"/>
                    <w:jc w:val="center"/>
                    <w:rPr>
                      <w:szCs w:val="21"/>
                    </w:rPr>
                  </w:pPr>
                  <w:r>
                    <w:rPr>
                      <w:rFonts w:hint="eastAsia"/>
                      <w:szCs w:val="21"/>
                    </w:rPr>
                    <w:t>75</w:t>
                  </w:r>
                  <w:r>
                    <w:rPr>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82" w:type="dxa"/>
                  <w:vAlign w:val="center"/>
                </w:tcPr>
                <w:p>
                  <w:pPr>
                    <w:jc w:val="center"/>
                    <w:rPr>
                      <w:szCs w:val="21"/>
                    </w:rPr>
                  </w:pPr>
                  <w:r>
                    <w:rPr>
                      <w:rFonts w:hint="eastAsia"/>
                      <w:szCs w:val="21"/>
                    </w:rPr>
                    <w:t>5</w:t>
                  </w:r>
                </w:p>
              </w:tc>
              <w:tc>
                <w:tcPr>
                  <w:tcW w:w="2454" w:type="dxa"/>
                  <w:vAlign w:val="center"/>
                </w:tcPr>
                <w:p>
                  <w:pPr>
                    <w:widowControl/>
                    <w:adjustRightInd w:val="0"/>
                    <w:snapToGrid w:val="0"/>
                    <w:jc w:val="center"/>
                    <w:rPr>
                      <w:szCs w:val="21"/>
                    </w:rPr>
                  </w:pPr>
                  <w:r>
                    <w:rPr>
                      <w:rFonts w:hint="eastAsia"/>
                      <w:szCs w:val="21"/>
                    </w:rPr>
                    <w:t>水力旋流器</w:t>
                  </w:r>
                </w:p>
              </w:tc>
              <w:tc>
                <w:tcPr>
                  <w:tcW w:w="1706" w:type="dxa"/>
                  <w:vAlign w:val="center"/>
                </w:tcPr>
                <w:p>
                  <w:pPr>
                    <w:widowControl/>
                    <w:adjustRightInd w:val="0"/>
                    <w:snapToGrid w:val="0"/>
                    <w:jc w:val="center"/>
                    <w:rPr>
                      <w:szCs w:val="21"/>
                    </w:rPr>
                  </w:pPr>
                  <w:r>
                    <w:rPr>
                      <w:rFonts w:hint="eastAsia"/>
                      <w:szCs w:val="21"/>
                    </w:rPr>
                    <w:t>1</w:t>
                  </w:r>
                </w:p>
              </w:tc>
              <w:tc>
                <w:tcPr>
                  <w:tcW w:w="2340" w:type="dxa"/>
                  <w:vAlign w:val="center"/>
                </w:tcPr>
                <w:p>
                  <w:pPr>
                    <w:widowControl/>
                    <w:adjustRightInd w:val="0"/>
                    <w:snapToGrid w:val="0"/>
                    <w:jc w:val="center"/>
                    <w:rPr>
                      <w:szCs w:val="21"/>
                    </w:rPr>
                  </w:pPr>
                  <w:r>
                    <w:rPr>
                      <w:rFonts w:hint="eastAsia"/>
                      <w:szCs w:val="21"/>
                    </w:rPr>
                    <w:t>/</w:t>
                  </w:r>
                </w:p>
              </w:tc>
              <w:tc>
                <w:tcPr>
                  <w:tcW w:w="2030" w:type="dxa"/>
                  <w:vAlign w:val="center"/>
                </w:tcPr>
                <w:p>
                  <w:pPr>
                    <w:widowControl/>
                    <w:adjustRightInd w:val="0"/>
                    <w:snapToGrid w:val="0"/>
                    <w:jc w:val="center"/>
                    <w:rPr>
                      <w:szCs w:val="21"/>
                    </w:rPr>
                  </w:pPr>
                  <w:r>
                    <w:rPr>
                      <w:rFonts w:hint="eastAsia"/>
                      <w:szCs w:val="21"/>
                    </w:rPr>
                    <w:t>75</w:t>
                  </w:r>
                  <w:r>
                    <w:rPr>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82" w:type="dxa"/>
                  <w:vAlign w:val="center"/>
                </w:tcPr>
                <w:p>
                  <w:pPr>
                    <w:jc w:val="center"/>
                    <w:rPr>
                      <w:szCs w:val="21"/>
                    </w:rPr>
                  </w:pPr>
                  <w:r>
                    <w:rPr>
                      <w:rFonts w:hint="eastAsia"/>
                      <w:szCs w:val="21"/>
                    </w:rPr>
                    <w:t>6</w:t>
                  </w:r>
                </w:p>
              </w:tc>
              <w:tc>
                <w:tcPr>
                  <w:tcW w:w="2454" w:type="dxa"/>
                  <w:vAlign w:val="center"/>
                </w:tcPr>
                <w:p>
                  <w:pPr>
                    <w:widowControl/>
                    <w:adjustRightInd w:val="0"/>
                    <w:snapToGrid w:val="0"/>
                    <w:jc w:val="center"/>
                    <w:rPr>
                      <w:szCs w:val="21"/>
                    </w:rPr>
                  </w:pPr>
                  <w:r>
                    <w:rPr>
                      <w:rFonts w:hint="eastAsia"/>
                      <w:szCs w:val="21"/>
                    </w:rPr>
                    <w:t>搅拌机</w:t>
                  </w:r>
                </w:p>
              </w:tc>
              <w:tc>
                <w:tcPr>
                  <w:tcW w:w="1706" w:type="dxa"/>
                  <w:vAlign w:val="center"/>
                </w:tcPr>
                <w:p>
                  <w:pPr>
                    <w:widowControl/>
                    <w:adjustRightInd w:val="0"/>
                    <w:snapToGrid w:val="0"/>
                    <w:jc w:val="center"/>
                    <w:rPr>
                      <w:szCs w:val="21"/>
                    </w:rPr>
                  </w:pPr>
                  <w:r>
                    <w:rPr>
                      <w:szCs w:val="21"/>
                    </w:rPr>
                    <w:t>1</w:t>
                  </w:r>
                </w:p>
              </w:tc>
              <w:tc>
                <w:tcPr>
                  <w:tcW w:w="2340" w:type="dxa"/>
                  <w:vAlign w:val="center"/>
                </w:tcPr>
                <w:p>
                  <w:pPr>
                    <w:widowControl/>
                    <w:adjustRightInd w:val="0"/>
                    <w:snapToGrid w:val="0"/>
                    <w:jc w:val="center"/>
                    <w:rPr>
                      <w:szCs w:val="21"/>
                    </w:rPr>
                  </w:pPr>
                  <w:r>
                    <w:rPr>
                      <w:rFonts w:hint="eastAsia"/>
                      <w:szCs w:val="21"/>
                    </w:rPr>
                    <w:t>2</w:t>
                  </w:r>
                  <w:r>
                    <w:rPr>
                      <w:szCs w:val="21"/>
                    </w:rPr>
                    <w:t>000</w:t>
                  </w:r>
                  <w:r>
                    <w:rPr>
                      <w:rFonts w:hint="eastAsia"/>
                      <w:szCs w:val="21"/>
                    </w:rPr>
                    <w:t>m</w:t>
                  </w:r>
                  <w:r>
                    <w:rPr>
                      <w:szCs w:val="21"/>
                    </w:rPr>
                    <w:t>m</w:t>
                  </w:r>
                  <w:r>
                    <w:rPr>
                      <w:rFonts w:hint="eastAsia"/>
                      <w:szCs w:val="21"/>
                    </w:rPr>
                    <w:t>单叶</w:t>
                  </w:r>
                </w:p>
              </w:tc>
              <w:tc>
                <w:tcPr>
                  <w:tcW w:w="2030" w:type="dxa"/>
                  <w:vAlign w:val="center"/>
                </w:tcPr>
                <w:p>
                  <w:pPr>
                    <w:widowControl/>
                    <w:adjustRightInd w:val="0"/>
                    <w:snapToGrid w:val="0"/>
                    <w:jc w:val="center"/>
                    <w:rPr>
                      <w:szCs w:val="21"/>
                    </w:rPr>
                  </w:pPr>
                  <w:r>
                    <w:rPr>
                      <w:rFonts w:hint="eastAsia"/>
                      <w:szCs w:val="21"/>
                    </w:rPr>
                    <w:t>75</w:t>
                  </w:r>
                  <w:r>
                    <w:rPr>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82" w:type="dxa"/>
                  <w:vAlign w:val="center"/>
                </w:tcPr>
                <w:p>
                  <w:pPr>
                    <w:jc w:val="center"/>
                    <w:rPr>
                      <w:szCs w:val="21"/>
                    </w:rPr>
                  </w:pPr>
                  <w:r>
                    <w:rPr>
                      <w:rFonts w:hint="eastAsia"/>
                      <w:szCs w:val="21"/>
                    </w:rPr>
                    <w:t>7</w:t>
                  </w:r>
                </w:p>
              </w:tc>
              <w:tc>
                <w:tcPr>
                  <w:tcW w:w="2454" w:type="dxa"/>
                  <w:vAlign w:val="center"/>
                </w:tcPr>
                <w:p>
                  <w:pPr>
                    <w:widowControl/>
                    <w:adjustRightInd w:val="0"/>
                    <w:snapToGrid w:val="0"/>
                    <w:jc w:val="center"/>
                    <w:rPr>
                      <w:szCs w:val="21"/>
                    </w:rPr>
                  </w:pPr>
                  <w:r>
                    <w:rPr>
                      <w:rFonts w:hint="eastAsia"/>
                      <w:szCs w:val="21"/>
                    </w:rPr>
                    <w:t>浓缩机</w:t>
                  </w:r>
                </w:p>
              </w:tc>
              <w:tc>
                <w:tcPr>
                  <w:tcW w:w="1706" w:type="dxa"/>
                  <w:vAlign w:val="center"/>
                </w:tcPr>
                <w:p>
                  <w:pPr>
                    <w:widowControl/>
                    <w:adjustRightInd w:val="0"/>
                    <w:snapToGrid w:val="0"/>
                    <w:jc w:val="center"/>
                    <w:rPr>
                      <w:szCs w:val="21"/>
                    </w:rPr>
                  </w:pPr>
                  <w:r>
                    <w:rPr>
                      <w:szCs w:val="21"/>
                    </w:rPr>
                    <w:t>3</w:t>
                  </w:r>
                </w:p>
              </w:tc>
              <w:tc>
                <w:tcPr>
                  <w:tcW w:w="2340" w:type="dxa"/>
                  <w:vAlign w:val="center"/>
                </w:tcPr>
                <w:p>
                  <w:pPr>
                    <w:widowControl/>
                    <w:adjustRightInd w:val="0"/>
                    <w:snapToGrid w:val="0"/>
                    <w:jc w:val="center"/>
                    <w:rPr>
                      <w:szCs w:val="21"/>
                    </w:rPr>
                  </w:pPr>
                  <w:r>
                    <w:rPr>
                      <w:rFonts w:hint="eastAsia"/>
                      <w:szCs w:val="21"/>
                    </w:rPr>
                    <w:t>T</w:t>
                  </w:r>
                  <w:r>
                    <w:rPr>
                      <w:szCs w:val="21"/>
                    </w:rPr>
                    <w:t>NB-9M</w:t>
                  </w:r>
                </w:p>
              </w:tc>
              <w:tc>
                <w:tcPr>
                  <w:tcW w:w="2030" w:type="dxa"/>
                  <w:vAlign w:val="center"/>
                </w:tcPr>
                <w:p>
                  <w:pPr>
                    <w:widowControl/>
                    <w:adjustRightInd w:val="0"/>
                    <w:snapToGrid w:val="0"/>
                    <w:jc w:val="center"/>
                    <w:rPr>
                      <w:szCs w:val="21"/>
                    </w:rPr>
                  </w:pPr>
                  <w:r>
                    <w:rPr>
                      <w:rFonts w:hint="eastAsia"/>
                      <w:szCs w:val="21"/>
                    </w:rPr>
                    <w:t>75</w:t>
                  </w:r>
                  <w:r>
                    <w:rPr>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82" w:type="dxa"/>
                  <w:vAlign w:val="center"/>
                </w:tcPr>
                <w:p>
                  <w:pPr>
                    <w:jc w:val="center"/>
                    <w:rPr>
                      <w:szCs w:val="21"/>
                    </w:rPr>
                  </w:pPr>
                  <w:r>
                    <w:rPr>
                      <w:rFonts w:hint="eastAsia"/>
                      <w:szCs w:val="21"/>
                    </w:rPr>
                    <w:t>8</w:t>
                  </w:r>
                </w:p>
              </w:tc>
              <w:tc>
                <w:tcPr>
                  <w:tcW w:w="2454" w:type="dxa"/>
                  <w:vAlign w:val="center"/>
                </w:tcPr>
                <w:p>
                  <w:pPr>
                    <w:widowControl/>
                    <w:adjustRightInd w:val="0"/>
                    <w:snapToGrid w:val="0"/>
                    <w:jc w:val="center"/>
                    <w:rPr>
                      <w:szCs w:val="21"/>
                    </w:rPr>
                  </w:pPr>
                  <w:r>
                    <w:rPr>
                      <w:rFonts w:hint="eastAsia"/>
                      <w:szCs w:val="21"/>
                    </w:rPr>
                    <w:t>高速分散机</w:t>
                  </w:r>
                </w:p>
              </w:tc>
              <w:tc>
                <w:tcPr>
                  <w:tcW w:w="1706" w:type="dxa"/>
                  <w:vAlign w:val="center"/>
                </w:tcPr>
                <w:p>
                  <w:pPr>
                    <w:widowControl/>
                    <w:adjustRightInd w:val="0"/>
                    <w:snapToGrid w:val="0"/>
                    <w:jc w:val="center"/>
                    <w:rPr>
                      <w:szCs w:val="21"/>
                    </w:rPr>
                  </w:pPr>
                  <w:r>
                    <w:rPr>
                      <w:szCs w:val="21"/>
                    </w:rPr>
                    <w:t>1</w:t>
                  </w:r>
                </w:p>
              </w:tc>
              <w:tc>
                <w:tcPr>
                  <w:tcW w:w="2340" w:type="dxa"/>
                  <w:vAlign w:val="center"/>
                </w:tcPr>
                <w:p>
                  <w:pPr>
                    <w:widowControl/>
                    <w:adjustRightInd w:val="0"/>
                    <w:snapToGrid w:val="0"/>
                    <w:jc w:val="center"/>
                    <w:rPr>
                      <w:szCs w:val="21"/>
                    </w:rPr>
                  </w:pPr>
                  <w:r>
                    <w:rPr>
                      <w:rFonts w:hint="eastAsia"/>
                      <w:szCs w:val="21"/>
                    </w:rPr>
                    <w:t>G</w:t>
                  </w:r>
                  <w:r>
                    <w:rPr>
                      <w:szCs w:val="21"/>
                    </w:rPr>
                    <w:t>FJ-22</w:t>
                  </w:r>
                </w:p>
              </w:tc>
              <w:tc>
                <w:tcPr>
                  <w:tcW w:w="2030" w:type="dxa"/>
                  <w:vAlign w:val="center"/>
                </w:tcPr>
                <w:p>
                  <w:pPr>
                    <w:widowControl/>
                    <w:adjustRightInd w:val="0"/>
                    <w:snapToGrid w:val="0"/>
                    <w:jc w:val="center"/>
                    <w:rPr>
                      <w:szCs w:val="21"/>
                    </w:rPr>
                  </w:pPr>
                  <w:r>
                    <w:rPr>
                      <w:rFonts w:hint="eastAsia"/>
                      <w:szCs w:val="21"/>
                    </w:rPr>
                    <w:t>75</w:t>
                  </w:r>
                  <w:r>
                    <w:rPr>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82" w:type="dxa"/>
                  <w:vAlign w:val="center"/>
                </w:tcPr>
                <w:p>
                  <w:pPr>
                    <w:jc w:val="center"/>
                    <w:rPr>
                      <w:szCs w:val="21"/>
                    </w:rPr>
                  </w:pPr>
                  <w:r>
                    <w:rPr>
                      <w:rFonts w:hint="eastAsia"/>
                      <w:szCs w:val="21"/>
                    </w:rPr>
                    <w:t>9</w:t>
                  </w:r>
                </w:p>
              </w:tc>
              <w:tc>
                <w:tcPr>
                  <w:tcW w:w="2454" w:type="dxa"/>
                  <w:vAlign w:val="center"/>
                </w:tcPr>
                <w:p>
                  <w:pPr>
                    <w:widowControl/>
                    <w:adjustRightInd w:val="0"/>
                    <w:snapToGrid w:val="0"/>
                    <w:jc w:val="center"/>
                    <w:rPr>
                      <w:szCs w:val="21"/>
                    </w:rPr>
                  </w:pPr>
                  <w:r>
                    <w:rPr>
                      <w:rFonts w:hint="eastAsia"/>
                      <w:szCs w:val="21"/>
                    </w:rPr>
                    <w:t>电动隔渣筛</w:t>
                  </w:r>
                </w:p>
              </w:tc>
              <w:tc>
                <w:tcPr>
                  <w:tcW w:w="1706" w:type="dxa"/>
                  <w:vAlign w:val="center"/>
                </w:tcPr>
                <w:p>
                  <w:pPr>
                    <w:widowControl/>
                    <w:adjustRightInd w:val="0"/>
                    <w:snapToGrid w:val="0"/>
                    <w:jc w:val="center"/>
                    <w:rPr>
                      <w:szCs w:val="21"/>
                    </w:rPr>
                  </w:pPr>
                  <w:r>
                    <w:rPr>
                      <w:rFonts w:hint="eastAsia"/>
                      <w:szCs w:val="21"/>
                    </w:rPr>
                    <w:t>1</w:t>
                  </w:r>
                </w:p>
              </w:tc>
              <w:tc>
                <w:tcPr>
                  <w:tcW w:w="2340" w:type="dxa"/>
                  <w:vAlign w:val="center"/>
                </w:tcPr>
                <w:p>
                  <w:pPr>
                    <w:widowControl/>
                    <w:adjustRightInd w:val="0"/>
                    <w:snapToGrid w:val="0"/>
                    <w:jc w:val="center"/>
                    <w:rPr>
                      <w:szCs w:val="21"/>
                    </w:rPr>
                  </w:pPr>
                  <w:r>
                    <w:rPr>
                      <w:rFonts w:hint="eastAsia"/>
                      <w:szCs w:val="21"/>
                    </w:rPr>
                    <w:t>T</w:t>
                  </w:r>
                  <w:r>
                    <w:rPr>
                      <w:szCs w:val="21"/>
                    </w:rPr>
                    <w:t>CS540</w:t>
                  </w:r>
                </w:p>
              </w:tc>
              <w:tc>
                <w:tcPr>
                  <w:tcW w:w="2030" w:type="dxa"/>
                </w:tcPr>
                <w:p>
                  <w:pPr>
                    <w:widowControl/>
                    <w:adjustRightInd w:val="0"/>
                    <w:snapToGrid w:val="0"/>
                    <w:jc w:val="center"/>
                    <w:rPr>
                      <w:szCs w:val="21"/>
                    </w:rPr>
                  </w:pPr>
                  <w:r>
                    <w:rPr>
                      <w:rFonts w:hint="eastAsia"/>
                      <w:szCs w:val="21"/>
                    </w:rPr>
                    <w:t>75</w:t>
                  </w:r>
                  <w:r>
                    <w:rPr>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82" w:type="dxa"/>
                  <w:vAlign w:val="center"/>
                </w:tcPr>
                <w:p>
                  <w:pPr>
                    <w:jc w:val="center"/>
                    <w:rPr>
                      <w:szCs w:val="21"/>
                    </w:rPr>
                  </w:pPr>
                  <w:r>
                    <w:rPr>
                      <w:rFonts w:hint="eastAsia"/>
                      <w:szCs w:val="21"/>
                    </w:rPr>
                    <w:t>10</w:t>
                  </w:r>
                </w:p>
              </w:tc>
              <w:tc>
                <w:tcPr>
                  <w:tcW w:w="2454" w:type="dxa"/>
                  <w:vAlign w:val="center"/>
                </w:tcPr>
                <w:p>
                  <w:pPr>
                    <w:widowControl/>
                    <w:adjustRightInd w:val="0"/>
                    <w:snapToGrid w:val="0"/>
                    <w:jc w:val="center"/>
                    <w:rPr>
                      <w:szCs w:val="21"/>
                    </w:rPr>
                  </w:pPr>
                  <w:r>
                    <w:rPr>
                      <w:rFonts w:hint="eastAsia"/>
                      <w:szCs w:val="21"/>
                    </w:rPr>
                    <w:t>喷嘴碟片离心机</w:t>
                  </w:r>
                </w:p>
              </w:tc>
              <w:tc>
                <w:tcPr>
                  <w:tcW w:w="1706" w:type="dxa"/>
                  <w:vAlign w:val="center"/>
                </w:tcPr>
                <w:p>
                  <w:pPr>
                    <w:widowControl/>
                    <w:adjustRightInd w:val="0"/>
                    <w:snapToGrid w:val="0"/>
                    <w:jc w:val="center"/>
                    <w:rPr>
                      <w:szCs w:val="21"/>
                    </w:rPr>
                  </w:pPr>
                  <w:r>
                    <w:rPr>
                      <w:szCs w:val="21"/>
                    </w:rPr>
                    <w:t>1</w:t>
                  </w:r>
                </w:p>
              </w:tc>
              <w:tc>
                <w:tcPr>
                  <w:tcW w:w="2340" w:type="dxa"/>
                  <w:vAlign w:val="center"/>
                </w:tcPr>
                <w:p>
                  <w:pPr>
                    <w:widowControl/>
                    <w:adjustRightInd w:val="0"/>
                    <w:snapToGrid w:val="0"/>
                    <w:jc w:val="center"/>
                    <w:rPr>
                      <w:szCs w:val="21"/>
                    </w:rPr>
                  </w:pPr>
                  <w:r>
                    <w:rPr>
                      <w:rFonts w:hint="eastAsia"/>
                      <w:szCs w:val="21"/>
                    </w:rPr>
                    <w:t>Q</w:t>
                  </w:r>
                  <w:r>
                    <w:rPr>
                      <w:szCs w:val="21"/>
                    </w:rPr>
                    <w:t>X210B-34G</w:t>
                  </w:r>
                </w:p>
              </w:tc>
              <w:tc>
                <w:tcPr>
                  <w:tcW w:w="2030" w:type="dxa"/>
                </w:tcPr>
                <w:p>
                  <w:pPr>
                    <w:widowControl/>
                    <w:adjustRightInd w:val="0"/>
                    <w:snapToGrid w:val="0"/>
                    <w:jc w:val="center"/>
                    <w:rPr>
                      <w:szCs w:val="21"/>
                    </w:rPr>
                  </w:pPr>
                  <w:r>
                    <w:rPr>
                      <w:rFonts w:hint="eastAsia"/>
                      <w:szCs w:val="21"/>
                    </w:rPr>
                    <w:t>75</w:t>
                  </w:r>
                  <w:r>
                    <w:rPr>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82" w:type="dxa"/>
                  <w:vAlign w:val="center"/>
                </w:tcPr>
                <w:p>
                  <w:pPr>
                    <w:widowControl/>
                    <w:jc w:val="center"/>
                    <w:rPr>
                      <w:kern w:val="0"/>
                      <w:szCs w:val="21"/>
                    </w:rPr>
                  </w:pPr>
                  <w:r>
                    <w:rPr>
                      <w:rFonts w:hint="eastAsia"/>
                      <w:kern w:val="0"/>
                      <w:szCs w:val="21"/>
                    </w:rPr>
                    <w:t>11</w:t>
                  </w:r>
                </w:p>
              </w:tc>
              <w:tc>
                <w:tcPr>
                  <w:tcW w:w="2454" w:type="dxa"/>
                  <w:vAlign w:val="center"/>
                </w:tcPr>
                <w:p>
                  <w:pPr>
                    <w:widowControl/>
                    <w:adjustRightInd w:val="0"/>
                    <w:snapToGrid w:val="0"/>
                    <w:jc w:val="center"/>
                    <w:rPr>
                      <w:szCs w:val="21"/>
                    </w:rPr>
                  </w:pPr>
                  <w:r>
                    <w:rPr>
                      <w:rFonts w:hint="eastAsia"/>
                      <w:szCs w:val="21"/>
                    </w:rPr>
                    <w:t>卧式螺旋离心机</w:t>
                  </w:r>
                </w:p>
              </w:tc>
              <w:tc>
                <w:tcPr>
                  <w:tcW w:w="1706" w:type="dxa"/>
                  <w:vAlign w:val="center"/>
                </w:tcPr>
                <w:p>
                  <w:pPr>
                    <w:widowControl/>
                    <w:adjustRightInd w:val="0"/>
                    <w:snapToGrid w:val="0"/>
                    <w:jc w:val="center"/>
                    <w:rPr>
                      <w:szCs w:val="21"/>
                    </w:rPr>
                  </w:pPr>
                  <w:r>
                    <w:rPr>
                      <w:rFonts w:hint="eastAsia"/>
                      <w:szCs w:val="21"/>
                    </w:rPr>
                    <w:t>1</w:t>
                  </w:r>
                </w:p>
              </w:tc>
              <w:tc>
                <w:tcPr>
                  <w:tcW w:w="2340" w:type="dxa"/>
                  <w:vAlign w:val="center"/>
                </w:tcPr>
                <w:p>
                  <w:pPr>
                    <w:widowControl/>
                    <w:adjustRightInd w:val="0"/>
                    <w:snapToGrid w:val="0"/>
                    <w:jc w:val="center"/>
                    <w:rPr>
                      <w:szCs w:val="21"/>
                    </w:rPr>
                  </w:pPr>
                  <w:r>
                    <w:rPr>
                      <w:rFonts w:hint="eastAsia"/>
                      <w:szCs w:val="21"/>
                    </w:rPr>
                    <w:t>C</w:t>
                  </w:r>
                  <w:r>
                    <w:rPr>
                      <w:szCs w:val="21"/>
                    </w:rPr>
                    <w:t>HNX416B-31G</w:t>
                  </w:r>
                </w:p>
              </w:tc>
              <w:tc>
                <w:tcPr>
                  <w:tcW w:w="2030" w:type="dxa"/>
                </w:tcPr>
                <w:p>
                  <w:pPr>
                    <w:widowControl/>
                    <w:adjustRightInd w:val="0"/>
                    <w:snapToGrid w:val="0"/>
                    <w:jc w:val="center"/>
                    <w:rPr>
                      <w:szCs w:val="21"/>
                    </w:rPr>
                  </w:pPr>
                  <w:r>
                    <w:rPr>
                      <w:rFonts w:hint="eastAsia"/>
                      <w:szCs w:val="21"/>
                    </w:rPr>
                    <w:t>75</w:t>
                  </w:r>
                  <w:r>
                    <w:rPr>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82" w:type="dxa"/>
                  <w:vAlign w:val="center"/>
                </w:tcPr>
                <w:p>
                  <w:pPr>
                    <w:widowControl/>
                    <w:jc w:val="center"/>
                    <w:rPr>
                      <w:kern w:val="0"/>
                      <w:szCs w:val="21"/>
                    </w:rPr>
                  </w:pPr>
                  <w:r>
                    <w:rPr>
                      <w:rFonts w:hint="eastAsia"/>
                      <w:kern w:val="0"/>
                      <w:szCs w:val="21"/>
                    </w:rPr>
                    <w:t>12</w:t>
                  </w:r>
                </w:p>
              </w:tc>
              <w:tc>
                <w:tcPr>
                  <w:tcW w:w="2454" w:type="dxa"/>
                  <w:vAlign w:val="center"/>
                </w:tcPr>
                <w:p>
                  <w:pPr>
                    <w:widowControl/>
                    <w:adjustRightInd w:val="0"/>
                    <w:snapToGrid w:val="0"/>
                    <w:jc w:val="center"/>
                    <w:rPr>
                      <w:szCs w:val="21"/>
                    </w:rPr>
                  </w:pPr>
                  <w:r>
                    <w:rPr>
                      <w:rFonts w:hint="eastAsia"/>
                      <w:szCs w:val="21"/>
                    </w:rPr>
                    <w:t>鼓式真空过滤机</w:t>
                  </w:r>
                </w:p>
              </w:tc>
              <w:tc>
                <w:tcPr>
                  <w:tcW w:w="1706" w:type="dxa"/>
                  <w:vAlign w:val="center"/>
                </w:tcPr>
                <w:p>
                  <w:pPr>
                    <w:widowControl/>
                    <w:adjustRightInd w:val="0"/>
                    <w:snapToGrid w:val="0"/>
                    <w:jc w:val="center"/>
                    <w:rPr>
                      <w:szCs w:val="21"/>
                    </w:rPr>
                  </w:pPr>
                  <w:r>
                    <w:rPr>
                      <w:szCs w:val="21"/>
                    </w:rPr>
                    <w:t>1</w:t>
                  </w:r>
                </w:p>
              </w:tc>
              <w:tc>
                <w:tcPr>
                  <w:tcW w:w="2340" w:type="dxa"/>
                  <w:vAlign w:val="center"/>
                </w:tcPr>
                <w:p>
                  <w:pPr>
                    <w:widowControl/>
                    <w:adjustRightInd w:val="0"/>
                    <w:snapToGrid w:val="0"/>
                    <w:jc w:val="center"/>
                    <w:rPr>
                      <w:szCs w:val="21"/>
                    </w:rPr>
                  </w:pPr>
                  <w:r>
                    <w:rPr>
                      <w:rFonts w:hint="eastAsia"/>
                      <w:szCs w:val="21"/>
                    </w:rPr>
                    <w:t>2</w:t>
                  </w:r>
                  <w:r>
                    <w:rPr>
                      <w:szCs w:val="21"/>
                    </w:rPr>
                    <w:t>440mmX24260mm</w:t>
                  </w:r>
                </w:p>
              </w:tc>
              <w:tc>
                <w:tcPr>
                  <w:tcW w:w="2030" w:type="dxa"/>
                  <w:vAlign w:val="center"/>
                </w:tcPr>
                <w:p>
                  <w:pPr>
                    <w:widowControl/>
                    <w:adjustRightInd w:val="0"/>
                    <w:snapToGrid w:val="0"/>
                    <w:jc w:val="center"/>
                    <w:rPr>
                      <w:szCs w:val="21"/>
                    </w:rPr>
                  </w:pPr>
                  <w:r>
                    <w:rPr>
                      <w:rFonts w:hint="eastAsia"/>
                      <w:szCs w:val="21"/>
                    </w:rPr>
                    <w:t>75</w:t>
                  </w:r>
                  <w:r>
                    <w:rPr>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82" w:type="dxa"/>
                  <w:vAlign w:val="center"/>
                </w:tcPr>
                <w:p>
                  <w:pPr>
                    <w:widowControl/>
                    <w:jc w:val="center"/>
                    <w:rPr>
                      <w:kern w:val="0"/>
                      <w:szCs w:val="21"/>
                    </w:rPr>
                  </w:pPr>
                  <w:r>
                    <w:rPr>
                      <w:rFonts w:hint="eastAsia"/>
                      <w:kern w:val="0"/>
                      <w:szCs w:val="21"/>
                    </w:rPr>
                    <w:t>13</w:t>
                  </w:r>
                </w:p>
              </w:tc>
              <w:tc>
                <w:tcPr>
                  <w:tcW w:w="2454" w:type="dxa"/>
                  <w:vAlign w:val="center"/>
                </w:tcPr>
                <w:p>
                  <w:pPr>
                    <w:widowControl/>
                    <w:adjustRightInd w:val="0"/>
                    <w:snapToGrid w:val="0"/>
                    <w:jc w:val="center"/>
                    <w:rPr>
                      <w:szCs w:val="21"/>
                    </w:rPr>
                  </w:pPr>
                  <w:r>
                    <w:rPr>
                      <w:rFonts w:hint="eastAsia"/>
                      <w:szCs w:val="21"/>
                    </w:rPr>
                    <w:t>剥片机</w:t>
                  </w:r>
                </w:p>
              </w:tc>
              <w:tc>
                <w:tcPr>
                  <w:tcW w:w="1706" w:type="dxa"/>
                  <w:vAlign w:val="center"/>
                </w:tcPr>
                <w:p>
                  <w:pPr>
                    <w:widowControl/>
                    <w:adjustRightInd w:val="0"/>
                    <w:snapToGrid w:val="0"/>
                    <w:jc w:val="center"/>
                    <w:rPr>
                      <w:szCs w:val="21"/>
                    </w:rPr>
                  </w:pPr>
                  <w:r>
                    <w:rPr>
                      <w:szCs w:val="21"/>
                    </w:rPr>
                    <w:t>1</w:t>
                  </w:r>
                </w:p>
              </w:tc>
              <w:tc>
                <w:tcPr>
                  <w:tcW w:w="2340" w:type="dxa"/>
                  <w:vAlign w:val="center"/>
                </w:tcPr>
                <w:p>
                  <w:pPr>
                    <w:widowControl/>
                    <w:adjustRightInd w:val="0"/>
                    <w:snapToGrid w:val="0"/>
                    <w:jc w:val="center"/>
                    <w:rPr>
                      <w:szCs w:val="21"/>
                    </w:rPr>
                  </w:pPr>
                  <w:r>
                    <w:rPr>
                      <w:rFonts w:hint="eastAsia"/>
                      <w:szCs w:val="21"/>
                    </w:rPr>
                    <w:t>5</w:t>
                  </w:r>
                  <w:r>
                    <w:rPr>
                      <w:szCs w:val="21"/>
                    </w:rPr>
                    <w:t>6X56</w:t>
                  </w:r>
                  <w:r>
                    <w:rPr>
                      <w:rFonts w:hint="eastAsia"/>
                      <w:szCs w:val="21"/>
                    </w:rPr>
                    <w:t>英寸双槽</w:t>
                  </w:r>
                </w:p>
              </w:tc>
              <w:tc>
                <w:tcPr>
                  <w:tcW w:w="2030" w:type="dxa"/>
                  <w:vAlign w:val="center"/>
                </w:tcPr>
                <w:p>
                  <w:pPr>
                    <w:widowControl/>
                    <w:adjustRightInd w:val="0"/>
                    <w:snapToGrid w:val="0"/>
                    <w:jc w:val="center"/>
                    <w:rPr>
                      <w:szCs w:val="21"/>
                    </w:rPr>
                  </w:pPr>
                  <w:r>
                    <w:rPr>
                      <w:rFonts w:hint="eastAsia"/>
                      <w:szCs w:val="21"/>
                    </w:rPr>
                    <w:t>75</w:t>
                  </w:r>
                  <w:r>
                    <w:rPr>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82" w:type="dxa"/>
                  <w:vAlign w:val="center"/>
                </w:tcPr>
                <w:p>
                  <w:pPr>
                    <w:widowControl/>
                    <w:jc w:val="center"/>
                    <w:rPr>
                      <w:kern w:val="0"/>
                      <w:szCs w:val="21"/>
                    </w:rPr>
                  </w:pPr>
                  <w:r>
                    <w:rPr>
                      <w:rFonts w:hint="eastAsia"/>
                      <w:kern w:val="0"/>
                      <w:szCs w:val="21"/>
                    </w:rPr>
                    <w:t>14</w:t>
                  </w:r>
                </w:p>
              </w:tc>
              <w:tc>
                <w:tcPr>
                  <w:tcW w:w="2454" w:type="dxa"/>
                  <w:vAlign w:val="center"/>
                </w:tcPr>
                <w:p>
                  <w:pPr>
                    <w:widowControl/>
                    <w:adjustRightInd w:val="0"/>
                    <w:snapToGrid w:val="0"/>
                    <w:jc w:val="center"/>
                    <w:rPr>
                      <w:szCs w:val="21"/>
                    </w:rPr>
                  </w:pPr>
                  <w:r>
                    <w:rPr>
                      <w:rFonts w:hint="eastAsia"/>
                      <w:szCs w:val="21"/>
                    </w:rPr>
                    <w:t>喷雾干燥机组</w:t>
                  </w:r>
                </w:p>
              </w:tc>
              <w:tc>
                <w:tcPr>
                  <w:tcW w:w="1706" w:type="dxa"/>
                  <w:vAlign w:val="center"/>
                </w:tcPr>
                <w:p>
                  <w:pPr>
                    <w:widowControl/>
                    <w:adjustRightInd w:val="0"/>
                    <w:snapToGrid w:val="0"/>
                    <w:jc w:val="center"/>
                    <w:rPr>
                      <w:szCs w:val="21"/>
                    </w:rPr>
                  </w:pPr>
                  <w:r>
                    <w:rPr>
                      <w:szCs w:val="21"/>
                    </w:rPr>
                    <w:t>1</w:t>
                  </w:r>
                </w:p>
              </w:tc>
              <w:tc>
                <w:tcPr>
                  <w:tcW w:w="2340" w:type="dxa"/>
                  <w:vAlign w:val="center"/>
                </w:tcPr>
                <w:p>
                  <w:pPr>
                    <w:widowControl/>
                    <w:adjustRightInd w:val="0"/>
                    <w:snapToGrid w:val="0"/>
                    <w:jc w:val="center"/>
                    <w:rPr>
                      <w:szCs w:val="21"/>
                    </w:rPr>
                  </w:pPr>
                  <w:r>
                    <w:rPr>
                      <w:rFonts w:hint="eastAsia"/>
                      <w:szCs w:val="21"/>
                    </w:rPr>
                    <w:t>/</w:t>
                  </w:r>
                </w:p>
              </w:tc>
              <w:tc>
                <w:tcPr>
                  <w:tcW w:w="2030" w:type="dxa"/>
                  <w:vAlign w:val="center"/>
                </w:tcPr>
                <w:p>
                  <w:pPr>
                    <w:widowControl/>
                    <w:adjustRightInd w:val="0"/>
                    <w:snapToGrid w:val="0"/>
                    <w:jc w:val="center"/>
                    <w:rPr>
                      <w:szCs w:val="21"/>
                    </w:rPr>
                  </w:pPr>
                  <w:r>
                    <w:rPr>
                      <w:rFonts w:hint="eastAsia"/>
                      <w:szCs w:val="21"/>
                    </w:rPr>
                    <w:t>75</w:t>
                  </w:r>
                  <w:r>
                    <w:rPr>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82" w:type="dxa"/>
                  <w:vAlign w:val="center"/>
                </w:tcPr>
                <w:p>
                  <w:pPr>
                    <w:widowControl/>
                    <w:jc w:val="center"/>
                    <w:rPr>
                      <w:kern w:val="0"/>
                      <w:szCs w:val="21"/>
                    </w:rPr>
                  </w:pPr>
                  <w:r>
                    <w:rPr>
                      <w:rFonts w:hint="eastAsia"/>
                      <w:kern w:val="0"/>
                      <w:szCs w:val="21"/>
                    </w:rPr>
                    <w:t>15</w:t>
                  </w:r>
                </w:p>
              </w:tc>
              <w:tc>
                <w:tcPr>
                  <w:tcW w:w="2454" w:type="dxa"/>
                  <w:vAlign w:val="center"/>
                </w:tcPr>
                <w:p>
                  <w:pPr>
                    <w:widowControl/>
                    <w:adjustRightInd w:val="0"/>
                    <w:snapToGrid w:val="0"/>
                    <w:jc w:val="center"/>
                    <w:rPr>
                      <w:szCs w:val="21"/>
                    </w:rPr>
                  </w:pPr>
                  <w:r>
                    <w:rPr>
                      <w:rFonts w:hint="eastAsia"/>
                      <w:szCs w:val="21"/>
                    </w:rPr>
                    <w:t>自动包装机</w:t>
                  </w:r>
                </w:p>
              </w:tc>
              <w:tc>
                <w:tcPr>
                  <w:tcW w:w="1706" w:type="dxa"/>
                  <w:vAlign w:val="center"/>
                </w:tcPr>
                <w:p>
                  <w:pPr>
                    <w:widowControl/>
                    <w:adjustRightInd w:val="0"/>
                    <w:snapToGrid w:val="0"/>
                    <w:jc w:val="center"/>
                    <w:rPr>
                      <w:szCs w:val="21"/>
                    </w:rPr>
                  </w:pPr>
                  <w:r>
                    <w:rPr>
                      <w:rFonts w:hint="eastAsia"/>
                      <w:szCs w:val="21"/>
                    </w:rPr>
                    <w:t>1</w:t>
                  </w:r>
                </w:p>
              </w:tc>
              <w:tc>
                <w:tcPr>
                  <w:tcW w:w="2340" w:type="dxa"/>
                  <w:vAlign w:val="center"/>
                </w:tcPr>
                <w:p>
                  <w:pPr>
                    <w:widowControl/>
                    <w:adjustRightInd w:val="0"/>
                    <w:snapToGrid w:val="0"/>
                    <w:jc w:val="center"/>
                    <w:rPr>
                      <w:szCs w:val="21"/>
                    </w:rPr>
                  </w:pPr>
                  <w:r>
                    <w:rPr>
                      <w:rFonts w:hint="eastAsia"/>
                      <w:szCs w:val="21"/>
                    </w:rPr>
                    <w:t>/</w:t>
                  </w:r>
                </w:p>
              </w:tc>
              <w:tc>
                <w:tcPr>
                  <w:tcW w:w="2030" w:type="dxa"/>
                  <w:vAlign w:val="center"/>
                </w:tcPr>
                <w:p>
                  <w:pPr>
                    <w:widowControl/>
                    <w:adjustRightInd w:val="0"/>
                    <w:snapToGrid w:val="0"/>
                    <w:jc w:val="center"/>
                    <w:rPr>
                      <w:szCs w:val="21"/>
                    </w:rPr>
                  </w:pPr>
                  <w:r>
                    <w:rPr>
                      <w:rFonts w:hint="eastAsia"/>
                      <w:szCs w:val="21"/>
                    </w:rPr>
                    <w:t>75</w:t>
                  </w:r>
                  <w:r>
                    <w:rPr>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82" w:type="dxa"/>
                  <w:vAlign w:val="center"/>
                </w:tcPr>
                <w:p>
                  <w:pPr>
                    <w:widowControl/>
                    <w:jc w:val="center"/>
                    <w:rPr>
                      <w:kern w:val="0"/>
                      <w:szCs w:val="21"/>
                    </w:rPr>
                  </w:pPr>
                  <w:r>
                    <w:rPr>
                      <w:rFonts w:hint="eastAsia"/>
                      <w:kern w:val="0"/>
                      <w:szCs w:val="21"/>
                    </w:rPr>
                    <w:t>1</w:t>
                  </w:r>
                  <w:r>
                    <w:rPr>
                      <w:kern w:val="0"/>
                      <w:szCs w:val="21"/>
                    </w:rPr>
                    <w:t>6</w:t>
                  </w:r>
                </w:p>
              </w:tc>
              <w:tc>
                <w:tcPr>
                  <w:tcW w:w="2454" w:type="dxa"/>
                  <w:vAlign w:val="center"/>
                </w:tcPr>
                <w:p>
                  <w:pPr>
                    <w:widowControl/>
                    <w:adjustRightInd w:val="0"/>
                    <w:snapToGrid w:val="0"/>
                    <w:jc w:val="center"/>
                    <w:rPr>
                      <w:szCs w:val="21"/>
                    </w:rPr>
                  </w:pPr>
                  <w:r>
                    <w:rPr>
                      <w:rFonts w:hint="eastAsia" w:ascii="宋体" w:cs="宋体"/>
                      <w:kern w:val="0"/>
                      <w:sz w:val="24"/>
                    </w:rPr>
                    <w:t>喂料机</w:t>
                  </w:r>
                </w:p>
              </w:tc>
              <w:tc>
                <w:tcPr>
                  <w:tcW w:w="1706" w:type="dxa"/>
                  <w:vAlign w:val="center"/>
                </w:tcPr>
                <w:p>
                  <w:pPr>
                    <w:widowControl/>
                    <w:adjustRightInd w:val="0"/>
                    <w:snapToGrid w:val="0"/>
                    <w:jc w:val="center"/>
                    <w:rPr>
                      <w:szCs w:val="21"/>
                    </w:rPr>
                  </w:pPr>
                  <w:r>
                    <w:rPr>
                      <w:rFonts w:hint="eastAsia"/>
                      <w:szCs w:val="21"/>
                    </w:rPr>
                    <w:t>1</w:t>
                  </w:r>
                </w:p>
              </w:tc>
              <w:tc>
                <w:tcPr>
                  <w:tcW w:w="2340" w:type="dxa"/>
                  <w:vAlign w:val="center"/>
                </w:tcPr>
                <w:p>
                  <w:pPr>
                    <w:widowControl/>
                    <w:adjustRightInd w:val="0"/>
                    <w:snapToGrid w:val="0"/>
                    <w:jc w:val="center"/>
                    <w:rPr>
                      <w:szCs w:val="21"/>
                    </w:rPr>
                  </w:pPr>
                  <w:r>
                    <w:rPr>
                      <w:rFonts w:hint="eastAsia"/>
                      <w:szCs w:val="21"/>
                    </w:rPr>
                    <w:t>/</w:t>
                  </w:r>
                </w:p>
              </w:tc>
              <w:tc>
                <w:tcPr>
                  <w:tcW w:w="2030" w:type="dxa"/>
                  <w:vAlign w:val="center"/>
                </w:tcPr>
                <w:p>
                  <w:pPr>
                    <w:widowControl/>
                    <w:adjustRightInd w:val="0"/>
                    <w:snapToGrid w:val="0"/>
                    <w:jc w:val="center"/>
                    <w:rPr>
                      <w:szCs w:val="21"/>
                    </w:rPr>
                  </w:pPr>
                  <w:r>
                    <w:rPr>
                      <w:rFonts w:hint="eastAsia"/>
                      <w:szCs w:val="21"/>
                    </w:rPr>
                    <w:t>75</w:t>
                  </w:r>
                  <w:r>
                    <w:rPr>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82" w:type="dxa"/>
                  <w:vAlign w:val="center"/>
                </w:tcPr>
                <w:p>
                  <w:pPr>
                    <w:widowControl/>
                    <w:jc w:val="center"/>
                    <w:rPr>
                      <w:kern w:val="0"/>
                      <w:szCs w:val="21"/>
                    </w:rPr>
                  </w:pPr>
                  <w:r>
                    <w:rPr>
                      <w:rFonts w:hint="eastAsia"/>
                      <w:kern w:val="0"/>
                      <w:szCs w:val="21"/>
                    </w:rPr>
                    <w:t>1</w:t>
                  </w:r>
                  <w:r>
                    <w:rPr>
                      <w:kern w:val="0"/>
                      <w:szCs w:val="21"/>
                    </w:rPr>
                    <w:t>7</w:t>
                  </w:r>
                </w:p>
              </w:tc>
              <w:tc>
                <w:tcPr>
                  <w:tcW w:w="2454" w:type="dxa"/>
                  <w:vAlign w:val="center"/>
                </w:tcPr>
                <w:p>
                  <w:pPr>
                    <w:widowControl/>
                    <w:adjustRightInd w:val="0"/>
                    <w:snapToGrid w:val="0"/>
                    <w:jc w:val="center"/>
                    <w:rPr>
                      <w:szCs w:val="21"/>
                    </w:rPr>
                  </w:pPr>
                  <w:r>
                    <w:rPr>
                      <w:rFonts w:hint="eastAsia" w:ascii="宋体" w:cs="宋体"/>
                      <w:kern w:val="0"/>
                      <w:sz w:val="24"/>
                    </w:rPr>
                    <w:t>洗沙一体机</w:t>
                  </w:r>
                </w:p>
              </w:tc>
              <w:tc>
                <w:tcPr>
                  <w:tcW w:w="1706" w:type="dxa"/>
                  <w:vAlign w:val="center"/>
                </w:tcPr>
                <w:p>
                  <w:pPr>
                    <w:widowControl/>
                    <w:adjustRightInd w:val="0"/>
                    <w:snapToGrid w:val="0"/>
                    <w:jc w:val="center"/>
                    <w:rPr>
                      <w:szCs w:val="21"/>
                    </w:rPr>
                  </w:pPr>
                  <w:r>
                    <w:rPr>
                      <w:rFonts w:hint="eastAsia"/>
                      <w:szCs w:val="21"/>
                    </w:rPr>
                    <w:t>1</w:t>
                  </w:r>
                </w:p>
              </w:tc>
              <w:tc>
                <w:tcPr>
                  <w:tcW w:w="2340" w:type="dxa"/>
                  <w:vAlign w:val="center"/>
                </w:tcPr>
                <w:p>
                  <w:pPr>
                    <w:widowControl/>
                    <w:adjustRightInd w:val="0"/>
                    <w:snapToGrid w:val="0"/>
                    <w:jc w:val="center"/>
                    <w:rPr>
                      <w:szCs w:val="21"/>
                    </w:rPr>
                  </w:pPr>
                  <w:r>
                    <w:rPr>
                      <w:rFonts w:hint="eastAsia"/>
                      <w:szCs w:val="21"/>
                    </w:rPr>
                    <w:t>/</w:t>
                  </w:r>
                </w:p>
              </w:tc>
              <w:tc>
                <w:tcPr>
                  <w:tcW w:w="2030" w:type="dxa"/>
                  <w:vAlign w:val="center"/>
                </w:tcPr>
                <w:p>
                  <w:pPr>
                    <w:widowControl/>
                    <w:adjustRightInd w:val="0"/>
                    <w:snapToGrid w:val="0"/>
                    <w:jc w:val="center"/>
                    <w:rPr>
                      <w:szCs w:val="21"/>
                    </w:rPr>
                  </w:pPr>
                  <w:r>
                    <w:rPr>
                      <w:rFonts w:hint="eastAsia"/>
                      <w:szCs w:val="21"/>
                    </w:rPr>
                    <w:t>75</w:t>
                  </w:r>
                  <w:r>
                    <w:rPr>
                      <w:szCs w:val="21"/>
                    </w:rPr>
                    <w:t>~85</w:t>
                  </w:r>
                </w:p>
              </w:tc>
            </w:tr>
          </w:tbl>
          <w:p>
            <w:pPr>
              <w:pStyle w:val="8"/>
              <w:spacing w:before="120" w:beforeLines="50" w:line="360" w:lineRule="auto"/>
              <w:ind w:right="0" w:firstLine="482" w:firstLineChars="200"/>
              <w:rPr>
                <w:b/>
                <w:sz w:val="24"/>
                <w:szCs w:val="24"/>
              </w:rPr>
            </w:pPr>
            <w:r>
              <w:rPr>
                <w:rFonts w:hint="eastAsia"/>
                <w:b/>
                <w:sz w:val="24"/>
                <w:szCs w:val="24"/>
              </w:rPr>
              <w:t>4</w:t>
            </w:r>
            <w:r>
              <w:rPr>
                <w:b/>
                <w:sz w:val="24"/>
                <w:szCs w:val="24"/>
              </w:rPr>
              <w:t>、固体废物</w:t>
            </w:r>
          </w:p>
          <w:p>
            <w:pPr>
              <w:autoSpaceDE w:val="0"/>
              <w:autoSpaceDN w:val="0"/>
              <w:adjustRightInd w:val="0"/>
              <w:spacing w:line="360" w:lineRule="auto"/>
              <w:ind w:firstLine="480" w:firstLineChars="200"/>
              <w:jc w:val="left"/>
              <w:rPr>
                <w:bCs/>
                <w:sz w:val="24"/>
              </w:rPr>
            </w:pPr>
            <w:r>
              <w:rPr>
                <w:sz w:val="24"/>
              </w:rPr>
              <w:t>本项目产生的固体废物主要有</w:t>
            </w:r>
            <w:r>
              <w:rPr>
                <w:kern w:val="0"/>
                <w:sz w:val="24"/>
              </w:rPr>
              <w:t>生产残渣和</w:t>
            </w:r>
            <w:r>
              <w:rPr>
                <w:bCs/>
                <w:sz w:val="24"/>
              </w:rPr>
              <w:t>员工生活垃圾等。</w:t>
            </w:r>
          </w:p>
          <w:p>
            <w:pPr>
              <w:autoSpaceDE w:val="0"/>
              <w:autoSpaceDN w:val="0"/>
              <w:adjustRightInd w:val="0"/>
              <w:spacing w:line="360" w:lineRule="auto"/>
              <w:ind w:firstLine="480" w:firstLineChars="200"/>
              <w:jc w:val="left"/>
              <w:rPr>
                <w:kern w:val="0"/>
                <w:sz w:val="24"/>
              </w:rPr>
            </w:pPr>
            <w:r>
              <w:rPr>
                <w:kern w:val="0"/>
                <w:sz w:val="24"/>
              </w:rPr>
              <w:t>（1）生产残渣</w:t>
            </w:r>
          </w:p>
          <w:p>
            <w:pPr>
              <w:autoSpaceDE w:val="0"/>
              <w:autoSpaceDN w:val="0"/>
              <w:adjustRightInd w:val="0"/>
              <w:spacing w:line="360" w:lineRule="auto"/>
              <w:ind w:firstLine="480" w:firstLineChars="200"/>
              <w:rPr>
                <w:kern w:val="0"/>
                <w:sz w:val="24"/>
              </w:rPr>
            </w:pPr>
            <w:r>
              <w:rPr>
                <w:kern w:val="0"/>
                <w:sz w:val="24"/>
              </w:rPr>
              <w:t>本项目主要进行陶瓷原料高岭土的生产，生产过程中会有一定量的残渣产生，生产残渣主要有尾泥沙和沉淀池淤泥。项目年产生泥沙量为3.48 万吨/年（含水率30%），沉淀池淤泥量约5800t/a（含水率30%），本项目产生的固体废物为一般工业固体废物。均可用当作产品出售，不对外排放。</w:t>
            </w:r>
          </w:p>
          <w:p>
            <w:pPr>
              <w:autoSpaceDE w:val="0"/>
              <w:autoSpaceDN w:val="0"/>
              <w:adjustRightInd w:val="0"/>
              <w:spacing w:line="360" w:lineRule="auto"/>
              <w:ind w:firstLine="480" w:firstLineChars="200"/>
              <w:jc w:val="left"/>
              <w:rPr>
                <w:kern w:val="0"/>
                <w:sz w:val="24"/>
              </w:rPr>
            </w:pPr>
            <w:r>
              <w:rPr>
                <w:kern w:val="0"/>
                <w:sz w:val="24"/>
              </w:rPr>
              <w:t>（2）员工生活垃圾</w:t>
            </w:r>
          </w:p>
          <w:p>
            <w:pPr>
              <w:autoSpaceDE w:val="0"/>
              <w:autoSpaceDN w:val="0"/>
              <w:adjustRightInd w:val="0"/>
              <w:spacing w:line="360" w:lineRule="auto"/>
              <w:ind w:firstLine="480" w:firstLineChars="200"/>
              <w:rPr>
                <w:kern w:val="0"/>
                <w:sz w:val="24"/>
              </w:rPr>
            </w:pPr>
            <w:r>
              <w:rPr>
                <w:kern w:val="0"/>
                <w:sz w:val="24"/>
              </w:rPr>
              <w:t>本项目计划员工15 人，产生的生活垃圾按0.5kg/人·d 计，生活垃圾的年产生量为2.1t/a</w:t>
            </w:r>
            <w:r>
              <w:rPr>
                <w:rFonts w:hint="eastAsia"/>
                <w:sz w:val="24"/>
              </w:rPr>
              <w:t>，交由</w:t>
            </w:r>
            <w:r>
              <w:rPr>
                <w:sz w:val="24"/>
              </w:rPr>
              <w:t>环卫部门收集处理</w:t>
            </w:r>
            <w:r>
              <w:rPr>
                <w:kern w:val="0"/>
                <w:sz w:val="24"/>
              </w:rPr>
              <w:t>。</w:t>
            </w:r>
            <w:r>
              <w:rPr>
                <w:sz w:val="24"/>
              </w:rPr>
              <w:t>本项目营运期固体废物的产生情况见下表。</w:t>
            </w:r>
          </w:p>
          <w:p>
            <w:pPr>
              <w:jc w:val="center"/>
              <w:rPr>
                <w:b/>
                <w:szCs w:val="21"/>
              </w:rPr>
            </w:pPr>
            <w:r>
              <w:rPr>
                <w:b/>
                <w:szCs w:val="21"/>
              </w:rPr>
              <w:t xml:space="preserve">表23 </w:t>
            </w:r>
            <w:r>
              <w:rPr>
                <w:rFonts w:hint="eastAsia"/>
                <w:b/>
                <w:szCs w:val="21"/>
              </w:rPr>
              <w:t xml:space="preserve"> </w:t>
            </w:r>
            <w:r>
              <w:rPr>
                <w:b/>
                <w:szCs w:val="21"/>
              </w:rPr>
              <w:t>本项目固体废物产生量一览表</w:t>
            </w:r>
          </w:p>
          <w:tbl>
            <w:tblPr>
              <w:tblStyle w:val="25"/>
              <w:tblW w:w="101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2236"/>
              <w:gridCol w:w="2110"/>
              <w:gridCol w:w="2110"/>
              <w:gridCol w:w="2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55" w:type="dxa"/>
                  <w:vAlign w:val="center"/>
                </w:tcPr>
                <w:p>
                  <w:pPr>
                    <w:jc w:val="center"/>
                    <w:rPr>
                      <w:b/>
                      <w:szCs w:val="21"/>
                    </w:rPr>
                  </w:pPr>
                  <w:r>
                    <w:rPr>
                      <w:b/>
                      <w:szCs w:val="21"/>
                    </w:rPr>
                    <w:t>序号</w:t>
                  </w:r>
                </w:p>
              </w:tc>
              <w:tc>
                <w:tcPr>
                  <w:tcW w:w="2236" w:type="dxa"/>
                  <w:vAlign w:val="center"/>
                </w:tcPr>
                <w:p>
                  <w:pPr>
                    <w:jc w:val="center"/>
                    <w:rPr>
                      <w:b/>
                      <w:szCs w:val="21"/>
                    </w:rPr>
                  </w:pPr>
                  <w:r>
                    <w:rPr>
                      <w:rFonts w:hint="eastAsia"/>
                      <w:b/>
                      <w:szCs w:val="21"/>
                    </w:rPr>
                    <w:t>污染物</w:t>
                  </w:r>
                </w:p>
              </w:tc>
              <w:tc>
                <w:tcPr>
                  <w:tcW w:w="2110" w:type="dxa"/>
                  <w:vAlign w:val="center"/>
                </w:tcPr>
                <w:p>
                  <w:pPr>
                    <w:jc w:val="center"/>
                    <w:rPr>
                      <w:b/>
                      <w:szCs w:val="21"/>
                    </w:rPr>
                  </w:pPr>
                  <w:r>
                    <w:rPr>
                      <w:rFonts w:hint="eastAsia"/>
                      <w:b/>
                      <w:szCs w:val="21"/>
                    </w:rPr>
                    <w:t>固废类型</w:t>
                  </w:r>
                </w:p>
              </w:tc>
              <w:tc>
                <w:tcPr>
                  <w:tcW w:w="2110" w:type="dxa"/>
                  <w:vAlign w:val="center"/>
                </w:tcPr>
                <w:p>
                  <w:pPr>
                    <w:jc w:val="center"/>
                    <w:rPr>
                      <w:b/>
                      <w:szCs w:val="21"/>
                    </w:rPr>
                  </w:pPr>
                  <w:r>
                    <w:rPr>
                      <w:b/>
                      <w:szCs w:val="21"/>
                    </w:rPr>
                    <w:t>产生</w:t>
                  </w:r>
                  <w:r>
                    <w:rPr>
                      <w:rFonts w:hint="eastAsia"/>
                      <w:b/>
                      <w:szCs w:val="21"/>
                    </w:rPr>
                    <w:t>量（</w:t>
                  </w:r>
                  <w:r>
                    <w:rPr>
                      <w:b/>
                      <w:szCs w:val="21"/>
                    </w:rPr>
                    <w:t>t/a</w:t>
                  </w:r>
                  <w:r>
                    <w:rPr>
                      <w:rFonts w:hint="eastAsia"/>
                      <w:b/>
                      <w:szCs w:val="21"/>
                    </w:rPr>
                    <w:t>）</w:t>
                  </w:r>
                </w:p>
              </w:tc>
              <w:tc>
                <w:tcPr>
                  <w:tcW w:w="2906" w:type="dxa"/>
                  <w:vAlign w:val="center"/>
                </w:tcPr>
                <w:p>
                  <w:pPr>
                    <w:jc w:val="center"/>
                    <w:rPr>
                      <w:b/>
                      <w:szCs w:val="21"/>
                    </w:rPr>
                  </w:pPr>
                  <w:r>
                    <w:rPr>
                      <w:rFonts w:hint="eastAsia"/>
                      <w:b/>
                      <w:szCs w:val="21"/>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55" w:type="dxa"/>
                  <w:vAlign w:val="center"/>
                </w:tcPr>
                <w:p>
                  <w:pPr>
                    <w:jc w:val="center"/>
                    <w:rPr>
                      <w:szCs w:val="21"/>
                    </w:rPr>
                  </w:pPr>
                  <w:r>
                    <w:rPr>
                      <w:szCs w:val="21"/>
                    </w:rPr>
                    <w:t>1</w:t>
                  </w:r>
                </w:p>
              </w:tc>
              <w:tc>
                <w:tcPr>
                  <w:tcW w:w="2236" w:type="dxa"/>
                  <w:vAlign w:val="center"/>
                </w:tcPr>
                <w:p>
                  <w:pPr>
                    <w:jc w:val="center"/>
                    <w:rPr>
                      <w:szCs w:val="21"/>
                    </w:rPr>
                  </w:pPr>
                  <w:r>
                    <w:rPr>
                      <w:rFonts w:hint="eastAsia"/>
                      <w:bCs/>
                      <w:szCs w:val="21"/>
                    </w:rPr>
                    <w:t>泥沙</w:t>
                  </w:r>
                </w:p>
              </w:tc>
              <w:tc>
                <w:tcPr>
                  <w:tcW w:w="2110" w:type="dxa"/>
                  <w:vMerge w:val="restart"/>
                  <w:vAlign w:val="center"/>
                </w:tcPr>
                <w:p>
                  <w:pPr>
                    <w:jc w:val="center"/>
                    <w:rPr>
                      <w:szCs w:val="21"/>
                    </w:rPr>
                  </w:pPr>
                  <w:r>
                    <w:rPr>
                      <w:rFonts w:hint="eastAsia"/>
                      <w:szCs w:val="21"/>
                    </w:rPr>
                    <w:t>一般工业固废</w:t>
                  </w:r>
                </w:p>
              </w:tc>
              <w:tc>
                <w:tcPr>
                  <w:tcW w:w="2110" w:type="dxa"/>
                  <w:vAlign w:val="center"/>
                </w:tcPr>
                <w:p>
                  <w:pPr>
                    <w:jc w:val="center"/>
                    <w:rPr>
                      <w:szCs w:val="21"/>
                    </w:rPr>
                  </w:pPr>
                  <w:r>
                    <w:rPr>
                      <w:rFonts w:ascii="TimesNewRomanPSMT" w:hAnsi="TimesNewRomanPSMT" w:cs="TimesNewRomanPSMT"/>
                      <w:kern w:val="0"/>
                      <w:szCs w:val="21"/>
                    </w:rPr>
                    <w:t>34800</w:t>
                  </w:r>
                </w:p>
              </w:tc>
              <w:tc>
                <w:tcPr>
                  <w:tcW w:w="2906" w:type="dxa"/>
                  <w:vMerge w:val="restart"/>
                  <w:vAlign w:val="center"/>
                </w:tcPr>
                <w:p>
                  <w:pPr>
                    <w:jc w:val="center"/>
                    <w:rPr>
                      <w:szCs w:val="21"/>
                    </w:rPr>
                  </w:pPr>
                  <w:r>
                    <w:rPr>
                      <w:rFonts w:hint="eastAsia" w:ascii="宋体" w:cs="宋体"/>
                      <w:kern w:val="0"/>
                      <w:szCs w:val="21"/>
                    </w:rPr>
                    <w:t>出售给相关厂家回收利用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55" w:type="dxa"/>
                  <w:vAlign w:val="center"/>
                </w:tcPr>
                <w:p>
                  <w:pPr>
                    <w:jc w:val="center"/>
                    <w:rPr>
                      <w:szCs w:val="21"/>
                    </w:rPr>
                  </w:pPr>
                  <w:r>
                    <w:rPr>
                      <w:rFonts w:hint="eastAsia"/>
                      <w:szCs w:val="21"/>
                    </w:rPr>
                    <w:t>2</w:t>
                  </w:r>
                </w:p>
              </w:tc>
              <w:tc>
                <w:tcPr>
                  <w:tcW w:w="2236" w:type="dxa"/>
                  <w:vAlign w:val="center"/>
                </w:tcPr>
                <w:p>
                  <w:pPr>
                    <w:jc w:val="center"/>
                    <w:rPr>
                      <w:szCs w:val="21"/>
                    </w:rPr>
                  </w:pPr>
                  <w:r>
                    <w:rPr>
                      <w:rFonts w:hint="eastAsia"/>
                      <w:szCs w:val="21"/>
                    </w:rPr>
                    <w:t>沉淀池淤泥</w:t>
                  </w:r>
                </w:p>
              </w:tc>
              <w:tc>
                <w:tcPr>
                  <w:tcW w:w="2110" w:type="dxa"/>
                  <w:vMerge w:val="continue"/>
                  <w:vAlign w:val="center"/>
                </w:tcPr>
                <w:p>
                  <w:pPr>
                    <w:jc w:val="center"/>
                    <w:rPr>
                      <w:szCs w:val="21"/>
                    </w:rPr>
                  </w:pPr>
                </w:p>
              </w:tc>
              <w:tc>
                <w:tcPr>
                  <w:tcW w:w="2110" w:type="dxa"/>
                  <w:vAlign w:val="center"/>
                </w:tcPr>
                <w:p>
                  <w:pPr>
                    <w:jc w:val="center"/>
                    <w:rPr>
                      <w:szCs w:val="21"/>
                    </w:rPr>
                  </w:pPr>
                  <w:r>
                    <w:rPr>
                      <w:szCs w:val="21"/>
                    </w:rPr>
                    <w:t>5800</w:t>
                  </w:r>
                </w:p>
              </w:tc>
              <w:tc>
                <w:tcPr>
                  <w:tcW w:w="2906" w:type="dxa"/>
                  <w:vMerge w:val="continue"/>
                  <w:vAlign w:val="center"/>
                </w:tcPr>
                <w:p>
                  <w:pPr>
                    <w:jc w:val="center"/>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55" w:type="dxa"/>
                  <w:vAlign w:val="center"/>
                </w:tcPr>
                <w:p>
                  <w:pPr>
                    <w:jc w:val="center"/>
                    <w:rPr>
                      <w:szCs w:val="21"/>
                    </w:rPr>
                  </w:pPr>
                  <w:r>
                    <w:rPr>
                      <w:szCs w:val="21"/>
                    </w:rPr>
                    <w:t>3</w:t>
                  </w:r>
                </w:p>
              </w:tc>
              <w:tc>
                <w:tcPr>
                  <w:tcW w:w="2236" w:type="dxa"/>
                  <w:vAlign w:val="center"/>
                </w:tcPr>
                <w:p>
                  <w:pPr>
                    <w:jc w:val="center"/>
                    <w:rPr>
                      <w:szCs w:val="21"/>
                    </w:rPr>
                  </w:pPr>
                  <w:r>
                    <w:rPr>
                      <w:rFonts w:hint="eastAsia"/>
                      <w:szCs w:val="21"/>
                    </w:rPr>
                    <w:t>生活垃圾</w:t>
                  </w:r>
                </w:p>
              </w:tc>
              <w:tc>
                <w:tcPr>
                  <w:tcW w:w="2110" w:type="dxa"/>
                  <w:vAlign w:val="center"/>
                </w:tcPr>
                <w:p>
                  <w:pPr>
                    <w:jc w:val="center"/>
                    <w:rPr>
                      <w:szCs w:val="21"/>
                    </w:rPr>
                  </w:pPr>
                  <w:r>
                    <w:rPr>
                      <w:rFonts w:hint="eastAsia"/>
                      <w:szCs w:val="21"/>
                    </w:rPr>
                    <w:t>一般废物</w:t>
                  </w:r>
                </w:p>
              </w:tc>
              <w:tc>
                <w:tcPr>
                  <w:tcW w:w="2110" w:type="dxa"/>
                  <w:vAlign w:val="center"/>
                </w:tcPr>
                <w:p>
                  <w:pPr>
                    <w:jc w:val="center"/>
                    <w:rPr>
                      <w:szCs w:val="21"/>
                    </w:rPr>
                  </w:pPr>
                  <w:r>
                    <w:rPr>
                      <w:szCs w:val="21"/>
                    </w:rPr>
                    <w:t>2.1</w:t>
                  </w:r>
                </w:p>
              </w:tc>
              <w:tc>
                <w:tcPr>
                  <w:tcW w:w="2906" w:type="dxa"/>
                  <w:vAlign w:val="center"/>
                </w:tcPr>
                <w:p>
                  <w:pPr>
                    <w:jc w:val="center"/>
                    <w:rPr>
                      <w:szCs w:val="21"/>
                    </w:rPr>
                  </w:pPr>
                  <w:r>
                    <w:rPr>
                      <w:szCs w:val="21"/>
                    </w:rPr>
                    <w:t>由环卫部门收集处理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101" w:type="dxa"/>
                  <w:gridSpan w:val="3"/>
                  <w:vAlign w:val="center"/>
                </w:tcPr>
                <w:p>
                  <w:pPr>
                    <w:jc w:val="center"/>
                    <w:rPr>
                      <w:szCs w:val="21"/>
                    </w:rPr>
                  </w:pPr>
                  <w:r>
                    <w:rPr>
                      <w:rFonts w:hint="eastAsia"/>
                      <w:szCs w:val="21"/>
                    </w:rPr>
                    <w:t>合计</w:t>
                  </w:r>
                </w:p>
              </w:tc>
              <w:tc>
                <w:tcPr>
                  <w:tcW w:w="2110" w:type="dxa"/>
                  <w:vAlign w:val="center"/>
                </w:tcPr>
                <w:p>
                  <w:pPr>
                    <w:jc w:val="center"/>
                    <w:rPr>
                      <w:szCs w:val="21"/>
                      <w:highlight w:val="yellow"/>
                    </w:rPr>
                  </w:pPr>
                  <w:r>
                    <w:rPr>
                      <w:szCs w:val="21"/>
                    </w:rPr>
                    <w:t>40602.1</w:t>
                  </w:r>
                </w:p>
              </w:tc>
              <w:tc>
                <w:tcPr>
                  <w:tcW w:w="2906" w:type="dxa"/>
                  <w:vAlign w:val="center"/>
                </w:tcPr>
                <w:p>
                  <w:pPr>
                    <w:jc w:val="center"/>
                    <w:rPr>
                      <w:szCs w:val="21"/>
                    </w:rPr>
                  </w:pPr>
                  <w:r>
                    <w:rPr>
                      <w:rFonts w:hint="eastAsia"/>
                      <w:szCs w:val="21"/>
                    </w:rPr>
                    <w:t>/</w:t>
                  </w:r>
                </w:p>
              </w:tc>
            </w:tr>
          </w:tbl>
          <w:p>
            <w:pPr>
              <w:spacing w:before="240"/>
              <w:ind w:right="-477" w:rightChars="-227"/>
              <w:jc w:val="center"/>
              <w:rPr>
                <w:sz w:val="24"/>
              </w:rPr>
            </w:pPr>
          </w:p>
          <w:p>
            <w:pPr>
              <w:spacing w:before="240"/>
              <w:ind w:right="-477" w:rightChars="-227"/>
              <w:jc w:val="center"/>
              <w:rPr>
                <w:sz w:val="24"/>
              </w:rPr>
            </w:pPr>
          </w:p>
          <w:p>
            <w:pPr>
              <w:spacing w:before="240"/>
              <w:ind w:right="-477" w:rightChars="-227"/>
              <w:jc w:val="center"/>
              <w:rPr>
                <w:sz w:val="24"/>
              </w:rPr>
            </w:pPr>
          </w:p>
        </w:tc>
      </w:tr>
    </w:tbl>
    <w:p>
      <w:pPr>
        <w:outlineLvl w:val="0"/>
        <w:rPr>
          <w:b/>
          <w:sz w:val="28"/>
          <w:szCs w:val="28"/>
        </w:rPr>
      </w:pPr>
      <w:r>
        <w:rPr>
          <w:sz w:val="28"/>
          <w:szCs w:val="28"/>
        </w:rPr>
        <w:br w:type="page"/>
      </w:r>
      <w:r>
        <w:rPr>
          <w:rFonts w:hint="eastAsia"/>
          <w:b/>
          <w:sz w:val="28"/>
          <w:szCs w:val="28"/>
        </w:rPr>
        <w:t>项目主要污染物产生及排放情况</w:t>
      </w:r>
    </w:p>
    <w:tbl>
      <w:tblPr>
        <w:tblStyle w:val="25"/>
        <w:tblW w:w="9480"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1"/>
        <w:gridCol w:w="1126"/>
        <w:gridCol w:w="1276"/>
        <w:gridCol w:w="1559"/>
        <w:gridCol w:w="1559"/>
        <w:gridCol w:w="1709"/>
        <w:gridCol w:w="140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40" w:hRule="atLeast"/>
          <w:jc w:val="center"/>
        </w:trPr>
        <w:tc>
          <w:tcPr>
            <w:tcW w:w="851" w:type="dxa"/>
            <w:vMerge w:val="restart"/>
            <w:tcBorders>
              <w:top w:val="single" w:color="000000" w:sz="6" w:space="0"/>
              <w:left w:val="single" w:color="000000" w:sz="6" w:space="0"/>
              <w:bottom w:val="single" w:color="000000" w:sz="6" w:space="0"/>
              <w:right w:val="single" w:color="000000" w:sz="6" w:space="0"/>
              <w:tl2br w:val="single" w:color="auto" w:sz="4" w:space="0"/>
            </w:tcBorders>
            <w:vAlign w:val="center"/>
          </w:tcPr>
          <w:p>
            <w:pPr>
              <w:pStyle w:val="74"/>
              <w:topLinePunct w:val="0"/>
              <w:autoSpaceDE/>
              <w:adjustRightInd/>
              <w:rPr>
                <w:rFonts w:ascii="Times New Roman" w:hAnsi="Times New Roman"/>
                <w:b/>
                <w:kern w:val="2"/>
                <w:position w:val="0"/>
                <w:szCs w:val="21"/>
              </w:rPr>
            </w:pPr>
            <w:r>
              <w:rPr>
                <w:rFonts w:ascii="Times New Roman" w:hAnsi="Times New Roman"/>
                <w:b/>
                <w:kern w:val="2"/>
                <w:position w:val="0"/>
                <w:szCs w:val="21"/>
              </w:rPr>
              <w:t>内容</w:t>
            </w:r>
          </w:p>
          <w:p>
            <w:pPr>
              <w:jc w:val="center"/>
              <w:rPr>
                <w:b/>
                <w:szCs w:val="21"/>
              </w:rPr>
            </w:pPr>
          </w:p>
          <w:p>
            <w:pPr>
              <w:jc w:val="center"/>
              <w:rPr>
                <w:b/>
                <w:szCs w:val="21"/>
              </w:rPr>
            </w:pPr>
            <w:r>
              <w:rPr>
                <w:b/>
                <w:szCs w:val="21"/>
              </w:rPr>
              <w:t>类型</w:t>
            </w:r>
          </w:p>
        </w:tc>
        <w:tc>
          <w:tcPr>
            <w:tcW w:w="1126" w:type="dxa"/>
            <w:vMerge w:val="restart"/>
            <w:tcBorders>
              <w:top w:val="single" w:color="000000" w:sz="6" w:space="0"/>
              <w:left w:val="single" w:color="000000" w:sz="6" w:space="0"/>
              <w:bottom w:val="single" w:color="000000" w:sz="6" w:space="0"/>
              <w:right w:val="single" w:color="000000" w:sz="6" w:space="0"/>
            </w:tcBorders>
            <w:vAlign w:val="center"/>
          </w:tcPr>
          <w:p>
            <w:pPr>
              <w:jc w:val="center"/>
              <w:rPr>
                <w:b/>
                <w:szCs w:val="21"/>
              </w:rPr>
            </w:pPr>
            <w:r>
              <w:rPr>
                <w:b/>
                <w:szCs w:val="21"/>
              </w:rPr>
              <w:t>排放源</w:t>
            </w:r>
          </w:p>
          <w:p>
            <w:pPr>
              <w:jc w:val="center"/>
              <w:rPr>
                <w:b/>
                <w:szCs w:val="21"/>
              </w:rPr>
            </w:pPr>
            <w:r>
              <w:rPr>
                <w:b/>
                <w:szCs w:val="21"/>
              </w:rPr>
              <w:t>(编号)</w:t>
            </w:r>
          </w:p>
        </w:tc>
        <w:tc>
          <w:tcPr>
            <w:tcW w:w="1276" w:type="dxa"/>
            <w:vMerge w:val="restart"/>
            <w:tcBorders>
              <w:top w:val="single" w:color="000000" w:sz="6" w:space="0"/>
              <w:left w:val="single" w:color="000000" w:sz="6" w:space="0"/>
              <w:bottom w:val="single" w:color="000000" w:sz="6" w:space="0"/>
              <w:right w:val="single" w:color="000000" w:sz="6" w:space="0"/>
            </w:tcBorders>
            <w:vAlign w:val="center"/>
          </w:tcPr>
          <w:p>
            <w:pPr>
              <w:pStyle w:val="48"/>
              <w:adjustRightInd/>
              <w:spacing w:line="240" w:lineRule="auto"/>
              <w:rPr>
                <w:rFonts w:ascii="Times New Roman"/>
                <w:b/>
                <w:kern w:val="2"/>
                <w:szCs w:val="21"/>
              </w:rPr>
            </w:pPr>
            <w:r>
              <w:rPr>
                <w:rFonts w:ascii="Times New Roman"/>
                <w:b/>
                <w:kern w:val="2"/>
                <w:szCs w:val="21"/>
              </w:rPr>
              <w:t>污染物</w:t>
            </w:r>
          </w:p>
          <w:p>
            <w:pPr>
              <w:pStyle w:val="48"/>
              <w:adjustRightInd/>
              <w:spacing w:line="240" w:lineRule="auto"/>
              <w:rPr>
                <w:rFonts w:ascii="Times New Roman"/>
                <w:b/>
                <w:kern w:val="2"/>
                <w:szCs w:val="21"/>
              </w:rPr>
            </w:pPr>
            <w:r>
              <w:rPr>
                <w:rFonts w:ascii="Times New Roman"/>
                <w:b/>
                <w:kern w:val="2"/>
                <w:szCs w:val="21"/>
              </w:rPr>
              <w:t>名称</w:t>
            </w:r>
          </w:p>
        </w:tc>
        <w:tc>
          <w:tcPr>
            <w:tcW w:w="3118" w:type="dxa"/>
            <w:gridSpan w:val="2"/>
            <w:tcBorders>
              <w:top w:val="single" w:color="000000" w:sz="6" w:space="0"/>
              <w:left w:val="single" w:color="000000" w:sz="6" w:space="0"/>
              <w:bottom w:val="single" w:color="auto" w:sz="4" w:space="0"/>
              <w:right w:val="single" w:color="000000" w:sz="6" w:space="0"/>
            </w:tcBorders>
            <w:vAlign w:val="center"/>
          </w:tcPr>
          <w:p>
            <w:pPr>
              <w:jc w:val="center"/>
              <w:rPr>
                <w:b/>
                <w:szCs w:val="21"/>
              </w:rPr>
            </w:pPr>
            <w:r>
              <w:rPr>
                <w:b/>
                <w:szCs w:val="21"/>
              </w:rPr>
              <w:t>产生浓度及产生量(单位)</w:t>
            </w:r>
          </w:p>
        </w:tc>
        <w:tc>
          <w:tcPr>
            <w:tcW w:w="3109" w:type="dxa"/>
            <w:gridSpan w:val="2"/>
            <w:tcBorders>
              <w:top w:val="single" w:color="000000" w:sz="6" w:space="0"/>
              <w:left w:val="single" w:color="000000" w:sz="6" w:space="0"/>
              <w:bottom w:val="single" w:color="auto" w:sz="4" w:space="0"/>
              <w:right w:val="single" w:color="000000" w:sz="6" w:space="0"/>
            </w:tcBorders>
            <w:vAlign w:val="center"/>
          </w:tcPr>
          <w:p>
            <w:pPr>
              <w:jc w:val="center"/>
              <w:rPr>
                <w:b/>
                <w:szCs w:val="21"/>
              </w:rPr>
            </w:pPr>
            <w:r>
              <w:rPr>
                <w:b/>
                <w:szCs w:val="21"/>
              </w:rPr>
              <w:t>排放浓度及排放量(单位)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40" w:hRule="atLeast"/>
          <w:jc w:val="center"/>
        </w:trPr>
        <w:tc>
          <w:tcPr>
            <w:tcW w:w="851" w:type="dxa"/>
            <w:vMerge w:val="continue"/>
            <w:tcBorders>
              <w:top w:val="single" w:color="000000" w:sz="6" w:space="0"/>
              <w:left w:val="single" w:color="000000" w:sz="6" w:space="0"/>
              <w:bottom w:val="single" w:color="auto" w:sz="4" w:space="0"/>
              <w:right w:val="single" w:color="000000" w:sz="6" w:space="0"/>
            </w:tcBorders>
            <w:vAlign w:val="center"/>
          </w:tcPr>
          <w:p>
            <w:pPr>
              <w:widowControl/>
              <w:jc w:val="center"/>
              <w:rPr>
                <w:b/>
                <w:szCs w:val="21"/>
              </w:rPr>
            </w:pPr>
          </w:p>
        </w:tc>
        <w:tc>
          <w:tcPr>
            <w:tcW w:w="1126"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center"/>
              <w:rPr>
                <w:b/>
                <w:szCs w:val="21"/>
              </w:rPr>
            </w:pPr>
          </w:p>
        </w:tc>
        <w:tc>
          <w:tcPr>
            <w:tcW w:w="1276"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center"/>
              <w:rPr>
                <w:b/>
                <w:szCs w:val="21"/>
              </w:rPr>
            </w:pPr>
          </w:p>
        </w:tc>
        <w:tc>
          <w:tcPr>
            <w:tcW w:w="1559" w:type="dxa"/>
            <w:tcBorders>
              <w:top w:val="single" w:color="auto" w:sz="4" w:space="0"/>
              <w:left w:val="single" w:color="000000" w:sz="6" w:space="0"/>
              <w:bottom w:val="single" w:color="auto" w:sz="4" w:space="0"/>
              <w:right w:val="single" w:color="auto" w:sz="4" w:space="0"/>
            </w:tcBorders>
            <w:vAlign w:val="center"/>
          </w:tcPr>
          <w:p>
            <w:pPr>
              <w:pStyle w:val="74"/>
              <w:adjustRightInd/>
              <w:rPr>
                <w:rFonts w:ascii="Times New Roman" w:hAnsi="Times New Roman"/>
                <w:b/>
                <w:kern w:val="2"/>
                <w:szCs w:val="21"/>
              </w:rPr>
            </w:pPr>
            <w:r>
              <w:rPr>
                <w:rFonts w:ascii="Times New Roman" w:hAnsi="Times New Roman"/>
                <w:b/>
                <w:kern w:val="2"/>
                <w:position w:val="0"/>
                <w:szCs w:val="21"/>
              </w:rPr>
              <w:t>浓度</w:t>
            </w:r>
          </w:p>
        </w:tc>
        <w:tc>
          <w:tcPr>
            <w:tcW w:w="1559" w:type="dxa"/>
            <w:tcBorders>
              <w:top w:val="single" w:color="auto" w:sz="4" w:space="0"/>
              <w:left w:val="single" w:color="auto" w:sz="4" w:space="0"/>
              <w:bottom w:val="single" w:color="auto" w:sz="4" w:space="0"/>
              <w:right w:val="single" w:color="auto" w:sz="4" w:space="0"/>
            </w:tcBorders>
            <w:vAlign w:val="center"/>
          </w:tcPr>
          <w:p>
            <w:pPr>
              <w:pStyle w:val="74"/>
              <w:adjustRightInd/>
              <w:rPr>
                <w:rFonts w:ascii="Times New Roman" w:hAnsi="Times New Roman"/>
                <w:b/>
                <w:kern w:val="2"/>
                <w:position w:val="0"/>
                <w:szCs w:val="21"/>
              </w:rPr>
            </w:pPr>
            <w:r>
              <w:rPr>
                <w:rFonts w:ascii="Times New Roman" w:hAnsi="Times New Roman"/>
                <w:b/>
                <w:kern w:val="2"/>
                <w:position w:val="0"/>
                <w:szCs w:val="21"/>
              </w:rPr>
              <w:t>产生量</w:t>
            </w:r>
          </w:p>
        </w:tc>
        <w:tc>
          <w:tcPr>
            <w:tcW w:w="1709" w:type="dxa"/>
            <w:tcBorders>
              <w:top w:val="single" w:color="auto" w:sz="4" w:space="0"/>
              <w:left w:val="single" w:color="auto" w:sz="4" w:space="0"/>
              <w:bottom w:val="single" w:color="auto" w:sz="4" w:space="0"/>
              <w:right w:val="single" w:color="auto" w:sz="4" w:space="0"/>
            </w:tcBorders>
            <w:vAlign w:val="center"/>
          </w:tcPr>
          <w:p>
            <w:pPr>
              <w:pStyle w:val="74"/>
              <w:adjustRightInd/>
              <w:rPr>
                <w:rFonts w:ascii="Times New Roman" w:hAnsi="Times New Roman"/>
                <w:b/>
                <w:kern w:val="2"/>
                <w:position w:val="0"/>
                <w:szCs w:val="21"/>
              </w:rPr>
            </w:pPr>
            <w:r>
              <w:rPr>
                <w:rFonts w:ascii="Times New Roman" w:hAnsi="Times New Roman"/>
                <w:b/>
                <w:kern w:val="2"/>
                <w:position w:val="0"/>
                <w:szCs w:val="21"/>
              </w:rPr>
              <w:t>浓度</w:t>
            </w:r>
          </w:p>
        </w:tc>
        <w:tc>
          <w:tcPr>
            <w:tcW w:w="1400" w:type="dxa"/>
            <w:tcBorders>
              <w:top w:val="single" w:color="auto" w:sz="4" w:space="0"/>
              <w:left w:val="single" w:color="auto" w:sz="4" w:space="0"/>
              <w:bottom w:val="single" w:color="auto" w:sz="4" w:space="0"/>
              <w:right w:val="single" w:color="000000" w:sz="6" w:space="0"/>
            </w:tcBorders>
            <w:vAlign w:val="center"/>
          </w:tcPr>
          <w:p>
            <w:pPr>
              <w:pStyle w:val="74"/>
              <w:adjustRightInd/>
              <w:rPr>
                <w:rFonts w:ascii="Times New Roman" w:hAnsi="Times New Roman"/>
                <w:b/>
                <w:kern w:val="2"/>
                <w:position w:val="0"/>
                <w:szCs w:val="21"/>
              </w:rPr>
            </w:pPr>
            <w:r>
              <w:rPr>
                <w:rFonts w:ascii="Times New Roman" w:hAnsi="Times New Roman"/>
                <w:b/>
                <w:kern w:val="2"/>
                <w:position w:val="0"/>
                <w:szCs w:val="21"/>
              </w:rPr>
              <w:t>产生量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40" w:hRule="atLeast"/>
          <w:jc w:val="center"/>
        </w:trPr>
        <w:tc>
          <w:tcPr>
            <w:tcW w:w="851" w:type="dxa"/>
            <w:vMerge w:val="restart"/>
            <w:tcBorders>
              <w:top w:val="single" w:color="000000" w:sz="6" w:space="0"/>
              <w:left w:val="single" w:color="000000" w:sz="6" w:space="0"/>
              <w:right w:val="single" w:color="000000" w:sz="6" w:space="0"/>
            </w:tcBorders>
            <w:vAlign w:val="center"/>
          </w:tcPr>
          <w:p>
            <w:pPr>
              <w:jc w:val="center"/>
              <w:rPr>
                <w:szCs w:val="21"/>
              </w:rPr>
            </w:pPr>
            <w:r>
              <w:rPr>
                <w:szCs w:val="21"/>
              </w:rPr>
              <w:t>大气</w:t>
            </w:r>
          </w:p>
          <w:p>
            <w:pPr>
              <w:jc w:val="center"/>
              <w:rPr>
                <w:b/>
                <w:szCs w:val="21"/>
              </w:rPr>
            </w:pPr>
            <w:r>
              <w:rPr>
                <w:szCs w:val="21"/>
              </w:rPr>
              <w:t>污染物</w:t>
            </w:r>
          </w:p>
        </w:tc>
        <w:tc>
          <w:tcPr>
            <w:tcW w:w="1126" w:type="dxa"/>
            <w:tcBorders>
              <w:top w:val="single" w:color="000000" w:sz="6" w:space="0"/>
              <w:left w:val="single" w:color="000000" w:sz="6" w:space="0"/>
              <w:bottom w:val="single" w:color="000000" w:sz="6" w:space="0"/>
              <w:right w:val="single" w:color="000000" w:sz="6" w:space="0"/>
            </w:tcBorders>
            <w:vAlign w:val="center"/>
          </w:tcPr>
          <w:p>
            <w:pPr>
              <w:widowControl/>
              <w:jc w:val="center"/>
              <w:rPr>
                <w:szCs w:val="21"/>
              </w:rPr>
            </w:pPr>
            <w:r>
              <w:rPr>
                <w:rFonts w:hint="eastAsia" w:ascii="宋体" w:cs="宋体"/>
                <w:kern w:val="0"/>
                <w:szCs w:val="21"/>
              </w:rPr>
              <w:t>投料工序扬尘</w:t>
            </w:r>
          </w:p>
        </w:tc>
        <w:tc>
          <w:tcPr>
            <w:tcW w:w="1276" w:type="dxa"/>
            <w:tcBorders>
              <w:top w:val="single" w:color="000000" w:sz="6" w:space="0"/>
              <w:left w:val="single" w:color="000000" w:sz="6" w:space="0"/>
              <w:bottom w:val="single" w:color="000000" w:sz="6" w:space="0"/>
              <w:right w:val="single" w:color="000000" w:sz="6" w:space="0"/>
            </w:tcBorders>
            <w:vAlign w:val="center"/>
          </w:tcPr>
          <w:p>
            <w:pPr>
              <w:widowControl/>
              <w:jc w:val="center"/>
              <w:rPr>
                <w:szCs w:val="21"/>
              </w:rPr>
            </w:pPr>
            <w:r>
              <w:rPr>
                <w:rFonts w:hint="eastAsia" w:hAnsi="宋体"/>
                <w:bCs/>
                <w:szCs w:val="21"/>
              </w:rPr>
              <w:t>颗粒物</w:t>
            </w:r>
          </w:p>
        </w:tc>
        <w:tc>
          <w:tcPr>
            <w:tcW w:w="1559" w:type="dxa"/>
            <w:tcBorders>
              <w:top w:val="single" w:color="auto" w:sz="4" w:space="0"/>
              <w:left w:val="single" w:color="000000" w:sz="6" w:space="0"/>
              <w:bottom w:val="single" w:color="auto" w:sz="4" w:space="0"/>
              <w:right w:val="single" w:color="auto" w:sz="4" w:space="0"/>
            </w:tcBorders>
            <w:vAlign w:val="center"/>
          </w:tcPr>
          <w:p>
            <w:pPr>
              <w:pStyle w:val="74"/>
              <w:adjustRightInd/>
              <w:rPr>
                <w:rFonts w:ascii="Times New Roman" w:hAnsi="Times New Roman"/>
                <w:kern w:val="2"/>
                <w:position w:val="0"/>
                <w:szCs w:val="21"/>
              </w:rPr>
            </w:pPr>
            <w:r>
              <w:rPr>
                <w:rFonts w:hint="eastAsia" w:ascii="Times New Roman" w:hAnsi="Times New Roman"/>
                <w:kern w:val="2"/>
                <w:position w:val="0"/>
                <w:szCs w:val="21"/>
              </w:rPr>
              <w:t>--</w:t>
            </w:r>
          </w:p>
        </w:tc>
        <w:tc>
          <w:tcPr>
            <w:tcW w:w="1559" w:type="dxa"/>
            <w:tcBorders>
              <w:top w:val="single" w:color="auto" w:sz="4" w:space="0"/>
              <w:left w:val="single" w:color="000000" w:sz="6" w:space="0"/>
              <w:bottom w:val="single" w:color="auto" w:sz="4" w:space="0"/>
              <w:right w:val="single" w:color="auto" w:sz="4" w:space="0"/>
            </w:tcBorders>
            <w:vAlign w:val="center"/>
          </w:tcPr>
          <w:p>
            <w:pPr>
              <w:pStyle w:val="74"/>
              <w:adjustRightInd/>
              <w:rPr>
                <w:rFonts w:ascii="Times New Roman" w:hAnsi="Times New Roman"/>
                <w:kern w:val="2"/>
                <w:position w:val="0"/>
                <w:szCs w:val="21"/>
              </w:rPr>
            </w:pPr>
            <w:r>
              <w:rPr>
                <w:rFonts w:ascii="Times New Roman" w:hAnsi="Times New Roman"/>
                <w:kern w:val="2"/>
                <w:position w:val="0"/>
                <w:szCs w:val="21"/>
              </w:rPr>
              <w:t>0.12 t/a</w:t>
            </w:r>
          </w:p>
        </w:tc>
        <w:tc>
          <w:tcPr>
            <w:tcW w:w="1709" w:type="dxa"/>
            <w:tcBorders>
              <w:top w:val="single" w:color="auto" w:sz="4" w:space="0"/>
              <w:left w:val="single" w:color="auto" w:sz="4" w:space="0"/>
              <w:bottom w:val="single" w:color="auto" w:sz="4" w:space="0"/>
              <w:right w:val="single" w:color="000000" w:sz="6" w:space="0"/>
            </w:tcBorders>
            <w:vAlign w:val="center"/>
          </w:tcPr>
          <w:p>
            <w:pPr>
              <w:pStyle w:val="74"/>
              <w:adjustRightInd/>
              <w:rPr>
                <w:rFonts w:ascii="Times New Roman" w:hAnsi="Times New Roman"/>
                <w:kern w:val="2"/>
                <w:position w:val="0"/>
                <w:szCs w:val="21"/>
              </w:rPr>
            </w:pPr>
            <w:r>
              <w:rPr>
                <w:rFonts w:hint="eastAsia" w:ascii="Times New Roman" w:hAnsi="Times New Roman"/>
                <w:kern w:val="2"/>
                <w:position w:val="0"/>
                <w:szCs w:val="21"/>
              </w:rPr>
              <w:t>--</w:t>
            </w:r>
          </w:p>
        </w:tc>
        <w:tc>
          <w:tcPr>
            <w:tcW w:w="1400" w:type="dxa"/>
            <w:tcBorders>
              <w:top w:val="single" w:color="auto" w:sz="4" w:space="0"/>
              <w:left w:val="single" w:color="auto" w:sz="4" w:space="0"/>
              <w:bottom w:val="single" w:color="auto" w:sz="4" w:space="0"/>
              <w:right w:val="single" w:color="000000" w:sz="6" w:space="0"/>
            </w:tcBorders>
            <w:vAlign w:val="center"/>
          </w:tcPr>
          <w:p>
            <w:pPr>
              <w:pStyle w:val="74"/>
              <w:adjustRightInd/>
              <w:rPr>
                <w:rFonts w:ascii="Times New Roman" w:hAnsi="Times New Roman"/>
                <w:kern w:val="2"/>
                <w:position w:val="0"/>
                <w:szCs w:val="21"/>
              </w:rPr>
            </w:pPr>
            <w:r>
              <w:rPr>
                <w:rFonts w:ascii="Times New Roman" w:hAnsi="Times New Roman"/>
                <w:kern w:val="2"/>
                <w:position w:val="0"/>
                <w:szCs w:val="21"/>
              </w:rPr>
              <w:t>0.054</w:t>
            </w:r>
            <w:r>
              <w:rPr>
                <w:rFonts w:ascii="Times New Roman" w:hAnsi="Times New Roman"/>
                <w:position w:val="0"/>
                <w:szCs w:val="21"/>
              </w:rPr>
              <w:t xml:space="preserve"> 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40" w:hRule="atLeast"/>
          <w:jc w:val="center"/>
        </w:trPr>
        <w:tc>
          <w:tcPr>
            <w:tcW w:w="851" w:type="dxa"/>
            <w:vMerge w:val="continue"/>
            <w:tcBorders>
              <w:left w:val="single" w:color="000000" w:sz="6" w:space="0"/>
              <w:right w:val="single" w:color="000000" w:sz="6" w:space="0"/>
            </w:tcBorders>
            <w:vAlign w:val="center"/>
          </w:tcPr>
          <w:p>
            <w:pPr>
              <w:jc w:val="center"/>
              <w:rPr>
                <w:szCs w:val="21"/>
              </w:rPr>
            </w:pPr>
          </w:p>
        </w:tc>
        <w:tc>
          <w:tcPr>
            <w:tcW w:w="1126" w:type="dxa"/>
            <w:tcBorders>
              <w:top w:val="single" w:color="auto" w:sz="4" w:space="0"/>
              <w:left w:val="single" w:color="000000" w:sz="6" w:space="0"/>
              <w:bottom w:val="single" w:color="auto" w:sz="4" w:space="0"/>
              <w:right w:val="single" w:color="000000" w:sz="6" w:space="0"/>
            </w:tcBorders>
            <w:vAlign w:val="center"/>
          </w:tcPr>
          <w:p>
            <w:pPr>
              <w:jc w:val="center"/>
              <w:rPr>
                <w:szCs w:val="21"/>
              </w:rPr>
            </w:pPr>
            <w:r>
              <w:rPr>
                <w:rFonts w:hint="eastAsia" w:ascii="宋体" w:cs="宋体"/>
                <w:kern w:val="0"/>
                <w:szCs w:val="21"/>
              </w:rPr>
              <w:t>堆场粉尘</w:t>
            </w:r>
          </w:p>
        </w:tc>
        <w:tc>
          <w:tcPr>
            <w:tcW w:w="1276" w:type="dxa"/>
            <w:tcBorders>
              <w:left w:val="single" w:color="000000" w:sz="6" w:space="0"/>
              <w:bottom w:val="single" w:color="000000" w:sz="6" w:space="0"/>
              <w:right w:val="single" w:color="auto" w:sz="4" w:space="0"/>
            </w:tcBorders>
            <w:vAlign w:val="center"/>
          </w:tcPr>
          <w:p>
            <w:pPr>
              <w:jc w:val="center"/>
              <w:rPr>
                <w:szCs w:val="21"/>
              </w:rPr>
            </w:pPr>
            <w:r>
              <w:rPr>
                <w:rFonts w:hint="eastAsia" w:hAnsi="宋体"/>
                <w:bCs/>
                <w:szCs w:val="21"/>
              </w:rPr>
              <w:t>颗粒物</w:t>
            </w:r>
          </w:p>
        </w:tc>
        <w:tc>
          <w:tcPr>
            <w:tcW w:w="1559" w:type="dxa"/>
            <w:tcBorders>
              <w:top w:val="single" w:color="auto" w:sz="4" w:space="0"/>
              <w:left w:val="single" w:color="auto" w:sz="4" w:space="0"/>
              <w:bottom w:val="single" w:color="000000" w:sz="6" w:space="0"/>
              <w:right w:val="single" w:color="auto" w:sz="4" w:space="0"/>
            </w:tcBorders>
            <w:vAlign w:val="center"/>
          </w:tcPr>
          <w:p>
            <w:pPr>
              <w:pStyle w:val="74"/>
              <w:adjustRightInd/>
              <w:rPr>
                <w:rFonts w:ascii="Times New Roman" w:hAnsi="Times New Roman"/>
                <w:szCs w:val="21"/>
              </w:rPr>
            </w:pPr>
            <w:r>
              <w:rPr>
                <w:rFonts w:hint="eastAsia" w:ascii="Times New Roman" w:hAnsi="Times New Roman"/>
                <w:szCs w:val="21"/>
              </w:rPr>
              <w:t>--</w:t>
            </w:r>
          </w:p>
        </w:tc>
        <w:tc>
          <w:tcPr>
            <w:tcW w:w="1559" w:type="dxa"/>
            <w:tcBorders>
              <w:top w:val="single" w:color="auto" w:sz="4" w:space="0"/>
              <w:left w:val="single" w:color="auto" w:sz="4" w:space="0"/>
              <w:bottom w:val="single" w:color="000000" w:sz="6" w:space="0"/>
              <w:right w:val="single" w:color="auto" w:sz="4" w:space="0"/>
            </w:tcBorders>
            <w:vAlign w:val="center"/>
          </w:tcPr>
          <w:p>
            <w:pPr>
              <w:autoSpaceDE w:val="0"/>
              <w:autoSpaceDN w:val="0"/>
              <w:adjustRightInd w:val="0"/>
              <w:jc w:val="center"/>
              <w:rPr>
                <w:kern w:val="0"/>
                <w:szCs w:val="21"/>
              </w:rPr>
            </w:pPr>
            <w:r>
              <w:rPr>
                <w:kern w:val="0"/>
                <w:szCs w:val="21"/>
              </w:rPr>
              <w:t>0.0035</w:t>
            </w:r>
            <w:r>
              <w:rPr>
                <w:szCs w:val="21"/>
              </w:rPr>
              <w:t xml:space="preserve"> t/a</w:t>
            </w:r>
          </w:p>
        </w:tc>
        <w:tc>
          <w:tcPr>
            <w:tcW w:w="1709" w:type="dxa"/>
            <w:tcBorders>
              <w:top w:val="single" w:color="auto" w:sz="4" w:space="0"/>
              <w:left w:val="single" w:color="auto" w:sz="4" w:space="0"/>
              <w:bottom w:val="single" w:color="000000" w:sz="6" w:space="0"/>
              <w:right w:val="single" w:color="auto" w:sz="4" w:space="0"/>
            </w:tcBorders>
            <w:vAlign w:val="center"/>
          </w:tcPr>
          <w:p>
            <w:pPr>
              <w:pStyle w:val="74"/>
              <w:adjustRightInd/>
              <w:rPr>
                <w:rFonts w:ascii="Times New Roman" w:hAnsi="Times New Roman"/>
                <w:szCs w:val="21"/>
              </w:rPr>
            </w:pPr>
            <w:r>
              <w:rPr>
                <w:rFonts w:ascii="Times New Roman" w:hAnsi="Times New Roman"/>
                <w:szCs w:val="21"/>
              </w:rPr>
              <w:t>--</w:t>
            </w:r>
          </w:p>
        </w:tc>
        <w:tc>
          <w:tcPr>
            <w:tcW w:w="1400" w:type="dxa"/>
            <w:tcBorders>
              <w:top w:val="single" w:color="auto" w:sz="4" w:space="0"/>
              <w:left w:val="single" w:color="auto" w:sz="4" w:space="0"/>
              <w:bottom w:val="single" w:color="000000" w:sz="6" w:space="0"/>
              <w:right w:val="single" w:color="auto" w:sz="4" w:space="0"/>
            </w:tcBorders>
            <w:vAlign w:val="center"/>
          </w:tcPr>
          <w:p>
            <w:pPr>
              <w:pStyle w:val="74"/>
              <w:adjustRightInd/>
              <w:rPr>
                <w:rFonts w:ascii="Times New Roman" w:hAnsi="Times New Roman"/>
                <w:szCs w:val="21"/>
              </w:rPr>
            </w:pPr>
            <w:r>
              <w:rPr>
                <w:rFonts w:ascii="Times New Roman" w:hAnsi="Times New Roman"/>
                <w:kern w:val="0"/>
                <w:szCs w:val="21"/>
              </w:rPr>
              <w:t>0.0035</w:t>
            </w:r>
            <w:r>
              <w:rPr>
                <w:rFonts w:ascii="Times New Roman" w:hAnsi="Times New Roman"/>
                <w:szCs w:val="21"/>
              </w:rPr>
              <w:t>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40" w:hRule="atLeast"/>
          <w:jc w:val="center"/>
        </w:trPr>
        <w:tc>
          <w:tcPr>
            <w:tcW w:w="851" w:type="dxa"/>
            <w:vMerge w:val="continue"/>
            <w:tcBorders>
              <w:left w:val="single" w:color="000000" w:sz="6" w:space="0"/>
              <w:bottom w:val="single" w:color="auto" w:sz="4" w:space="0"/>
              <w:right w:val="single" w:color="000000" w:sz="6" w:space="0"/>
            </w:tcBorders>
            <w:vAlign w:val="center"/>
          </w:tcPr>
          <w:p>
            <w:pPr>
              <w:jc w:val="center"/>
              <w:rPr>
                <w:szCs w:val="21"/>
              </w:rPr>
            </w:pPr>
          </w:p>
        </w:tc>
        <w:tc>
          <w:tcPr>
            <w:tcW w:w="1126" w:type="dxa"/>
            <w:tcBorders>
              <w:top w:val="single" w:color="auto" w:sz="4" w:space="0"/>
              <w:left w:val="single" w:color="000000" w:sz="6" w:space="0"/>
              <w:bottom w:val="single" w:color="auto" w:sz="4" w:space="0"/>
              <w:right w:val="single" w:color="000000" w:sz="6" w:space="0"/>
            </w:tcBorders>
            <w:vAlign w:val="center"/>
          </w:tcPr>
          <w:p>
            <w:pPr>
              <w:jc w:val="center"/>
              <w:rPr>
                <w:szCs w:val="21"/>
              </w:rPr>
            </w:pPr>
            <w:r>
              <w:rPr>
                <w:kern w:val="0"/>
                <w:szCs w:val="21"/>
              </w:rPr>
              <w:t>卸料粉尘</w:t>
            </w:r>
          </w:p>
        </w:tc>
        <w:tc>
          <w:tcPr>
            <w:tcW w:w="1276" w:type="dxa"/>
            <w:tcBorders>
              <w:left w:val="single" w:color="000000" w:sz="6" w:space="0"/>
              <w:bottom w:val="single" w:color="000000" w:sz="6" w:space="0"/>
              <w:right w:val="single" w:color="auto" w:sz="4" w:space="0"/>
            </w:tcBorders>
            <w:vAlign w:val="center"/>
          </w:tcPr>
          <w:p>
            <w:pPr>
              <w:jc w:val="center"/>
              <w:rPr>
                <w:szCs w:val="21"/>
              </w:rPr>
            </w:pPr>
            <w:r>
              <w:rPr>
                <w:rFonts w:hint="eastAsia" w:hAnsi="宋体"/>
                <w:bCs/>
                <w:szCs w:val="21"/>
              </w:rPr>
              <w:t>颗粒物</w:t>
            </w:r>
          </w:p>
        </w:tc>
        <w:tc>
          <w:tcPr>
            <w:tcW w:w="1559" w:type="dxa"/>
            <w:tcBorders>
              <w:top w:val="single" w:color="auto" w:sz="4" w:space="0"/>
              <w:left w:val="single" w:color="auto" w:sz="4" w:space="0"/>
              <w:bottom w:val="single" w:color="000000" w:sz="6" w:space="0"/>
              <w:right w:val="single" w:color="auto" w:sz="4" w:space="0"/>
            </w:tcBorders>
            <w:vAlign w:val="center"/>
          </w:tcPr>
          <w:p>
            <w:pPr>
              <w:pStyle w:val="74"/>
              <w:adjustRightInd/>
              <w:rPr>
                <w:rFonts w:ascii="Times New Roman" w:hAnsi="Times New Roman"/>
                <w:szCs w:val="21"/>
              </w:rPr>
            </w:pPr>
            <w:r>
              <w:rPr>
                <w:rFonts w:hint="eastAsia" w:ascii="Times New Roman" w:hAnsi="Times New Roman"/>
                <w:szCs w:val="21"/>
              </w:rPr>
              <w:t>--</w:t>
            </w:r>
          </w:p>
        </w:tc>
        <w:tc>
          <w:tcPr>
            <w:tcW w:w="1559" w:type="dxa"/>
            <w:tcBorders>
              <w:top w:val="single" w:color="auto" w:sz="4" w:space="0"/>
              <w:left w:val="single" w:color="auto" w:sz="4" w:space="0"/>
              <w:bottom w:val="single" w:color="000000" w:sz="6" w:space="0"/>
              <w:right w:val="single" w:color="auto" w:sz="4" w:space="0"/>
            </w:tcBorders>
            <w:vAlign w:val="center"/>
          </w:tcPr>
          <w:p>
            <w:pPr>
              <w:pStyle w:val="74"/>
              <w:adjustRightInd/>
              <w:rPr>
                <w:rFonts w:ascii="Times New Roman" w:hAnsi="Times New Roman"/>
                <w:szCs w:val="21"/>
              </w:rPr>
            </w:pPr>
            <w:r>
              <w:rPr>
                <w:rFonts w:ascii="Times New Roman" w:hAnsi="Times New Roman"/>
                <w:kern w:val="0"/>
                <w:szCs w:val="21"/>
              </w:rPr>
              <w:t>0.092t/a</w:t>
            </w:r>
          </w:p>
        </w:tc>
        <w:tc>
          <w:tcPr>
            <w:tcW w:w="1709" w:type="dxa"/>
            <w:tcBorders>
              <w:top w:val="single" w:color="auto" w:sz="4" w:space="0"/>
              <w:left w:val="single" w:color="auto" w:sz="4" w:space="0"/>
              <w:bottom w:val="single" w:color="000000" w:sz="6" w:space="0"/>
              <w:right w:val="single" w:color="auto" w:sz="4" w:space="0"/>
            </w:tcBorders>
            <w:vAlign w:val="center"/>
          </w:tcPr>
          <w:p>
            <w:pPr>
              <w:pStyle w:val="74"/>
              <w:adjustRightInd/>
              <w:rPr>
                <w:rFonts w:ascii="Times New Roman" w:hAnsi="Times New Roman"/>
                <w:szCs w:val="21"/>
              </w:rPr>
            </w:pPr>
            <w:r>
              <w:rPr>
                <w:rFonts w:ascii="Times New Roman" w:hAnsi="Times New Roman"/>
                <w:szCs w:val="21"/>
              </w:rPr>
              <w:t>--</w:t>
            </w:r>
          </w:p>
        </w:tc>
        <w:tc>
          <w:tcPr>
            <w:tcW w:w="1400" w:type="dxa"/>
            <w:tcBorders>
              <w:top w:val="single" w:color="auto" w:sz="4" w:space="0"/>
              <w:left w:val="single" w:color="auto" w:sz="4" w:space="0"/>
              <w:bottom w:val="single" w:color="000000" w:sz="6" w:space="0"/>
              <w:right w:val="single" w:color="auto" w:sz="4" w:space="0"/>
            </w:tcBorders>
            <w:vAlign w:val="center"/>
          </w:tcPr>
          <w:p>
            <w:pPr>
              <w:pStyle w:val="74"/>
              <w:adjustRightInd/>
              <w:rPr>
                <w:rFonts w:ascii="Times New Roman" w:hAnsi="Times New Roman"/>
                <w:szCs w:val="21"/>
              </w:rPr>
            </w:pPr>
            <w:r>
              <w:rPr>
                <w:rFonts w:ascii="Times New Roman" w:hAnsi="Times New Roman"/>
                <w:kern w:val="0"/>
                <w:szCs w:val="21"/>
              </w:rPr>
              <w:t>0.092t/a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40" w:hRule="atLeast"/>
          <w:jc w:val="center"/>
        </w:trPr>
        <w:tc>
          <w:tcPr>
            <w:tcW w:w="851" w:type="dxa"/>
            <w:vMerge w:val="restart"/>
            <w:tcBorders>
              <w:left w:val="single" w:color="000000" w:sz="6" w:space="0"/>
              <w:right w:val="single" w:color="000000" w:sz="6" w:space="0"/>
            </w:tcBorders>
            <w:vAlign w:val="center"/>
          </w:tcPr>
          <w:p>
            <w:pPr>
              <w:jc w:val="center"/>
              <w:rPr>
                <w:szCs w:val="21"/>
              </w:rPr>
            </w:pPr>
            <w:r>
              <w:rPr>
                <w:szCs w:val="21"/>
              </w:rPr>
              <w:t>水污</w:t>
            </w:r>
          </w:p>
          <w:p>
            <w:pPr>
              <w:jc w:val="center"/>
              <w:rPr>
                <w:szCs w:val="21"/>
              </w:rPr>
            </w:pPr>
            <w:r>
              <w:rPr>
                <w:szCs w:val="21"/>
              </w:rPr>
              <w:t>染物</w:t>
            </w:r>
          </w:p>
        </w:tc>
        <w:tc>
          <w:tcPr>
            <w:tcW w:w="1126" w:type="dxa"/>
            <w:vMerge w:val="restart"/>
            <w:tcBorders>
              <w:top w:val="single" w:color="auto" w:sz="4" w:space="0"/>
              <w:left w:val="single" w:color="000000" w:sz="6" w:space="0"/>
              <w:right w:val="single" w:color="000000" w:sz="6" w:space="0"/>
            </w:tcBorders>
            <w:vAlign w:val="center"/>
          </w:tcPr>
          <w:p>
            <w:pPr>
              <w:pStyle w:val="73"/>
              <w:adjustRightInd/>
              <w:jc w:val="center"/>
              <w:rPr>
                <w:rFonts w:eastAsia="宋体"/>
                <w:sz w:val="21"/>
                <w:szCs w:val="21"/>
              </w:rPr>
            </w:pPr>
            <w:r>
              <w:rPr>
                <w:rFonts w:eastAsia="宋体"/>
                <w:sz w:val="21"/>
                <w:szCs w:val="21"/>
              </w:rPr>
              <w:t>生活</w:t>
            </w:r>
          </w:p>
          <w:p>
            <w:pPr>
              <w:pStyle w:val="73"/>
              <w:adjustRightInd/>
              <w:jc w:val="center"/>
              <w:rPr>
                <w:rFonts w:eastAsia="宋体"/>
                <w:sz w:val="21"/>
                <w:szCs w:val="21"/>
              </w:rPr>
            </w:pPr>
            <w:r>
              <w:rPr>
                <w:rFonts w:eastAsia="宋体"/>
                <w:sz w:val="21"/>
                <w:szCs w:val="21"/>
              </w:rPr>
              <w:t>污水</w:t>
            </w:r>
          </w:p>
        </w:tc>
        <w:tc>
          <w:tcPr>
            <w:tcW w:w="1276" w:type="dxa"/>
            <w:tcBorders>
              <w:top w:val="single" w:color="auto" w:sz="4" w:space="0"/>
              <w:left w:val="single" w:color="000000" w:sz="6" w:space="0"/>
              <w:bottom w:val="single" w:color="000000" w:sz="6" w:space="0"/>
              <w:right w:val="single" w:color="000000" w:sz="6" w:space="0"/>
            </w:tcBorders>
            <w:vAlign w:val="center"/>
          </w:tcPr>
          <w:p>
            <w:pPr>
              <w:pStyle w:val="74"/>
              <w:adjustRightInd/>
              <w:rPr>
                <w:rFonts w:ascii="Times New Roman" w:hAnsi="Times New Roman"/>
                <w:position w:val="0"/>
                <w:szCs w:val="21"/>
              </w:rPr>
            </w:pPr>
            <w:r>
              <w:rPr>
                <w:rFonts w:ascii="TimesNewRomanPSMT" w:hAnsi="TimesNewRomanPSMT" w:cs="TimesNewRomanPSMT"/>
                <w:kern w:val="0"/>
                <w:sz w:val="24"/>
              </w:rPr>
              <w:t>COD</w:t>
            </w:r>
            <w:r>
              <w:rPr>
                <w:rFonts w:ascii="TimesNewRomanPSMT" w:hAnsi="TimesNewRomanPSMT" w:cs="TimesNewRomanPSMT"/>
                <w:kern w:val="0"/>
                <w:sz w:val="16"/>
                <w:szCs w:val="16"/>
                <w:vertAlign w:val="subscript"/>
              </w:rPr>
              <w:t>Cr</w:t>
            </w:r>
          </w:p>
        </w:tc>
        <w:tc>
          <w:tcPr>
            <w:tcW w:w="1559" w:type="dxa"/>
            <w:tcBorders>
              <w:top w:val="single" w:color="auto" w:sz="4" w:space="0"/>
              <w:left w:val="single" w:color="000000" w:sz="6" w:space="0"/>
              <w:bottom w:val="single" w:color="000000" w:sz="6" w:space="0"/>
              <w:right w:val="single" w:color="auto" w:sz="4" w:space="0"/>
            </w:tcBorders>
            <w:vAlign w:val="center"/>
          </w:tcPr>
          <w:p>
            <w:pPr>
              <w:pStyle w:val="74"/>
              <w:adjustRightInd/>
              <w:rPr>
                <w:rFonts w:ascii="Times New Roman" w:hAnsi="Times New Roman"/>
                <w:position w:val="0"/>
                <w:szCs w:val="21"/>
              </w:rPr>
            </w:pPr>
            <w:r>
              <w:rPr>
                <w:rFonts w:ascii="Times New Roman" w:hAnsi="Times New Roman"/>
                <w:position w:val="0"/>
                <w:szCs w:val="21"/>
              </w:rPr>
              <w:t>250</w:t>
            </w:r>
            <w:r>
              <w:rPr>
                <w:rFonts w:hint="eastAsia" w:ascii="Times New Roman" w:hAnsi="Times New Roman"/>
                <w:position w:val="0"/>
                <w:szCs w:val="21"/>
              </w:rPr>
              <w:t xml:space="preserve"> </w:t>
            </w:r>
            <w:r>
              <w:rPr>
                <w:rFonts w:ascii="Times New Roman" w:hAnsi="Times New Roman"/>
                <w:position w:val="0"/>
                <w:szCs w:val="21"/>
              </w:rPr>
              <w:t>mg/L</w:t>
            </w:r>
          </w:p>
        </w:tc>
        <w:tc>
          <w:tcPr>
            <w:tcW w:w="1559" w:type="dxa"/>
            <w:tcBorders>
              <w:top w:val="single" w:color="auto" w:sz="4" w:space="0"/>
              <w:left w:val="single" w:color="auto" w:sz="4" w:space="0"/>
              <w:bottom w:val="single" w:color="000000" w:sz="6" w:space="0"/>
              <w:right w:val="single" w:color="000000" w:sz="6" w:space="0"/>
            </w:tcBorders>
            <w:vAlign w:val="center"/>
          </w:tcPr>
          <w:p>
            <w:pPr>
              <w:pStyle w:val="74"/>
              <w:adjustRightInd/>
              <w:rPr>
                <w:rFonts w:ascii="Times New Roman" w:hAnsi="Times New Roman"/>
                <w:position w:val="0"/>
                <w:szCs w:val="21"/>
              </w:rPr>
            </w:pPr>
            <w:r>
              <w:rPr>
                <w:rFonts w:ascii="Times New Roman" w:hAnsi="Times New Roman"/>
                <w:position w:val="0"/>
                <w:szCs w:val="21"/>
              </w:rPr>
              <w:t>0.038 t/a</w:t>
            </w:r>
          </w:p>
        </w:tc>
        <w:tc>
          <w:tcPr>
            <w:tcW w:w="1709" w:type="dxa"/>
            <w:tcBorders>
              <w:top w:val="single" w:color="auto" w:sz="4" w:space="0"/>
              <w:left w:val="single" w:color="000000" w:sz="6" w:space="0"/>
              <w:bottom w:val="single" w:color="000000" w:sz="6" w:space="0"/>
              <w:right w:val="single" w:color="000000" w:sz="6" w:space="0"/>
            </w:tcBorders>
            <w:vAlign w:val="center"/>
          </w:tcPr>
          <w:p>
            <w:pPr>
              <w:pStyle w:val="74"/>
              <w:adjustRightInd/>
              <w:rPr>
                <w:rFonts w:ascii="Times New Roman" w:hAnsi="Times New Roman"/>
                <w:bCs/>
                <w:szCs w:val="21"/>
              </w:rPr>
            </w:pPr>
            <w:r>
              <w:rPr>
                <w:rFonts w:ascii="Times New Roman" w:hAnsi="Times New Roman"/>
                <w:bCs/>
                <w:szCs w:val="21"/>
              </w:rPr>
              <w:t>200 mg/L</w:t>
            </w:r>
          </w:p>
        </w:tc>
        <w:tc>
          <w:tcPr>
            <w:tcW w:w="1400" w:type="dxa"/>
            <w:tcBorders>
              <w:top w:val="single" w:color="auto" w:sz="4" w:space="0"/>
              <w:left w:val="single" w:color="000000" w:sz="6" w:space="0"/>
              <w:bottom w:val="single" w:color="000000" w:sz="6" w:space="0"/>
              <w:right w:val="single" w:color="000000" w:sz="6" w:space="0"/>
            </w:tcBorders>
            <w:vAlign w:val="center"/>
          </w:tcPr>
          <w:p>
            <w:pPr>
              <w:pStyle w:val="74"/>
              <w:adjustRightInd/>
              <w:rPr>
                <w:rFonts w:ascii="Times New Roman" w:hAnsi="Times New Roman"/>
                <w:position w:val="0"/>
                <w:szCs w:val="21"/>
              </w:rPr>
            </w:pPr>
            <w:r>
              <w:rPr>
                <w:rFonts w:ascii="Times New Roman" w:hAnsi="Times New Roman"/>
                <w:position w:val="0"/>
                <w:szCs w:val="21"/>
              </w:rPr>
              <w:t>0.030 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40" w:hRule="atLeast"/>
          <w:jc w:val="center"/>
        </w:trPr>
        <w:tc>
          <w:tcPr>
            <w:tcW w:w="851" w:type="dxa"/>
            <w:vMerge w:val="continue"/>
            <w:tcBorders>
              <w:left w:val="single" w:color="000000" w:sz="6" w:space="0"/>
              <w:right w:val="single" w:color="000000" w:sz="6" w:space="0"/>
            </w:tcBorders>
            <w:vAlign w:val="center"/>
          </w:tcPr>
          <w:p>
            <w:pPr>
              <w:widowControl/>
              <w:jc w:val="center"/>
              <w:rPr>
                <w:szCs w:val="21"/>
              </w:rPr>
            </w:pPr>
          </w:p>
        </w:tc>
        <w:tc>
          <w:tcPr>
            <w:tcW w:w="1126" w:type="dxa"/>
            <w:vMerge w:val="continue"/>
            <w:tcBorders>
              <w:left w:val="single" w:color="000000" w:sz="6" w:space="0"/>
              <w:right w:val="single" w:color="000000" w:sz="6" w:space="0"/>
            </w:tcBorders>
            <w:vAlign w:val="center"/>
          </w:tcPr>
          <w:p>
            <w:pPr>
              <w:widowControl/>
              <w:jc w:val="center"/>
              <w:rPr>
                <w:szCs w:val="21"/>
              </w:rPr>
            </w:pPr>
          </w:p>
        </w:tc>
        <w:tc>
          <w:tcPr>
            <w:tcW w:w="1276" w:type="dxa"/>
            <w:tcBorders>
              <w:top w:val="single" w:color="auto" w:sz="4" w:space="0"/>
              <w:left w:val="single" w:color="000000" w:sz="6" w:space="0"/>
              <w:bottom w:val="single" w:color="000000" w:sz="6" w:space="0"/>
              <w:right w:val="single" w:color="000000" w:sz="6" w:space="0"/>
            </w:tcBorders>
            <w:vAlign w:val="center"/>
          </w:tcPr>
          <w:p>
            <w:pPr>
              <w:pStyle w:val="74"/>
              <w:adjustRightInd/>
              <w:rPr>
                <w:rFonts w:ascii="Times New Roman" w:hAnsi="Times New Roman"/>
                <w:position w:val="0"/>
                <w:szCs w:val="21"/>
              </w:rPr>
            </w:pPr>
            <w:r>
              <w:rPr>
                <w:rFonts w:ascii="Times New Roman" w:hAnsi="Times New Roman"/>
                <w:position w:val="0"/>
                <w:szCs w:val="21"/>
              </w:rPr>
              <w:t>BOD</w:t>
            </w:r>
            <w:r>
              <w:rPr>
                <w:rFonts w:ascii="Times New Roman" w:hAnsi="Times New Roman"/>
                <w:position w:val="0"/>
                <w:szCs w:val="21"/>
                <w:vertAlign w:val="subscript"/>
              </w:rPr>
              <w:t>5</w:t>
            </w:r>
          </w:p>
        </w:tc>
        <w:tc>
          <w:tcPr>
            <w:tcW w:w="1559" w:type="dxa"/>
            <w:tcBorders>
              <w:top w:val="single" w:color="000000" w:sz="6" w:space="0"/>
              <w:left w:val="single" w:color="000000" w:sz="6" w:space="0"/>
              <w:bottom w:val="single" w:color="000000" w:sz="6" w:space="0"/>
              <w:right w:val="single" w:color="000000" w:sz="6" w:space="0"/>
            </w:tcBorders>
            <w:vAlign w:val="center"/>
          </w:tcPr>
          <w:p>
            <w:pPr>
              <w:pStyle w:val="74"/>
              <w:adjustRightInd/>
              <w:rPr>
                <w:rFonts w:ascii="Times New Roman" w:hAnsi="Times New Roman"/>
                <w:position w:val="0"/>
                <w:szCs w:val="21"/>
              </w:rPr>
            </w:pPr>
            <w:r>
              <w:rPr>
                <w:rFonts w:ascii="Times New Roman" w:hAnsi="Times New Roman"/>
                <w:position w:val="0"/>
                <w:szCs w:val="21"/>
              </w:rPr>
              <w:t>150</w:t>
            </w:r>
            <w:r>
              <w:rPr>
                <w:rFonts w:hint="eastAsia" w:ascii="Times New Roman" w:hAnsi="Times New Roman"/>
                <w:position w:val="0"/>
                <w:szCs w:val="21"/>
              </w:rPr>
              <w:t xml:space="preserve"> </w:t>
            </w:r>
            <w:r>
              <w:rPr>
                <w:rFonts w:ascii="Times New Roman" w:hAnsi="Times New Roman"/>
                <w:position w:val="0"/>
                <w:szCs w:val="21"/>
              </w:rPr>
              <w:t>mg/L</w:t>
            </w:r>
          </w:p>
        </w:tc>
        <w:tc>
          <w:tcPr>
            <w:tcW w:w="1559" w:type="dxa"/>
            <w:tcBorders>
              <w:top w:val="single" w:color="000000" w:sz="6" w:space="0"/>
              <w:left w:val="single" w:color="000000" w:sz="6" w:space="0"/>
              <w:bottom w:val="single" w:color="000000" w:sz="6" w:space="0"/>
              <w:right w:val="single" w:color="000000" w:sz="6" w:space="0"/>
            </w:tcBorders>
            <w:vAlign w:val="center"/>
          </w:tcPr>
          <w:p>
            <w:pPr>
              <w:pStyle w:val="74"/>
              <w:adjustRightInd/>
              <w:rPr>
                <w:rFonts w:ascii="Times New Roman" w:hAnsi="Times New Roman"/>
                <w:position w:val="0"/>
                <w:szCs w:val="21"/>
              </w:rPr>
            </w:pPr>
            <w:r>
              <w:rPr>
                <w:rFonts w:ascii="Times New Roman" w:hAnsi="Times New Roman"/>
                <w:position w:val="0"/>
                <w:szCs w:val="21"/>
              </w:rPr>
              <w:t>0.023</w:t>
            </w:r>
            <w:r>
              <w:rPr>
                <w:rFonts w:hint="eastAsia" w:ascii="Times New Roman" w:hAnsi="Times New Roman"/>
                <w:position w:val="0"/>
                <w:szCs w:val="21"/>
              </w:rPr>
              <w:t xml:space="preserve"> </w:t>
            </w:r>
            <w:r>
              <w:rPr>
                <w:rFonts w:ascii="Times New Roman" w:hAnsi="Times New Roman"/>
                <w:position w:val="0"/>
                <w:szCs w:val="21"/>
              </w:rPr>
              <w:t>t/a</w:t>
            </w:r>
          </w:p>
        </w:tc>
        <w:tc>
          <w:tcPr>
            <w:tcW w:w="1709" w:type="dxa"/>
            <w:tcBorders>
              <w:top w:val="single" w:color="000000" w:sz="6" w:space="0"/>
              <w:left w:val="single" w:color="000000" w:sz="6" w:space="0"/>
              <w:bottom w:val="single" w:color="000000" w:sz="6" w:space="0"/>
              <w:right w:val="single" w:color="000000" w:sz="6" w:space="0"/>
            </w:tcBorders>
            <w:vAlign w:val="center"/>
          </w:tcPr>
          <w:p>
            <w:pPr>
              <w:pStyle w:val="74"/>
              <w:adjustRightInd/>
              <w:rPr>
                <w:rFonts w:ascii="Times New Roman" w:hAnsi="Times New Roman"/>
                <w:szCs w:val="21"/>
              </w:rPr>
            </w:pPr>
            <w:r>
              <w:rPr>
                <w:rFonts w:ascii="Times New Roman" w:hAnsi="Times New Roman"/>
                <w:szCs w:val="21"/>
              </w:rPr>
              <w:t>100</w:t>
            </w:r>
            <w:r>
              <w:rPr>
                <w:rFonts w:hint="eastAsia" w:ascii="Times New Roman" w:hAnsi="Times New Roman"/>
                <w:szCs w:val="21"/>
              </w:rPr>
              <w:t xml:space="preserve"> </w:t>
            </w:r>
            <w:r>
              <w:rPr>
                <w:rFonts w:ascii="Times New Roman" w:hAnsi="Times New Roman"/>
                <w:szCs w:val="21"/>
              </w:rPr>
              <w:t>mg/L</w:t>
            </w:r>
          </w:p>
        </w:tc>
        <w:tc>
          <w:tcPr>
            <w:tcW w:w="1400" w:type="dxa"/>
            <w:tcBorders>
              <w:top w:val="single" w:color="000000" w:sz="6" w:space="0"/>
              <w:left w:val="single" w:color="000000" w:sz="6" w:space="0"/>
              <w:bottom w:val="single" w:color="000000" w:sz="6" w:space="0"/>
              <w:right w:val="single" w:color="000000" w:sz="6" w:space="0"/>
            </w:tcBorders>
            <w:vAlign w:val="center"/>
          </w:tcPr>
          <w:p>
            <w:pPr>
              <w:pStyle w:val="74"/>
              <w:adjustRightInd/>
              <w:rPr>
                <w:rFonts w:ascii="Times New Roman" w:hAnsi="Times New Roman"/>
                <w:position w:val="0"/>
                <w:szCs w:val="21"/>
              </w:rPr>
            </w:pPr>
            <w:r>
              <w:rPr>
                <w:rFonts w:ascii="Times New Roman" w:hAnsi="Times New Roman"/>
                <w:position w:val="0"/>
                <w:szCs w:val="21"/>
              </w:rPr>
              <w:t>0.015</w:t>
            </w:r>
            <w:r>
              <w:rPr>
                <w:rFonts w:hint="eastAsia" w:ascii="Times New Roman" w:hAnsi="Times New Roman"/>
                <w:position w:val="0"/>
                <w:szCs w:val="21"/>
              </w:rPr>
              <w:t xml:space="preserve"> </w:t>
            </w:r>
            <w:r>
              <w:rPr>
                <w:rFonts w:ascii="Times New Roman" w:hAnsi="Times New Roman"/>
                <w:position w:val="0"/>
                <w:szCs w:val="21"/>
              </w:rPr>
              <w:t>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40" w:hRule="atLeast"/>
          <w:jc w:val="center"/>
        </w:trPr>
        <w:tc>
          <w:tcPr>
            <w:tcW w:w="851" w:type="dxa"/>
            <w:vMerge w:val="continue"/>
            <w:tcBorders>
              <w:left w:val="single" w:color="000000" w:sz="6" w:space="0"/>
              <w:right w:val="single" w:color="000000" w:sz="6" w:space="0"/>
            </w:tcBorders>
            <w:vAlign w:val="center"/>
          </w:tcPr>
          <w:p>
            <w:pPr>
              <w:widowControl/>
              <w:jc w:val="center"/>
              <w:rPr>
                <w:szCs w:val="21"/>
              </w:rPr>
            </w:pPr>
          </w:p>
        </w:tc>
        <w:tc>
          <w:tcPr>
            <w:tcW w:w="1126" w:type="dxa"/>
            <w:vMerge w:val="continue"/>
            <w:tcBorders>
              <w:left w:val="single" w:color="000000" w:sz="6" w:space="0"/>
              <w:right w:val="single" w:color="000000" w:sz="6" w:space="0"/>
            </w:tcBorders>
            <w:vAlign w:val="center"/>
          </w:tcPr>
          <w:p>
            <w:pPr>
              <w:widowControl/>
              <w:jc w:val="center"/>
              <w:rPr>
                <w:szCs w:val="21"/>
              </w:rPr>
            </w:pPr>
          </w:p>
        </w:tc>
        <w:tc>
          <w:tcPr>
            <w:tcW w:w="1276" w:type="dxa"/>
            <w:tcBorders>
              <w:top w:val="single" w:color="auto" w:sz="4" w:space="0"/>
              <w:left w:val="single" w:color="000000" w:sz="6" w:space="0"/>
              <w:bottom w:val="single" w:color="000000" w:sz="6" w:space="0"/>
              <w:right w:val="single" w:color="000000" w:sz="6" w:space="0"/>
            </w:tcBorders>
            <w:vAlign w:val="center"/>
          </w:tcPr>
          <w:p>
            <w:pPr>
              <w:pStyle w:val="74"/>
              <w:adjustRightInd/>
              <w:rPr>
                <w:rFonts w:ascii="Times New Roman" w:hAnsi="Times New Roman"/>
                <w:position w:val="0"/>
                <w:szCs w:val="21"/>
              </w:rPr>
            </w:pPr>
            <w:r>
              <w:rPr>
                <w:rFonts w:ascii="Times New Roman" w:hAnsi="Times New Roman"/>
                <w:position w:val="0"/>
                <w:szCs w:val="21"/>
              </w:rPr>
              <w:t>SS</w:t>
            </w:r>
          </w:p>
        </w:tc>
        <w:tc>
          <w:tcPr>
            <w:tcW w:w="1559" w:type="dxa"/>
            <w:tcBorders>
              <w:top w:val="single" w:color="000000" w:sz="6" w:space="0"/>
              <w:left w:val="single" w:color="000000" w:sz="6" w:space="0"/>
              <w:bottom w:val="single" w:color="000000" w:sz="6" w:space="0"/>
              <w:right w:val="single" w:color="000000" w:sz="6" w:space="0"/>
            </w:tcBorders>
            <w:vAlign w:val="center"/>
          </w:tcPr>
          <w:p>
            <w:pPr>
              <w:pStyle w:val="74"/>
              <w:adjustRightInd/>
              <w:rPr>
                <w:rFonts w:ascii="Times New Roman" w:hAnsi="Times New Roman"/>
                <w:position w:val="0"/>
                <w:szCs w:val="21"/>
              </w:rPr>
            </w:pPr>
            <w:r>
              <w:rPr>
                <w:rFonts w:ascii="Times New Roman" w:hAnsi="Times New Roman"/>
                <w:position w:val="0"/>
                <w:szCs w:val="21"/>
              </w:rPr>
              <w:t>150</w:t>
            </w:r>
            <w:r>
              <w:rPr>
                <w:rFonts w:hint="eastAsia" w:ascii="Times New Roman" w:hAnsi="Times New Roman"/>
                <w:position w:val="0"/>
                <w:szCs w:val="21"/>
              </w:rPr>
              <w:t xml:space="preserve"> </w:t>
            </w:r>
            <w:r>
              <w:rPr>
                <w:rFonts w:ascii="Times New Roman" w:hAnsi="Times New Roman"/>
                <w:position w:val="0"/>
                <w:szCs w:val="21"/>
              </w:rPr>
              <w:t>mg/L</w:t>
            </w:r>
          </w:p>
        </w:tc>
        <w:tc>
          <w:tcPr>
            <w:tcW w:w="1559" w:type="dxa"/>
            <w:tcBorders>
              <w:top w:val="single" w:color="000000" w:sz="6" w:space="0"/>
              <w:left w:val="single" w:color="000000" w:sz="6" w:space="0"/>
              <w:bottom w:val="single" w:color="000000" w:sz="6" w:space="0"/>
              <w:right w:val="single" w:color="000000" w:sz="6" w:space="0"/>
            </w:tcBorders>
            <w:vAlign w:val="center"/>
          </w:tcPr>
          <w:p>
            <w:pPr>
              <w:pStyle w:val="74"/>
              <w:adjustRightInd/>
              <w:rPr>
                <w:rFonts w:ascii="Times New Roman" w:hAnsi="Times New Roman"/>
                <w:position w:val="0"/>
                <w:szCs w:val="21"/>
              </w:rPr>
            </w:pPr>
            <w:r>
              <w:rPr>
                <w:rFonts w:ascii="Times New Roman" w:hAnsi="Times New Roman"/>
                <w:position w:val="0"/>
                <w:szCs w:val="21"/>
              </w:rPr>
              <w:t>0.023</w:t>
            </w:r>
            <w:r>
              <w:rPr>
                <w:rFonts w:hint="eastAsia" w:ascii="Times New Roman" w:hAnsi="Times New Roman"/>
                <w:position w:val="0"/>
                <w:szCs w:val="21"/>
              </w:rPr>
              <w:t xml:space="preserve"> </w:t>
            </w:r>
            <w:r>
              <w:rPr>
                <w:rFonts w:ascii="Times New Roman" w:hAnsi="Times New Roman"/>
                <w:position w:val="0"/>
                <w:szCs w:val="21"/>
              </w:rPr>
              <w:t>t/a</w:t>
            </w:r>
          </w:p>
        </w:tc>
        <w:tc>
          <w:tcPr>
            <w:tcW w:w="1709" w:type="dxa"/>
            <w:tcBorders>
              <w:top w:val="single" w:color="000000" w:sz="6" w:space="0"/>
              <w:left w:val="single" w:color="000000" w:sz="6" w:space="0"/>
              <w:bottom w:val="single" w:color="000000" w:sz="6" w:space="0"/>
              <w:right w:val="single" w:color="000000" w:sz="6" w:space="0"/>
            </w:tcBorders>
            <w:vAlign w:val="center"/>
          </w:tcPr>
          <w:p>
            <w:pPr>
              <w:pStyle w:val="74"/>
              <w:adjustRightInd/>
              <w:rPr>
                <w:rFonts w:ascii="Times New Roman" w:hAnsi="Times New Roman"/>
                <w:szCs w:val="21"/>
              </w:rPr>
            </w:pPr>
            <w:r>
              <w:rPr>
                <w:rFonts w:ascii="Times New Roman" w:hAnsi="Times New Roman"/>
                <w:szCs w:val="21"/>
              </w:rPr>
              <w:t>100</w:t>
            </w:r>
            <w:r>
              <w:rPr>
                <w:rFonts w:hint="eastAsia" w:ascii="Times New Roman" w:hAnsi="Times New Roman"/>
                <w:szCs w:val="21"/>
              </w:rPr>
              <w:t xml:space="preserve"> </w:t>
            </w:r>
            <w:r>
              <w:rPr>
                <w:rFonts w:ascii="Times New Roman" w:hAnsi="Times New Roman"/>
                <w:szCs w:val="21"/>
              </w:rPr>
              <w:t>mg/L</w:t>
            </w:r>
          </w:p>
        </w:tc>
        <w:tc>
          <w:tcPr>
            <w:tcW w:w="1400" w:type="dxa"/>
            <w:tcBorders>
              <w:top w:val="single" w:color="000000" w:sz="6" w:space="0"/>
              <w:left w:val="single" w:color="000000" w:sz="6" w:space="0"/>
              <w:bottom w:val="single" w:color="000000" w:sz="6" w:space="0"/>
              <w:right w:val="single" w:color="000000" w:sz="6" w:space="0"/>
            </w:tcBorders>
            <w:vAlign w:val="center"/>
          </w:tcPr>
          <w:p>
            <w:pPr>
              <w:pStyle w:val="74"/>
              <w:adjustRightInd/>
              <w:rPr>
                <w:rFonts w:ascii="Times New Roman" w:hAnsi="Times New Roman"/>
                <w:szCs w:val="21"/>
              </w:rPr>
            </w:pPr>
            <w:r>
              <w:rPr>
                <w:rFonts w:ascii="Times New Roman" w:hAnsi="Times New Roman"/>
                <w:position w:val="0"/>
                <w:szCs w:val="21"/>
              </w:rPr>
              <w:t>0.015</w:t>
            </w:r>
            <w:r>
              <w:rPr>
                <w:rFonts w:hint="eastAsia" w:ascii="Times New Roman" w:hAnsi="Times New Roman"/>
                <w:position w:val="0"/>
                <w:szCs w:val="21"/>
              </w:rPr>
              <w:t xml:space="preserve"> </w:t>
            </w:r>
            <w:r>
              <w:rPr>
                <w:rFonts w:ascii="Times New Roman" w:hAnsi="Times New Roman"/>
                <w:position w:val="0"/>
                <w:szCs w:val="21"/>
              </w:rPr>
              <w:t>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40" w:hRule="atLeast"/>
          <w:jc w:val="center"/>
        </w:trPr>
        <w:tc>
          <w:tcPr>
            <w:tcW w:w="851" w:type="dxa"/>
            <w:vMerge w:val="continue"/>
            <w:tcBorders>
              <w:left w:val="single" w:color="000000" w:sz="6" w:space="0"/>
              <w:right w:val="single" w:color="000000" w:sz="6" w:space="0"/>
            </w:tcBorders>
            <w:vAlign w:val="center"/>
          </w:tcPr>
          <w:p>
            <w:pPr>
              <w:widowControl/>
              <w:jc w:val="center"/>
              <w:rPr>
                <w:szCs w:val="21"/>
              </w:rPr>
            </w:pPr>
          </w:p>
        </w:tc>
        <w:tc>
          <w:tcPr>
            <w:tcW w:w="1126" w:type="dxa"/>
            <w:vMerge w:val="continue"/>
            <w:tcBorders>
              <w:left w:val="single" w:color="000000" w:sz="6" w:space="0"/>
              <w:right w:val="single" w:color="000000" w:sz="6" w:space="0"/>
            </w:tcBorders>
            <w:vAlign w:val="center"/>
          </w:tcPr>
          <w:p>
            <w:pPr>
              <w:widowControl/>
              <w:jc w:val="center"/>
              <w:rPr>
                <w:szCs w:val="21"/>
              </w:rPr>
            </w:pPr>
          </w:p>
        </w:tc>
        <w:tc>
          <w:tcPr>
            <w:tcW w:w="1276" w:type="dxa"/>
            <w:tcBorders>
              <w:top w:val="single" w:color="auto" w:sz="4" w:space="0"/>
              <w:left w:val="single" w:color="000000" w:sz="6" w:space="0"/>
              <w:bottom w:val="single" w:color="000000" w:sz="6" w:space="0"/>
              <w:right w:val="single" w:color="000000" w:sz="6" w:space="0"/>
            </w:tcBorders>
            <w:vAlign w:val="center"/>
          </w:tcPr>
          <w:p>
            <w:pPr>
              <w:pStyle w:val="74"/>
              <w:adjustRightInd/>
              <w:rPr>
                <w:rFonts w:ascii="Times New Roman" w:hAnsi="Times New Roman"/>
                <w:position w:val="0"/>
                <w:szCs w:val="21"/>
              </w:rPr>
            </w:pPr>
            <w:r>
              <w:rPr>
                <w:rFonts w:ascii="Times New Roman" w:hAnsi="Times New Roman"/>
                <w:position w:val="0"/>
                <w:szCs w:val="21"/>
              </w:rPr>
              <w:t>NH</w:t>
            </w:r>
            <w:r>
              <w:rPr>
                <w:rFonts w:ascii="Times New Roman" w:hAnsi="Times New Roman"/>
                <w:position w:val="0"/>
                <w:szCs w:val="21"/>
                <w:vertAlign w:val="subscript"/>
              </w:rPr>
              <w:t>3</w:t>
            </w:r>
            <w:r>
              <w:rPr>
                <w:rFonts w:ascii="Times New Roman" w:hAnsi="Times New Roman"/>
                <w:position w:val="0"/>
                <w:szCs w:val="21"/>
              </w:rPr>
              <w:t>-N</w:t>
            </w:r>
          </w:p>
        </w:tc>
        <w:tc>
          <w:tcPr>
            <w:tcW w:w="1559" w:type="dxa"/>
            <w:tcBorders>
              <w:top w:val="single" w:color="000000" w:sz="6" w:space="0"/>
              <w:left w:val="single" w:color="000000" w:sz="6" w:space="0"/>
              <w:bottom w:val="single" w:color="000000" w:sz="6" w:space="0"/>
              <w:right w:val="single" w:color="000000" w:sz="6" w:space="0"/>
            </w:tcBorders>
            <w:vAlign w:val="center"/>
          </w:tcPr>
          <w:p>
            <w:pPr>
              <w:pStyle w:val="74"/>
              <w:adjustRightInd/>
              <w:rPr>
                <w:rFonts w:ascii="Times New Roman" w:hAnsi="Times New Roman"/>
                <w:position w:val="0"/>
                <w:szCs w:val="21"/>
              </w:rPr>
            </w:pPr>
            <w:r>
              <w:rPr>
                <w:rFonts w:ascii="Times New Roman" w:hAnsi="Times New Roman"/>
                <w:position w:val="0"/>
                <w:szCs w:val="21"/>
              </w:rPr>
              <w:t>25</w:t>
            </w:r>
            <w:r>
              <w:rPr>
                <w:rFonts w:hint="eastAsia" w:ascii="Times New Roman" w:hAnsi="Times New Roman"/>
                <w:position w:val="0"/>
                <w:szCs w:val="21"/>
              </w:rPr>
              <w:t xml:space="preserve"> </w:t>
            </w:r>
            <w:r>
              <w:rPr>
                <w:rFonts w:ascii="Times New Roman" w:hAnsi="Times New Roman"/>
                <w:position w:val="0"/>
                <w:szCs w:val="21"/>
              </w:rPr>
              <w:t>mg/L</w:t>
            </w:r>
          </w:p>
        </w:tc>
        <w:tc>
          <w:tcPr>
            <w:tcW w:w="1559" w:type="dxa"/>
            <w:tcBorders>
              <w:top w:val="single" w:color="000000" w:sz="6" w:space="0"/>
              <w:left w:val="single" w:color="000000" w:sz="6" w:space="0"/>
              <w:bottom w:val="single" w:color="000000" w:sz="6" w:space="0"/>
              <w:right w:val="single" w:color="000000" w:sz="6" w:space="0"/>
            </w:tcBorders>
            <w:vAlign w:val="center"/>
          </w:tcPr>
          <w:p>
            <w:pPr>
              <w:pStyle w:val="74"/>
              <w:adjustRightInd/>
              <w:rPr>
                <w:rFonts w:ascii="Times New Roman" w:hAnsi="Times New Roman"/>
                <w:position w:val="0"/>
                <w:szCs w:val="21"/>
              </w:rPr>
            </w:pPr>
            <w:r>
              <w:rPr>
                <w:rFonts w:ascii="Times New Roman" w:hAnsi="Times New Roman"/>
                <w:position w:val="0"/>
                <w:szCs w:val="21"/>
              </w:rPr>
              <w:t>0.004</w:t>
            </w:r>
            <w:r>
              <w:rPr>
                <w:rFonts w:hint="eastAsia" w:ascii="Times New Roman" w:hAnsi="Times New Roman"/>
                <w:position w:val="0"/>
                <w:szCs w:val="21"/>
              </w:rPr>
              <w:t xml:space="preserve"> </w:t>
            </w:r>
            <w:r>
              <w:rPr>
                <w:rFonts w:ascii="Times New Roman" w:hAnsi="Times New Roman"/>
                <w:position w:val="0"/>
                <w:szCs w:val="21"/>
              </w:rPr>
              <w:t>t/a</w:t>
            </w:r>
          </w:p>
        </w:tc>
        <w:tc>
          <w:tcPr>
            <w:tcW w:w="1709" w:type="dxa"/>
            <w:tcBorders>
              <w:top w:val="single" w:color="000000" w:sz="6" w:space="0"/>
              <w:left w:val="single" w:color="000000" w:sz="6" w:space="0"/>
              <w:bottom w:val="single" w:color="000000" w:sz="6" w:space="0"/>
              <w:right w:val="single" w:color="000000" w:sz="6" w:space="0"/>
            </w:tcBorders>
            <w:vAlign w:val="center"/>
          </w:tcPr>
          <w:p>
            <w:pPr>
              <w:pStyle w:val="74"/>
              <w:adjustRightInd/>
              <w:rPr>
                <w:rFonts w:ascii="Times New Roman" w:hAnsi="Times New Roman"/>
                <w:position w:val="0"/>
                <w:szCs w:val="21"/>
              </w:rPr>
            </w:pPr>
            <w:r>
              <w:rPr>
                <w:rFonts w:ascii="Times New Roman" w:hAnsi="Times New Roman"/>
                <w:position w:val="0"/>
                <w:szCs w:val="21"/>
              </w:rPr>
              <w:t>25</w:t>
            </w:r>
            <w:r>
              <w:rPr>
                <w:rFonts w:hint="eastAsia" w:ascii="Times New Roman" w:hAnsi="Times New Roman"/>
                <w:position w:val="0"/>
                <w:szCs w:val="21"/>
              </w:rPr>
              <w:t xml:space="preserve"> </w:t>
            </w:r>
            <w:r>
              <w:rPr>
                <w:rFonts w:ascii="Times New Roman" w:hAnsi="Times New Roman"/>
                <w:position w:val="0"/>
                <w:szCs w:val="21"/>
              </w:rPr>
              <w:t>mg/L</w:t>
            </w:r>
          </w:p>
        </w:tc>
        <w:tc>
          <w:tcPr>
            <w:tcW w:w="1400" w:type="dxa"/>
            <w:tcBorders>
              <w:top w:val="single" w:color="000000" w:sz="6" w:space="0"/>
              <w:left w:val="single" w:color="000000" w:sz="6" w:space="0"/>
              <w:bottom w:val="single" w:color="000000" w:sz="6" w:space="0"/>
              <w:right w:val="single" w:color="000000" w:sz="6" w:space="0"/>
            </w:tcBorders>
            <w:vAlign w:val="center"/>
          </w:tcPr>
          <w:p>
            <w:pPr>
              <w:pStyle w:val="74"/>
              <w:adjustRightInd/>
              <w:rPr>
                <w:rFonts w:ascii="Times New Roman" w:hAnsi="Times New Roman"/>
                <w:position w:val="0"/>
                <w:szCs w:val="21"/>
              </w:rPr>
            </w:pPr>
            <w:r>
              <w:rPr>
                <w:rFonts w:ascii="Times New Roman" w:hAnsi="Times New Roman"/>
                <w:position w:val="0"/>
                <w:szCs w:val="21"/>
              </w:rPr>
              <w:t>0.</w:t>
            </w:r>
            <w:r>
              <w:rPr>
                <w:rFonts w:hint="eastAsia" w:ascii="Times New Roman" w:hAnsi="Times New Roman"/>
                <w:position w:val="0"/>
                <w:szCs w:val="21"/>
              </w:rPr>
              <w:t>0</w:t>
            </w:r>
            <w:r>
              <w:rPr>
                <w:rFonts w:ascii="Times New Roman" w:hAnsi="Times New Roman"/>
                <w:position w:val="0"/>
                <w:szCs w:val="21"/>
              </w:rPr>
              <w:t>04</w:t>
            </w:r>
            <w:r>
              <w:rPr>
                <w:rFonts w:hint="eastAsia" w:ascii="Times New Roman" w:hAnsi="Times New Roman"/>
                <w:position w:val="0"/>
                <w:szCs w:val="21"/>
              </w:rPr>
              <w:t xml:space="preserve"> </w:t>
            </w:r>
            <w:r>
              <w:rPr>
                <w:rFonts w:ascii="Times New Roman" w:hAnsi="Times New Roman"/>
                <w:position w:val="0"/>
                <w:szCs w:val="21"/>
              </w:rPr>
              <w:t>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40" w:hRule="atLeast"/>
          <w:jc w:val="center"/>
        </w:trPr>
        <w:tc>
          <w:tcPr>
            <w:tcW w:w="851" w:type="dxa"/>
            <w:vMerge w:val="restart"/>
            <w:tcBorders>
              <w:left w:val="single" w:color="000000" w:sz="6" w:space="0"/>
              <w:right w:val="single" w:color="000000" w:sz="6" w:space="0"/>
            </w:tcBorders>
            <w:vAlign w:val="center"/>
          </w:tcPr>
          <w:p>
            <w:pPr>
              <w:jc w:val="center"/>
              <w:rPr>
                <w:szCs w:val="21"/>
              </w:rPr>
            </w:pPr>
            <w:r>
              <w:rPr>
                <w:szCs w:val="21"/>
              </w:rPr>
              <w:t>固体</w:t>
            </w:r>
          </w:p>
          <w:p>
            <w:pPr>
              <w:jc w:val="center"/>
              <w:rPr>
                <w:szCs w:val="21"/>
              </w:rPr>
            </w:pPr>
            <w:r>
              <w:rPr>
                <w:szCs w:val="21"/>
              </w:rPr>
              <w:t>废物</w:t>
            </w:r>
          </w:p>
        </w:tc>
        <w:tc>
          <w:tcPr>
            <w:tcW w:w="1126" w:type="dxa"/>
            <w:vMerge w:val="restart"/>
            <w:tcBorders>
              <w:left w:val="single" w:color="000000" w:sz="6" w:space="0"/>
              <w:right w:val="single" w:color="000000" w:sz="6" w:space="0"/>
            </w:tcBorders>
            <w:vAlign w:val="center"/>
          </w:tcPr>
          <w:p>
            <w:pPr>
              <w:pStyle w:val="74"/>
              <w:rPr>
                <w:rFonts w:ascii="Times New Roman" w:hAnsi="Times New Roman"/>
                <w:szCs w:val="21"/>
              </w:rPr>
            </w:pPr>
            <w:r>
              <w:rPr>
                <w:rFonts w:ascii="Times New Roman" w:hAnsi="Times New Roman"/>
                <w:szCs w:val="21"/>
              </w:rPr>
              <w:t>固废</w:t>
            </w:r>
          </w:p>
        </w:tc>
        <w:tc>
          <w:tcPr>
            <w:tcW w:w="1276" w:type="dxa"/>
            <w:tcBorders>
              <w:top w:val="single" w:color="auto" w:sz="4" w:space="0"/>
              <w:left w:val="single" w:color="000000" w:sz="6" w:space="0"/>
              <w:bottom w:val="single" w:color="000000" w:sz="6" w:space="0"/>
              <w:right w:val="single" w:color="000000" w:sz="6" w:space="0"/>
            </w:tcBorders>
            <w:vAlign w:val="center"/>
          </w:tcPr>
          <w:p>
            <w:pPr>
              <w:pStyle w:val="74"/>
              <w:adjustRightInd/>
              <w:rPr>
                <w:rFonts w:ascii="Times New Roman" w:hAnsi="Times New Roman"/>
                <w:position w:val="0"/>
                <w:szCs w:val="21"/>
              </w:rPr>
            </w:pPr>
            <w:r>
              <w:rPr>
                <w:rFonts w:hint="eastAsia"/>
                <w:bCs/>
                <w:szCs w:val="21"/>
              </w:rPr>
              <w:t>泥沙</w:t>
            </w:r>
          </w:p>
        </w:tc>
        <w:tc>
          <w:tcPr>
            <w:tcW w:w="3118" w:type="dxa"/>
            <w:gridSpan w:val="2"/>
            <w:tcBorders>
              <w:top w:val="single" w:color="000000" w:sz="6" w:space="0"/>
              <w:left w:val="single" w:color="000000" w:sz="6" w:space="0"/>
              <w:bottom w:val="single" w:color="000000" w:sz="6" w:space="0"/>
              <w:right w:val="single" w:color="000000" w:sz="6" w:space="0"/>
            </w:tcBorders>
            <w:vAlign w:val="center"/>
          </w:tcPr>
          <w:p>
            <w:pPr>
              <w:pStyle w:val="74"/>
              <w:adjustRightInd/>
              <w:rPr>
                <w:rFonts w:ascii="Times New Roman" w:hAnsi="Times New Roman"/>
                <w:position w:val="0"/>
                <w:szCs w:val="21"/>
              </w:rPr>
            </w:pPr>
            <w:r>
              <w:rPr>
                <w:rFonts w:ascii="Times New Roman" w:hAnsi="Times New Roman"/>
                <w:kern w:val="0"/>
                <w:szCs w:val="21"/>
              </w:rPr>
              <w:t>34800</w:t>
            </w:r>
            <w:r>
              <w:rPr>
                <w:rFonts w:ascii="Times New Roman" w:hAnsi="Times New Roman"/>
              </w:rPr>
              <w:t xml:space="preserve"> t/a</w:t>
            </w:r>
          </w:p>
        </w:tc>
        <w:tc>
          <w:tcPr>
            <w:tcW w:w="3109" w:type="dxa"/>
            <w:gridSpan w:val="2"/>
            <w:vMerge w:val="restart"/>
            <w:tcBorders>
              <w:top w:val="single" w:color="000000" w:sz="6" w:space="0"/>
              <w:left w:val="single" w:color="000000" w:sz="6" w:space="0"/>
              <w:right w:val="single" w:color="000000" w:sz="6" w:space="0"/>
            </w:tcBorders>
            <w:vAlign w:val="center"/>
          </w:tcPr>
          <w:p>
            <w:pPr>
              <w:pStyle w:val="74"/>
              <w:adjustRightInd/>
              <w:rPr>
                <w:rFonts w:ascii="Times New Roman" w:hAnsi="Times New Roman"/>
                <w:position w:val="0"/>
                <w:szCs w:val="21"/>
              </w:rPr>
            </w:pPr>
            <w:r>
              <w:rPr>
                <w:rFonts w:hint="eastAsia" w:cs="宋体"/>
                <w:kern w:val="0"/>
                <w:szCs w:val="21"/>
              </w:rPr>
              <w:t>出售给相关厂家回收利用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40" w:hRule="atLeast"/>
          <w:jc w:val="center"/>
        </w:trPr>
        <w:tc>
          <w:tcPr>
            <w:tcW w:w="851" w:type="dxa"/>
            <w:vMerge w:val="continue"/>
            <w:tcBorders>
              <w:left w:val="single" w:color="000000" w:sz="6" w:space="0"/>
              <w:right w:val="single" w:color="000000" w:sz="6" w:space="0"/>
            </w:tcBorders>
            <w:vAlign w:val="center"/>
          </w:tcPr>
          <w:p>
            <w:pPr>
              <w:jc w:val="center"/>
              <w:rPr>
                <w:szCs w:val="21"/>
              </w:rPr>
            </w:pPr>
          </w:p>
        </w:tc>
        <w:tc>
          <w:tcPr>
            <w:tcW w:w="1126" w:type="dxa"/>
            <w:vMerge w:val="continue"/>
            <w:tcBorders>
              <w:left w:val="single" w:color="000000" w:sz="6" w:space="0"/>
              <w:right w:val="single" w:color="000000" w:sz="6" w:space="0"/>
            </w:tcBorders>
            <w:vAlign w:val="center"/>
          </w:tcPr>
          <w:p>
            <w:pPr>
              <w:pStyle w:val="74"/>
              <w:rPr>
                <w:rFonts w:ascii="Times New Roman" w:hAnsi="Times New Roman"/>
                <w:szCs w:val="21"/>
              </w:rPr>
            </w:pPr>
          </w:p>
        </w:tc>
        <w:tc>
          <w:tcPr>
            <w:tcW w:w="1276" w:type="dxa"/>
            <w:tcBorders>
              <w:top w:val="single" w:color="auto" w:sz="4" w:space="0"/>
              <w:left w:val="single" w:color="000000" w:sz="6" w:space="0"/>
              <w:bottom w:val="single" w:color="000000" w:sz="6" w:space="0"/>
              <w:right w:val="single" w:color="000000" w:sz="6" w:space="0"/>
            </w:tcBorders>
            <w:vAlign w:val="center"/>
          </w:tcPr>
          <w:p>
            <w:pPr>
              <w:pStyle w:val="74"/>
              <w:adjustRightInd/>
              <w:rPr>
                <w:rFonts w:ascii="Times New Roman" w:hAnsi="Times New Roman"/>
                <w:position w:val="0"/>
                <w:szCs w:val="21"/>
              </w:rPr>
            </w:pPr>
            <w:r>
              <w:rPr>
                <w:rFonts w:hint="eastAsia"/>
                <w:szCs w:val="21"/>
              </w:rPr>
              <w:t>沉淀池淤泥</w:t>
            </w:r>
          </w:p>
        </w:tc>
        <w:tc>
          <w:tcPr>
            <w:tcW w:w="3118" w:type="dxa"/>
            <w:gridSpan w:val="2"/>
            <w:tcBorders>
              <w:top w:val="single" w:color="000000" w:sz="6" w:space="0"/>
              <w:left w:val="single" w:color="000000" w:sz="6" w:space="0"/>
              <w:bottom w:val="single" w:color="000000" w:sz="6" w:space="0"/>
              <w:right w:val="single" w:color="000000" w:sz="6" w:space="0"/>
            </w:tcBorders>
            <w:vAlign w:val="center"/>
          </w:tcPr>
          <w:p>
            <w:pPr>
              <w:pStyle w:val="74"/>
              <w:adjustRightInd/>
              <w:rPr>
                <w:rFonts w:ascii="Times New Roman" w:hAnsi="Times New Roman"/>
                <w:position w:val="0"/>
                <w:szCs w:val="21"/>
              </w:rPr>
            </w:pPr>
            <w:r>
              <w:rPr>
                <w:rFonts w:ascii="Times New Roman" w:hAnsi="Times New Roman"/>
                <w:szCs w:val="21"/>
              </w:rPr>
              <w:t>5800</w:t>
            </w:r>
            <w:r>
              <w:rPr>
                <w:rFonts w:ascii="Times New Roman" w:hAnsi="Times New Roman"/>
              </w:rPr>
              <w:t xml:space="preserve"> t/a</w:t>
            </w:r>
          </w:p>
        </w:tc>
        <w:tc>
          <w:tcPr>
            <w:tcW w:w="3109" w:type="dxa"/>
            <w:gridSpan w:val="2"/>
            <w:vMerge w:val="continue"/>
            <w:tcBorders>
              <w:left w:val="single" w:color="000000" w:sz="6" w:space="0"/>
              <w:right w:val="single" w:color="000000" w:sz="6" w:space="0"/>
            </w:tcBorders>
            <w:vAlign w:val="center"/>
          </w:tcPr>
          <w:p>
            <w:pPr>
              <w:pStyle w:val="74"/>
              <w:adjustRightInd/>
              <w:rPr>
                <w:rFonts w:ascii="Times New Roman" w:hAnsi="Times New Roman"/>
                <w:position w:val="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40" w:hRule="atLeast"/>
          <w:jc w:val="center"/>
        </w:trPr>
        <w:tc>
          <w:tcPr>
            <w:tcW w:w="851" w:type="dxa"/>
            <w:vMerge w:val="continue"/>
            <w:tcBorders>
              <w:left w:val="single" w:color="000000" w:sz="6" w:space="0"/>
              <w:right w:val="single" w:color="000000" w:sz="6" w:space="0"/>
            </w:tcBorders>
            <w:vAlign w:val="center"/>
          </w:tcPr>
          <w:p>
            <w:pPr>
              <w:jc w:val="center"/>
              <w:rPr>
                <w:szCs w:val="21"/>
              </w:rPr>
            </w:pPr>
          </w:p>
        </w:tc>
        <w:tc>
          <w:tcPr>
            <w:tcW w:w="1126" w:type="dxa"/>
            <w:vMerge w:val="continue"/>
            <w:tcBorders>
              <w:left w:val="single" w:color="000000" w:sz="6" w:space="0"/>
              <w:right w:val="single" w:color="000000" w:sz="6" w:space="0"/>
            </w:tcBorders>
            <w:vAlign w:val="center"/>
          </w:tcPr>
          <w:p>
            <w:pPr>
              <w:jc w:val="center"/>
              <w:rPr>
                <w:szCs w:val="21"/>
              </w:rPr>
            </w:pPr>
          </w:p>
        </w:tc>
        <w:tc>
          <w:tcPr>
            <w:tcW w:w="1276" w:type="dxa"/>
            <w:tcBorders>
              <w:top w:val="single" w:color="auto" w:sz="4" w:space="0"/>
              <w:left w:val="single" w:color="000000" w:sz="6" w:space="0"/>
              <w:bottom w:val="single" w:color="000000" w:sz="6" w:space="0"/>
              <w:right w:val="single" w:color="auto" w:sz="4" w:space="0"/>
            </w:tcBorders>
            <w:vAlign w:val="center"/>
          </w:tcPr>
          <w:p>
            <w:pPr>
              <w:pStyle w:val="74"/>
              <w:adjustRightInd/>
              <w:rPr>
                <w:rFonts w:ascii="Times New Roman" w:hAnsi="Times New Roman"/>
                <w:position w:val="0"/>
                <w:szCs w:val="21"/>
              </w:rPr>
            </w:pPr>
            <w:r>
              <w:rPr>
                <w:rFonts w:hint="eastAsia" w:ascii="Times New Roman" w:hAnsi="Times New Roman"/>
                <w:szCs w:val="21"/>
              </w:rPr>
              <w:t>生活垃圾</w:t>
            </w:r>
          </w:p>
        </w:tc>
        <w:tc>
          <w:tcPr>
            <w:tcW w:w="3118" w:type="dxa"/>
            <w:gridSpan w:val="2"/>
            <w:tcBorders>
              <w:top w:val="single" w:color="auto" w:sz="4" w:space="0"/>
              <w:left w:val="single" w:color="auto" w:sz="4" w:space="0"/>
              <w:bottom w:val="single" w:color="000000" w:sz="6" w:space="0"/>
              <w:right w:val="single" w:color="000000" w:sz="6" w:space="0"/>
            </w:tcBorders>
            <w:vAlign w:val="center"/>
          </w:tcPr>
          <w:p>
            <w:pPr>
              <w:pStyle w:val="74"/>
              <w:adjustRightInd/>
              <w:rPr>
                <w:rFonts w:ascii="Times New Roman" w:hAnsi="Times New Roman"/>
                <w:position w:val="0"/>
                <w:szCs w:val="21"/>
                <w:highlight w:val="yellow"/>
              </w:rPr>
            </w:pPr>
            <w:r>
              <w:rPr>
                <w:rFonts w:ascii="Times New Roman" w:hAnsi="Times New Roman"/>
                <w:szCs w:val="21"/>
              </w:rPr>
              <w:t>2.1</w:t>
            </w:r>
            <w:r>
              <w:rPr>
                <w:rFonts w:ascii="Times New Roman" w:hAnsi="Times New Roman"/>
              </w:rPr>
              <w:t xml:space="preserve"> t/a</w:t>
            </w:r>
          </w:p>
        </w:tc>
        <w:tc>
          <w:tcPr>
            <w:tcW w:w="3109" w:type="dxa"/>
            <w:gridSpan w:val="2"/>
            <w:tcBorders>
              <w:left w:val="single" w:color="000000" w:sz="6" w:space="0"/>
              <w:right w:val="single" w:color="000000" w:sz="6" w:space="0"/>
            </w:tcBorders>
            <w:vAlign w:val="center"/>
          </w:tcPr>
          <w:p>
            <w:pPr>
              <w:pStyle w:val="74"/>
              <w:adjustRightInd/>
              <w:rPr>
                <w:rFonts w:ascii="Times New Roman" w:hAnsi="Times New Roman"/>
                <w:szCs w:val="21"/>
              </w:rPr>
            </w:pPr>
            <w:r>
              <w:rPr>
                <w:rFonts w:hint="eastAsia" w:ascii="Times New Roman" w:hAnsi="Times New Roman"/>
                <w:szCs w:val="21"/>
              </w:rPr>
              <w:t>由环卫部门收集处理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40" w:hRule="atLeast"/>
          <w:jc w:val="center"/>
        </w:trPr>
        <w:tc>
          <w:tcPr>
            <w:tcW w:w="851" w:type="dxa"/>
            <w:tcBorders>
              <w:top w:val="single" w:color="000000" w:sz="6" w:space="0"/>
              <w:left w:val="single" w:color="000000" w:sz="6" w:space="0"/>
              <w:bottom w:val="single" w:color="000000" w:sz="6" w:space="0"/>
              <w:right w:val="single" w:color="000000" w:sz="6" w:space="0"/>
            </w:tcBorders>
            <w:vAlign w:val="center"/>
          </w:tcPr>
          <w:p>
            <w:pPr>
              <w:jc w:val="center"/>
              <w:rPr>
                <w:szCs w:val="21"/>
              </w:rPr>
            </w:pPr>
            <w:r>
              <w:rPr>
                <w:szCs w:val="21"/>
              </w:rPr>
              <w:t>噪</w:t>
            </w:r>
          </w:p>
          <w:p>
            <w:pPr>
              <w:jc w:val="center"/>
              <w:rPr>
                <w:szCs w:val="21"/>
              </w:rPr>
            </w:pPr>
            <w:r>
              <w:rPr>
                <w:szCs w:val="21"/>
              </w:rPr>
              <w:t>声</w:t>
            </w:r>
          </w:p>
        </w:tc>
        <w:tc>
          <w:tcPr>
            <w:tcW w:w="1126" w:type="dxa"/>
            <w:tcBorders>
              <w:top w:val="single" w:color="000000" w:sz="6" w:space="0"/>
              <w:left w:val="single" w:color="000000" w:sz="6" w:space="0"/>
              <w:bottom w:val="single" w:color="000000" w:sz="6" w:space="0"/>
              <w:right w:val="single" w:color="auto" w:sz="4" w:space="0"/>
            </w:tcBorders>
            <w:vAlign w:val="center"/>
          </w:tcPr>
          <w:p>
            <w:pPr>
              <w:jc w:val="center"/>
              <w:rPr>
                <w:szCs w:val="21"/>
              </w:rPr>
            </w:pPr>
            <w:r>
              <w:rPr>
                <w:szCs w:val="21"/>
              </w:rPr>
              <w:t>生产及辅助设备</w:t>
            </w:r>
          </w:p>
        </w:tc>
        <w:tc>
          <w:tcPr>
            <w:tcW w:w="1276" w:type="dxa"/>
            <w:tcBorders>
              <w:top w:val="single" w:color="000000" w:sz="6" w:space="0"/>
              <w:left w:val="single" w:color="auto" w:sz="4" w:space="0"/>
              <w:bottom w:val="single" w:color="000000" w:sz="6" w:space="0"/>
              <w:right w:val="single" w:color="auto" w:sz="4" w:space="0"/>
            </w:tcBorders>
            <w:vAlign w:val="center"/>
          </w:tcPr>
          <w:p>
            <w:pPr>
              <w:jc w:val="center"/>
              <w:rPr>
                <w:szCs w:val="21"/>
              </w:rPr>
            </w:pPr>
            <w:r>
              <w:rPr>
                <w:szCs w:val="21"/>
              </w:rPr>
              <w:t>设备噪声等</w:t>
            </w:r>
          </w:p>
        </w:tc>
        <w:tc>
          <w:tcPr>
            <w:tcW w:w="3118" w:type="dxa"/>
            <w:gridSpan w:val="2"/>
            <w:tcBorders>
              <w:top w:val="single" w:color="000000" w:sz="6" w:space="0"/>
              <w:left w:val="single" w:color="auto" w:sz="4" w:space="0"/>
              <w:bottom w:val="single" w:color="000000" w:sz="6" w:space="0"/>
              <w:right w:val="single" w:color="auto" w:sz="4" w:space="0"/>
            </w:tcBorders>
            <w:vAlign w:val="center"/>
          </w:tcPr>
          <w:p>
            <w:pPr>
              <w:jc w:val="center"/>
              <w:rPr>
                <w:szCs w:val="21"/>
              </w:rPr>
            </w:pPr>
            <w:r>
              <w:rPr>
                <w:szCs w:val="21"/>
              </w:rPr>
              <w:t>7</w:t>
            </w:r>
            <w:r>
              <w:rPr>
                <w:rFonts w:hint="eastAsia"/>
                <w:szCs w:val="21"/>
              </w:rPr>
              <w:t>0</w:t>
            </w:r>
            <w:r>
              <w:rPr>
                <w:szCs w:val="21"/>
              </w:rPr>
              <w:t>~90 dB（A）</w:t>
            </w:r>
          </w:p>
        </w:tc>
        <w:tc>
          <w:tcPr>
            <w:tcW w:w="3109" w:type="dxa"/>
            <w:gridSpan w:val="2"/>
            <w:tcBorders>
              <w:top w:val="single" w:color="000000" w:sz="6" w:space="0"/>
              <w:left w:val="single" w:color="auto" w:sz="4" w:space="0"/>
              <w:bottom w:val="single" w:color="000000" w:sz="6" w:space="0"/>
              <w:right w:val="single" w:color="000000" w:sz="6" w:space="0"/>
            </w:tcBorders>
            <w:vAlign w:val="center"/>
          </w:tcPr>
          <w:p>
            <w:pPr>
              <w:jc w:val="center"/>
              <w:rPr>
                <w:szCs w:val="21"/>
              </w:rPr>
            </w:pPr>
            <w:r>
              <w:rPr>
                <w:szCs w:val="21"/>
              </w:rPr>
              <w:t>符合《工业企业厂界环境噪声排放标准》（GB12348-2008）</w:t>
            </w:r>
            <w:r>
              <w:rPr>
                <w:rFonts w:hint="eastAsia"/>
                <w:szCs w:val="21"/>
              </w:rPr>
              <w:t>2</w:t>
            </w:r>
            <w:r>
              <w:rPr>
                <w:szCs w:val="21"/>
              </w:rPr>
              <w:t>类标准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40" w:hRule="atLeast"/>
          <w:jc w:val="center"/>
        </w:trPr>
        <w:tc>
          <w:tcPr>
            <w:tcW w:w="851" w:type="dxa"/>
            <w:tcBorders>
              <w:top w:val="single" w:color="000000" w:sz="6" w:space="0"/>
              <w:left w:val="single" w:color="000000" w:sz="6" w:space="0"/>
              <w:bottom w:val="single" w:color="000000" w:sz="6" w:space="0"/>
              <w:right w:val="single" w:color="000000" w:sz="6" w:space="0"/>
            </w:tcBorders>
            <w:vAlign w:val="center"/>
          </w:tcPr>
          <w:p>
            <w:pPr>
              <w:jc w:val="center"/>
              <w:rPr>
                <w:szCs w:val="21"/>
              </w:rPr>
            </w:pPr>
            <w:r>
              <w:rPr>
                <w:szCs w:val="21"/>
              </w:rPr>
              <w:t>其他</w:t>
            </w:r>
          </w:p>
        </w:tc>
        <w:tc>
          <w:tcPr>
            <w:tcW w:w="8629" w:type="dxa"/>
            <w:gridSpan w:val="6"/>
            <w:tcBorders>
              <w:top w:val="single" w:color="000000" w:sz="6" w:space="0"/>
              <w:left w:val="single" w:color="000000" w:sz="6" w:space="0"/>
              <w:bottom w:val="single" w:color="000000" w:sz="6" w:space="0"/>
              <w:right w:val="single" w:color="000000" w:sz="6" w:space="0"/>
            </w:tcBorders>
            <w:vAlign w:val="center"/>
          </w:tcPr>
          <w:p>
            <w:pPr>
              <w:jc w:val="center"/>
              <w:rPr>
                <w:szCs w:val="21"/>
              </w:rPr>
            </w:pPr>
            <w:r>
              <w:rPr>
                <w:rFonts w:hint="eastAsia"/>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9480" w:type="dxa"/>
            <w:gridSpan w:val="7"/>
            <w:tcBorders>
              <w:top w:val="single" w:color="000000" w:sz="6" w:space="0"/>
              <w:left w:val="single" w:color="000000" w:sz="6" w:space="0"/>
              <w:bottom w:val="single" w:color="auto" w:sz="4" w:space="0"/>
              <w:right w:val="single" w:color="000000" w:sz="6" w:space="0"/>
            </w:tcBorders>
            <w:vAlign w:val="center"/>
          </w:tcPr>
          <w:p>
            <w:pPr>
              <w:autoSpaceDE w:val="0"/>
              <w:autoSpaceDN w:val="0"/>
              <w:spacing w:before="120" w:beforeLines="50" w:line="360" w:lineRule="auto"/>
              <w:rPr>
                <w:b/>
                <w:szCs w:val="21"/>
              </w:rPr>
            </w:pPr>
            <w:r>
              <w:rPr>
                <w:b/>
                <w:szCs w:val="21"/>
                <w:lang w:val="zh-CN"/>
              </w:rPr>
              <w:t>主要生态影响：</w:t>
            </w:r>
          </w:p>
          <w:p>
            <w:pPr>
              <w:spacing w:line="360" w:lineRule="auto"/>
              <w:ind w:firstLine="420" w:firstLineChars="200"/>
              <w:rPr>
                <w:szCs w:val="21"/>
              </w:rPr>
            </w:pPr>
            <w:r>
              <w:rPr>
                <w:szCs w:val="21"/>
              </w:rPr>
              <w:t>本项目在营运期会产生一定量的</w:t>
            </w:r>
            <w:r>
              <w:rPr>
                <w:rFonts w:hint="eastAsia"/>
                <w:szCs w:val="21"/>
              </w:rPr>
              <w:t>废水、废气、噪声和固体废物</w:t>
            </w:r>
            <w:r>
              <w:rPr>
                <w:szCs w:val="21"/>
              </w:rPr>
              <w:t>。由于项目污染物产生量较少，只要能够落实环保措施，确保污染物达标排放，控制污染物的排放量，则不会对项目所在地的生态环境造成大的影响。</w:t>
            </w:r>
          </w:p>
          <w:p>
            <w:pPr>
              <w:spacing w:line="360" w:lineRule="auto"/>
              <w:ind w:firstLine="420" w:firstLineChars="200"/>
              <w:rPr>
                <w:szCs w:val="21"/>
              </w:rPr>
            </w:pPr>
          </w:p>
        </w:tc>
      </w:tr>
    </w:tbl>
    <w:p>
      <w:pPr>
        <w:outlineLvl w:val="0"/>
        <w:rPr>
          <w:sz w:val="28"/>
          <w:szCs w:val="28"/>
        </w:rPr>
        <w:sectPr>
          <w:pgSz w:w="11906" w:h="16838"/>
          <w:pgMar w:top="1440" w:right="1797" w:bottom="1440" w:left="1797" w:header="851" w:footer="992" w:gutter="0"/>
          <w:cols w:space="720" w:num="1"/>
          <w:docGrid w:linePitch="312" w:charSpace="0"/>
        </w:sectPr>
      </w:pPr>
    </w:p>
    <w:p>
      <w:pPr>
        <w:outlineLvl w:val="0"/>
        <w:rPr>
          <w:b/>
          <w:sz w:val="28"/>
          <w:szCs w:val="28"/>
        </w:rPr>
      </w:pPr>
      <w:r>
        <w:rPr>
          <w:b/>
          <w:sz w:val="28"/>
          <w:szCs w:val="28"/>
        </w:rPr>
        <w:t>环境影响分析</w:t>
      </w:r>
    </w:p>
    <w:tbl>
      <w:tblPr>
        <w:tblStyle w:val="25"/>
        <w:tblW w:w="9413"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3" w:hRule="atLeast"/>
        </w:trPr>
        <w:tc>
          <w:tcPr>
            <w:tcW w:w="9413" w:type="dxa"/>
          </w:tcPr>
          <w:p>
            <w:pPr>
              <w:spacing w:line="324" w:lineRule="auto"/>
              <w:ind w:firstLine="482" w:firstLineChars="200"/>
              <w:rPr>
                <w:b/>
                <w:sz w:val="24"/>
              </w:rPr>
            </w:pPr>
            <w:r>
              <w:rPr>
                <w:rFonts w:hint="eastAsia"/>
                <w:b/>
                <w:sz w:val="24"/>
              </w:rPr>
              <w:t>一、施工期环境影响分析</w:t>
            </w:r>
          </w:p>
          <w:p>
            <w:pPr>
              <w:snapToGrid w:val="0"/>
              <w:spacing w:before="120" w:beforeLines="50" w:line="324" w:lineRule="auto"/>
              <w:ind w:firstLine="482" w:firstLineChars="200"/>
              <w:rPr>
                <w:b/>
                <w:sz w:val="24"/>
              </w:rPr>
            </w:pPr>
            <w:r>
              <w:rPr>
                <w:b/>
                <w:sz w:val="24"/>
              </w:rPr>
              <w:t xml:space="preserve">1、施工期大气环境影响分析 </w:t>
            </w:r>
          </w:p>
          <w:p>
            <w:pPr>
              <w:snapToGrid w:val="0"/>
              <w:spacing w:before="120" w:beforeLines="50" w:line="324" w:lineRule="auto"/>
              <w:ind w:firstLine="482" w:firstLineChars="200"/>
              <w:rPr>
                <w:b/>
                <w:sz w:val="24"/>
              </w:rPr>
            </w:pPr>
            <w:r>
              <w:rPr>
                <w:b/>
                <w:sz w:val="24"/>
              </w:rPr>
              <w:t xml:space="preserve">1.1 施工期大气污染物影响分析 </w:t>
            </w:r>
          </w:p>
          <w:p>
            <w:pPr>
              <w:snapToGrid w:val="0"/>
              <w:spacing w:before="120" w:beforeLines="50" w:line="324" w:lineRule="auto"/>
              <w:ind w:firstLine="480" w:firstLineChars="200"/>
              <w:rPr>
                <w:sz w:val="24"/>
              </w:rPr>
            </w:pPr>
            <w:r>
              <w:rPr>
                <w:sz w:val="24"/>
              </w:rPr>
              <w:t xml:space="preserve">（1）扬尘 </w:t>
            </w:r>
          </w:p>
          <w:p>
            <w:pPr>
              <w:snapToGrid w:val="0"/>
              <w:spacing w:before="120" w:beforeLines="50" w:line="324" w:lineRule="auto"/>
              <w:ind w:firstLine="480" w:firstLineChars="200"/>
              <w:rPr>
                <w:sz w:val="24"/>
              </w:rPr>
            </w:pPr>
            <w:r>
              <w:rPr>
                <w:sz w:val="24"/>
              </w:rPr>
              <w:t>本项目施工期间产生的扬尘主要集中在土建施工阶段，按扬尘产生的原因可分为风力扬尘和动力扬尘。风力扬尘主要是建筑材料、土方、施工垃圾露天堆放而产生的尘粒；而动力扬尘主要是在建材的装卸、搅拌、土方的挖掘过程中产生及人来车往而造成的现场道路扬尘，由于外力作用产生的尘粒悬浮，其中施工（如平地、钻桩、挖掘、道路浇灌）及装卸、搅拌造成的扬尘最为严重。如遇到干旱无雨季节，加上大风，扬尘将更为严重。根据对同类施工现场类比分析，施工扬尘影响范围主要在工地围墙外150m内，在扬尘 点下风向0~50m为重污染带，50~100m为较重污染带，100~200m为轻污染带，200m以外影响甚微。项目周围为空地</w:t>
            </w:r>
            <w:r>
              <w:rPr>
                <w:rFonts w:hint="eastAsia"/>
                <w:sz w:val="24"/>
              </w:rPr>
              <w:t>，500米范围内无敏感点，</w:t>
            </w:r>
            <w:r>
              <w:rPr>
                <w:sz w:val="24"/>
              </w:rPr>
              <w:t>在施工期中产生扬尘不会对</w:t>
            </w:r>
            <w:r>
              <w:rPr>
                <w:rFonts w:hint="eastAsia"/>
                <w:sz w:val="24"/>
              </w:rPr>
              <w:t>周围环境产生太大影响</w:t>
            </w:r>
            <w:r>
              <w:rPr>
                <w:sz w:val="24"/>
              </w:rPr>
              <w:t xml:space="preserve">。 </w:t>
            </w:r>
          </w:p>
          <w:p>
            <w:pPr>
              <w:snapToGrid w:val="0"/>
              <w:spacing w:before="120" w:beforeLines="50" w:line="324" w:lineRule="auto"/>
              <w:ind w:firstLine="480" w:firstLineChars="200"/>
              <w:rPr>
                <w:sz w:val="24"/>
              </w:rPr>
            </w:pPr>
            <w:r>
              <w:rPr>
                <w:sz w:val="24"/>
              </w:rPr>
              <w:t>本项目施工期</w:t>
            </w:r>
            <w:r>
              <w:rPr>
                <w:rFonts w:hint="eastAsia"/>
                <w:sz w:val="24"/>
              </w:rPr>
              <w:t>仍需要</w:t>
            </w:r>
            <w:r>
              <w:rPr>
                <w:sz w:val="24"/>
              </w:rPr>
              <w:t xml:space="preserve">注意扬尘问题，制定必要的防尘措施，以减少施工扬尘对周边环境影响。 </w:t>
            </w:r>
          </w:p>
          <w:p>
            <w:pPr>
              <w:snapToGrid w:val="0"/>
              <w:spacing w:before="120" w:beforeLines="50" w:line="324" w:lineRule="auto"/>
              <w:ind w:firstLine="480" w:firstLineChars="200"/>
              <w:rPr>
                <w:sz w:val="24"/>
              </w:rPr>
            </w:pPr>
            <w:r>
              <w:rPr>
                <w:sz w:val="24"/>
              </w:rPr>
              <w:t xml:space="preserve">（2）施工机械和施工运输车辆机动车尾气 </w:t>
            </w:r>
          </w:p>
          <w:p>
            <w:pPr>
              <w:snapToGrid w:val="0"/>
              <w:spacing w:before="120" w:beforeLines="50" w:line="324" w:lineRule="auto"/>
              <w:ind w:firstLine="480" w:firstLineChars="200"/>
              <w:rPr>
                <w:sz w:val="24"/>
              </w:rPr>
            </w:pPr>
            <w:r>
              <w:rPr>
                <w:sz w:val="24"/>
              </w:rPr>
              <w:t>施工机械一般使用柴油作动力，开动时会产生一些燃油废气；施工运输车辆一般是大型柴油车，产生机动车尾气。施工机械和运输车辆产生的废气污染物主要为 CO、NO</w:t>
            </w:r>
            <w:r>
              <w:rPr>
                <w:sz w:val="24"/>
                <w:vertAlign w:val="subscript"/>
              </w:rPr>
              <w:t>x</w:t>
            </w:r>
            <w:r>
              <w:rPr>
                <w:sz w:val="24"/>
              </w:rPr>
              <w:t>、PM</w:t>
            </w:r>
            <w:r>
              <w:rPr>
                <w:sz w:val="24"/>
                <w:vertAlign w:val="subscript"/>
              </w:rPr>
              <w:t>10</w:t>
            </w:r>
            <w:r>
              <w:rPr>
                <w:sz w:val="24"/>
              </w:rPr>
              <w:t xml:space="preserve">。 </w:t>
            </w:r>
          </w:p>
          <w:p>
            <w:pPr>
              <w:snapToGrid w:val="0"/>
              <w:spacing w:before="120" w:beforeLines="50" w:line="324" w:lineRule="auto"/>
              <w:ind w:firstLine="480" w:firstLineChars="200"/>
              <w:rPr>
                <w:sz w:val="24"/>
              </w:rPr>
            </w:pPr>
            <w:r>
              <w:rPr>
                <w:rFonts w:hint="eastAsia"/>
                <w:sz w:val="24"/>
              </w:rPr>
              <w:t>（3）</w:t>
            </w:r>
            <w:r>
              <w:rPr>
                <w:sz w:val="24"/>
              </w:rPr>
              <w:t xml:space="preserve">装修废气 </w:t>
            </w:r>
          </w:p>
          <w:p>
            <w:pPr>
              <w:snapToGrid w:val="0"/>
              <w:spacing w:before="120" w:beforeLines="50" w:line="324" w:lineRule="auto"/>
              <w:ind w:firstLine="480" w:firstLineChars="200"/>
              <w:rPr>
                <w:sz w:val="24"/>
              </w:rPr>
            </w:pPr>
            <w:r>
              <w:rPr>
                <w:sz w:val="24"/>
              </w:rPr>
              <w:t xml:space="preserve">室内装修阶段对环境产生污染的材料主要是人造板、饰面人造板以及油漆等有机溶剂。其主要污染因子为二甲苯和甲苯，此外还有少量的汽油、丁醇和丙醇等，但排放时间和部位不十分明确，尤其是各栋建筑装修阶段随机性大，时间跨度很长。有机废气可直接刺激人体皮肤、刺激眼、鼻等粘膜引起疾病，根据其化学结构选择性蓄积原理，蓄存在人体内脏器官、血液、神经骨骼组织中引起神经、造血等机能障碍，危害人体健康。 </w:t>
            </w:r>
          </w:p>
          <w:p>
            <w:pPr>
              <w:snapToGrid w:val="0"/>
              <w:spacing w:before="120" w:beforeLines="50" w:line="324" w:lineRule="auto"/>
              <w:ind w:firstLine="482" w:firstLineChars="200"/>
              <w:rPr>
                <w:b/>
                <w:sz w:val="24"/>
              </w:rPr>
            </w:pPr>
            <w:r>
              <w:rPr>
                <w:b/>
                <w:sz w:val="24"/>
              </w:rPr>
              <w:t xml:space="preserve">1.2 施工期大气污染物防治措施 </w:t>
            </w:r>
          </w:p>
          <w:p>
            <w:pPr>
              <w:snapToGrid w:val="0"/>
              <w:spacing w:before="120" w:beforeLines="50" w:line="324" w:lineRule="auto"/>
              <w:ind w:firstLine="480" w:firstLineChars="200"/>
              <w:rPr>
                <w:sz w:val="24"/>
              </w:rPr>
            </w:pPr>
            <w:r>
              <w:rPr>
                <w:sz w:val="24"/>
              </w:rPr>
              <w:t xml:space="preserve">（1）施工粉尘污染防治措施 </w:t>
            </w:r>
          </w:p>
          <w:p>
            <w:pPr>
              <w:snapToGrid w:val="0"/>
              <w:spacing w:before="120" w:beforeLines="50" w:line="324" w:lineRule="auto"/>
              <w:ind w:firstLine="480" w:firstLineChars="200"/>
              <w:rPr>
                <w:sz w:val="24"/>
              </w:rPr>
            </w:pPr>
            <w:r>
              <w:rPr>
                <w:sz w:val="24"/>
              </w:rPr>
              <w:t xml:space="preserve">施工现场和运输车辆过程中产生的扬尘会产生一定的影响。为使施工过程中产生的粉尘对周围环境空气的影响降低到最小程度，建议采取以下防护措施： </w:t>
            </w:r>
          </w:p>
          <w:p>
            <w:pPr>
              <w:snapToGrid w:val="0"/>
              <w:spacing w:before="120" w:beforeLines="50" w:line="324" w:lineRule="auto"/>
              <w:ind w:firstLine="480" w:firstLineChars="200"/>
              <w:rPr>
                <w:sz w:val="24"/>
              </w:rPr>
            </w:pPr>
            <w:r>
              <w:rPr>
                <w:rFonts w:hint="eastAsia" w:ascii="宋体" w:hAnsi="宋体" w:cs="宋体"/>
                <w:sz w:val="24"/>
              </w:rPr>
              <w:t>①</w:t>
            </w:r>
            <w:r>
              <w:rPr>
                <w:sz w:val="24"/>
              </w:rPr>
              <w:t xml:space="preserve"> 为减少施工过程中扬尘对环境的影响，应加强管理，文明施工，在施工前，将施工 场地四周用围墙将施工区与外界隔开。施工现场设置钢制大门，高度不宜低于2.5m；围挡 必须沿工地四周连续设置，不得有缺口，禁止使用彩布条、竹笆、安全网等易变形的材料， 高度不宜低于2.5m。工地周边使用密目式安全网（2000目/100cm</w:t>
            </w:r>
            <w:r>
              <w:rPr>
                <w:sz w:val="24"/>
                <w:vertAlign w:val="superscript"/>
              </w:rPr>
              <w:t>2</w:t>
            </w:r>
            <w:r>
              <w:rPr>
                <w:sz w:val="24"/>
              </w:rPr>
              <w:t xml:space="preserve">）进行防护，在建建筑用细目滞尘网围闭，防止扬尘外逸。在项目工地四周设置隔离墙，减轻对周边环境的影响。同时应在施工现场配备除尘设备。 </w:t>
            </w:r>
          </w:p>
          <w:p>
            <w:pPr>
              <w:snapToGrid w:val="0"/>
              <w:spacing w:before="120" w:beforeLines="50" w:line="324" w:lineRule="auto"/>
              <w:ind w:firstLine="480" w:firstLineChars="200"/>
              <w:rPr>
                <w:sz w:val="24"/>
              </w:rPr>
            </w:pPr>
            <w:r>
              <w:rPr>
                <w:rFonts w:hint="eastAsia" w:ascii="宋体" w:hAnsi="宋体" w:cs="宋体"/>
                <w:sz w:val="24"/>
              </w:rPr>
              <w:t>②</w:t>
            </w:r>
            <w:r>
              <w:rPr>
                <w:sz w:val="24"/>
              </w:rPr>
              <w:t xml:space="preserve"> 在施工区配备简易洒水车等洒水工具，对施工道路、施工场地、材料堆场等处定时洒水；开挖、钻孔过程中，应洒水使作业面保持一定的湿度；对施工场地内松散、干涸的表土也应经常洒水防止粉尘；回填土方时，在表层土质干燥时应适当洒水，防止粉尘飞扬。工地应配备车辆车轮洗刷设备或者在进出口处设置低洼水池，对进出运输车辆的车轮、车身表面黏附的泥土进行清除，减少车轮、底盘等携带泥土散落路面。运输车辆进入施工场地应低速行驶，或限速行驶，减少产尘量，并定时对车辆进行冲洗。对运输过程中散落在路面上的泥土及时清扫，以减少运行过程中的扬尘。 </w:t>
            </w:r>
          </w:p>
          <w:p>
            <w:pPr>
              <w:snapToGrid w:val="0"/>
              <w:spacing w:before="120" w:beforeLines="50" w:line="324" w:lineRule="auto"/>
              <w:ind w:firstLine="480" w:firstLineChars="200"/>
              <w:rPr>
                <w:sz w:val="24"/>
              </w:rPr>
            </w:pPr>
            <w:r>
              <w:rPr>
                <w:rFonts w:hint="eastAsia" w:ascii="宋体" w:hAnsi="宋体" w:cs="宋体"/>
                <w:sz w:val="24"/>
              </w:rPr>
              <w:t>③</w:t>
            </w:r>
            <w:r>
              <w:rPr>
                <w:sz w:val="24"/>
              </w:rPr>
              <w:t xml:space="preserve"> 对从事土方、渣土和施工垃圾等运输材料的车辆应采用密闭式运输车辆或采取覆盖措施，装载不宜过满，保证运输过程中不散落，并规划好运输车辆的运行路线与时间，尽量避免在居民住宅等敏感区行驶。</w:t>
            </w:r>
          </w:p>
          <w:p>
            <w:pPr>
              <w:snapToGrid w:val="0"/>
              <w:spacing w:before="120" w:beforeLines="50" w:line="324" w:lineRule="auto"/>
              <w:ind w:firstLine="480" w:firstLineChars="200"/>
              <w:rPr>
                <w:sz w:val="24"/>
              </w:rPr>
            </w:pPr>
            <w:r>
              <w:rPr>
                <w:sz w:val="24"/>
              </w:rPr>
              <w:t xml:space="preserve"> </w:t>
            </w:r>
            <w:r>
              <w:rPr>
                <w:rFonts w:hint="eastAsia" w:ascii="宋体" w:hAnsi="宋体" w:cs="宋体"/>
                <w:sz w:val="24"/>
              </w:rPr>
              <w:t>④</w:t>
            </w:r>
            <w:r>
              <w:rPr>
                <w:sz w:val="24"/>
              </w:rPr>
              <w:t xml:space="preserve"> 施工现场的主要道路必须进行硬化处理，土方应集中堆放，材料仓库和临时材料堆放场应防止物料散漏污染。临时推放场应有遮盖篷遮蔽，防止水泥等物料溢出污染空气环境。仓库四周应有疏水沟系，防止雨水浸湿以及水流引起物料流失。裸露的场地和集中堆放的土方应采取覆盖、固化或绿化等措施。加强回填土方堆放场的管理，要制定土方表面压实、定期喷水、覆盖等措施；不需要的泥土、建筑材料弃渣应及时运走，不宜长时间堆积。施工结束时，应及时对施工占用场地恢复地面道路及植被。 </w:t>
            </w:r>
          </w:p>
          <w:p>
            <w:pPr>
              <w:snapToGrid w:val="0"/>
              <w:spacing w:before="120" w:beforeLines="50" w:line="324" w:lineRule="auto"/>
              <w:ind w:firstLine="480" w:firstLineChars="200"/>
              <w:rPr>
                <w:sz w:val="24"/>
              </w:rPr>
            </w:pPr>
            <w:r>
              <w:rPr>
                <w:rFonts w:hint="eastAsia" w:ascii="宋体" w:hAnsi="宋体" w:cs="宋体"/>
                <w:sz w:val="24"/>
              </w:rPr>
              <w:t>⑤</w:t>
            </w:r>
            <w:r>
              <w:rPr>
                <w:sz w:val="24"/>
              </w:rPr>
              <w:t xml:space="preserve"> 加强建设项目施工期扬尘控制的环境监理。积极发挥部门联动作用，督促施工单位落实施工现场封闭围挡、设置冲洗设施、道路硬底化等扬尘防治措施，做到施工现场100% 围蔽、工地砂土100%覆盖、工地路面100%硬化、拆除工程100%洒水压尘、出工地运输车辆100%冲净车身车轮且密闭无洒漏、暂不开发场地100%绿化。要对施工工地内内堆积工程材料、沙石、土方、建筑垃圾等易产生扬尘污染场所采用封闭、喷淋及表面凝结等防尘措施。 </w:t>
            </w:r>
          </w:p>
          <w:p>
            <w:pPr>
              <w:snapToGrid w:val="0"/>
              <w:spacing w:before="120" w:beforeLines="50" w:line="324" w:lineRule="auto"/>
              <w:ind w:firstLine="480" w:firstLineChars="200"/>
              <w:rPr>
                <w:sz w:val="24"/>
              </w:rPr>
            </w:pPr>
            <w:r>
              <w:rPr>
                <w:rFonts w:hint="eastAsia" w:ascii="宋体" w:hAnsi="宋体" w:cs="宋体"/>
                <w:sz w:val="24"/>
              </w:rPr>
              <w:t>⑥</w:t>
            </w:r>
            <w:r>
              <w:rPr>
                <w:sz w:val="24"/>
              </w:rPr>
              <w:t xml:space="preserve"> 合理安排各期的建设施工次序，先对靠近前期边界的建筑进行施工，以减小后期施工扬尘对</w:t>
            </w:r>
            <w:r>
              <w:rPr>
                <w:rFonts w:hint="eastAsia"/>
                <w:sz w:val="24"/>
              </w:rPr>
              <w:t>周围环境</w:t>
            </w:r>
            <w:r>
              <w:rPr>
                <w:sz w:val="24"/>
              </w:rPr>
              <w:t xml:space="preserve">的影响。 </w:t>
            </w:r>
          </w:p>
          <w:p>
            <w:pPr>
              <w:snapToGrid w:val="0"/>
              <w:spacing w:before="120" w:beforeLines="50" w:line="324" w:lineRule="auto"/>
              <w:ind w:firstLine="480" w:firstLineChars="200"/>
              <w:rPr>
                <w:sz w:val="24"/>
              </w:rPr>
            </w:pPr>
            <w:r>
              <w:rPr>
                <w:sz w:val="24"/>
              </w:rPr>
              <w:t>（2）施工机械和施工运输车辆机动车尾气的防治措施 施工机械和运输车辆安装尾气净化器，尾气应达标排放。运输车辆禁止超载；不得使用劣质燃料。对车辆的尾气排放进行监督管理，严格执行汽车排污监管办法</w:t>
            </w:r>
            <w:r>
              <w:rPr>
                <w:rFonts w:hint="eastAsia"/>
                <w:sz w:val="24"/>
              </w:rPr>
              <w:t>，</w:t>
            </w:r>
            <w:r>
              <w:rPr>
                <w:sz w:val="24"/>
              </w:rPr>
              <w:t xml:space="preserve">尽量减少对周围大气环境的影响。 </w:t>
            </w:r>
          </w:p>
          <w:p>
            <w:pPr>
              <w:snapToGrid w:val="0"/>
              <w:spacing w:before="120" w:beforeLines="50" w:line="324" w:lineRule="auto"/>
              <w:ind w:firstLine="480" w:firstLineChars="200"/>
              <w:rPr>
                <w:sz w:val="24"/>
              </w:rPr>
            </w:pPr>
            <w:r>
              <w:rPr>
                <w:sz w:val="24"/>
              </w:rPr>
              <w:t xml:space="preserve">（3）装修阶段废气防治措施 </w:t>
            </w:r>
          </w:p>
          <w:p>
            <w:pPr>
              <w:snapToGrid w:val="0"/>
              <w:spacing w:before="120" w:beforeLines="50" w:line="324" w:lineRule="auto"/>
              <w:ind w:firstLine="480" w:firstLineChars="200"/>
              <w:rPr>
                <w:sz w:val="24"/>
              </w:rPr>
            </w:pPr>
            <w:r>
              <w:rPr>
                <w:sz w:val="24"/>
              </w:rPr>
              <w:t>本项目</w:t>
            </w:r>
            <w:r>
              <w:rPr>
                <w:rFonts w:hint="eastAsia"/>
                <w:sz w:val="24"/>
              </w:rPr>
              <w:t>为工业用地</w:t>
            </w:r>
            <w:r>
              <w:rPr>
                <w:sz w:val="24"/>
              </w:rPr>
              <w:t xml:space="preserve">，由于装修时采用的三合板等材料和油漆中含有的甲醛、甲苯、二甲苯等影响环境质量的有毒有害物质，长期吸入会对人体健康造成影响挥发时间较长，本环评建议采取以下措施防止装修阶段的废气： </w:t>
            </w:r>
          </w:p>
          <w:p>
            <w:pPr>
              <w:snapToGrid w:val="0"/>
              <w:spacing w:before="120" w:beforeLines="50" w:line="324" w:lineRule="auto"/>
              <w:ind w:firstLine="480" w:firstLineChars="200"/>
              <w:rPr>
                <w:sz w:val="24"/>
              </w:rPr>
            </w:pPr>
            <w:r>
              <w:rPr>
                <w:rFonts w:hint="eastAsia" w:ascii="宋体" w:hAnsi="宋体" w:cs="宋体"/>
                <w:sz w:val="24"/>
              </w:rPr>
              <w:t>①</w:t>
            </w:r>
            <w:r>
              <w:rPr>
                <w:sz w:val="24"/>
              </w:rPr>
              <w:t xml:space="preserve"> 在装修油漆期间，建设单位或入驻的企业应尽量选择环保型油漆和水性涂料；</w:t>
            </w:r>
          </w:p>
          <w:p>
            <w:pPr>
              <w:snapToGrid w:val="0"/>
              <w:spacing w:before="120" w:beforeLines="50" w:line="324" w:lineRule="auto"/>
              <w:ind w:firstLine="480" w:firstLineChars="200"/>
              <w:rPr>
                <w:sz w:val="24"/>
              </w:rPr>
            </w:pPr>
            <w:r>
              <w:rPr>
                <w:rFonts w:hint="eastAsia" w:ascii="宋体" w:hAnsi="宋体" w:cs="宋体"/>
                <w:sz w:val="24"/>
              </w:rPr>
              <w:t>②</w:t>
            </w:r>
            <w:r>
              <w:rPr>
                <w:sz w:val="24"/>
              </w:rPr>
              <w:t xml:space="preserve"> 建筑和装修材料的使用控制要求如下： </w:t>
            </w:r>
          </w:p>
          <w:p>
            <w:pPr>
              <w:snapToGrid w:val="0"/>
              <w:spacing w:before="120" w:beforeLines="50" w:line="324" w:lineRule="auto"/>
              <w:ind w:firstLine="480" w:firstLineChars="200"/>
              <w:rPr>
                <w:sz w:val="24"/>
              </w:rPr>
            </w:pPr>
            <w:r>
              <w:rPr>
                <w:sz w:val="24"/>
              </w:rPr>
              <w:t xml:space="preserve">A、建筑和装修材料必须符合关于《室内装饰装修材料中有害物质限量》十个强制性国家标准的要求，即《室内装饰装修材料人造板及其制品中甲醛释放限量》（GB18580-2001）、《室内饰装修材料溶剂型木器涂料中有害物质限量》（GB18581-2001）、《室内装饰装修材料内墙涂料中有害物质限量》（GB18582-2001）、《室内装饰装修用胶粘剂中有害物质限量》（GB18583-2001）、《室内装饰装修材料木家具中有害物质限量》（GB18584-2001）、《室内装饰装修材料壁纸中有害物质限量》（GB18585-2001）、《室内装饰装修材料中聚氯乙烯卷材地板有害物质限量》（GB18586-2001）、《室内装饰装修材料地毯、地毯衬垫及地毯胶粘剂有害物质释放限量》（GB18587-2001）、《室内装饰装修材料混凝土外加剂中释放氨的限量》（GB18588-2001）和《建筑材料放射性核素限量》（GB6566-2001）。禁止使用有毒、有害物质和超过国家标准的建筑和装修。 </w:t>
            </w:r>
          </w:p>
          <w:p>
            <w:pPr>
              <w:snapToGrid w:val="0"/>
              <w:spacing w:before="120" w:beforeLines="50" w:line="324" w:lineRule="auto"/>
              <w:ind w:firstLine="480" w:firstLineChars="200"/>
              <w:rPr>
                <w:sz w:val="24"/>
              </w:rPr>
            </w:pPr>
            <w:r>
              <w:rPr>
                <w:sz w:val="24"/>
              </w:rPr>
              <w:t xml:space="preserve">B、施工承包商在采购建材时（如花岗岩、砖沙、水泥及石膏等），要注意其放射性， 开发商应监督项目建筑方采用放射性符合标准的材料，减少建材对室内空气的污染。工程竣工验收时，建设单位必须委托经考核认可的检测机构对建筑工程室内放射性水平和氡、甲醛、苯、氨、总挥发性有机物（TVOC）的含量指标进行检测，多项指标必须符合《室内空气质量标准》的要求，并听取专家的意见，选择合适的入住时间。 </w:t>
            </w:r>
          </w:p>
          <w:p>
            <w:pPr>
              <w:snapToGrid w:val="0"/>
              <w:spacing w:before="120" w:beforeLines="50" w:line="324" w:lineRule="auto"/>
              <w:ind w:firstLine="480" w:firstLineChars="200"/>
              <w:rPr>
                <w:sz w:val="24"/>
              </w:rPr>
            </w:pPr>
            <w:r>
              <w:rPr>
                <w:sz w:val="24"/>
              </w:rPr>
              <w:t>C、室内装修阶段，要求执行国家标准《民用建筑工程室内环境污染控制规范》。应选择无污染的“绿色装修材料”和“生态装修材料”，使其对人们的生存空间、生活环境无污染。注意选用密封性能好的门窗，选择合适的开窗换气时间，防止室外大气污染进入室内。</w:t>
            </w:r>
          </w:p>
          <w:p>
            <w:pPr>
              <w:snapToGrid w:val="0"/>
              <w:spacing w:before="120" w:beforeLines="50" w:line="324" w:lineRule="auto"/>
              <w:ind w:firstLine="480" w:firstLineChars="200"/>
              <w:rPr>
                <w:sz w:val="24"/>
              </w:rPr>
            </w:pPr>
            <w:r>
              <w:rPr>
                <w:rFonts w:hint="eastAsia" w:ascii="宋体" w:hAnsi="宋体" w:cs="宋体"/>
                <w:sz w:val="24"/>
              </w:rPr>
              <w:t>③</w:t>
            </w:r>
            <w:r>
              <w:rPr>
                <w:sz w:val="24"/>
              </w:rPr>
              <w:t xml:space="preserve"> 加强室内的通风换气，装修结束后，建议每天进行通风换气一至二个月后才能运行，正式运行后也要注意室内空气的流畅； </w:t>
            </w:r>
          </w:p>
          <w:p>
            <w:pPr>
              <w:snapToGrid w:val="0"/>
              <w:spacing w:before="120" w:beforeLines="50" w:line="324" w:lineRule="auto"/>
              <w:ind w:firstLine="480" w:firstLineChars="200"/>
              <w:rPr>
                <w:sz w:val="24"/>
              </w:rPr>
            </w:pPr>
            <w:r>
              <w:rPr>
                <w:rFonts w:hint="eastAsia" w:ascii="宋体" w:hAnsi="宋体" w:cs="宋体"/>
                <w:sz w:val="24"/>
              </w:rPr>
              <w:t>④</w:t>
            </w:r>
            <w:r>
              <w:rPr>
                <w:sz w:val="24"/>
              </w:rPr>
              <w:t xml:space="preserve"> 建议加强室内的绿化设置，在室外多种植对有机废气吸收效果好的桑树、无 花果、瓜子黄杨、海桐、泡桐，龙柏、女贞、桃树等，在室内放置绿萝、常春藤、龟背竹、龙舌兰、月季、吊兰等，通过绿化净化吸收装修期产生的有机废气。装修阶段的废气排放周期短，作业点分散，只要采取上述措施防治后，则不会对周围环境和人体健康造成明显的影响。 </w:t>
            </w:r>
          </w:p>
          <w:p>
            <w:pPr>
              <w:snapToGrid w:val="0"/>
              <w:spacing w:before="120" w:beforeLines="50" w:line="324" w:lineRule="auto"/>
              <w:ind w:firstLine="482" w:firstLineChars="200"/>
              <w:rPr>
                <w:b/>
                <w:sz w:val="24"/>
              </w:rPr>
            </w:pPr>
            <w:r>
              <w:rPr>
                <w:b/>
                <w:sz w:val="24"/>
              </w:rPr>
              <w:t xml:space="preserve">2、施工期水环境影响分析及防治措施 </w:t>
            </w:r>
          </w:p>
          <w:p>
            <w:pPr>
              <w:snapToGrid w:val="0"/>
              <w:spacing w:before="120" w:beforeLines="50" w:line="324" w:lineRule="auto"/>
              <w:ind w:firstLine="482" w:firstLineChars="200"/>
              <w:rPr>
                <w:b/>
                <w:sz w:val="24"/>
              </w:rPr>
            </w:pPr>
            <w:r>
              <w:rPr>
                <w:b/>
                <w:sz w:val="24"/>
              </w:rPr>
              <w:t xml:space="preserve">2.1 施工期地表水环境影响分析 </w:t>
            </w:r>
          </w:p>
          <w:p>
            <w:pPr>
              <w:snapToGrid w:val="0"/>
              <w:spacing w:before="120" w:beforeLines="50" w:line="324" w:lineRule="auto"/>
              <w:ind w:firstLine="480" w:firstLineChars="200"/>
              <w:rPr>
                <w:sz w:val="24"/>
              </w:rPr>
            </w:pPr>
            <w:r>
              <w:rPr>
                <w:sz w:val="24"/>
              </w:rPr>
              <w:t xml:space="preserve">施工期产生的污水主要分为三类：一类是泥浆水、砂石冲洗水、设备车辆冲洗水等施工废水；另一类是施工人员的生活污水；第三类是地下涌水。 </w:t>
            </w:r>
          </w:p>
          <w:p>
            <w:pPr>
              <w:snapToGrid w:val="0"/>
              <w:spacing w:before="120" w:beforeLines="50" w:line="324" w:lineRule="auto"/>
              <w:ind w:firstLine="480" w:firstLineChars="200"/>
              <w:rPr>
                <w:sz w:val="24"/>
              </w:rPr>
            </w:pPr>
            <w:r>
              <w:rPr>
                <w:sz w:val="24"/>
              </w:rPr>
              <w:t>项目施工期生活污水经临时化粪池处理达标后</w:t>
            </w:r>
            <w:r>
              <w:rPr>
                <w:rFonts w:hint="eastAsia"/>
                <w:sz w:val="24"/>
              </w:rPr>
              <w:t>沉淀达到农田灌溉标准</w:t>
            </w:r>
            <w:r>
              <w:rPr>
                <w:sz w:val="24"/>
                <w:szCs w:val="18"/>
                <w:lang w:val="zh-CN"/>
              </w:rPr>
              <w:t>《农田灌溉水质标准》（GB5084-2005）</w:t>
            </w:r>
            <w:r>
              <w:rPr>
                <w:rFonts w:hint="eastAsia"/>
                <w:sz w:val="24"/>
              </w:rPr>
              <w:t>排入灌溉水沟</w:t>
            </w:r>
            <w:r>
              <w:rPr>
                <w:sz w:val="24"/>
              </w:rPr>
              <w:t>。 建筑废水含大量泥砂，其主要污染物为悬浮物和石油类。施工期间，本项目在施工时开挖基坑过程中会有地下水渗漏出来。</w:t>
            </w:r>
          </w:p>
          <w:p>
            <w:pPr>
              <w:snapToGrid w:val="0"/>
              <w:spacing w:before="120" w:beforeLines="50" w:line="324" w:lineRule="auto"/>
              <w:ind w:firstLine="480" w:firstLineChars="200"/>
              <w:rPr>
                <w:sz w:val="24"/>
              </w:rPr>
            </w:pPr>
            <w:r>
              <w:rPr>
                <w:sz w:val="24"/>
              </w:rPr>
              <w:t>施工期间，应对地面水的排放进行组织设计，严禁乱排、乱流污染道路和环境。在回填土堆放场、施工泥浆产生点应设置临时沉砂池，含泥砂雨水、泥浆水经沉砂池沉淀后</w:t>
            </w:r>
            <w:r>
              <w:rPr>
                <w:rFonts w:hint="eastAsia"/>
                <w:sz w:val="24"/>
                <w:lang w:eastAsia="zh-CN"/>
              </w:rPr>
              <w:t>回用</w:t>
            </w:r>
            <w:r>
              <w:rPr>
                <w:sz w:val="24"/>
              </w:rPr>
              <w:t xml:space="preserve">。施工时要做好各项排水、截水、防止水土流失的设计，防止对附近河涌造成污染。 </w:t>
            </w:r>
          </w:p>
          <w:p>
            <w:pPr>
              <w:snapToGrid w:val="0"/>
              <w:spacing w:before="120" w:beforeLines="50" w:line="324" w:lineRule="auto"/>
              <w:ind w:firstLine="480" w:firstLineChars="200"/>
              <w:rPr>
                <w:sz w:val="24"/>
              </w:rPr>
            </w:pPr>
            <w:r>
              <w:rPr>
                <w:sz w:val="24"/>
              </w:rPr>
              <w:t>施工期间，本项目在施工时开挖基坑过程中会有地下水渗漏出来。</w:t>
            </w:r>
          </w:p>
          <w:p>
            <w:pPr>
              <w:snapToGrid w:val="0"/>
              <w:spacing w:before="120" w:beforeLines="50" w:line="324" w:lineRule="auto"/>
              <w:ind w:firstLine="482" w:firstLineChars="200"/>
              <w:rPr>
                <w:b/>
                <w:sz w:val="24"/>
              </w:rPr>
            </w:pPr>
            <w:r>
              <w:rPr>
                <w:b/>
                <w:sz w:val="24"/>
              </w:rPr>
              <w:t xml:space="preserve">2.2 施工期地下水环境影响分析 </w:t>
            </w:r>
          </w:p>
          <w:p>
            <w:pPr>
              <w:snapToGrid w:val="0"/>
              <w:spacing w:before="120" w:beforeLines="50" w:line="324" w:lineRule="auto"/>
              <w:ind w:firstLine="480" w:firstLineChars="200"/>
              <w:rPr>
                <w:sz w:val="24"/>
              </w:rPr>
            </w:pPr>
            <w:r>
              <w:rPr>
                <w:sz w:val="24"/>
              </w:rPr>
              <w:t xml:space="preserve">本工程施工期对地下水质的影响主要是由于施工阶段的各种废水渗入地下后对地下水造成一定程度的污染。工程地下区间段采用明挖法施工，在施工前需要进行施工降水，抽取出来的大量地下水若处置不当，会携带地表的一些污染物重新进入地下水中，尤其是进入潜水层，从而对地下水造成污染。同时，施工时需要使用大量的辅助材料，这些辅助材料若发生遗漏而进入到地下水中，会对地下水水质造成一定程度的污染。 </w:t>
            </w:r>
          </w:p>
          <w:p>
            <w:pPr>
              <w:snapToGrid w:val="0"/>
              <w:spacing w:before="120" w:beforeLines="50" w:line="324" w:lineRule="auto"/>
              <w:ind w:firstLine="480" w:firstLineChars="200"/>
              <w:rPr>
                <w:sz w:val="24"/>
              </w:rPr>
            </w:pPr>
            <w:r>
              <w:rPr>
                <w:sz w:val="24"/>
              </w:rPr>
              <w:t>施工期间，本项目在施工时开挖基坑过程中会有地下水渗漏出来。同时，施工</w:t>
            </w:r>
            <w:r>
              <w:rPr>
                <w:rFonts w:hint="eastAsia"/>
                <w:sz w:val="24"/>
              </w:rPr>
              <w:t>区域</w:t>
            </w:r>
            <w:r>
              <w:rPr>
                <w:sz w:val="24"/>
              </w:rPr>
              <w:t xml:space="preserve">降水范围有限，地下水位的变化幅度小于由于降水引起的地下水水位的变化，因此，本工程的实施对地下水水位情势的变化影响较小。 </w:t>
            </w:r>
          </w:p>
          <w:p>
            <w:pPr>
              <w:snapToGrid w:val="0"/>
              <w:spacing w:before="120" w:beforeLines="50" w:line="324" w:lineRule="auto"/>
              <w:ind w:firstLine="480" w:firstLineChars="200"/>
              <w:rPr>
                <w:sz w:val="24"/>
              </w:rPr>
            </w:pPr>
            <w:r>
              <w:rPr>
                <w:sz w:val="24"/>
              </w:rPr>
              <w:t xml:space="preserve">对于工程施工期间可能对地下水发生污染的环节，只要管理好施工的全过程，做到科学、合理、有序，则施工不当给地下水水质造成的影响可降低至最小程度。 </w:t>
            </w:r>
          </w:p>
          <w:p>
            <w:pPr>
              <w:snapToGrid w:val="0"/>
              <w:spacing w:before="120" w:beforeLines="50" w:line="324" w:lineRule="auto"/>
              <w:ind w:firstLine="482" w:firstLineChars="200"/>
              <w:rPr>
                <w:b/>
                <w:sz w:val="24"/>
              </w:rPr>
            </w:pPr>
            <w:r>
              <w:rPr>
                <w:b/>
                <w:sz w:val="24"/>
              </w:rPr>
              <w:t xml:space="preserve">3、施工期声环境影响分析及防治措施 </w:t>
            </w:r>
          </w:p>
          <w:p>
            <w:pPr>
              <w:snapToGrid w:val="0"/>
              <w:spacing w:before="120" w:beforeLines="50" w:line="324" w:lineRule="auto"/>
              <w:ind w:firstLine="482" w:firstLineChars="200"/>
              <w:rPr>
                <w:b/>
                <w:sz w:val="24"/>
              </w:rPr>
            </w:pPr>
            <w:r>
              <w:rPr>
                <w:b/>
                <w:sz w:val="24"/>
              </w:rPr>
              <w:t xml:space="preserve">3.1 施工期声环境影响分析 </w:t>
            </w:r>
          </w:p>
          <w:p>
            <w:pPr>
              <w:snapToGrid w:val="0"/>
              <w:spacing w:before="120" w:beforeLines="50" w:line="324" w:lineRule="auto"/>
              <w:ind w:firstLine="480" w:firstLineChars="200"/>
              <w:rPr>
                <w:sz w:val="24"/>
              </w:rPr>
            </w:pPr>
            <w:r>
              <w:rPr>
                <w:sz w:val="24"/>
              </w:rPr>
              <w:t>噪声是施工工地较为严重的污染因素，主要有设备噪声、机械噪声等。施工设备噪声主要是铲车、装载车等设备的发动机噪声及电锯噪声，机械噪声主要是钻桩机、机械挖掘土石噪声、搅拌机的撞击声、装卸材料的碰击声、拆除模板及清除模板上附着物的敲击声等。各种施工机械5米处的声级见表</w:t>
            </w:r>
            <w:r>
              <w:rPr>
                <w:rFonts w:hint="eastAsia"/>
                <w:sz w:val="24"/>
              </w:rPr>
              <w:t>2</w:t>
            </w:r>
            <w:r>
              <w:rPr>
                <w:sz w:val="24"/>
              </w:rPr>
              <w:t>4。</w:t>
            </w:r>
          </w:p>
          <w:p>
            <w:pPr>
              <w:snapToGrid w:val="0"/>
              <w:spacing w:before="120" w:beforeLines="50"/>
              <w:ind w:firstLine="211" w:firstLineChars="100"/>
              <w:jc w:val="center"/>
              <w:rPr>
                <w:b/>
              </w:rPr>
            </w:pPr>
            <w:r>
              <w:rPr>
                <w:b/>
              </w:rPr>
              <w:t>表24  各类施工机械5米处声级值单位：dB（A）</w:t>
            </w:r>
          </w:p>
          <w:tbl>
            <w:tblPr>
              <w:tblStyle w:val="26"/>
              <w:tblW w:w="76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0"/>
              <w:gridCol w:w="1920"/>
              <w:gridCol w:w="1920"/>
              <w:gridCol w:w="1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jc w:val="center"/>
              </w:trPr>
              <w:tc>
                <w:tcPr>
                  <w:tcW w:w="1920" w:type="dxa"/>
                  <w:vAlign w:val="center"/>
                </w:tcPr>
                <w:p>
                  <w:pPr>
                    <w:snapToGrid w:val="0"/>
                    <w:spacing w:before="120" w:beforeLines="50"/>
                    <w:jc w:val="center"/>
                  </w:pPr>
                  <w:r>
                    <w:rPr>
                      <w:b/>
                    </w:rPr>
                    <w:t>机械名称</w:t>
                  </w:r>
                </w:p>
              </w:tc>
              <w:tc>
                <w:tcPr>
                  <w:tcW w:w="1920" w:type="dxa"/>
                  <w:vAlign w:val="center"/>
                </w:tcPr>
                <w:p>
                  <w:pPr>
                    <w:snapToGrid w:val="0"/>
                    <w:spacing w:before="120" w:beforeLines="50"/>
                    <w:jc w:val="center"/>
                  </w:pPr>
                  <w:r>
                    <w:rPr>
                      <w:b/>
                    </w:rPr>
                    <w:t>声级测值</w:t>
                  </w:r>
                </w:p>
              </w:tc>
              <w:tc>
                <w:tcPr>
                  <w:tcW w:w="1920" w:type="dxa"/>
                  <w:vAlign w:val="center"/>
                </w:tcPr>
                <w:p>
                  <w:pPr>
                    <w:snapToGrid w:val="0"/>
                    <w:spacing w:before="120" w:beforeLines="50"/>
                    <w:jc w:val="center"/>
                  </w:pPr>
                  <w:r>
                    <w:rPr>
                      <w:b/>
                    </w:rPr>
                    <w:t>机械名称</w:t>
                  </w:r>
                </w:p>
              </w:tc>
              <w:tc>
                <w:tcPr>
                  <w:tcW w:w="1920" w:type="dxa"/>
                  <w:vAlign w:val="center"/>
                </w:tcPr>
                <w:p>
                  <w:pPr>
                    <w:snapToGrid w:val="0"/>
                    <w:spacing w:before="120" w:beforeLines="50"/>
                    <w:jc w:val="center"/>
                  </w:pPr>
                  <w:r>
                    <w:rPr>
                      <w:b/>
                    </w:rPr>
                    <w:t>声级测值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jc w:val="center"/>
              </w:trPr>
              <w:tc>
                <w:tcPr>
                  <w:tcW w:w="1920" w:type="dxa"/>
                  <w:vAlign w:val="center"/>
                </w:tcPr>
                <w:p>
                  <w:pPr>
                    <w:snapToGrid w:val="0"/>
                    <w:spacing w:before="120" w:beforeLines="50"/>
                    <w:jc w:val="center"/>
                  </w:pPr>
                  <w:r>
                    <w:t>电锯、电刨</w:t>
                  </w:r>
                </w:p>
              </w:tc>
              <w:tc>
                <w:tcPr>
                  <w:tcW w:w="1920" w:type="dxa"/>
                  <w:vAlign w:val="center"/>
                </w:tcPr>
                <w:p>
                  <w:pPr>
                    <w:snapToGrid w:val="0"/>
                    <w:spacing w:before="120" w:beforeLines="50"/>
                    <w:jc w:val="center"/>
                  </w:pPr>
                  <w:r>
                    <w:t>95</w:t>
                  </w:r>
                </w:p>
              </w:tc>
              <w:tc>
                <w:tcPr>
                  <w:tcW w:w="1920" w:type="dxa"/>
                  <w:vAlign w:val="center"/>
                </w:tcPr>
                <w:p>
                  <w:pPr>
                    <w:snapToGrid w:val="0"/>
                    <w:spacing w:before="120" w:beforeLines="50"/>
                    <w:jc w:val="center"/>
                  </w:pPr>
                  <w:r>
                    <w:t>推土机</w:t>
                  </w:r>
                </w:p>
              </w:tc>
              <w:tc>
                <w:tcPr>
                  <w:tcW w:w="1920" w:type="dxa"/>
                  <w:vAlign w:val="center"/>
                </w:tcPr>
                <w:p>
                  <w:pPr>
                    <w:snapToGrid w:val="0"/>
                    <w:spacing w:before="120" w:beforeLines="50"/>
                    <w:jc w:val="center"/>
                  </w:pPr>
                  <w: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jc w:val="center"/>
              </w:trPr>
              <w:tc>
                <w:tcPr>
                  <w:tcW w:w="1920" w:type="dxa"/>
                  <w:vAlign w:val="center"/>
                </w:tcPr>
                <w:p>
                  <w:pPr>
                    <w:snapToGrid w:val="0"/>
                    <w:spacing w:before="120" w:beforeLines="50"/>
                    <w:jc w:val="center"/>
                  </w:pPr>
                  <w:r>
                    <w:t>振捣棒</w:t>
                  </w:r>
                </w:p>
              </w:tc>
              <w:tc>
                <w:tcPr>
                  <w:tcW w:w="1920" w:type="dxa"/>
                  <w:vAlign w:val="center"/>
                </w:tcPr>
                <w:p>
                  <w:pPr>
                    <w:snapToGrid w:val="0"/>
                    <w:spacing w:before="120" w:beforeLines="50"/>
                    <w:jc w:val="center"/>
                  </w:pPr>
                  <w:r>
                    <w:t>95</w:t>
                  </w:r>
                </w:p>
              </w:tc>
              <w:tc>
                <w:tcPr>
                  <w:tcW w:w="1920" w:type="dxa"/>
                  <w:vAlign w:val="center"/>
                </w:tcPr>
                <w:p>
                  <w:pPr>
                    <w:snapToGrid w:val="0"/>
                    <w:spacing w:before="120" w:beforeLines="50"/>
                    <w:jc w:val="center"/>
                  </w:pPr>
                  <w:r>
                    <w:t>挖掘机</w:t>
                  </w:r>
                </w:p>
              </w:tc>
              <w:tc>
                <w:tcPr>
                  <w:tcW w:w="1920" w:type="dxa"/>
                  <w:vAlign w:val="center"/>
                </w:tcPr>
                <w:p>
                  <w:pPr>
                    <w:snapToGrid w:val="0"/>
                    <w:spacing w:before="120" w:beforeLines="50"/>
                    <w:jc w:val="center"/>
                  </w:pPr>
                  <w: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jc w:val="center"/>
              </w:trPr>
              <w:tc>
                <w:tcPr>
                  <w:tcW w:w="1920" w:type="dxa"/>
                  <w:vAlign w:val="center"/>
                </w:tcPr>
                <w:p>
                  <w:pPr>
                    <w:snapToGrid w:val="0"/>
                    <w:spacing w:before="120" w:beforeLines="50"/>
                    <w:jc w:val="center"/>
                  </w:pPr>
                  <w:r>
                    <w:t>振荡器</w:t>
                  </w:r>
                </w:p>
              </w:tc>
              <w:tc>
                <w:tcPr>
                  <w:tcW w:w="1920" w:type="dxa"/>
                  <w:vAlign w:val="center"/>
                </w:tcPr>
                <w:p>
                  <w:pPr>
                    <w:snapToGrid w:val="0"/>
                    <w:spacing w:before="120" w:beforeLines="50"/>
                    <w:jc w:val="center"/>
                  </w:pPr>
                  <w:r>
                    <w:t>95</w:t>
                  </w:r>
                </w:p>
              </w:tc>
              <w:tc>
                <w:tcPr>
                  <w:tcW w:w="1920" w:type="dxa"/>
                  <w:vAlign w:val="center"/>
                </w:tcPr>
                <w:p>
                  <w:pPr>
                    <w:snapToGrid w:val="0"/>
                    <w:spacing w:before="120" w:beforeLines="50"/>
                    <w:jc w:val="center"/>
                  </w:pPr>
                  <w:r>
                    <w:t>风动机械</w:t>
                  </w:r>
                </w:p>
              </w:tc>
              <w:tc>
                <w:tcPr>
                  <w:tcW w:w="1920" w:type="dxa"/>
                  <w:vAlign w:val="center"/>
                </w:tcPr>
                <w:p>
                  <w:pPr>
                    <w:snapToGrid w:val="0"/>
                    <w:spacing w:before="120" w:beforeLines="50"/>
                    <w:jc w:val="center"/>
                  </w:pPr>
                  <w: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jc w:val="center"/>
              </w:trPr>
              <w:tc>
                <w:tcPr>
                  <w:tcW w:w="1920" w:type="dxa"/>
                  <w:vAlign w:val="center"/>
                </w:tcPr>
                <w:p>
                  <w:pPr>
                    <w:snapToGrid w:val="0"/>
                    <w:spacing w:before="120" w:beforeLines="50"/>
                    <w:jc w:val="center"/>
                  </w:pPr>
                  <w:r>
                    <w:t>钻桩机</w:t>
                  </w:r>
                </w:p>
              </w:tc>
              <w:tc>
                <w:tcPr>
                  <w:tcW w:w="1920" w:type="dxa"/>
                  <w:vAlign w:val="center"/>
                </w:tcPr>
                <w:p>
                  <w:pPr>
                    <w:snapToGrid w:val="0"/>
                    <w:spacing w:before="120" w:beforeLines="50"/>
                    <w:jc w:val="center"/>
                  </w:pPr>
                  <w:r>
                    <w:t>100</w:t>
                  </w:r>
                </w:p>
              </w:tc>
              <w:tc>
                <w:tcPr>
                  <w:tcW w:w="1920" w:type="dxa"/>
                  <w:vAlign w:val="center"/>
                </w:tcPr>
                <w:p>
                  <w:pPr>
                    <w:snapToGrid w:val="0"/>
                    <w:spacing w:before="120" w:beforeLines="50"/>
                    <w:jc w:val="center"/>
                  </w:pPr>
                  <w:r>
                    <w:t>卷扬机</w:t>
                  </w:r>
                </w:p>
              </w:tc>
              <w:tc>
                <w:tcPr>
                  <w:tcW w:w="1920" w:type="dxa"/>
                  <w:vAlign w:val="center"/>
                </w:tcPr>
                <w:p>
                  <w:pPr>
                    <w:snapToGrid w:val="0"/>
                    <w:spacing w:before="120" w:beforeLines="50"/>
                    <w:jc w:val="center"/>
                  </w:pPr>
                  <w: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jc w:val="center"/>
              </w:trPr>
              <w:tc>
                <w:tcPr>
                  <w:tcW w:w="1920" w:type="dxa"/>
                  <w:vAlign w:val="center"/>
                </w:tcPr>
                <w:p>
                  <w:pPr>
                    <w:snapToGrid w:val="0"/>
                    <w:spacing w:before="120" w:beforeLines="50"/>
                    <w:jc w:val="center"/>
                  </w:pPr>
                  <w:r>
                    <w:t>钻孔机</w:t>
                  </w:r>
                </w:p>
              </w:tc>
              <w:tc>
                <w:tcPr>
                  <w:tcW w:w="1920" w:type="dxa"/>
                  <w:vAlign w:val="center"/>
                </w:tcPr>
                <w:p>
                  <w:pPr>
                    <w:snapToGrid w:val="0"/>
                    <w:spacing w:before="120" w:beforeLines="50"/>
                    <w:jc w:val="center"/>
                  </w:pPr>
                  <w:r>
                    <w:rPr>
                      <w:rFonts w:hint="eastAsia"/>
                    </w:rPr>
                    <w:t>1</w:t>
                  </w:r>
                  <w:r>
                    <w:t>00</w:t>
                  </w:r>
                </w:p>
              </w:tc>
              <w:tc>
                <w:tcPr>
                  <w:tcW w:w="1920" w:type="dxa"/>
                  <w:vAlign w:val="center"/>
                </w:tcPr>
                <w:p>
                  <w:pPr>
                    <w:snapToGrid w:val="0"/>
                    <w:spacing w:before="120" w:beforeLines="50"/>
                    <w:jc w:val="center"/>
                  </w:pPr>
                  <w:r>
                    <w:t>吊车、升降机</w:t>
                  </w:r>
                </w:p>
              </w:tc>
              <w:tc>
                <w:tcPr>
                  <w:tcW w:w="1920" w:type="dxa"/>
                  <w:vAlign w:val="center"/>
                </w:tcPr>
                <w:p>
                  <w:pPr>
                    <w:snapToGrid w:val="0"/>
                    <w:spacing w:before="120" w:beforeLines="50"/>
                    <w:jc w:val="center"/>
                  </w:pPr>
                  <w:r>
                    <w:rPr>
                      <w:rFonts w:hint="eastAsia"/>
                    </w:rPr>
                    <w:t>8</w:t>
                  </w:r>
                  <w:r>
                    <w:t>0</w:t>
                  </w:r>
                </w:p>
              </w:tc>
            </w:tr>
          </w:tbl>
          <w:p>
            <w:pPr>
              <w:spacing w:before="120" w:beforeLines="50" w:line="336" w:lineRule="auto"/>
              <w:ind w:firstLine="480" w:firstLineChars="200"/>
              <w:rPr>
                <w:sz w:val="24"/>
              </w:rPr>
            </w:pPr>
            <w:r>
              <w:rPr>
                <w:sz w:val="24"/>
              </w:rPr>
              <w:t xml:space="preserve">城市建筑施工期间施工场地产生的噪声应依据《建筑施工场界环境噪声排放标准》 （GB 12523-2011）中有关规定执行。 </w:t>
            </w:r>
          </w:p>
          <w:p>
            <w:pPr>
              <w:spacing w:before="120" w:beforeLines="50"/>
              <w:ind w:firstLine="422" w:firstLineChars="200"/>
              <w:jc w:val="center"/>
              <w:rPr>
                <w:b/>
              </w:rPr>
            </w:pPr>
            <w:r>
              <w:rPr>
                <w:b/>
              </w:rPr>
              <w:t>表</w:t>
            </w:r>
            <w:r>
              <w:rPr>
                <w:rFonts w:hint="eastAsia"/>
                <w:b/>
              </w:rPr>
              <w:t>2</w:t>
            </w:r>
            <w:r>
              <w:rPr>
                <w:b/>
              </w:rPr>
              <w:t>5 《建筑施工场界环境噪声排放标准》（GB 12523-2011）（摘录） 单位：dB（A）</w:t>
            </w:r>
          </w:p>
          <w:tbl>
            <w:tblPr>
              <w:tblStyle w:val="26"/>
              <w:tblW w:w="91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1"/>
              <w:gridCol w:w="4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91" w:type="dxa"/>
                </w:tcPr>
                <w:p>
                  <w:pPr>
                    <w:spacing w:before="120" w:beforeLines="50"/>
                    <w:jc w:val="center"/>
                    <w:rPr>
                      <w:b/>
                      <w:sz w:val="24"/>
                    </w:rPr>
                  </w:pPr>
                  <w:r>
                    <w:rPr>
                      <w:b/>
                    </w:rPr>
                    <w:t>昼间</w:t>
                  </w:r>
                </w:p>
              </w:tc>
              <w:tc>
                <w:tcPr>
                  <w:tcW w:w="4591" w:type="dxa"/>
                </w:tcPr>
                <w:p>
                  <w:pPr>
                    <w:spacing w:before="120" w:beforeLines="50"/>
                    <w:jc w:val="center"/>
                    <w:rPr>
                      <w:b/>
                      <w:sz w:val="24"/>
                    </w:rPr>
                  </w:pPr>
                  <w:r>
                    <w:rPr>
                      <w:b/>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91" w:type="dxa"/>
                </w:tcPr>
                <w:p>
                  <w:pPr>
                    <w:spacing w:before="120" w:beforeLines="50"/>
                    <w:jc w:val="center"/>
                    <w:rPr>
                      <w:b/>
                      <w:sz w:val="24"/>
                    </w:rPr>
                  </w:pPr>
                  <w:r>
                    <w:t>70</w:t>
                  </w:r>
                </w:p>
              </w:tc>
              <w:tc>
                <w:tcPr>
                  <w:tcW w:w="4591" w:type="dxa"/>
                </w:tcPr>
                <w:p>
                  <w:pPr>
                    <w:spacing w:before="120" w:beforeLines="50"/>
                    <w:jc w:val="center"/>
                    <w:rPr>
                      <w:b/>
                      <w:sz w:val="24"/>
                    </w:rPr>
                  </w:pPr>
                  <w:r>
                    <w:t>55</w:t>
                  </w:r>
                </w:p>
              </w:tc>
            </w:tr>
          </w:tbl>
          <w:p>
            <w:pPr>
              <w:spacing w:before="120" w:beforeLines="50" w:line="360" w:lineRule="auto"/>
              <w:ind w:firstLine="480" w:firstLineChars="200"/>
              <w:rPr>
                <w:sz w:val="24"/>
              </w:rPr>
            </w:pPr>
            <w:r>
              <w:rPr>
                <w:sz w:val="24"/>
              </w:rPr>
              <w:t>对室外噪声源主要考虑噪声的几何发散衰减及环境因素衰减： L2=L1－20lg（r2/r1）－</w:t>
            </w:r>
            <w:r>
              <w:rPr>
                <w:rFonts w:ascii="Cambria Math" w:hAnsi="Cambria Math" w:cs="Cambria Math"/>
                <w:sz w:val="24"/>
              </w:rPr>
              <w:t>△</w:t>
            </w:r>
            <w:r>
              <w:rPr>
                <w:sz w:val="24"/>
              </w:rPr>
              <w:t>L 根据上述公式及该建设项目与周围主要敏感点的距离，可计算出在无屏障的情形下， 该建设项目在施工过程中单台机械设备对环境的影响程度，其噪声级如表26所示。</w:t>
            </w:r>
          </w:p>
          <w:p>
            <w:pPr>
              <w:spacing w:before="120" w:beforeLines="50"/>
              <w:jc w:val="center"/>
              <w:rPr>
                <w:b/>
              </w:rPr>
            </w:pPr>
            <w:r>
              <w:rPr>
                <w:b/>
              </w:rPr>
              <w:t>表26 建设项目施工机械噪声对周围环境影响噪声值单位：dB（A</w:t>
            </w:r>
            <w:r>
              <w:rPr>
                <w:rFonts w:hint="eastAsia"/>
                <w:b/>
              </w:rPr>
              <w:t>）</w:t>
            </w:r>
          </w:p>
          <w:tbl>
            <w:tblPr>
              <w:tblStyle w:val="26"/>
              <w:tblW w:w="91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4"/>
              <w:gridCol w:w="1276"/>
              <w:gridCol w:w="850"/>
              <w:gridCol w:w="851"/>
              <w:gridCol w:w="850"/>
              <w:gridCol w:w="851"/>
              <w:gridCol w:w="850"/>
              <w:gridCol w:w="894"/>
              <w:gridCol w:w="1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34" w:type="dxa"/>
                  <w:vMerge w:val="restart"/>
                  <w:vAlign w:val="center"/>
                </w:tcPr>
                <w:p>
                  <w:pPr>
                    <w:spacing w:before="120" w:beforeLines="50"/>
                    <w:jc w:val="center"/>
                    <w:rPr>
                      <w:sz w:val="24"/>
                    </w:rPr>
                  </w:pPr>
                  <w:r>
                    <w:t>机械名称</w:t>
                  </w:r>
                </w:p>
              </w:tc>
              <w:tc>
                <w:tcPr>
                  <w:tcW w:w="1276" w:type="dxa"/>
                  <w:vMerge w:val="restart"/>
                  <w:vAlign w:val="center"/>
                </w:tcPr>
                <w:p>
                  <w:pPr>
                    <w:spacing w:before="120" w:beforeLines="50"/>
                    <w:jc w:val="center"/>
                    <w:rPr>
                      <w:sz w:val="24"/>
                    </w:rPr>
                  </w:pPr>
                  <w:r>
                    <w:t>声级测值</w:t>
                  </w:r>
                </w:p>
              </w:tc>
              <w:tc>
                <w:tcPr>
                  <w:tcW w:w="6177" w:type="dxa"/>
                  <w:gridSpan w:val="7"/>
                  <w:vAlign w:val="center"/>
                </w:tcPr>
                <w:p>
                  <w:pPr>
                    <w:spacing w:before="120" w:beforeLines="50"/>
                    <w:jc w:val="center"/>
                    <w:rPr>
                      <w:sz w:val="24"/>
                    </w:rPr>
                  </w:pPr>
                  <w:r>
                    <w:t>边界外距离（m）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34" w:type="dxa"/>
                  <w:vMerge w:val="continue"/>
                  <w:vAlign w:val="center"/>
                </w:tcPr>
                <w:p>
                  <w:pPr>
                    <w:spacing w:before="120" w:beforeLines="50"/>
                    <w:jc w:val="center"/>
                    <w:rPr>
                      <w:sz w:val="24"/>
                    </w:rPr>
                  </w:pPr>
                </w:p>
              </w:tc>
              <w:tc>
                <w:tcPr>
                  <w:tcW w:w="1276" w:type="dxa"/>
                  <w:vMerge w:val="continue"/>
                  <w:vAlign w:val="center"/>
                </w:tcPr>
                <w:p>
                  <w:pPr>
                    <w:spacing w:before="120" w:beforeLines="50"/>
                    <w:jc w:val="center"/>
                    <w:rPr>
                      <w:sz w:val="24"/>
                    </w:rPr>
                  </w:pPr>
                </w:p>
              </w:tc>
              <w:tc>
                <w:tcPr>
                  <w:tcW w:w="850" w:type="dxa"/>
                  <w:vAlign w:val="center"/>
                </w:tcPr>
                <w:p>
                  <w:pPr>
                    <w:spacing w:before="120" w:beforeLines="50"/>
                    <w:jc w:val="center"/>
                    <w:rPr>
                      <w:sz w:val="24"/>
                    </w:rPr>
                  </w:pPr>
                  <w:r>
                    <w:t>5</w:t>
                  </w:r>
                </w:p>
              </w:tc>
              <w:tc>
                <w:tcPr>
                  <w:tcW w:w="851" w:type="dxa"/>
                  <w:vAlign w:val="center"/>
                </w:tcPr>
                <w:p>
                  <w:pPr>
                    <w:spacing w:before="120" w:beforeLines="50"/>
                    <w:jc w:val="center"/>
                    <w:rPr>
                      <w:sz w:val="24"/>
                    </w:rPr>
                  </w:pPr>
                  <w:r>
                    <w:rPr>
                      <w:sz w:val="24"/>
                    </w:rPr>
                    <w:t>15</w:t>
                  </w:r>
                </w:p>
              </w:tc>
              <w:tc>
                <w:tcPr>
                  <w:tcW w:w="850" w:type="dxa"/>
                  <w:vAlign w:val="center"/>
                </w:tcPr>
                <w:p>
                  <w:pPr>
                    <w:spacing w:before="120" w:beforeLines="50"/>
                    <w:jc w:val="center"/>
                    <w:rPr>
                      <w:sz w:val="24"/>
                    </w:rPr>
                  </w:pPr>
                  <w:r>
                    <w:rPr>
                      <w:rFonts w:hint="eastAsia"/>
                      <w:sz w:val="24"/>
                    </w:rPr>
                    <w:t>5</w:t>
                  </w:r>
                  <w:r>
                    <w:rPr>
                      <w:sz w:val="24"/>
                    </w:rPr>
                    <w:t>0</w:t>
                  </w:r>
                </w:p>
              </w:tc>
              <w:tc>
                <w:tcPr>
                  <w:tcW w:w="851" w:type="dxa"/>
                  <w:vAlign w:val="center"/>
                </w:tcPr>
                <w:p>
                  <w:pPr>
                    <w:spacing w:before="120" w:beforeLines="50"/>
                    <w:jc w:val="center"/>
                    <w:rPr>
                      <w:sz w:val="24"/>
                    </w:rPr>
                  </w:pPr>
                  <w:r>
                    <w:rPr>
                      <w:rFonts w:hint="eastAsia"/>
                      <w:sz w:val="24"/>
                    </w:rPr>
                    <w:t>8</w:t>
                  </w:r>
                  <w:r>
                    <w:rPr>
                      <w:sz w:val="24"/>
                    </w:rPr>
                    <w:t>0</w:t>
                  </w:r>
                </w:p>
              </w:tc>
              <w:tc>
                <w:tcPr>
                  <w:tcW w:w="850" w:type="dxa"/>
                  <w:vAlign w:val="center"/>
                </w:tcPr>
                <w:p>
                  <w:pPr>
                    <w:spacing w:before="120" w:beforeLines="50"/>
                    <w:jc w:val="center"/>
                    <w:rPr>
                      <w:sz w:val="24"/>
                    </w:rPr>
                  </w:pPr>
                  <w:r>
                    <w:rPr>
                      <w:rFonts w:hint="eastAsia"/>
                      <w:sz w:val="24"/>
                    </w:rPr>
                    <w:t>1</w:t>
                  </w:r>
                  <w:r>
                    <w:rPr>
                      <w:sz w:val="24"/>
                    </w:rPr>
                    <w:t>00</w:t>
                  </w:r>
                </w:p>
              </w:tc>
              <w:tc>
                <w:tcPr>
                  <w:tcW w:w="894" w:type="dxa"/>
                  <w:vAlign w:val="center"/>
                </w:tcPr>
                <w:p>
                  <w:pPr>
                    <w:spacing w:before="120" w:beforeLines="50"/>
                    <w:jc w:val="center"/>
                    <w:rPr>
                      <w:sz w:val="24"/>
                    </w:rPr>
                  </w:pPr>
                  <w:r>
                    <w:rPr>
                      <w:rFonts w:hint="eastAsia"/>
                      <w:sz w:val="24"/>
                    </w:rPr>
                    <w:t>1</w:t>
                  </w:r>
                  <w:r>
                    <w:rPr>
                      <w:sz w:val="24"/>
                    </w:rPr>
                    <w:t>50</w:t>
                  </w:r>
                </w:p>
              </w:tc>
              <w:tc>
                <w:tcPr>
                  <w:tcW w:w="1031" w:type="dxa"/>
                  <w:vAlign w:val="center"/>
                </w:tcPr>
                <w:p>
                  <w:pPr>
                    <w:spacing w:before="120" w:beforeLines="50"/>
                    <w:jc w:val="center"/>
                    <w:rPr>
                      <w:sz w:val="24"/>
                    </w:rPr>
                  </w:pPr>
                  <w:r>
                    <w:rPr>
                      <w:sz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34" w:type="dxa"/>
                  <w:vAlign w:val="center"/>
                </w:tcPr>
                <w:p>
                  <w:pPr>
                    <w:spacing w:before="120" w:beforeLines="50"/>
                    <w:jc w:val="center"/>
                    <w:rPr>
                      <w:sz w:val="24"/>
                    </w:rPr>
                  </w:pPr>
                  <w:r>
                    <w:t>电锯、电刨</w:t>
                  </w:r>
                </w:p>
              </w:tc>
              <w:tc>
                <w:tcPr>
                  <w:tcW w:w="1276" w:type="dxa"/>
                  <w:vAlign w:val="center"/>
                </w:tcPr>
                <w:p>
                  <w:pPr>
                    <w:spacing w:before="120" w:beforeLines="50"/>
                    <w:jc w:val="center"/>
                    <w:rPr>
                      <w:sz w:val="24"/>
                    </w:rPr>
                  </w:pPr>
                  <w:r>
                    <w:t>95</w:t>
                  </w:r>
                </w:p>
              </w:tc>
              <w:tc>
                <w:tcPr>
                  <w:tcW w:w="850" w:type="dxa"/>
                  <w:vAlign w:val="center"/>
                </w:tcPr>
                <w:p>
                  <w:pPr>
                    <w:spacing w:before="120" w:beforeLines="50"/>
                    <w:jc w:val="center"/>
                    <w:rPr>
                      <w:sz w:val="24"/>
                    </w:rPr>
                  </w:pPr>
                  <w:r>
                    <w:t>95</w:t>
                  </w:r>
                </w:p>
              </w:tc>
              <w:tc>
                <w:tcPr>
                  <w:tcW w:w="851" w:type="dxa"/>
                  <w:vAlign w:val="center"/>
                </w:tcPr>
                <w:p>
                  <w:pPr>
                    <w:spacing w:before="120" w:beforeLines="50"/>
                    <w:jc w:val="center"/>
                    <w:rPr>
                      <w:sz w:val="24"/>
                    </w:rPr>
                  </w:pPr>
                  <w:r>
                    <w:t>85.46</w:t>
                  </w:r>
                </w:p>
              </w:tc>
              <w:tc>
                <w:tcPr>
                  <w:tcW w:w="850" w:type="dxa"/>
                  <w:vAlign w:val="center"/>
                </w:tcPr>
                <w:p>
                  <w:pPr>
                    <w:spacing w:before="120" w:beforeLines="50"/>
                    <w:jc w:val="center"/>
                    <w:rPr>
                      <w:sz w:val="24"/>
                    </w:rPr>
                  </w:pPr>
                  <w:r>
                    <w:t>75</w:t>
                  </w:r>
                </w:p>
              </w:tc>
              <w:tc>
                <w:tcPr>
                  <w:tcW w:w="851" w:type="dxa"/>
                  <w:vAlign w:val="center"/>
                </w:tcPr>
                <w:p>
                  <w:pPr>
                    <w:spacing w:before="120" w:beforeLines="50"/>
                    <w:jc w:val="center"/>
                    <w:rPr>
                      <w:sz w:val="24"/>
                    </w:rPr>
                  </w:pPr>
                  <w:r>
                    <w:t>70.92</w:t>
                  </w:r>
                </w:p>
              </w:tc>
              <w:tc>
                <w:tcPr>
                  <w:tcW w:w="850" w:type="dxa"/>
                  <w:vAlign w:val="center"/>
                </w:tcPr>
                <w:p>
                  <w:pPr>
                    <w:spacing w:before="120" w:beforeLines="50"/>
                    <w:jc w:val="center"/>
                    <w:rPr>
                      <w:sz w:val="24"/>
                    </w:rPr>
                  </w:pPr>
                  <w:r>
                    <w:t>68.98</w:t>
                  </w:r>
                </w:p>
              </w:tc>
              <w:tc>
                <w:tcPr>
                  <w:tcW w:w="894" w:type="dxa"/>
                  <w:vAlign w:val="center"/>
                </w:tcPr>
                <w:p>
                  <w:pPr>
                    <w:spacing w:before="120" w:beforeLines="50"/>
                    <w:jc w:val="center"/>
                    <w:rPr>
                      <w:sz w:val="24"/>
                    </w:rPr>
                  </w:pPr>
                  <w:r>
                    <w:t>65.46</w:t>
                  </w:r>
                </w:p>
              </w:tc>
              <w:tc>
                <w:tcPr>
                  <w:tcW w:w="1031" w:type="dxa"/>
                  <w:vAlign w:val="center"/>
                </w:tcPr>
                <w:p>
                  <w:pPr>
                    <w:spacing w:before="120" w:beforeLines="50"/>
                    <w:jc w:val="center"/>
                    <w:rPr>
                      <w:sz w:val="24"/>
                    </w:rPr>
                  </w:pPr>
                  <w:r>
                    <w:t>62.96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34" w:type="dxa"/>
                  <w:vAlign w:val="center"/>
                </w:tcPr>
                <w:p>
                  <w:pPr>
                    <w:spacing w:before="120" w:beforeLines="50"/>
                    <w:jc w:val="center"/>
                    <w:rPr>
                      <w:sz w:val="24"/>
                    </w:rPr>
                  </w:pPr>
                  <w:r>
                    <w:t>振捣棒</w:t>
                  </w:r>
                </w:p>
              </w:tc>
              <w:tc>
                <w:tcPr>
                  <w:tcW w:w="1276" w:type="dxa"/>
                  <w:vAlign w:val="center"/>
                </w:tcPr>
                <w:p>
                  <w:pPr>
                    <w:spacing w:before="120" w:beforeLines="50"/>
                    <w:jc w:val="center"/>
                    <w:rPr>
                      <w:sz w:val="24"/>
                    </w:rPr>
                  </w:pPr>
                  <w:r>
                    <w:t>95</w:t>
                  </w:r>
                </w:p>
              </w:tc>
              <w:tc>
                <w:tcPr>
                  <w:tcW w:w="850" w:type="dxa"/>
                  <w:vAlign w:val="center"/>
                </w:tcPr>
                <w:p>
                  <w:pPr>
                    <w:spacing w:before="120" w:beforeLines="50"/>
                    <w:jc w:val="center"/>
                    <w:rPr>
                      <w:sz w:val="24"/>
                    </w:rPr>
                  </w:pPr>
                  <w:r>
                    <w:t>95</w:t>
                  </w:r>
                </w:p>
              </w:tc>
              <w:tc>
                <w:tcPr>
                  <w:tcW w:w="851" w:type="dxa"/>
                  <w:vAlign w:val="center"/>
                </w:tcPr>
                <w:p>
                  <w:pPr>
                    <w:spacing w:before="120" w:beforeLines="50"/>
                    <w:jc w:val="center"/>
                    <w:rPr>
                      <w:sz w:val="24"/>
                    </w:rPr>
                  </w:pPr>
                  <w:r>
                    <w:t>85.46</w:t>
                  </w:r>
                </w:p>
              </w:tc>
              <w:tc>
                <w:tcPr>
                  <w:tcW w:w="850" w:type="dxa"/>
                  <w:vAlign w:val="center"/>
                </w:tcPr>
                <w:p>
                  <w:pPr>
                    <w:spacing w:before="120" w:beforeLines="50"/>
                    <w:jc w:val="center"/>
                    <w:rPr>
                      <w:sz w:val="24"/>
                    </w:rPr>
                  </w:pPr>
                  <w:r>
                    <w:t>75</w:t>
                  </w:r>
                </w:p>
              </w:tc>
              <w:tc>
                <w:tcPr>
                  <w:tcW w:w="851" w:type="dxa"/>
                  <w:vAlign w:val="center"/>
                </w:tcPr>
                <w:p>
                  <w:pPr>
                    <w:spacing w:before="120" w:beforeLines="50"/>
                    <w:jc w:val="center"/>
                    <w:rPr>
                      <w:sz w:val="24"/>
                    </w:rPr>
                  </w:pPr>
                  <w:r>
                    <w:t>70.92</w:t>
                  </w:r>
                </w:p>
              </w:tc>
              <w:tc>
                <w:tcPr>
                  <w:tcW w:w="850" w:type="dxa"/>
                  <w:vAlign w:val="center"/>
                </w:tcPr>
                <w:p>
                  <w:pPr>
                    <w:spacing w:before="120" w:beforeLines="50"/>
                    <w:jc w:val="center"/>
                    <w:rPr>
                      <w:sz w:val="24"/>
                    </w:rPr>
                  </w:pPr>
                  <w:r>
                    <w:t>68.98</w:t>
                  </w:r>
                </w:p>
              </w:tc>
              <w:tc>
                <w:tcPr>
                  <w:tcW w:w="894" w:type="dxa"/>
                  <w:vAlign w:val="center"/>
                </w:tcPr>
                <w:p>
                  <w:pPr>
                    <w:spacing w:before="120" w:beforeLines="50"/>
                    <w:jc w:val="center"/>
                    <w:rPr>
                      <w:sz w:val="24"/>
                    </w:rPr>
                  </w:pPr>
                  <w:r>
                    <w:t>65.46</w:t>
                  </w:r>
                </w:p>
              </w:tc>
              <w:tc>
                <w:tcPr>
                  <w:tcW w:w="1031" w:type="dxa"/>
                  <w:vAlign w:val="center"/>
                </w:tcPr>
                <w:p>
                  <w:pPr>
                    <w:spacing w:before="120" w:beforeLines="50"/>
                    <w:jc w:val="center"/>
                    <w:rPr>
                      <w:sz w:val="24"/>
                    </w:rPr>
                  </w:pPr>
                  <w:r>
                    <w:t>62.96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34" w:type="dxa"/>
                  <w:vAlign w:val="center"/>
                </w:tcPr>
                <w:p>
                  <w:pPr>
                    <w:spacing w:before="120" w:beforeLines="50"/>
                    <w:jc w:val="center"/>
                    <w:rPr>
                      <w:sz w:val="24"/>
                    </w:rPr>
                  </w:pPr>
                  <w:r>
                    <w:t>振荡器</w:t>
                  </w:r>
                </w:p>
              </w:tc>
              <w:tc>
                <w:tcPr>
                  <w:tcW w:w="1276" w:type="dxa"/>
                  <w:vAlign w:val="center"/>
                </w:tcPr>
                <w:p>
                  <w:pPr>
                    <w:spacing w:before="120" w:beforeLines="50"/>
                    <w:jc w:val="center"/>
                    <w:rPr>
                      <w:sz w:val="24"/>
                    </w:rPr>
                  </w:pPr>
                  <w:r>
                    <w:t>95</w:t>
                  </w:r>
                </w:p>
              </w:tc>
              <w:tc>
                <w:tcPr>
                  <w:tcW w:w="850" w:type="dxa"/>
                  <w:vAlign w:val="center"/>
                </w:tcPr>
                <w:p>
                  <w:pPr>
                    <w:spacing w:before="120" w:beforeLines="50"/>
                    <w:jc w:val="center"/>
                    <w:rPr>
                      <w:sz w:val="24"/>
                    </w:rPr>
                  </w:pPr>
                  <w:r>
                    <w:t>95</w:t>
                  </w:r>
                </w:p>
              </w:tc>
              <w:tc>
                <w:tcPr>
                  <w:tcW w:w="851" w:type="dxa"/>
                  <w:vAlign w:val="center"/>
                </w:tcPr>
                <w:p>
                  <w:pPr>
                    <w:spacing w:before="120" w:beforeLines="50"/>
                    <w:jc w:val="center"/>
                    <w:rPr>
                      <w:sz w:val="24"/>
                    </w:rPr>
                  </w:pPr>
                  <w:r>
                    <w:t>85.46</w:t>
                  </w:r>
                </w:p>
              </w:tc>
              <w:tc>
                <w:tcPr>
                  <w:tcW w:w="850" w:type="dxa"/>
                  <w:vAlign w:val="center"/>
                </w:tcPr>
                <w:p>
                  <w:pPr>
                    <w:spacing w:before="120" w:beforeLines="50"/>
                    <w:jc w:val="center"/>
                    <w:rPr>
                      <w:sz w:val="24"/>
                    </w:rPr>
                  </w:pPr>
                  <w:r>
                    <w:t>75</w:t>
                  </w:r>
                </w:p>
              </w:tc>
              <w:tc>
                <w:tcPr>
                  <w:tcW w:w="851" w:type="dxa"/>
                  <w:vAlign w:val="center"/>
                </w:tcPr>
                <w:p>
                  <w:pPr>
                    <w:spacing w:before="120" w:beforeLines="50"/>
                    <w:jc w:val="center"/>
                    <w:rPr>
                      <w:sz w:val="24"/>
                    </w:rPr>
                  </w:pPr>
                  <w:r>
                    <w:t>70.92</w:t>
                  </w:r>
                </w:p>
              </w:tc>
              <w:tc>
                <w:tcPr>
                  <w:tcW w:w="850" w:type="dxa"/>
                  <w:vAlign w:val="center"/>
                </w:tcPr>
                <w:p>
                  <w:pPr>
                    <w:spacing w:before="120" w:beforeLines="50"/>
                    <w:jc w:val="center"/>
                    <w:rPr>
                      <w:sz w:val="24"/>
                    </w:rPr>
                  </w:pPr>
                  <w:r>
                    <w:t>68.98</w:t>
                  </w:r>
                </w:p>
              </w:tc>
              <w:tc>
                <w:tcPr>
                  <w:tcW w:w="894" w:type="dxa"/>
                  <w:vAlign w:val="center"/>
                </w:tcPr>
                <w:p>
                  <w:pPr>
                    <w:spacing w:before="120" w:beforeLines="50"/>
                    <w:jc w:val="center"/>
                    <w:rPr>
                      <w:sz w:val="24"/>
                    </w:rPr>
                  </w:pPr>
                  <w:r>
                    <w:t>65.46</w:t>
                  </w:r>
                </w:p>
              </w:tc>
              <w:tc>
                <w:tcPr>
                  <w:tcW w:w="1031" w:type="dxa"/>
                  <w:vAlign w:val="center"/>
                </w:tcPr>
                <w:p>
                  <w:pPr>
                    <w:spacing w:before="120" w:beforeLines="50"/>
                    <w:jc w:val="center"/>
                    <w:rPr>
                      <w:sz w:val="24"/>
                    </w:rPr>
                  </w:pPr>
                  <w:r>
                    <w:t>62.96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34" w:type="dxa"/>
                  <w:vAlign w:val="center"/>
                </w:tcPr>
                <w:p>
                  <w:pPr>
                    <w:spacing w:before="120" w:beforeLines="50"/>
                    <w:jc w:val="center"/>
                    <w:rPr>
                      <w:sz w:val="24"/>
                    </w:rPr>
                  </w:pPr>
                  <w:r>
                    <w:t>钻桩机</w:t>
                  </w:r>
                </w:p>
              </w:tc>
              <w:tc>
                <w:tcPr>
                  <w:tcW w:w="1276" w:type="dxa"/>
                  <w:vAlign w:val="center"/>
                </w:tcPr>
                <w:p>
                  <w:pPr>
                    <w:spacing w:before="120" w:beforeLines="50"/>
                    <w:jc w:val="center"/>
                    <w:rPr>
                      <w:sz w:val="24"/>
                    </w:rPr>
                  </w:pPr>
                  <w:r>
                    <w:t>100</w:t>
                  </w:r>
                </w:p>
              </w:tc>
              <w:tc>
                <w:tcPr>
                  <w:tcW w:w="850" w:type="dxa"/>
                  <w:vAlign w:val="center"/>
                </w:tcPr>
                <w:p>
                  <w:pPr>
                    <w:spacing w:before="120" w:beforeLines="50"/>
                    <w:jc w:val="center"/>
                    <w:rPr>
                      <w:sz w:val="24"/>
                    </w:rPr>
                  </w:pPr>
                  <w:r>
                    <w:t>100</w:t>
                  </w:r>
                </w:p>
              </w:tc>
              <w:tc>
                <w:tcPr>
                  <w:tcW w:w="851" w:type="dxa"/>
                  <w:vAlign w:val="center"/>
                </w:tcPr>
                <w:p>
                  <w:pPr>
                    <w:spacing w:before="120" w:beforeLines="50"/>
                    <w:jc w:val="center"/>
                    <w:rPr>
                      <w:sz w:val="24"/>
                    </w:rPr>
                  </w:pPr>
                  <w:r>
                    <w:t>90.46</w:t>
                  </w:r>
                </w:p>
              </w:tc>
              <w:tc>
                <w:tcPr>
                  <w:tcW w:w="850" w:type="dxa"/>
                  <w:vAlign w:val="center"/>
                </w:tcPr>
                <w:p>
                  <w:pPr>
                    <w:spacing w:before="120" w:beforeLines="50"/>
                    <w:jc w:val="center"/>
                    <w:rPr>
                      <w:sz w:val="24"/>
                    </w:rPr>
                  </w:pPr>
                  <w:r>
                    <w:t>80</w:t>
                  </w:r>
                </w:p>
              </w:tc>
              <w:tc>
                <w:tcPr>
                  <w:tcW w:w="851" w:type="dxa"/>
                  <w:vAlign w:val="center"/>
                </w:tcPr>
                <w:p>
                  <w:pPr>
                    <w:spacing w:before="120" w:beforeLines="50"/>
                    <w:jc w:val="center"/>
                    <w:rPr>
                      <w:sz w:val="24"/>
                    </w:rPr>
                  </w:pPr>
                  <w:r>
                    <w:t>75.92</w:t>
                  </w:r>
                </w:p>
              </w:tc>
              <w:tc>
                <w:tcPr>
                  <w:tcW w:w="850" w:type="dxa"/>
                  <w:vAlign w:val="center"/>
                </w:tcPr>
                <w:p>
                  <w:pPr>
                    <w:spacing w:before="120" w:beforeLines="50"/>
                    <w:jc w:val="center"/>
                    <w:rPr>
                      <w:sz w:val="24"/>
                    </w:rPr>
                  </w:pPr>
                  <w:r>
                    <w:t>73.98</w:t>
                  </w:r>
                </w:p>
              </w:tc>
              <w:tc>
                <w:tcPr>
                  <w:tcW w:w="894" w:type="dxa"/>
                  <w:vAlign w:val="center"/>
                </w:tcPr>
                <w:p>
                  <w:pPr>
                    <w:spacing w:before="120" w:beforeLines="50"/>
                    <w:jc w:val="center"/>
                    <w:rPr>
                      <w:sz w:val="24"/>
                    </w:rPr>
                  </w:pPr>
                  <w:r>
                    <w:t>70.46</w:t>
                  </w:r>
                </w:p>
              </w:tc>
              <w:tc>
                <w:tcPr>
                  <w:tcW w:w="1031" w:type="dxa"/>
                  <w:vAlign w:val="center"/>
                </w:tcPr>
                <w:p>
                  <w:pPr>
                    <w:spacing w:before="120" w:beforeLines="50"/>
                    <w:jc w:val="center"/>
                    <w:rPr>
                      <w:sz w:val="24"/>
                    </w:rPr>
                  </w:pPr>
                  <w:r>
                    <w:t>67.96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34" w:type="dxa"/>
                  <w:vAlign w:val="center"/>
                </w:tcPr>
                <w:p>
                  <w:pPr>
                    <w:spacing w:before="120" w:beforeLines="50"/>
                    <w:jc w:val="center"/>
                    <w:rPr>
                      <w:sz w:val="24"/>
                    </w:rPr>
                  </w:pPr>
                  <w:r>
                    <w:t>钻孔机</w:t>
                  </w:r>
                </w:p>
              </w:tc>
              <w:tc>
                <w:tcPr>
                  <w:tcW w:w="1276" w:type="dxa"/>
                  <w:vAlign w:val="center"/>
                </w:tcPr>
                <w:p>
                  <w:pPr>
                    <w:spacing w:before="120" w:beforeLines="50"/>
                    <w:jc w:val="center"/>
                    <w:rPr>
                      <w:sz w:val="24"/>
                    </w:rPr>
                  </w:pPr>
                  <w:r>
                    <w:t>100</w:t>
                  </w:r>
                </w:p>
              </w:tc>
              <w:tc>
                <w:tcPr>
                  <w:tcW w:w="850" w:type="dxa"/>
                  <w:vAlign w:val="center"/>
                </w:tcPr>
                <w:p>
                  <w:pPr>
                    <w:spacing w:before="120" w:beforeLines="50"/>
                    <w:jc w:val="center"/>
                    <w:rPr>
                      <w:sz w:val="24"/>
                    </w:rPr>
                  </w:pPr>
                  <w:r>
                    <w:t>100</w:t>
                  </w:r>
                </w:p>
              </w:tc>
              <w:tc>
                <w:tcPr>
                  <w:tcW w:w="851" w:type="dxa"/>
                  <w:vAlign w:val="center"/>
                </w:tcPr>
                <w:p>
                  <w:pPr>
                    <w:spacing w:before="120" w:beforeLines="50"/>
                    <w:jc w:val="center"/>
                    <w:rPr>
                      <w:sz w:val="24"/>
                    </w:rPr>
                  </w:pPr>
                  <w:r>
                    <w:t>90.46</w:t>
                  </w:r>
                </w:p>
              </w:tc>
              <w:tc>
                <w:tcPr>
                  <w:tcW w:w="850" w:type="dxa"/>
                  <w:vAlign w:val="center"/>
                </w:tcPr>
                <w:p>
                  <w:pPr>
                    <w:spacing w:before="120" w:beforeLines="50"/>
                    <w:jc w:val="center"/>
                    <w:rPr>
                      <w:sz w:val="24"/>
                    </w:rPr>
                  </w:pPr>
                  <w:r>
                    <w:t>80</w:t>
                  </w:r>
                </w:p>
              </w:tc>
              <w:tc>
                <w:tcPr>
                  <w:tcW w:w="851" w:type="dxa"/>
                  <w:vAlign w:val="center"/>
                </w:tcPr>
                <w:p>
                  <w:pPr>
                    <w:spacing w:before="120" w:beforeLines="50"/>
                    <w:jc w:val="center"/>
                    <w:rPr>
                      <w:sz w:val="24"/>
                    </w:rPr>
                  </w:pPr>
                  <w:r>
                    <w:t>75.92</w:t>
                  </w:r>
                </w:p>
              </w:tc>
              <w:tc>
                <w:tcPr>
                  <w:tcW w:w="850" w:type="dxa"/>
                  <w:vAlign w:val="center"/>
                </w:tcPr>
                <w:p>
                  <w:pPr>
                    <w:spacing w:before="120" w:beforeLines="50"/>
                    <w:jc w:val="center"/>
                    <w:rPr>
                      <w:sz w:val="24"/>
                    </w:rPr>
                  </w:pPr>
                  <w:r>
                    <w:t>73.98</w:t>
                  </w:r>
                </w:p>
              </w:tc>
              <w:tc>
                <w:tcPr>
                  <w:tcW w:w="894" w:type="dxa"/>
                  <w:vAlign w:val="center"/>
                </w:tcPr>
                <w:p>
                  <w:pPr>
                    <w:spacing w:before="120" w:beforeLines="50"/>
                    <w:jc w:val="center"/>
                    <w:rPr>
                      <w:sz w:val="24"/>
                    </w:rPr>
                  </w:pPr>
                  <w:r>
                    <w:t>70.46</w:t>
                  </w:r>
                </w:p>
              </w:tc>
              <w:tc>
                <w:tcPr>
                  <w:tcW w:w="1031" w:type="dxa"/>
                  <w:vAlign w:val="center"/>
                </w:tcPr>
                <w:p>
                  <w:pPr>
                    <w:spacing w:before="120" w:beforeLines="50"/>
                    <w:jc w:val="center"/>
                    <w:rPr>
                      <w:sz w:val="24"/>
                    </w:rPr>
                  </w:pPr>
                  <w:r>
                    <w:t>67.96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34" w:type="dxa"/>
                  <w:vAlign w:val="center"/>
                </w:tcPr>
                <w:p>
                  <w:pPr>
                    <w:spacing w:before="120" w:beforeLines="50"/>
                    <w:jc w:val="center"/>
                    <w:rPr>
                      <w:sz w:val="24"/>
                    </w:rPr>
                  </w:pPr>
                  <w:r>
                    <w:t>推土机</w:t>
                  </w:r>
                </w:p>
              </w:tc>
              <w:tc>
                <w:tcPr>
                  <w:tcW w:w="1276" w:type="dxa"/>
                  <w:vAlign w:val="center"/>
                </w:tcPr>
                <w:p>
                  <w:pPr>
                    <w:spacing w:before="120" w:beforeLines="50"/>
                    <w:jc w:val="center"/>
                    <w:rPr>
                      <w:sz w:val="24"/>
                    </w:rPr>
                  </w:pPr>
                  <w:r>
                    <w:rPr>
                      <w:rFonts w:hint="eastAsia"/>
                      <w:sz w:val="24"/>
                    </w:rPr>
                    <w:t>9</w:t>
                  </w:r>
                  <w:r>
                    <w:rPr>
                      <w:sz w:val="24"/>
                    </w:rPr>
                    <w:t>0</w:t>
                  </w:r>
                </w:p>
              </w:tc>
              <w:tc>
                <w:tcPr>
                  <w:tcW w:w="850" w:type="dxa"/>
                  <w:vAlign w:val="center"/>
                </w:tcPr>
                <w:p>
                  <w:pPr>
                    <w:spacing w:before="120" w:beforeLines="50"/>
                    <w:jc w:val="center"/>
                    <w:rPr>
                      <w:sz w:val="24"/>
                    </w:rPr>
                  </w:pPr>
                  <w:r>
                    <w:rPr>
                      <w:rFonts w:hint="eastAsia"/>
                      <w:sz w:val="24"/>
                    </w:rPr>
                    <w:t>9</w:t>
                  </w:r>
                  <w:r>
                    <w:rPr>
                      <w:sz w:val="24"/>
                    </w:rPr>
                    <w:t>0</w:t>
                  </w:r>
                </w:p>
              </w:tc>
              <w:tc>
                <w:tcPr>
                  <w:tcW w:w="851" w:type="dxa"/>
                  <w:vAlign w:val="center"/>
                </w:tcPr>
                <w:p>
                  <w:pPr>
                    <w:spacing w:before="120" w:beforeLines="50"/>
                    <w:jc w:val="center"/>
                    <w:rPr>
                      <w:sz w:val="24"/>
                    </w:rPr>
                  </w:pPr>
                  <w:r>
                    <w:t>80.46</w:t>
                  </w:r>
                </w:p>
              </w:tc>
              <w:tc>
                <w:tcPr>
                  <w:tcW w:w="850" w:type="dxa"/>
                  <w:vAlign w:val="center"/>
                </w:tcPr>
                <w:p>
                  <w:pPr>
                    <w:spacing w:before="120" w:beforeLines="50"/>
                    <w:jc w:val="center"/>
                    <w:rPr>
                      <w:sz w:val="24"/>
                    </w:rPr>
                  </w:pPr>
                  <w:r>
                    <w:t>70</w:t>
                  </w:r>
                </w:p>
              </w:tc>
              <w:tc>
                <w:tcPr>
                  <w:tcW w:w="851" w:type="dxa"/>
                  <w:vAlign w:val="center"/>
                </w:tcPr>
                <w:p>
                  <w:pPr>
                    <w:spacing w:before="120" w:beforeLines="50"/>
                    <w:jc w:val="center"/>
                    <w:rPr>
                      <w:sz w:val="24"/>
                    </w:rPr>
                  </w:pPr>
                  <w:r>
                    <w:t>65.92</w:t>
                  </w:r>
                </w:p>
              </w:tc>
              <w:tc>
                <w:tcPr>
                  <w:tcW w:w="850" w:type="dxa"/>
                  <w:vAlign w:val="center"/>
                </w:tcPr>
                <w:p>
                  <w:pPr>
                    <w:spacing w:before="120" w:beforeLines="50"/>
                    <w:jc w:val="center"/>
                    <w:rPr>
                      <w:sz w:val="24"/>
                    </w:rPr>
                  </w:pPr>
                  <w:r>
                    <w:t>63.98</w:t>
                  </w:r>
                </w:p>
              </w:tc>
              <w:tc>
                <w:tcPr>
                  <w:tcW w:w="894" w:type="dxa"/>
                  <w:vAlign w:val="center"/>
                </w:tcPr>
                <w:p>
                  <w:pPr>
                    <w:spacing w:before="120" w:beforeLines="50"/>
                    <w:jc w:val="center"/>
                    <w:rPr>
                      <w:sz w:val="24"/>
                    </w:rPr>
                  </w:pPr>
                  <w:r>
                    <w:t>60.46</w:t>
                  </w:r>
                </w:p>
              </w:tc>
              <w:tc>
                <w:tcPr>
                  <w:tcW w:w="1031" w:type="dxa"/>
                  <w:vAlign w:val="center"/>
                </w:tcPr>
                <w:p>
                  <w:pPr>
                    <w:spacing w:before="120" w:beforeLines="50"/>
                    <w:jc w:val="center"/>
                    <w:rPr>
                      <w:sz w:val="24"/>
                    </w:rPr>
                  </w:pPr>
                  <w:r>
                    <w:t>57.96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34" w:type="dxa"/>
                  <w:vAlign w:val="center"/>
                </w:tcPr>
                <w:p>
                  <w:pPr>
                    <w:spacing w:before="120" w:beforeLines="50"/>
                    <w:jc w:val="center"/>
                    <w:rPr>
                      <w:sz w:val="24"/>
                    </w:rPr>
                  </w:pPr>
                  <w:r>
                    <w:t>挖掘机</w:t>
                  </w:r>
                </w:p>
              </w:tc>
              <w:tc>
                <w:tcPr>
                  <w:tcW w:w="1276" w:type="dxa"/>
                  <w:vAlign w:val="center"/>
                </w:tcPr>
                <w:p>
                  <w:pPr>
                    <w:spacing w:before="120" w:beforeLines="50"/>
                    <w:jc w:val="center"/>
                    <w:rPr>
                      <w:sz w:val="24"/>
                    </w:rPr>
                  </w:pPr>
                  <w:r>
                    <w:rPr>
                      <w:rFonts w:hint="eastAsia"/>
                      <w:sz w:val="24"/>
                    </w:rPr>
                    <w:t>9</w:t>
                  </w:r>
                  <w:r>
                    <w:rPr>
                      <w:sz w:val="24"/>
                    </w:rPr>
                    <w:t>0</w:t>
                  </w:r>
                </w:p>
              </w:tc>
              <w:tc>
                <w:tcPr>
                  <w:tcW w:w="850" w:type="dxa"/>
                  <w:vAlign w:val="center"/>
                </w:tcPr>
                <w:p>
                  <w:pPr>
                    <w:spacing w:before="120" w:beforeLines="50"/>
                    <w:jc w:val="center"/>
                    <w:rPr>
                      <w:sz w:val="24"/>
                    </w:rPr>
                  </w:pPr>
                  <w:r>
                    <w:rPr>
                      <w:rFonts w:hint="eastAsia"/>
                      <w:sz w:val="24"/>
                    </w:rPr>
                    <w:t>9</w:t>
                  </w:r>
                  <w:r>
                    <w:rPr>
                      <w:sz w:val="24"/>
                    </w:rPr>
                    <w:t>0</w:t>
                  </w:r>
                </w:p>
              </w:tc>
              <w:tc>
                <w:tcPr>
                  <w:tcW w:w="851" w:type="dxa"/>
                  <w:vAlign w:val="center"/>
                </w:tcPr>
                <w:p>
                  <w:pPr>
                    <w:spacing w:before="120" w:beforeLines="50"/>
                    <w:jc w:val="center"/>
                    <w:rPr>
                      <w:sz w:val="24"/>
                    </w:rPr>
                  </w:pPr>
                  <w:r>
                    <w:t>80.46</w:t>
                  </w:r>
                </w:p>
              </w:tc>
              <w:tc>
                <w:tcPr>
                  <w:tcW w:w="850" w:type="dxa"/>
                  <w:vAlign w:val="center"/>
                </w:tcPr>
                <w:p>
                  <w:pPr>
                    <w:spacing w:before="120" w:beforeLines="50"/>
                    <w:jc w:val="center"/>
                    <w:rPr>
                      <w:sz w:val="24"/>
                    </w:rPr>
                  </w:pPr>
                  <w:r>
                    <w:rPr>
                      <w:rFonts w:hint="eastAsia"/>
                      <w:sz w:val="24"/>
                    </w:rPr>
                    <w:t>7</w:t>
                  </w:r>
                  <w:r>
                    <w:rPr>
                      <w:sz w:val="24"/>
                    </w:rPr>
                    <w:t>0</w:t>
                  </w:r>
                </w:p>
              </w:tc>
              <w:tc>
                <w:tcPr>
                  <w:tcW w:w="851" w:type="dxa"/>
                  <w:vAlign w:val="center"/>
                </w:tcPr>
                <w:p>
                  <w:pPr>
                    <w:spacing w:before="120" w:beforeLines="50"/>
                    <w:jc w:val="center"/>
                    <w:rPr>
                      <w:sz w:val="24"/>
                    </w:rPr>
                  </w:pPr>
                  <w:r>
                    <w:t>65.92</w:t>
                  </w:r>
                </w:p>
              </w:tc>
              <w:tc>
                <w:tcPr>
                  <w:tcW w:w="850" w:type="dxa"/>
                  <w:vAlign w:val="center"/>
                </w:tcPr>
                <w:p>
                  <w:pPr>
                    <w:spacing w:before="120" w:beforeLines="50"/>
                    <w:jc w:val="center"/>
                    <w:rPr>
                      <w:sz w:val="24"/>
                    </w:rPr>
                  </w:pPr>
                  <w:r>
                    <w:t>63.98</w:t>
                  </w:r>
                </w:p>
              </w:tc>
              <w:tc>
                <w:tcPr>
                  <w:tcW w:w="894" w:type="dxa"/>
                  <w:vAlign w:val="center"/>
                </w:tcPr>
                <w:p>
                  <w:pPr>
                    <w:spacing w:before="120" w:beforeLines="50"/>
                    <w:jc w:val="center"/>
                    <w:rPr>
                      <w:sz w:val="24"/>
                    </w:rPr>
                  </w:pPr>
                  <w:r>
                    <w:t>60.46</w:t>
                  </w:r>
                </w:p>
              </w:tc>
              <w:tc>
                <w:tcPr>
                  <w:tcW w:w="1031" w:type="dxa"/>
                  <w:vAlign w:val="center"/>
                </w:tcPr>
                <w:p>
                  <w:pPr>
                    <w:spacing w:before="120" w:beforeLines="50"/>
                    <w:jc w:val="center"/>
                    <w:rPr>
                      <w:sz w:val="24"/>
                    </w:rPr>
                  </w:pPr>
                  <w:r>
                    <w:t>57.96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34" w:type="dxa"/>
                  <w:vAlign w:val="center"/>
                </w:tcPr>
                <w:p>
                  <w:pPr>
                    <w:spacing w:before="120" w:beforeLines="50"/>
                    <w:jc w:val="center"/>
                  </w:pPr>
                  <w:r>
                    <w:t>风动机械</w:t>
                  </w:r>
                </w:p>
              </w:tc>
              <w:tc>
                <w:tcPr>
                  <w:tcW w:w="1276" w:type="dxa"/>
                  <w:vAlign w:val="center"/>
                </w:tcPr>
                <w:p>
                  <w:pPr>
                    <w:spacing w:before="120" w:beforeLines="50"/>
                    <w:jc w:val="center"/>
                    <w:rPr>
                      <w:sz w:val="24"/>
                    </w:rPr>
                  </w:pPr>
                  <w:r>
                    <w:t>95</w:t>
                  </w:r>
                </w:p>
              </w:tc>
              <w:tc>
                <w:tcPr>
                  <w:tcW w:w="850" w:type="dxa"/>
                  <w:vAlign w:val="center"/>
                </w:tcPr>
                <w:p>
                  <w:pPr>
                    <w:spacing w:before="120" w:beforeLines="50"/>
                    <w:jc w:val="center"/>
                    <w:rPr>
                      <w:sz w:val="24"/>
                    </w:rPr>
                  </w:pPr>
                  <w:r>
                    <w:t>95</w:t>
                  </w:r>
                </w:p>
              </w:tc>
              <w:tc>
                <w:tcPr>
                  <w:tcW w:w="851" w:type="dxa"/>
                  <w:vAlign w:val="center"/>
                </w:tcPr>
                <w:p>
                  <w:pPr>
                    <w:spacing w:before="120" w:beforeLines="50"/>
                    <w:jc w:val="center"/>
                    <w:rPr>
                      <w:sz w:val="24"/>
                    </w:rPr>
                  </w:pPr>
                  <w:r>
                    <w:t>85.46</w:t>
                  </w:r>
                </w:p>
              </w:tc>
              <w:tc>
                <w:tcPr>
                  <w:tcW w:w="850" w:type="dxa"/>
                  <w:vAlign w:val="center"/>
                </w:tcPr>
                <w:p>
                  <w:pPr>
                    <w:spacing w:before="120" w:beforeLines="50"/>
                    <w:jc w:val="center"/>
                    <w:rPr>
                      <w:sz w:val="24"/>
                    </w:rPr>
                  </w:pPr>
                  <w:r>
                    <w:rPr>
                      <w:rFonts w:hint="eastAsia"/>
                      <w:sz w:val="24"/>
                    </w:rPr>
                    <w:t>7</w:t>
                  </w:r>
                  <w:r>
                    <w:rPr>
                      <w:sz w:val="24"/>
                    </w:rPr>
                    <w:t>5</w:t>
                  </w:r>
                </w:p>
              </w:tc>
              <w:tc>
                <w:tcPr>
                  <w:tcW w:w="851" w:type="dxa"/>
                  <w:vAlign w:val="center"/>
                </w:tcPr>
                <w:p>
                  <w:pPr>
                    <w:spacing w:before="120" w:beforeLines="50"/>
                    <w:jc w:val="center"/>
                    <w:rPr>
                      <w:sz w:val="24"/>
                    </w:rPr>
                  </w:pPr>
                  <w:r>
                    <w:t>70.92</w:t>
                  </w:r>
                </w:p>
              </w:tc>
              <w:tc>
                <w:tcPr>
                  <w:tcW w:w="850" w:type="dxa"/>
                  <w:vAlign w:val="center"/>
                </w:tcPr>
                <w:p>
                  <w:pPr>
                    <w:spacing w:before="120" w:beforeLines="50"/>
                    <w:jc w:val="center"/>
                    <w:rPr>
                      <w:sz w:val="24"/>
                    </w:rPr>
                  </w:pPr>
                  <w:r>
                    <w:t>68.98</w:t>
                  </w:r>
                </w:p>
              </w:tc>
              <w:tc>
                <w:tcPr>
                  <w:tcW w:w="894" w:type="dxa"/>
                  <w:vAlign w:val="center"/>
                </w:tcPr>
                <w:p>
                  <w:pPr>
                    <w:spacing w:before="120" w:beforeLines="50"/>
                    <w:jc w:val="center"/>
                    <w:rPr>
                      <w:sz w:val="24"/>
                    </w:rPr>
                  </w:pPr>
                  <w:r>
                    <w:t>65.46</w:t>
                  </w:r>
                </w:p>
              </w:tc>
              <w:tc>
                <w:tcPr>
                  <w:tcW w:w="1031" w:type="dxa"/>
                  <w:vAlign w:val="center"/>
                </w:tcPr>
                <w:p>
                  <w:pPr>
                    <w:spacing w:before="120" w:beforeLines="50"/>
                    <w:jc w:val="center"/>
                    <w:rPr>
                      <w:sz w:val="24"/>
                    </w:rPr>
                  </w:pPr>
                  <w:r>
                    <w:t>62.96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34" w:type="dxa"/>
                  <w:vAlign w:val="center"/>
                </w:tcPr>
                <w:p>
                  <w:pPr>
                    <w:spacing w:before="120" w:beforeLines="50"/>
                    <w:jc w:val="center"/>
                  </w:pPr>
                  <w:r>
                    <w:t>卷扬机</w:t>
                  </w:r>
                </w:p>
              </w:tc>
              <w:tc>
                <w:tcPr>
                  <w:tcW w:w="1276" w:type="dxa"/>
                  <w:vAlign w:val="center"/>
                </w:tcPr>
                <w:p>
                  <w:pPr>
                    <w:spacing w:before="120" w:beforeLines="50"/>
                    <w:jc w:val="center"/>
                    <w:rPr>
                      <w:sz w:val="24"/>
                    </w:rPr>
                  </w:pPr>
                  <w:r>
                    <w:rPr>
                      <w:rFonts w:hint="eastAsia"/>
                      <w:sz w:val="24"/>
                    </w:rPr>
                    <w:t>8</w:t>
                  </w:r>
                  <w:r>
                    <w:rPr>
                      <w:sz w:val="24"/>
                    </w:rPr>
                    <w:t>0</w:t>
                  </w:r>
                </w:p>
              </w:tc>
              <w:tc>
                <w:tcPr>
                  <w:tcW w:w="850" w:type="dxa"/>
                  <w:vAlign w:val="center"/>
                </w:tcPr>
                <w:p>
                  <w:pPr>
                    <w:spacing w:before="120" w:beforeLines="50"/>
                    <w:jc w:val="center"/>
                    <w:rPr>
                      <w:sz w:val="24"/>
                    </w:rPr>
                  </w:pPr>
                  <w:r>
                    <w:rPr>
                      <w:rFonts w:hint="eastAsia"/>
                      <w:sz w:val="24"/>
                    </w:rPr>
                    <w:t>8</w:t>
                  </w:r>
                  <w:r>
                    <w:rPr>
                      <w:sz w:val="24"/>
                    </w:rPr>
                    <w:t>0</w:t>
                  </w:r>
                </w:p>
              </w:tc>
              <w:tc>
                <w:tcPr>
                  <w:tcW w:w="851" w:type="dxa"/>
                  <w:vAlign w:val="center"/>
                </w:tcPr>
                <w:p>
                  <w:pPr>
                    <w:spacing w:before="120" w:beforeLines="50"/>
                    <w:jc w:val="center"/>
                    <w:rPr>
                      <w:sz w:val="24"/>
                    </w:rPr>
                  </w:pPr>
                  <w:r>
                    <w:t>70.46</w:t>
                  </w:r>
                </w:p>
              </w:tc>
              <w:tc>
                <w:tcPr>
                  <w:tcW w:w="850" w:type="dxa"/>
                  <w:vAlign w:val="center"/>
                </w:tcPr>
                <w:p>
                  <w:pPr>
                    <w:spacing w:before="120" w:beforeLines="50"/>
                    <w:jc w:val="center"/>
                    <w:rPr>
                      <w:sz w:val="24"/>
                    </w:rPr>
                  </w:pPr>
                  <w:r>
                    <w:rPr>
                      <w:rFonts w:hint="eastAsia"/>
                      <w:sz w:val="24"/>
                    </w:rPr>
                    <w:t>6</w:t>
                  </w:r>
                  <w:r>
                    <w:rPr>
                      <w:sz w:val="24"/>
                    </w:rPr>
                    <w:t>0</w:t>
                  </w:r>
                </w:p>
              </w:tc>
              <w:tc>
                <w:tcPr>
                  <w:tcW w:w="851" w:type="dxa"/>
                  <w:vAlign w:val="center"/>
                </w:tcPr>
                <w:p>
                  <w:pPr>
                    <w:spacing w:before="120" w:beforeLines="50"/>
                    <w:jc w:val="center"/>
                    <w:rPr>
                      <w:sz w:val="24"/>
                    </w:rPr>
                  </w:pPr>
                  <w:r>
                    <w:t>55.92</w:t>
                  </w:r>
                </w:p>
              </w:tc>
              <w:tc>
                <w:tcPr>
                  <w:tcW w:w="850" w:type="dxa"/>
                  <w:vAlign w:val="center"/>
                </w:tcPr>
                <w:p>
                  <w:pPr>
                    <w:spacing w:before="120" w:beforeLines="50"/>
                    <w:jc w:val="center"/>
                    <w:rPr>
                      <w:sz w:val="24"/>
                    </w:rPr>
                  </w:pPr>
                  <w:r>
                    <w:t>53.98</w:t>
                  </w:r>
                </w:p>
              </w:tc>
              <w:tc>
                <w:tcPr>
                  <w:tcW w:w="894" w:type="dxa"/>
                  <w:vAlign w:val="center"/>
                </w:tcPr>
                <w:p>
                  <w:pPr>
                    <w:spacing w:before="120" w:beforeLines="50"/>
                    <w:jc w:val="center"/>
                    <w:rPr>
                      <w:sz w:val="24"/>
                    </w:rPr>
                  </w:pPr>
                  <w:r>
                    <w:t>50.46</w:t>
                  </w:r>
                </w:p>
              </w:tc>
              <w:tc>
                <w:tcPr>
                  <w:tcW w:w="1031" w:type="dxa"/>
                  <w:vAlign w:val="center"/>
                </w:tcPr>
                <w:p>
                  <w:pPr>
                    <w:spacing w:before="120" w:beforeLines="50"/>
                    <w:jc w:val="center"/>
                    <w:rPr>
                      <w:sz w:val="24"/>
                    </w:rPr>
                  </w:pPr>
                  <w:r>
                    <w:t>47.96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34" w:type="dxa"/>
                  <w:vAlign w:val="center"/>
                </w:tcPr>
                <w:p>
                  <w:pPr>
                    <w:spacing w:before="120" w:beforeLines="50"/>
                    <w:jc w:val="center"/>
                  </w:pPr>
                  <w:r>
                    <w:t>吊车、升降机</w:t>
                  </w:r>
                </w:p>
              </w:tc>
              <w:tc>
                <w:tcPr>
                  <w:tcW w:w="1276" w:type="dxa"/>
                  <w:vAlign w:val="center"/>
                </w:tcPr>
                <w:p>
                  <w:pPr>
                    <w:spacing w:before="120" w:beforeLines="50"/>
                    <w:jc w:val="center"/>
                    <w:rPr>
                      <w:sz w:val="24"/>
                    </w:rPr>
                  </w:pPr>
                  <w:r>
                    <w:rPr>
                      <w:rFonts w:hint="eastAsia"/>
                      <w:sz w:val="24"/>
                    </w:rPr>
                    <w:t>8</w:t>
                  </w:r>
                  <w:r>
                    <w:rPr>
                      <w:sz w:val="24"/>
                    </w:rPr>
                    <w:t>0</w:t>
                  </w:r>
                </w:p>
              </w:tc>
              <w:tc>
                <w:tcPr>
                  <w:tcW w:w="850" w:type="dxa"/>
                  <w:vAlign w:val="center"/>
                </w:tcPr>
                <w:p>
                  <w:pPr>
                    <w:spacing w:before="120" w:beforeLines="50"/>
                    <w:jc w:val="center"/>
                    <w:rPr>
                      <w:sz w:val="24"/>
                    </w:rPr>
                  </w:pPr>
                  <w:r>
                    <w:rPr>
                      <w:rFonts w:hint="eastAsia"/>
                      <w:sz w:val="24"/>
                    </w:rPr>
                    <w:t>8</w:t>
                  </w:r>
                  <w:r>
                    <w:rPr>
                      <w:sz w:val="24"/>
                    </w:rPr>
                    <w:t>0</w:t>
                  </w:r>
                </w:p>
              </w:tc>
              <w:tc>
                <w:tcPr>
                  <w:tcW w:w="851" w:type="dxa"/>
                  <w:vAlign w:val="center"/>
                </w:tcPr>
                <w:p>
                  <w:pPr>
                    <w:spacing w:before="120" w:beforeLines="50"/>
                    <w:jc w:val="center"/>
                    <w:rPr>
                      <w:sz w:val="24"/>
                    </w:rPr>
                  </w:pPr>
                  <w:r>
                    <w:t>70.46</w:t>
                  </w:r>
                </w:p>
              </w:tc>
              <w:tc>
                <w:tcPr>
                  <w:tcW w:w="850" w:type="dxa"/>
                  <w:vAlign w:val="center"/>
                </w:tcPr>
                <w:p>
                  <w:pPr>
                    <w:spacing w:before="120" w:beforeLines="50"/>
                    <w:jc w:val="center"/>
                    <w:rPr>
                      <w:sz w:val="24"/>
                    </w:rPr>
                  </w:pPr>
                  <w:r>
                    <w:rPr>
                      <w:rFonts w:hint="eastAsia"/>
                      <w:sz w:val="24"/>
                    </w:rPr>
                    <w:t>6</w:t>
                  </w:r>
                  <w:r>
                    <w:rPr>
                      <w:sz w:val="24"/>
                    </w:rPr>
                    <w:t>0</w:t>
                  </w:r>
                </w:p>
              </w:tc>
              <w:tc>
                <w:tcPr>
                  <w:tcW w:w="851" w:type="dxa"/>
                  <w:vAlign w:val="center"/>
                </w:tcPr>
                <w:p>
                  <w:pPr>
                    <w:spacing w:before="120" w:beforeLines="50"/>
                    <w:jc w:val="center"/>
                    <w:rPr>
                      <w:sz w:val="24"/>
                    </w:rPr>
                  </w:pPr>
                  <w:r>
                    <w:t>55.92</w:t>
                  </w:r>
                </w:p>
              </w:tc>
              <w:tc>
                <w:tcPr>
                  <w:tcW w:w="850" w:type="dxa"/>
                  <w:vAlign w:val="center"/>
                </w:tcPr>
                <w:p>
                  <w:pPr>
                    <w:spacing w:before="120" w:beforeLines="50"/>
                    <w:jc w:val="center"/>
                    <w:rPr>
                      <w:sz w:val="24"/>
                    </w:rPr>
                  </w:pPr>
                  <w:r>
                    <w:t>53.98</w:t>
                  </w:r>
                </w:p>
              </w:tc>
              <w:tc>
                <w:tcPr>
                  <w:tcW w:w="894" w:type="dxa"/>
                  <w:vAlign w:val="center"/>
                </w:tcPr>
                <w:p>
                  <w:pPr>
                    <w:spacing w:before="120" w:beforeLines="50"/>
                    <w:jc w:val="center"/>
                    <w:rPr>
                      <w:sz w:val="24"/>
                    </w:rPr>
                  </w:pPr>
                  <w:r>
                    <w:t>50.46</w:t>
                  </w:r>
                </w:p>
              </w:tc>
              <w:tc>
                <w:tcPr>
                  <w:tcW w:w="1031" w:type="dxa"/>
                  <w:vAlign w:val="center"/>
                </w:tcPr>
                <w:p>
                  <w:pPr>
                    <w:spacing w:before="120" w:beforeLines="50"/>
                    <w:jc w:val="center"/>
                    <w:rPr>
                      <w:sz w:val="24"/>
                    </w:rPr>
                  </w:pPr>
                  <w:r>
                    <w:t>47.96</w:t>
                  </w:r>
                </w:p>
              </w:tc>
            </w:tr>
          </w:tbl>
          <w:p>
            <w:pPr>
              <w:spacing w:before="120" w:beforeLines="50" w:line="360" w:lineRule="auto"/>
              <w:ind w:firstLine="480" w:firstLineChars="200"/>
              <w:jc w:val="center"/>
              <w:rPr>
                <w:sz w:val="24"/>
              </w:rPr>
            </w:pPr>
            <w:r>
              <w:rPr>
                <w:sz w:val="24"/>
              </w:rPr>
              <w:t>本次评价假设有5台噪声值最大的设备：钻桩机、钻孔机、风动机械、电锯、电刨同时使用，将所产生的噪声叠加后预测对某个距离的总声压级。具体预测值见表27。</w:t>
            </w:r>
          </w:p>
          <w:p>
            <w:pPr>
              <w:spacing w:before="120" w:beforeLines="50"/>
              <w:ind w:firstLine="422" w:firstLineChars="200"/>
              <w:jc w:val="center"/>
              <w:rPr>
                <w:b/>
              </w:rPr>
            </w:pPr>
            <w:r>
              <w:rPr>
                <w:b/>
              </w:rPr>
              <w:t>表27</w:t>
            </w:r>
            <w:r>
              <w:rPr>
                <w:rFonts w:hint="eastAsia"/>
                <w:b/>
              </w:rPr>
              <w:t xml:space="preserve"> </w:t>
            </w:r>
            <w:r>
              <w:rPr>
                <w:b/>
              </w:rPr>
              <w:t xml:space="preserve"> 建设项目多台施工机械同时施工噪声对周围环境影响噪声值单位：dB（A）</w:t>
            </w:r>
          </w:p>
          <w:tbl>
            <w:tblPr>
              <w:tblStyle w:val="26"/>
              <w:tblW w:w="91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9"/>
              <w:gridCol w:w="1134"/>
              <w:gridCol w:w="851"/>
              <w:gridCol w:w="708"/>
              <w:gridCol w:w="709"/>
              <w:gridCol w:w="709"/>
              <w:gridCol w:w="709"/>
              <w:gridCol w:w="708"/>
              <w:gridCol w:w="709"/>
              <w:gridCol w:w="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9" w:type="dxa"/>
                  <w:vMerge w:val="restart"/>
                  <w:vAlign w:val="center"/>
                </w:tcPr>
                <w:p>
                  <w:pPr>
                    <w:spacing w:before="120" w:beforeLines="50"/>
                    <w:jc w:val="center"/>
                    <w:rPr>
                      <w:szCs w:val="21"/>
                    </w:rPr>
                  </w:pPr>
                  <w:r>
                    <w:rPr>
                      <w:szCs w:val="21"/>
                    </w:rPr>
                    <w:t>机械名称</w:t>
                  </w:r>
                </w:p>
              </w:tc>
              <w:tc>
                <w:tcPr>
                  <w:tcW w:w="1134" w:type="dxa"/>
                  <w:vMerge w:val="restart"/>
                  <w:vAlign w:val="center"/>
                </w:tcPr>
                <w:p>
                  <w:pPr>
                    <w:spacing w:before="120" w:beforeLines="50"/>
                    <w:jc w:val="center"/>
                    <w:rPr>
                      <w:szCs w:val="21"/>
                    </w:rPr>
                  </w:pPr>
                  <w:r>
                    <w:rPr>
                      <w:szCs w:val="21"/>
                    </w:rPr>
                    <w:t>声级预测</w:t>
                  </w:r>
                </w:p>
              </w:tc>
              <w:tc>
                <w:tcPr>
                  <w:tcW w:w="851" w:type="dxa"/>
                  <w:vMerge w:val="restart"/>
                  <w:vAlign w:val="center"/>
                </w:tcPr>
                <w:p>
                  <w:pPr>
                    <w:spacing w:before="120" w:beforeLines="50"/>
                    <w:jc w:val="center"/>
                    <w:rPr>
                      <w:szCs w:val="21"/>
                    </w:rPr>
                  </w:pPr>
                  <w:r>
                    <w:rPr>
                      <w:szCs w:val="21"/>
                    </w:rPr>
                    <w:t>叠加值</w:t>
                  </w:r>
                </w:p>
              </w:tc>
              <w:tc>
                <w:tcPr>
                  <w:tcW w:w="5043" w:type="dxa"/>
                  <w:gridSpan w:val="7"/>
                  <w:vAlign w:val="center"/>
                </w:tcPr>
                <w:p>
                  <w:pPr>
                    <w:spacing w:before="120" w:beforeLines="50"/>
                    <w:jc w:val="center"/>
                    <w:rPr>
                      <w:szCs w:val="21"/>
                    </w:rPr>
                  </w:pPr>
                  <w:r>
                    <w:rPr>
                      <w:szCs w:val="21"/>
                    </w:rPr>
                    <w:t>边界外距离：m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9" w:type="dxa"/>
                  <w:vMerge w:val="continue"/>
                  <w:vAlign w:val="center"/>
                </w:tcPr>
                <w:p>
                  <w:pPr>
                    <w:spacing w:before="120" w:beforeLines="50"/>
                    <w:jc w:val="center"/>
                    <w:rPr>
                      <w:szCs w:val="21"/>
                    </w:rPr>
                  </w:pPr>
                </w:p>
              </w:tc>
              <w:tc>
                <w:tcPr>
                  <w:tcW w:w="1134" w:type="dxa"/>
                  <w:vMerge w:val="continue"/>
                  <w:vAlign w:val="center"/>
                </w:tcPr>
                <w:p>
                  <w:pPr>
                    <w:spacing w:before="120" w:beforeLines="50"/>
                    <w:jc w:val="center"/>
                    <w:rPr>
                      <w:szCs w:val="21"/>
                    </w:rPr>
                  </w:pPr>
                </w:p>
              </w:tc>
              <w:tc>
                <w:tcPr>
                  <w:tcW w:w="851" w:type="dxa"/>
                  <w:vMerge w:val="continue"/>
                  <w:vAlign w:val="center"/>
                </w:tcPr>
                <w:p>
                  <w:pPr>
                    <w:spacing w:before="120" w:beforeLines="50"/>
                    <w:jc w:val="center"/>
                    <w:rPr>
                      <w:szCs w:val="21"/>
                    </w:rPr>
                  </w:pPr>
                </w:p>
              </w:tc>
              <w:tc>
                <w:tcPr>
                  <w:tcW w:w="708" w:type="dxa"/>
                  <w:vAlign w:val="center"/>
                </w:tcPr>
                <w:p>
                  <w:pPr>
                    <w:spacing w:before="120" w:beforeLines="50"/>
                    <w:jc w:val="center"/>
                    <w:rPr>
                      <w:szCs w:val="21"/>
                    </w:rPr>
                  </w:pPr>
                  <w:r>
                    <w:rPr>
                      <w:rFonts w:hint="eastAsia"/>
                      <w:szCs w:val="21"/>
                    </w:rPr>
                    <w:t>5</w:t>
                  </w:r>
                </w:p>
              </w:tc>
              <w:tc>
                <w:tcPr>
                  <w:tcW w:w="709" w:type="dxa"/>
                  <w:vAlign w:val="center"/>
                </w:tcPr>
                <w:p>
                  <w:pPr>
                    <w:spacing w:before="120" w:beforeLines="50"/>
                    <w:jc w:val="center"/>
                    <w:rPr>
                      <w:szCs w:val="21"/>
                    </w:rPr>
                  </w:pPr>
                  <w:r>
                    <w:rPr>
                      <w:rFonts w:hint="eastAsia"/>
                      <w:szCs w:val="21"/>
                    </w:rPr>
                    <w:t>1</w:t>
                  </w:r>
                  <w:r>
                    <w:rPr>
                      <w:szCs w:val="21"/>
                    </w:rPr>
                    <w:t>5</w:t>
                  </w:r>
                </w:p>
              </w:tc>
              <w:tc>
                <w:tcPr>
                  <w:tcW w:w="709" w:type="dxa"/>
                  <w:vAlign w:val="center"/>
                </w:tcPr>
                <w:p>
                  <w:pPr>
                    <w:spacing w:before="120" w:beforeLines="50"/>
                    <w:jc w:val="center"/>
                    <w:rPr>
                      <w:szCs w:val="21"/>
                    </w:rPr>
                  </w:pPr>
                  <w:r>
                    <w:rPr>
                      <w:rFonts w:hint="eastAsia"/>
                      <w:szCs w:val="21"/>
                    </w:rPr>
                    <w:t>3</w:t>
                  </w:r>
                  <w:r>
                    <w:rPr>
                      <w:szCs w:val="21"/>
                    </w:rPr>
                    <w:t>0</w:t>
                  </w:r>
                </w:p>
              </w:tc>
              <w:tc>
                <w:tcPr>
                  <w:tcW w:w="709" w:type="dxa"/>
                  <w:vAlign w:val="center"/>
                </w:tcPr>
                <w:p>
                  <w:pPr>
                    <w:spacing w:before="120" w:beforeLines="50"/>
                    <w:jc w:val="center"/>
                    <w:rPr>
                      <w:szCs w:val="21"/>
                    </w:rPr>
                  </w:pPr>
                  <w:r>
                    <w:rPr>
                      <w:rFonts w:hint="eastAsia"/>
                      <w:szCs w:val="21"/>
                    </w:rPr>
                    <w:t>5</w:t>
                  </w:r>
                  <w:r>
                    <w:rPr>
                      <w:szCs w:val="21"/>
                    </w:rPr>
                    <w:t>0</w:t>
                  </w:r>
                </w:p>
              </w:tc>
              <w:tc>
                <w:tcPr>
                  <w:tcW w:w="708" w:type="dxa"/>
                  <w:vAlign w:val="center"/>
                </w:tcPr>
                <w:p>
                  <w:pPr>
                    <w:spacing w:before="120" w:beforeLines="50"/>
                    <w:jc w:val="center"/>
                    <w:rPr>
                      <w:szCs w:val="21"/>
                    </w:rPr>
                  </w:pPr>
                  <w:r>
                    <w:rPr>
                      <w:rFonts w:hint="eastAsia"/>
                      <w:szCs w:val="21"/>
                    </w:rPr>
                    <w:t>1</w:t>
                  </w:r>
                  <w:r>
                    <w:rPr>
                      <w:szCs w:val="21"/>
                    </w:rPr>
                    <w:t>00</w:t>
                  </w:r>
                </w:p>
              </w:tc>
              <w:tc>
                <w:tcPr>
                  <w:tcW w:w="709" w:type="dxa"/>
                  <w:vAlign w:val="center"/>
                </w:tcPr>
                <w:p>
                  <w:pPr>
                    <w:spacing w:before="120" w:beforeLines="50"/>
                    <w:jc w:val="center"/>
                    <w:rPr>
                      <w:szCs w:val="21"/>
                    </w:rPr>
                  </w:pPr>
                  <w:r>
                    <w:rPr>
                      <w:rFonts w:hint="eastAsia"/>
                      <w:szCs w:val="21"/>
                    </w:rPr>
                    <w:t>1</w:t>
                  </w:r>
                  <w:r>
                    <w:rPr>
                      <w:szCs w:val="21"/>
                    </w:rPr>
                    <w:t>50</w:t>
                  </w:r>
                </w:p>
              </w:tc>
              <w:tc>
                <w:tcPr>
                  <w:tcW w:w="791" w:type="dxa"/>
                  <w:vAlign w:val="center"/>
                </w:tcPr>
                <w:p>
                  <w:pPr>
                    <w:spacing w:before="120" w:beforeLines="50"/>
                    <w:jc w:val="center"/>
                    <w:rPr>
                      <w:szCs w:val="21"/>
                    </w:rPr>
                  </w:pPr>
                  <w:r>
                    <w:rPr>
                      <w:rFonts w:hint="eastAsia"/>
                      <w:szCs w:val="21"/>
                    </w:rPr>
                    <w:t>2</w:t>
                  </w:r>
                  <w:r>
                    <w:rPr>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9" w:type="dxa"/>
                  <w:vAlign w:val="center"/>
                </w:tcPr>
                <w:p>
                  <w:pPr>
                    <w:spacing w:before="120" w:beforeLines="50"/>
                    <w:jc w:val="center"/>
                    <w:rPr>
                      <w:szCs w:val="21"/>
                    </w:rPr>
                  </w:pPr>
                  <w:r>
                    <w:rPr>
                      <w:szCs w:val="21"/>
                    </w:rPr>
                    <w:t>电锯</w:t>
                  </w:r>
                </w:p>
              </w:tc>
              <w:tc>
                <w:tcPr>
                  <w:tcW w:w="1134" w:type="dxa"/>
                  <w:vAlign w:val="center"/>
                </w:tcPr>
                <w:p>
                  <w:pPr>
                    <w:spacing w:before="120" w:beforeLines="50"/>
                    <w:jc w:val="center"/>
                    <w:rPr>
                      <w:szCs w:val="21"/>
                    </w:rPr>
                  </w:pPr>
                  <w:r>
                    <w:rPr>
                      <w:rFonts w:hint="eastAsia"/>
                      <w:szCs w:val="21"/>
                    </w:rPr>
                    <w:t>9</w:t>
                  </w:r>
                  <w:r>
                    <w:rPr>
                      <w:szCs w:val="21"/>
                    </w:rPr>
                    <w:t>5</w:t>
                  </w:r>
                </w:p>
              </w:tc>
              <w:tc>
                <w:tcPr>
                  <w:tcW w:w="851" w:type="dxa"/>
                  <w:vMerge w:val="restart"/>
                  <w:vAlign w:val="center"/>
                </w:tcPr>
                <w:p>
                  <w:pPr>
                    <w:spacing w:before="120" w:beforeLines="50"/>
                    <w:jc w:val="center"/>
                    <w:rPr>
                      <w:szCs w:val="21"/>
                    </w:rPr>
                  </w:pPr>
                  <w:r>
                    <w:rPr>
                      <w:rFonts w:hint="eastAsia"/>
                      <w:szCs w:val="21"/>
                    </w:rPr>
                    <w:t>1</w:t>
                  </w:r>
                  <w:r>
                    <w:rPr>
                      <w:szCs w:val="21"/>
                    </w:rPr>
                    <w:t>04.70</w:t>
                  </w:r>
                </w:p>
              </w:tc>
              <w:tc>
                <w:tcPr>
                  <w:tcW w:w="708" w:type="dxa"/>
                  <w:vMerge w:val="restart"/>
                  <w:vAlign w:val="center"/>
                </w:tcPr>
                <w:p>
                  <w:pPr>
                    <w:spacing w:before="120" w:beforeLines="50"/>
                    <w:jc w:val="center"/>
                    <w:rPr>
                      <w:szCs w:val="21"/>
                    </w:rPr>
                  </w:pPr>
                  <w:r>
                    <w:rPr>
                      <w:rFonts w:hint="eastAsia"/>
                      <w:szCs w:val="21"/>
                    </w:rPr>
                    <w:t>1</w:t>
                  </w:r>
                  <w:r>
                    <w:rPr>
                      <w:szCs w:val="21"/>
                    </w:rPr>
                    <w:t>04.7</w:t>
                  </w:r>
                </w:p>
              </w:tc>
              <w:tc>
                <w:tcPr>
                  <w:tcW w:w="709" w:type="dxa"/>
                  <w:vMerge w:val="restart"/>
                  <w:vAlign w:val="center"/>
                </w:tcPr>
                <w:p>
                  <w:pPr>
                    <w:spacing w:before="120" w:beforeLines="50"/>
                    <w:jc w:val="center"/>
                    <w:rPr>
                      <w:szCs w:val="21"/>
                    </w:rPr>
                  </w:pPr>
                  <w:r>
                    <w:rPr>
                      <w:rFonts w:hint="eastAsia"/>
                      <w:szCs w:val="21"/>
                    </w:rPr>
                    <w:t>9</w:t>
                  </w:r>
                  <w:r>
                    <w:rPr>
                      <w:szCs w:val="21"/>
                    </w:rPr>
                    <w:t>5.16</w:t>
                  </w:r>
                </w:p>
              </w:tc>
              <w:tc>
                <w:tcPr>
                  <w:tcW w:w="709" w:type="dxa"/>
                  <w:vMerge w:val="restart"/>
                  <w:vAlign w:val="center"/>
                </w:tcPr>
                <w:p>
                  <w:pPr>
                    <w:spacing w:before="120" w:beforeLines="50"/>
                    <w:jc w:val="center"/>
                    <w:rPr>
                      <w:szCs w:val="21"/>
                    </w:rPr>
                  </w:pPr>
                  <w:r>
                    <w:rPr>
                      <w:rFonts w:hint="eastAsia"/>
                      <w:szCs w:val="21"/>
                    </w:rPr>
                    <w:t>8</w:t>
                  </w:r>
                  <w:r>
                    <w:rPr>
                      <w:szCs w:val="21"/>
                    </w:rPr>
                    <w:t>9.14</w:t>
                  </w:r>
                </w:p>
              </w:tc>
              <w:tc>
                <w:tcPr>
                  <w:tcW w:w="709" w:type="dxa"/>
                  <w:vMerge w:val="restart"/>
                  <w:vAlign w:val="center"/>
                </w:tcPr>
                <w:p>
                  <w:pPr>
                    <w:spacing w:before="120" w:beforeLines="50"/>
                    <w:jc w:val="center"/>
                    <w:rPr>
                      <w:szCs w:val="21"/>
                    </w:rPr>
                  </w:pPr>
                  <w:r>
                    <w:rPr>
                      <w:rFonts w:hint="eastAsia"/>
                      <w:szCs w:val="21"/>
                    </w:rPr>
                    <w:t>8</w:t>
                  </w:r>
                  <w:r>
                    <w:rPr>
                      <w:szCs w:val="21"/>
                    </w:rPr>
                    <w:t>4.7</w:t>
                  </w:r>
                </w:p>
              </w:tc>
              <w:tc>
                <w:tcPr>
                  <w:tcW w:w="708" w:type="dxa"/>
                  <w:vMerge w:val="restart"/>
                  <w:vAlign w:val="center"/>
                </w:tcPr>
                <w:p>
                  <w:pPr>
                    <w:spacing w:before="120" w:beforeLines="50"/>
                    <w:jc w:val="center"/>
                    <w:rPr>
                      <w:szCs w:val="21"/>
                    </w:rPr>
                  </w:pPr>
                  <w:r>
                    <w:rPr>
                      <w:rFonts w:hint="eastAsia"/>
                      <w:szCs w:val="21"/>
                    </w:rPr>
                    <w:t>7</w:t>
                  </w:r>
                  <w:r>
                    <w:rPr>
                      <w:szCs w:val="21"/>
                    </w:rPr>
                    <w:t>8.68</w:t>
                  </w:r>
                </w:p>
              </w:tc>
              <w:tc>
                <w:tcPr>
                  <w:tcW w:w="709" w:type="dxa"/>
                  <w:vMerge w:val="restart"/>
                  <w:vAlign w:val="center"/>
                </w:tcPr>
                <w:p>
                  <w:pPr>
                    <w:spacing w:before="120" w:beforeLines="50"/>
                    <w:jc w:val="center"/>
                    <w:rPr>
                      <w:szCs w:val="21"/>
                    </w:rPr>
                  </w:pPr>
                  <w:r>
                    <w:rPr>
                      <w:rFonts w:hint="eastAsia"/>
                      <w:szCs w:val="21"/>
                    </w:rPr>
                    <w:t>7</w:t>
                  </w:r>
                  <w:r>
                    <w:rPr>
                      <w:szCs w:val="21"/>
                    </w:rPr>
                    <w:t>5.16</w:t>
                  </w:r>
                </w:p>
              </w:tc>
              <w:tc>
                <w:tcPr>
                  <w:tcW w:w="791" w:type="dxa"/>
                  <w:vMerge w:val="restart"/>
                  <w:vAlign w:val="center"/>
                </w:tcPr>
                <w:p>
                  <w:pPr>
                    <w:spacing w:before="120" w:beforeLines="50"/>
                    <w:jc w:val="center"/>
                    <w:rPr>
                      <w:szCs w:val="21"/>
                    </w:rPr>
                  </w:pPr>
                  <w:r>
                    <w:rPr>
                      <w:rFonts w:hint="eastAsia"/>
                      <w:szCs w:val="21"/>
                    </w:rPr>
                    <w:t>7</w:t>
                  </w:r>
                  <w:r>
                    <w:rPr>
                      <w:szCs w:val="21"/>
                    </w:rPr>
                    <w:t>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9" w:type="dxa"/>
                  <w:vAlign w:val="center"/>
                </w:tcPr>
                <w:p>
                  <w:pPr>
                    <w:spacing w:before="120" w:beforeLines="50"/>
                    <w:jc w:val="center"/>
                    <w:rPr>
                      <w:szCs w:val="21"/>
                    </w:rPr>
                  </w:pPr>
                  <w:r>
                    <w:rPr>
                      <w:szCs w:val="21"/>
                    </w:rPr>
                    <w:t>风动机械</w:t>
                  </w:r>
                </w:p>
              </w:tc>
              <w:tc>
                <w:tcPr>
                  <w:tcW w:w="1134" w:type="dxa"/>
                  <w:vAlign w:val="center"/>
                </w:tcPr>
                <w:p>
                  <w:pPr>
                    <w:spacing w:before="120" w:beforeLines="50"/>
                    <w:jc w:val="center"/>
                    <w:rPr>
                      <w:szCs w:val="21"/>
                    </w:rPr>
                  </w:pPr>
                  <w:r>
                    <w:rPr>
                      <w:rFonts w:hint="eastAsia"/>
                      <w:szCs w:val="21"/>
                    </w:rPr>
                    <w:t>9</w:t>
                  </w:r>
                  <w:r>
                    <w:rPr>
                      <w:szCs w:val="21"/>
                    </w:rPr>
                    <w:t>5</w:t>
                  </w:r>
                </w:p>
              </w:tc>
              <w:tc>
                <w:tcPr>
                  <w:tcW w:w="851" w:type="dxa"/>
                  <w:vMerge w:val="continue"/>
                </w:tcPr>
                <w:p>
                  <w:pPr>
                    <w:spacing w:before="120" w:beforeLines="50"/>
                    <w:rPr>
                      <w:szCs w:val="21"/>
                    </w:rPr>
                  </w:pPr>
                </w:p>
              </w:tc>
              <w:tc>
                <w:tcPr>
                  <w:tcW w:w="708" w:type="dxa"/>
                  <w:vMerge w:val="continue"/>
                </w:tcPr>
                <w:p>
                  <w:pPr>
                    <w:spacing w:before="120" w:beforeLines="50"/>
                    <w:rPr>
                      <w:szCs w:val="21"/>
                    </w:rPr>
                  </w:pPr>
                </w:p>
              </w:tc>
              <w:tc>
                <w:tcPr>
                  <w:tcW w:w="709" w:type="dxa"/>
                  <w:vMerge w:val="continue"/>
                </w:tcPr>
                <w:p>
                  <w:pPr>
                    <w:spacing w:before="120" w:beforeLines="50"/>
                    <w:rPr>
                      <w:szCs w:val="21"/>
                    </w:rPr>
                  </w:pPr>
                </w:p>
              </w:tc>
              <w:tc>
                <w:tcPr>
                  <w:tcW w:w="709" w:type="dxa"/>
                  <w:vMerge w:val="continue"/>
                </w:tcPr>
                <w:p>
                  <w:pPr>
                    <w:spacing w:before="120" w:beforeLines="50"/>
                    <w:rPr>
                      <w:szCs w:val="21"/>
                    </w:rPr>
                  </w:pPr>
                </w:p>
              </w:tc>
              <w:tc>
                <w:tcPr>
                  <w:tcW w:w="709" w:type="dxa"/>
                  <w:vMerge w:val="continue"/>
                </w:tcPr>
                <w:p>
                  <w:pPr>
                    <w:spacing w:before="120" w:beforeLines="50"/>
                    <w:rPr>
                      <w:szCs w:val="21"/>
                    </w:rPr>
                  </w:pPr>
                </w:p>
              </w:tc>
              <w:tc>
                <w:tcPr>
                  <w:tcW w:w="708" w:type="dxa"/>
                  <w:vMerge w:val="continue"/>
                </w:tcPr>
                <w:p>
                  <w:pPr>
                    <w:spacing w:before="120" w:beforeLines="50"/>
                    <w:rPr>
                      <w:szCs w:val="21"/>
                    </w:rPr>
                  </w:pPr>
                </w:p>
              </w:tc>
              <w:tc>
                <w:tcPr>
                  <w:tcW w:w="709" w:type="dxa"/>
                  <w:vMerge w:val="continue"/>
                </w:tcPr>
                <w:p>
                  <w:pPr>
                    <w:spacing w:before="120" w:beforeLines="50"/>
                    <w:rPr>
                      <w:szCs w:val="21"/>
                    </w:rPr>
                  </w:pPr>
                </w:p>
              </w:tc>
              <w:tc>
                <w:tcPr>
                  <w:tcW w:w="791" w:type="dxa"/>
                  <w:vMerge w:val="continue"/>
                </w:tcPr>
                <w:p>
                  <w:pPr>
                    <w:spacing w:before="120" w:beforeLines="5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9" w:type="dxa"/>
                  <w:vAlign w:val="center"/>
                </w:tcPr>
                <w:p>
                  <w:pPr>
                    <w:spacing w:before="120" w:beforeLines="50"/>
                    <w:jc w:val="center"/>
                    <w:rPr>
                      <w:szCs w:val="21"/>
                    </w:rPr>
                  </w:pPr>
                  <w:r>
                    <w:rPr>
                      <w:szCs w:val="21"/>
                    </w:rPr>
                    <w:t>电刨</w:t>
                  </w:r>
                </w:p>
              </w:tc>
              <w:tc>
                <w:tcPr>
                  <w:tcW w:w="1134" w:type="dxa"/>
                  <w:vAlign w:val="center"/>
                </w:tcPr>
                <w:p>
                  <w:pPr>
                    <w:spacing w:before="120" w:beforeLines="50"/>
                    <w:jc w:val="center"/>
                    <w:rPr>
                      <w:szCs w:val="21"/>
                    </w:rPr>
                  </w:pPr>
                  <w:r>
                    <w:rPr>
                      <w:rFonts w:hint="eastAsia"/>
                      <w:szCs w:val="21"/>
                    </w:rPr>
                    <w:t>9</w:t>
                  </w:r>
                  <w:r>
                    <w:rPr>
                      <w:szCs w:val="21"/>
                    </w:rPr>
                    <w:t>5</w:t>
                  </w:r>
                </w:p>
              </w:tc>
              <w:tc>
                <w:tcPr>
                  <w:tcW w:w="851" w:type="dxa"/>
                  <w:vMerge w:val="continue"/>
                </w:tcPr>
                <w:p>
                  <w:pPr>
                    <w:spacing w:before="120" w:beforeLines="50"/>
                    <w:rPr>
                      <w:szCs w:val="21"/>
                    </w:rPr>
                  </w:pPr>
                </w:p>
              </w:tc>
              <w:tc>
                <w:tcPr>
                  <w:tcW w:w="708" w:type="dxa"/>
                  <w:vMerge w:val="continue"/>
                </w:tcPr>
                <w:p>
                  <w:pPr>
                    <w:spacing w:before="120" w:beforeLines="50"/>
                    <w:rPr>
                      <w:szCs w:val="21"/>
                    </w:rPr>
                  </w:pPr>
                </w:p>
              </w:tc>
              <w:tc>
                <w:tcPr>
                  <w:tcW w:w="709" w:type="dxa"/>
                  <w:vMerge w:val="continue"/>
                </w:tcPr>
                <w:p>
                  <w:pPr>
                    <w:spacing w:before="120" w:beforeLines="50"/>
                    <w:rPr>
                      <w:szCs w:val="21"/>
                    </w:rPr>
                  </w:pPr>
                </w:p>
              </w:tc>
              <w:tc>
                <w:tcPr>
                  <w:tcW w:w="709" w:type="dxa"/>
                  <w:vMerge w:val="continue"/>
                </w:tcPr>
                <w:p>
                  <w:pPr>
                    <w:spacing w:before="120" w:beforeLines="50"/>
                    <w:rPr>
                      <w:szCs w:val="21"/>
                    </w:rPr>
                  </w:pPr>
                </w:p>
              </w:tc>
              <w:tc>
                <w:tcPr>
                  <w:tcW w:w="709" w:type="dxa"/>
                  <w:vMerge w:val="continue"/>
                </w:tcPr>
                <w:p>
                  <w:pPr>
                    <w:spacing w:before="120" w:beforeLines="50"/>
                    <w:rPr>
                      <w:szCs w:val="21"/>
                    </w:rPr>
                  </w:pPr>
                </w:p>
              </w:tc>
              <w:tc>
                <w:tcPr>
                  <w:tcW w:w="708" w:type="dxa"/>
                  <w:vMerge w:val="continue"/>
                </w:tcPr>
                <w:p>
                  <w:pPr>
                    <w:spacing w:before="120" w:beforeLines="50"/>
                    <w:rPr>
                      <w:szCs w:val="21"/>
                    </w:rPr>
                  </w:pPr>
                </w:p>
              </w:tc>
              <w:tc>
                <w:tcPr>
                  <w:tcW w:w="709" w:type="dxa"/>
                  <w:vMerge w:val="continue"/>
                </w:tcPr>
                <w:p>
                  <w:pPr>
                    <w:spacing w:before="120" w:beforeLines="50"/>
                    <w:rPr>
                      <w:szCs w:val="21"/>
                    </w:rPr>
                  </w:pPr>
                </w:p>
              </w:tc>
              <w:tc>
                <w:tcPr>
                  <w:tcW w:w="791" w:type="dxa"/>
                  <w:vMerge w:val="continue"/>
                </w:tcPr>
                <w:p>
                  <w:pPr>
                    <w:spacing w:before="120" w:beforeLines="5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9" w:type="dxa"/>
                  <w:vAlign w:val="center"/>
                </w:tcPr>
                <w:p>
                  <w:pPr>
                    <w:spacing w:before="120" w:beforeLines="50"/>
                    <w:jc w:val="center"/>
                    <w:rPr>
                      <w:szCs w:val="21"/>
                    </w:rPr>
                  </w:pPr>
                  <w:r>
                    <w:rPr>
                      <w:szCs w:val="21"/>
                    </w:rPr>
                    <w:t>钻桩机</w:t>
                  </w:r>
                </w:p>
              </w:tc>
              <w:tc>
                <w:tcPr>
                  <w:tcW w:w="1134" w:type="dxa"/>
                  <w:vAlign w:val="center"/>
                </w:tcPr>
                <w:p>
                  <w:pPr>
                    <w:spacing w:before="120" w:beforeLines="50"/>
                    <w:jc w:val="center"/>
                    <w:rPr>
                      <w:szCs w:val="21"/>
                    </w:rPr>
                  </w:pPr>
                  <w:r>
                    <w:rPr>
                      <w:rFonts w:hint="eastAsia"/>
                      <w:szCs w:val="21"/>
                    </w:rPr>
                    <w:t>1</w:t>
                  </w:r>
                  <w:r>
                    <w:rPr>
                      <w:szCs w:val="21"/>
                    </w:rPr>
                    <w:t>00</w:t>
                  </w:r>
                </w:p>
              </w:tc>
              <w:tc>
                <w:tcPr>
                  <w:tcW w:w="851" w:type="dxa"/>
                  <w:vMerge w:val="continue"/>
                </w:tcPr>
                <w:p>
                  <w:pPr>
                    <w:spacing w:before="120" w:beforeLines="50"/>
                    <w:rPr>
                      <w:szCs w:val="21"/>
                    </w:rPr>
                  </w:pPr>
                </w:p>
              </w:tc>
              <w:tc>
                <w:tcPr>
                  <w:tcW w:w="708" w:type="dxa"/>
                  <w:vMerge w:val="continue"/>
                </w:tcPr>
                <w:p>
                  <w:pPr>
                    <w:spacing w:before="120" w:beforeLines="50"/>
                    <w:rPr>
                      <w:szCs w:val="21"/>
                    </w:rPr>
                  </w:pPr>
                </w:p>
              </w:tc>
              <w:tc>
                <w:tcPr>
                  <w:tcW w:w="709" w:type="dxa"/>
                  <w:vMerge w:val="continue"/>
                </w:tcPr>
                <w:p>
                  <w:pPr>
                    <w:spacing w:before="120" w:beforeLines="50"/>
                    <w:rPr>
                      <w:szCs w:val="21"/>
                    </w:rPr>
                  </w:pPr>
                </w:p>
              </w:tc>
              <w:tc>
                <w:tcPr>
                  <w:tcW w:w="709" w:type="dxa"/>
                  <w:vMerge w:val="continue"/>
                </w:tcPr>
                <w:p>
                  <w:pPr>
                    <w:spacing w:before="120" w:beforeLines="50"/>
                    <w:rPr>
                      <w:szCs w:val="21"/>
                    </w:rPr>
                  </w:pPr>
                </w:p>
              </w:tc>
              <w:tc>
                <w:tcPr>
                  <w:tcW w:w="709" w:type="dxa"/>
                  <w:vMerge w:val="continue"/>
                </w:tcPr>
                <w:p>
                  <w:pPr>
                    <w:spacing w:before="120" w:beforeLines="50"/>
                    <w:rPr>
                      <w:szCs w:val="21"/>
                    </w:rPr>
                  </w:pPr>
                </w:p>
              </w:tc>
              <w:tc>
                <w:tcPr>
                  <w:tcW w:w="708" w:type="dxa"/>
                  <w:vMerge w:val="continue"/>
                </w:tcPr>
                <w:p>
                  <w:pPr>
                    <w:spacing w:before="120" w:beforeLines="50"/>
                    <w:rPr>
                      <w:szCs w:val="21"/>
                    </w:rPr>
                  </w:pPr>
                </w:p>
              </w:tc>
              <w:tc>
                <w:tcPr>
                  <w:tcW w:w="709" w:type="dxa"/>
                  <w:vMerge w:val="continue"/>
                </w:tcPr>
                <w:p>
                  <w:pPr>
                    <w:spacing w:before="120" w:beforeLines="50"/>
                    <w:rPr>
                      <w:szCs w:val="21"/>
                    </w:rPr>
                  </w:pPr>
                </w:p>
              </w:tc>
              <w:tc>
                <w:tcPr>
                  <w:tcW w:w="791" w:type="dxa"/>
                  <w:vMerge w:val="continue"/>
                </w:tcPr>
                <w:p>
                  <w:pPr>
                    <w:spacing w:before="120" w:beforeLines="5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9" w:type="dxa"/>
                  <w:vAlign w:val="center"/>
                </w:tcPr>
                <w:p>
                  <w:pPr>
                    <w:spacing w:before="120" w:beforeLines="50"/>
                    <w:jc w:val="center"/>
                    <w:rPr>
                      <w:szCs w:val="21"/>
                    </w:rPr>
                  </w:pPr>
                  <w:r>
                    <w:rPr>
                      <w:szCs w:val="21"/>
                    </w:rPr>
                    <w:t>钻孔机</w:t>
                  </w:r>
                </w:p>
              </w:tc>
              <w:tc>
                <w:tcPr>
                  <w:tcW w:w="1134" w:type="dxa"/>
                  <w:vAlign w:val="center"/>
                </w:tcPr>
                <w:p>
                  <w:pPr>
                    <w:spacing w:before="120" w:beforeLines="50"/>
                    <w:jc w:val="center"/>
                    <w:rPr>
                      <w:szCs w:val="21"/>
                    </w:rPr>
                  </w:pPr>
                  <w:r>
                    <w:rPr>
                      <w:rFonts w:hint="eastAsia"/>
                      <w:szCs w:val="21"/>
                    </w:rPr>
                    <w:t>1</w:t>
                  </w:r>
                  <w:r>
                    <w:rPr>
                      <w:szCs w:val="21"/>
                    </w:rPr>
                    <w:t>00</w:t>
                  </w:r>
                </w:p>
              </w:tc>
              <w:tc>
                <w:tcPr>
                  <w:tcW w:w="851" w:type="dxa"/>
                  <w:vMerge w:val="continue"/>
                </w:tcPr>
                <w:p>
                  <w:pPr>
                    <w:spacing w:before="120" w:beforeLines="50"/>
                    <w:rPr>
                      <w:szCs w:val="21"/>
                    </w:rPr>
                  </w:pPr>
                </w:p>
              </w:tc>
              <w:tc>
                <w:tcPr>
                  <w:tcW w:w="708" w:type="dxa"/>
                  <w:vMerge w:val="continue"/>
                </w:tcPr>
                <w:p>
                  <w:pPr>
                    <w:spacing w:before="120" w:beforeLines="50"/>
                    <w:rPr>
                      <w:szCs w:val="21"/>
                    </w:rPr>
                  </w:pPr>
                </w:p>
              </w:tc>
              <w:tc>
                <w:tcPr>
                  <w:tcW w:w="709" w:type="dxa"/>
                  <w:vMerge w:val="continue"/>
                </w:tcPr>
                <w:p>
                  <w:pPr>
                    <w:spacing w:before="120" w:beforeLines="50"/>
                    <w:rPr>
                      <w:szCs w:val="21"/>
                    </w:rPr>
                  </w:pPr>
                </w:p>
              </w:tc>
              <w:tc>
                <w:tcPr>
                  <w:tcW w:w="709" w:type="dxa"/>
                  <w:vMerge w:val="continue"/>
                </w:tcPr>
                <w:p>
                  <w:pPr>
                    <w:spacing w:before="120" w:beforeLines="50"/>
                    <w:rPr>
                      <w:szCs w:val="21"/>
                    </w:rPr>
                  </w:pPr>
                </w:p>
              </w:tc>
              <w:tc>
                <w:tcPr>
                  <w:tcW w:w="709" w:type="dxa"/>
                  <w:vMerge w:val="continue"/>
                </w:tcPr>
                <w:p>
                  <w:pPr>
                    <w:spacing w:before="120" w:beforeLines="50"/>
                    <w:rPr>
                      <w:szCs w:val="21"/>
                    </w:rPr>
                  </w:pPr>
                </w:p>
              </w:tc>
              <w:tc>
                <w:tcPr>
                  <w:tcW w:w="708" w:type="dxa"/>
                  <w:vMerge w:val="continue"/>
                </w:tcPr>
                <w:p>
                  <w:pPr>
                    <w:spacing w:before="120" w:beforeLines="50"/>
                    <w:rPr>
                      <w:szCs w:val="21"/>
                    </w:rPr>
                  </w:pPr>
                </w:p>
              </w:tc>
              <w:tc>
                <w:tcPr>
                  <w:tcW w:w="709" w:type="dxa"/>
                  <w:vMerge w:val="continue"/>
                </w:tcPr>
                <w:p>
                  <w:pPr>
                    <w:spacing w:before="120" w:beforeLines="50"/>
                    <w:rPr>
                      <w:szCs w:val="21"/>
                    </w:rPr>
                  </w:pPr>
                </w:p>
              </w:tc>
              <w:tc>
                <w:tcPr>
                  <w:tcW w:w="791" w:type="dxa"/>
                  <w:vMerge w:val="continue"/>
                </w:tcPr>
                <w:p>
                  <w:pPr>
                    <w:spacing w:before="120" w:beforeLines="50"/>
                    <w:rPr>
                      <w:szCs w:val="21"/>
                    </w:rPr>
                  </w:pPr>
                </w:p>
              </w:tc>
            </w:tr>
          </w:tbl>
          <w:p>
            <w:pPr>
              <w:spacing w:before="120" w:beforeLines="50" w:line="336" w:lineRule="auto"/>
              <w:ind w:firstLine="480" w:firstLineChars="200"/>
              <w:rPr>
                <w:sz w:val="24"/>
              </w:rPr>
            </w:pPr>
            <w:r>
              <w:rPr>
                <w:sz w:val="24"/>
              </w:rPr>
              <w:t xml:space="preserve">低噪声施工机械源强一般比普通施工机械源强低10dB(A)左右。当项目采用低噪声的 施工机械，5台噪声值最大的设备：钻桩机、钻孔机、风动机械、电锯、电刨同时使用，将所产生的噪声叠加后预测对某个距离的总声压级。具体预测值见表28。 </w:t>
            </w:r>
          </w:p>
          <w:p>
            <w:pPr>
              <w:spacing w:before="120" w:beforeLines="50"/>
              <w:ind w:firstLine="422" w:firstLineChars="200"/>
              <w:jc w:val="center"/>
              <w:rPr>
                <w:b/>
              </w:rPr>
            </w:pPr>
            <w:r>
              <w:rPr>
                <w:b/>
              </w:rPr>
              <w:t>表28</w:t>
            </w:r>
            <w:r>
              <w:rPr>
                <w:rFonts w:hint="eastAsia"/>
                <w:b/>
              </w:rPr>
              <w:t xml:space="preserve">  </w:t>
            </w:r>
            <w:r>
              <w:rPr>
                <w:b/>
              </w:rPr>
              <w:t>建设项目多台低噪声施工机械同时施工噪声对周围环境影响噪声值单位：dB（A）</w:t>
            </w:r>
          </w:p>
          <w:tbl>
            <w:tblPr>
              <w:tblStyle w:val="26"/>
              <w:tblW w:w="91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9"/>
              <w:gridCol w:w="1134"/>
              <w:gridCol w:w="851"/>
              <w:gridCol w:w="708"/>
              <w:gridCol w:w="709"/>
              <w:gridCol w:w="709"/>
              <w:gridCol w:w="709"/>
              <w:gridCol w:w="708"/>
              <w:gridCol w:w="709"/>
              <w:gridCol w:w="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9" w:type="dxa"/>
                  <w:vMerge w:val="restart"/>
                  <w:vAlign w:val="center"/>
                </w:tcPr>
                <w:p>
                  <w:pPr>
                    <w:spacing w:before="120" w:beforeLines="50"/>
                    <w:jc w:val="center"/>
                    <w:rPr>
                      <w:szCs w:val="21"/>
                    </w:rPr>
                  </w:pPr>
                  <w:r>
                    <w:rPr>
                      <w:szCs w:val="21"/>
                    </w:rPr>
                    <w:t>机械名称</w:t>
                  </w:r>
                </w:p>
              </w:tc>
              <w:tc>
                <w:tcPr>
                  <w:tcW w:w="1134" w:type="dxa"/>
                  <w:vMerge w:val="restart"/>
                  <w:vAlign w:val="center"/>
                </w:tcPr>
                <w:p>
                  <w:pPr>
                    <w:spacing w:before="120" w:beforeLines="50"/>
                    <w:jc w:val="center"/>
                    <w:rPr>
                      <w:szCs w:val="21"/>
                    </w:rPr>
                  </w:pPr>
                  <w:r>
                    <w:rPr>
                      <w:szCs w:val="21"/>
                    </w:rPr>
                    <w:t>声级预测</w:t>
                  </w:r>
                </w:p>
              </w:tc>
              <w:tc>
                <w:tcPr>
                  <w:tcW w:w="851" w:type="dxa"/>
                  <w:vMerge w:val="restart"/>
                  <w:vAlign w:val="center"/>
                </w:tcPr>
                <w:p>
                  <w:pPr>
                    <w:spacing w:before="120" w:beforeLines="50"/>
                    <w:jc w:val="center"/>
                    <w:rPr>
                      <w:szCs w:val="21"/>
                    </w:rPr>
                  </w:pPr>
                  <w:r>
                    <w:rPr>
                      <w:szCs w:val="21"/>
                    </w:rPr>
                    <w:t>叠加值</w:t>
                  </w:r>
                </w:p>
              </w:tc>
              <w:tc>
                <w:tcPr>
                  <w:tcW w:w="5043" w:type="dxa"/>
                  <w:gridSpan w:val="7"/>
                  <w:vAlign w:val="center"/>
                </w:tcPr>
                <w:p>
                  <w:pPr>
                    <w:spacing w:before="120" w:beforeLines="50"/>
                    <w:jc w:val="center"/>
                    <w:rPr>
                      <w:szCs w:val="21"/>
                    </w:rPr>
                  </w:pPr>
                  <w:r>
                    <w:rPr>
                      <w:szCs w:val="21"/>
                    </w:rPr>
                    <w:t>边界外距离：m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 w:hRule="atLeast"/>
              </w:trPr>
              <w:tc>
                <w:tcPr>
                  <w:tcW w:w="2159" w:type="dxa"/>
                  <w:vMerge w:val="continue"/>
                  <w:vAlign w:val="center"/>
                </w:tcPr>
                <w:p>
                  <w:pPr>
                    <w:spacing w:before="120" w:beforeLines="50"/>
                    <w:jc w:val="center"/>
                    <w:rPr>
                      <w:szCs w:val="21"/>
                    </w:rPr>
                  </w:pPr>
                </w:p>
              </w:tc>
              <w:tc>
                <w:tcPr>
                  <w:tcW w:w="1134" w:type="dxa"/>
                  <w:vMerge w:val="continue"/>
                  <w:vAlign w:val="center"/>
                </w:tcPr>
                <w:p>
                  <w:pPr>
                    <w:spacing w:before="120" w:beforeLines="50"/>
                    <w:jc w:val="center"/>
                    <w:rPr>
                      <w:szCs w:val="21"/>
                    </w:rPr>
                  </w:pPr>
                </w:p>
              </w:tc>
              <w:tc>
                <w:tcPr>
                  <w:tcW w:w="851" w:type="dxa"/>
                  <w:vMerge w:val="continue"/>
                  <w:vAlign w:val="center"/>
                </w:tcPr>
                <w:p>
                  <w:pPr>
                    <w:spacing w:before="120" w:beforeLines="50"/>
                    <w:jc w:val="center"/>
                    <w:rPr>
                      <w:szCs w:val="21"/>
                    </w:rPr>
                  </w:pPr>
                </w:p>
              </w:tc>
              <w:tc>
                <w:tcPr>
                  <w:tcW w:w="708" w:type="dxa"/>
                  <w:vAlign w:val="center"/>
                </w:tcPr>
                <w:p>
                  <w:pPr>
                    <w:spacing w:before="120" w:beforeLines="50"/>
                    <w:jc w:val="center"/>
                    <w:rPr>
                      <w:szCs w:val="21"/>
                    </w:rPr>
                  </w:pPr>
                  <w:r>
                    <w:rPr>
                      <w:rFonts w:hint="eastAsia"/>
                      <w:szCs w:val="21"/>
                    </w:rPr>
                    <w:t>5</w:t>
                  </w:r>
                </w:p>
              </w:tc>
              <w:tc>
                <w:tcPr>
                  <w:tcW w:w="709" w:type="dxa"/>
                  <w:vAlign w:val="center"/>
                </w:tcPr>
                <w:p>
                  <w:pPr>
                    <w:spacing w:before="120" w:beforeLines="50"/>
                    <w:jc w:val="center"/>
                    <w:rPr>
                      <w:szCs w:val="21"/>
                    </w:rPr>
                  </w:pPr>
                  <w:r>
                    <w:rPr>
                      <w:rFonts w:hint="eastAsia"/>
                      <w:szCs w:val="21"/>
                    </w:rPr>
                    <w:t>1</w:t>
                  </w:r>
                  <w:r>
                    <w:rPr>
                      <w:szCs w:val="21"/>
                    </w:rPr>
                    <w:t>5</w:t>
                  </w:r>
                </w:p>
              </w:tc>
              <w:tc>
                <w:tcPr>
                  <w:tcW w:w="709" w:type="dxa"/>
                  <w:vAlign w:val="center"/>
                </w:tcPr>
                <w:p>
                  <w:pPr>
                    <w:spacing w:before="120" w:beforeLines="50"/>
                    <w:jc w:val="center"/>
                    <w:rPr>
                      <w:szCs w:val="21"/>
                    </w:rPr>
                  </w:pPr>
                  <w:r>
                    <w:rPr>
                      <w:rFonts w:hint="eastAsia"/>
                      <w:szCs w:val="21"/>
                    </w:rPr>
                    <w:t>3</w:t>
                  </w:r>
                  <w:r>
                    <w:rPr>
                      <w:szCs w:val="21"/>
                    </w:rPr>
                    <w:t>0</w:t>
                  </w:r>
                </w:p>
              </w:tc>
              <w:tc>
                <w:tcPr>
                  <w:tcW w:w="709" w:type="dxa"/>
                  <w:vAlign w:val="center"/>
                </w:tcPr>
                <w:p>
                  <w:pPr>
                    <w:spacing w:before="120" w:beforeLines="50"/>
                    <w:jc w:val="center"/>
                    <w:rPr>
                      <w:szCs w:val="21"/>
                    </w:rPr>
                  </w:pPr>
                  <w:r>
                    <w:rPr>
                      <w:rFonts w:hint="eastAsia"/>
                      <w:szCs w:val="21"/>
                    </w:rPr>
                    <w:t>5</w:t>
                  </w:r>
                  <w:r>
                    <w:rPr>
                      <w:szCs w:val="21"/>
                    </w:rPr>
                    <w:t>0</w:t>
                  </w:r>
                </w:p>
              </w:tc>
              <w:tc>
                <w:tcPr>
                  <w:tcW w:w="708" w:type="dxa"/>
                  <w:vAlign w:val="center"/>
                </w:tcPr>
                <w:p>
                  <w:pPr>
                    <w:spacing w:before="120" w:beforeLines="50"/>
                    <w:jc w:val="center"/>
                    <w:rPr>
                      <w:szCs w:val="21"/>
                    </w:rPr>
                  </w:pPr>
                  <w:r>
                    <w:rPr>
                      <w:rFonts w:hint="eastAsia"/>
                      <w:szCs w:val="21"/>
                    </w:rPr>
                    <w:t>1</w:t>
                  </w:r>
                  <w:r>
                    <w:rPr>
                      <w:szCs w:val="21"/>
                    </w:rPr>
                    <w:t>00</w:t>
                  </w:r>
                </w:p>
              </w:tc>
              <w:tc>
                <w:tcPr>
                  <w:tcW w:w="709" w:type="dxa"/>
                  <w:vAlign w:val="center"/>
                </w:tcPr>
                <w:p>
                  <w:pPr>
                    <w:spacing w:before="120" w:beforeLines="50"/>
                    <w:jc w:val="center"/>
                    <w:rPr>
                      <w:szCs w:val="21"/>
                    </w:rPr>
                  </w:pPr>
                  <w:r>
                    <w:rPr>
                      <w:rFonts w:hint="eastAsia"/>
                      <w:szCs w:val="21"/>
                    </w:rPr>
                    <w:t>1</w:t>
                  </w:r>
                  <w:r>
                    <w:rPr>
                      <w:szCs w:val="21"/>
                    </w:rPr>
                    <w:t>50</w:t>
                  </w:r>
                </w:p>
              </w:tc>
              <w:tc>
                <w:tcPr>
                  <w:tcW w:w="791" w:type="dxa"/>
                  <w:vAlign w:val="center"/>
                </w:tcPr>
                <w:p>
                  <w:pPr>
                    <w:spacing w:before="120" w:beforeLines="50"/>
                    <w:jc w:val="center"/>
                    <w:rPr>
                      <w:szCs w:val="21"/>
                    </w:rPr>
                  </w:pPr>
                  <w:r>
                    <w:rPr>
                      <w:rFonts w:hint="eastAsia"/>
                      <w:szCs w:val="21"/>
                    </w:rPr>
                    <w:t>2</w:t>
                  </w:r>
                  <w:r>
                    <w:rPr>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9" w:type="dxa"/>
                  <w:vAlign w:val="center"/>
                </w:tcPr>
                <w:p>
                  <w:pPr>
                    <w:spacing w:before="120" w:beforeLines="50"/>
                    <w:jc w:val="center"/>
                    <w:rPr>
                      <w:szCs w:val="21"/>
                    </w:rPr>
                  </w:pPr>
                  <w:r>
                    <w:rPr>
                      <w:szCs w:val="21"/>
                    </w:rPr>
                    <w:t>电锯</w:t>
                  </w:r>
                </w:p>
              </w:tc>
              <w:tc>
                <w:tcPr>
                  <w:tcW w:w="1134" w:type="dxa"/>
                  <w:vAlign w:val="center"/>
                </w:tcPr>
                <w:p>
                  <w:pPr>
                    <w:spacing w:before="120" w:beforeLines="50"/>
                    <w:jc w:val="center"/>
                    <w:rPr>
                      <w:szCs w:val="21"/>
                    </w:rPr>
                  </w:pPr>
                  <w:r>
                    <w:rPr>
                      <w:szCs w:val="21"/>
                    </w:rPr>
                    <w:t>85</w:t>
                  </w:r>
                </w:p>
              </w:tc>
              <w:tc>
                <w:tcPr>
                  <w:tcW w:w="851" w:type="dxa"/>
                  <w:vMerge w:val="restart"/>
                  <w:vAlign w:val="center"/>
                </w:tcPr>
                <w:p>
                  <w:pPr>
                    <w:spacing w:before="120" w:beforeLines="50"/>
                    <w:jc w:val="center"/>
                    <w:rPr>
                      <w:szCs w:val="21"/>
                    </w:rPr>
                  </w:pPr>
                  <w:r>
                    <w:rPr>
                      <w:szCs w:val="21"/>
                    </w:rPr>
                    <w:t>94.70</w:t>
                  </w:r>
                </w:p>
              </w:tc>
              <w:tc>
                <w:tcPr>
                  <w:tcW w:w="708" w:type="dxa"/>
                  <w:vMerge w:val="restart"/>
                  <w:vAlign w:val="center"/>
                </w:tcPr>
                <w:p>
                  <w:pPr>
                    <w:spacing w:before="120" w:beforeLines="50"/>
                    <w:jc w:val="center"/>
                    <w:rPr>
                      <w:szCs w:val="21"/>
                    </w:rPr>
                  </w:pPr>
                  <w:r>
                    <w:rPr>
                      <w:szCs w:val="21"/>
                    </w:rPr>
                    <w:t>94.7</w:t>
                  </w:r>
                </w:p>
              </w:tc>
              <w:tc>
                <w:tcPr>
                  <w:tcW w:w="709" w:type="dxa"/>
                  <w:vMerge w:val="restart"/>
                  <w:vAlign w:val="center"/>
                </w:tcPr>
                <w:p>
                  <w:pPr>
                    <w:spacing w:before="120" w:beforeLines="50"/>
                    <w:jc w:val="center"/>
                    <w:rPr>
                      <w:szCs w:val="21"/>
                    </w:rPr>
                  </w:pPr>
                  <w:r>
                    <w:rPr>
                      <w:szCs w:val="21"/>
                    </w:rPr>
                    <w:t>85.16</w:t>
                  </w:r>
                </w:p>
              </w:tc>
              <w:tc>
                <w:tcPr>
                  <w:tcW w:w="709" w:type="dxa"/>
                  <w:vMerge w:val="restart"/>
                  <w:vAlign w:val="center"/>
                </w:tcPr>
                <w:p>
                  <w:pPr>
                    <w:spacing w:before="120" w:beforeLines="50"/>
                    <w:jc w:val="center"/>
                    <w:rPr>
                      <w:szCs w:val="21"/>
                    </w:rPr>
                  </w:pPr>
                  <w:r>
                    <w:rPr>
                      <w:szCs w:val="21"/>
                    </w:rPr>
                    <w:t>89.14</w:t>
                  </w:r>
                </w:p>
              </w:tc>
              <w:tc>
                <w:tcPr>
                  <w:tcW w:w="709" w:type="dxa"/>
                  <w:vMerge w:val="restart"/>
                  <w:vAlign w:val="center"/>
                </w:tcPr>
                <w:p>
                  <w:pPr>
                    <w:spacing w:before="120" w:beforeLines="50"/>
                    <w:jc w:val="center"/>
                    <w:rPr>
                      <w:szCs w:val="21"/>
                    </w:rPr>
                  </w:pPr>
                  <w:r>
                    <w:rPr>
                      <w:szCs w:val="21"/>
                    </w:rPr>
                    <w:t>74.7</w:t>
                  </w:r>
                </w:p>
              </w:tc>
              <w:tc>
                <w:tcPr>
                  <w:tcW w:w="708" w:type="dxa"/>
                  <w:vMerge w:val="restart"/>
                  <w:vAlign w:val="center"/>
                </w:tcPr>
                <w:p>
                  <w:pPr>
                    <w:spacing w:before="120" w:beforeLines="50"/>
                    <w:jc w:val="center"/>
                    <w:rPr>
                      <w:szCs w:val="21"/>
                    </w:rPr>
                  </w:pPr>
                  <w:r>
                    <w:rPr>
                      <w:szCs w:val="21"/>
                    </w:rPr>
                    <w:t>68.68</w:t>
                  </w:r>
                </w:p>
              </w:tc>
              <w:tc>
                <w:tcPr>
                  <w:tcW w:w="709" w:type="dxa"/>
                  <w:vMerge w:val="restart"/>
                  <w:vAlign w:val="center"/>
                </w:tcPr>
                <w:p>
                  <w:pPr>
                    <w:spacing w:before="120" w:beforeLines="50"/>
                    <w:jc w:val="center"/>
                    <w:rPr>
                      <w:szCs w:val="21"/>
                    </w:rPr>
                  </w:pPr>
                  <w:r>
                    <w:rPr>
                      <w:szCs w:val="21"/>
                    </w:rPr>
                    <w:t>65.16</w:t>
                  </w:r>
                </w:p>
              </w:tc>
              <w:tc>
                <w:tcPr>
                  <w:tcW w:w="791" w:type="dxa"/>
                  <w:vMerge w:val="restart"/>
                  <w:vAlign w:val="center"/>
                </w:tcPr>
                <w:p>
                  <w:pPr>
                    <w:spacing w:before="120" w:beforeLines="50"/>
                    <w:jc w:val="center"/>
                    <w:rPr>
                      <w:szCs w:val="21"/>
                    </w:rPr>
                  </w:pPr>
                  <w:r>
                    <w:rPr>
                      <w:szCs w:val="21"/>
                    </w:rPr>
                    <w:t>62.66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7" w:hRule="atLeast"/>
              </w:trPr>
              <w:tc>
                <w:tcPr>
                  <w:tcW w:w="2159" w:type="dxa"/>
                  <w:vAlign w:val="center"/>
                </w:tcPr>
                <w:p>
                  <w:pPr>
                    <w:spacing w:before="120" w:beforeLines="50"/>
                    <w:jc w:val="center"/>
                    <w:rPr>
                      <w:szCs w:val="21"/>
                    </w:rPr>
                  </w:pPr>
                  <w:r>
                    <w:rPr>
                      <w:szCs w:val="21"/>
                    </w:rPr>
                    <w:t>风动机械</w:t>
                  </w:r>
                </w:p>
              </w:tc>
              <w:tc>
                <w:tcPr>
                  <w:tcW w:w="1134" w:type="dxa"/>
                  <w:vAlign w:val="center"/>
                </w:tcPr>
                <w:p>
                  <w:pPr>
                    <w:spacing w:before="120" w:beforeLines="50"/>
                    <w:jc w:val="center"/>
                    <w:rPr>
                      <w:szCs w:val="21"/>
                    </w:rPr>
                  </w:pPr>
                  <w:r>
                    <w:rPr>
                      <w:szCs w:val="21"/>
                    </w:rPr>
                    <w:t>85</w:t>
                  </w:r>
                </w:p>
              </w:tc>
              <w:tc>
                <w:tcPr>
                  <w:tcW w:w="851" w:type="dxa"/>
                  <w:vMerge w:val="continue"/>
                </w:tcPr>
                <w:p>
                  <w:pPr>
                    <w:spacing w:before="120" w:beforeLines="50"/>
                    <w:rPr>
                      <w:szCs w:val="21"/>
                    </w:rPr>
                  </w:pPr>
                </w:p>
              </w:tc>
              <w:tc>
                <w:tcPr>
                  <w:tcW w:w="708" w:type="dxa"/>
                  <w:vMerge w:val="continue"/>
                </w:tcPr>
                <w:p>
                  <w:pPr>
                    <w:spacing w:before="120" w:beforeLines="50"/>
                    <w:rPr>
                      <w:szCs w:val="21"/>
                    </w:rPr>
                  </w:pPr>
                </w:p>
              </w:tc>
              <w:tc>
                <w:tcPr>
                  <w:tcW w:w="709" w:type="dxa"/>
                  <w:vMerge w:val="continue"/>
                </w:tcPr>
                <w:p>
                  <w:pPr>
                    <w:spacing w:before="120" w:beforeLines="50"/>
                    <w:rPr>
                      <w:szCs w:val="21"/>
                    </w:rPr>
                  </w:pPr>
                </w:p>
              </w:tc>
              <w:tc>
                <w:tcPr>
                  <w:tcW w:w="709" w:type="dxa"/>
                  <w:vMerge w:val="continue"/>
                </w:tcPr>
                <w:p>
                  <w:pPr>
                    <w:spacing w:before="120" w:beforeLines="50"/>
                    <w:rPr>
                      <w:szCs w:val="21"/>
                    </w:rPr>
                  </w:pPr>
                </w:p>
              </w:tc>
              <w:tc>
                <w:tcPr>
                  <w:tcW w:w="709" w:type="dxa"/>
                  <w:vMerge w:val="continue"/>
                </w:tcPr>
                <w:p>
                  <w:pPr>
                    <w:spacing w:before="120" w:beforeLines="50"/>
                    <w:rPr>
                      <w:szCs w:val="21"/>
                    </w:rPr>
                  </w:pPr>
                </w:p>
              </w:tc>
              <w:tc>
                <w:tcPr>
                  <w:tcW w:w="708" w:type="dxa"/>
                  <w:vMerge w:val="continue"/>
                </w:tcPr>
                <w:p>
                  <w:pPr>
                    <w:spacing w:before="120" w:beforeLines="50"/>
                    <w:rPr>
                      <w:szCs w:val="21"/>
                    </w:rPr>
                  </w:pPr>
                </w:p>
              </w:tc>
              <w:tc>
                <w:tcPr>
                  <w:tcW w:w="709" w:type="dxa"/>
                  <w:vMerge w:val="continue"/>
                </w:tcPr>
                <w:p>
                  <w:pPr>
                    <w:spacing w:before="120" w:beforeLines="50"/>
                    <w:rPr>
                      <w:szCs w:val="21"/>
                    </w:rPr>
                  </w:pPr>
                </w:p>
              </w:tc>
              <w:tc>
                <w:tcPr>
                  <w:tcW w:w="791" w:type="dxa"/>
                  <w:vMerge w:val="continue"/>
                </w:tcPr>
                <w:p>
                  <w:pPr>
                    <w:spacing w:before="120" w:beforeLines="5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9" w:type="dxa"/>
                  <w:vAlign w:val="center"/>
                </w:tcPr>
                <w:p>
                  <w:pPr>
                    <w:spacing w:before="120" w:beforeLines="50"/>
                    <w:jc w:val="center"/>
                    <w:rPr>
                      <w:szCs w:val="21"/>
                    </w:rPr>
                  </w:pPr>
                  <w:r>
                    <w:rPr>
                      <w:szCs w:val="21"/>
                    </w:rPr>
                    <w:t>电刨</w:t>
                  </w:r>
                </w:p>
              </w:tc>
              <w:tc>
                <w:tcPr>
                  <w:tcW w:w="1134" w:type="dxa"/>
                  <w:vAlign w:val="center"/>
                </w:tcPr>
                <w:p>
                  <w:pPr>
                    <w:spacing w:before="120" w:beforeLines="50"/>
                    <w:jc w:val="center"/>
                    <w:rPr>
                      <w:szCs w:val="21"/>
                    </w:rPr>
                  </w:pPr>
                  <w:r>
                    <w:rPr>
                      <w:szCs w:val="21"/>
                    </w:rPr>
                    <w:t>85</w:t>
                  </w:r>
                </w:p>
              </w:tc>
              <w:tc>
                <w:tcPr>
                  <w:tcW w:w="851" w:type="dxa"/>
                  <w:vMerge w:val="continue"/>
                </w:tcPr>
                <w:p>
                  <w:pPr>
                    <w:spacing w:before="120" w:beforeLines="50"/>
                    <w:rPr>
                      <w:szCs w:val="21"/>
                    </w:rPr>
                  </w:pPr>
                </w:p>
              </w:tc>
              <w:tc>
                <w:tcPr>
                  <w:tcW w:w="708" w:type="dxa"/>
                  <w:vMerge w:val="continue"/>
                </w:tcPr>
                <w:p>
                  <w:pPr>
                    <w:spacing w:before="120" w:beforeLines="50"/>
                    <w:rPr>
                      <w:szCs w:val="21"/>
                    </w:rPr>
                  </w:pPr>
                </w:p>
              </w:tc>
              <w:tc>
                <w:tcPr>
                  <w:tcW w:w="709" w:type="dxa"/>
                  <w:vMerge w:val="continue"/>
                </w:tcPr>
                <w:p>
                  <w:pPr>
                    <w:spacing w:before="120" w:beforeLines="50"/>
                    <w:rPr>
                      <w:szCs w:val="21"/>
                    </w:rPr>
                  </w:pPr>
                </w:p>
              </w:tc>
              <w:tc>
                <w:tcPr>
                  <w:tcW w:w="709" w:type="dxa"/>
                  <w:vMerge w:val="continue"/>
                </w:tcPr>
                <w:p>
                  <w:pPr>
                    <w:spacing w:before="120" w:beforeLines="50"/>
                    <w:rPr>
                      <w:szCs w:val="21"/>
                    </w:rPr>
                  </w:pPr>
                </w:p>
              </w:tc>
              <w:tc>
                <w:tcPr>
                  <w:tcW w:w="709" w:type="dxa"/>
                  <w:vMerge w:val="continue"/>
                </w:tcPr>
                <w:p>
                  <w:pPr>
                    <w:spacing w:before="120" w:beforeLines="50"/>
                    <w:rPr>
                      <w:szCs w:val="21"/>
                    </w:rPr>
                  </w:pPr>
                </w:p>
              </w:tc>
              <w:tc>
                <w:tcPr>
                  <w:tcW w:w="708" w:type="dxa"/>
                  <w:vMerge w:val="continue"/>
                </w:tcPr>
                <w:p>
                  <w:pPr>
                    <w:spacing w:before="120" w:beforeLines="50"/>
                    <w:rPr>
                      <w:szCs w:val="21"/>
                    </w:rPr>
                  </w:pPr>
                </w:p>
              </w:tc>
              <w:tc>
                <w:tcPr>
                  <w:tcW w:w="709" w:type="dxa"/>
                  <w:vMerge w:val="continue"/>
                </w:tcPr>
                <w:p>
                  <w:pPr>
                    <w:spacing w:before="120" w:beforeLines="50"/>
                    <w:rPr>
                      <w:szCs w:val="21"/>
                    </w:rPr>
                  </w:pPr>
                </w:p>
              </w:tc>
              <w:tc>
                <w:tcPr>
                  <w:tcW w:w="791" w:type="dxa"/>
                  <w:vMerge w:val="continue"/>
                </w:tcPr>
                <w:p>
                  <w:pPr>
                    <w:spacing w:before="120" w:beforeLines="5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9" w:type="dxa"/>
                  <w:vAlign w:val="center"/>
                </w:tcPr>
                <w:p>
                  <w:pPr>
                    <w:spacing w:before="120" w:beforeLines="50"/>
                    <w:jc w:val="center"/>
                    <w:rPr>
                      <w:szCs w:val="21"/>
                    </w:rPr>
                  </w:pPr>
                  <w:r>
                    <w:rPr>
                      <w:szCs w:val="21"/>
                    </w:rPr>
                    <w:t>钻桩机</w:t>
                  </w:r>
                </w:p>
              </w:tc>
              <w:tc>
                <w:tcPr>
                  <w:tcW w:w="1134" w:type="dxa"/>
                  <w:vAlign w:val="center"/>
                </w:tcPr>
                <w:p>
                  <w:pPr>
                    <w:spacing w:before="120" w:beforeLines="50"/>
                    <w:jc w:val="center"/>
                    <w:rPr>
                      <w:szCs w:val="21"/>
                    </w:rPr>
                  </w:pPr>
                  <w:r>
                    <w:rPr>
                      <w:szCs w:val="21"/>
                    </w:rPr>
                    <w:t>90</w:t>
                  </w:r>
                </w:p>
              </w:tc>
              <w:tc>
                <w:tcPr>
                  <w:tcW w:w="851" w:type="dxa"/>
                  <w:vMerge w:val="continue"/>
                </w:tcPr>
                <w:p>
                  <w:pPr>
                    <w:spacing w:before="120" w:beforeLines="50"/>
                    <w:rPr>
                      <w:szCs w:val="21"/>
                    </w:rPr>
                  </w:pPr>
                </w:p>
              </w:tc>
              <w:tc>
                <w:tcPr>
                  <w:tcW w:w="708" w:type="dxa"/>
                  <w:vMerge w:val="continue"/>
                </w:tcPr>
                <w:p>
                  <w:pPr>
                    <w:spacing w:before="120" w:beforeLines="50"/>
                    <w:rPr>
                      <w:szCs w:val="21"/>
                    </w:rPr>
                  </w:pPr>
                </w:p>
              </w:tc>
              <w:tc>
                <w:tcPr>
                  <w:tcW w:w="709" w:type="dxa"/>
                  <w:vMerge w:val="continue"/>
                </w:tcPr>
                <w:p>
                  <w:pPr>
                    <w:spacing w:before="120" w:beforeLines="50"/>
                    <w:rPr>
                      <w:szCs w:val="21"/>
                    </w:rPr>
                  </w:pPr>
                </w:p>
              </w:tc>
              <w:tc>
                <w:tcPr>
                  <w:tcW w:w="709" w:type="dxa"/>
                  <w:vMerge w:val="continue"/>
                </w:tcPr>
                <w:p>
                  <w:pPr>
                    <w:spacing w:before="120" w:beforeLines="50"/>
                    <w:rPr>
                      <w:szCs w:val="21"/>
                    </w:rPr>
                  </w:pPr>
                </w:p>
              </w:tc>
              <w:tc>
                <w:tcPr>
                  <w:tcW w:w="709" w:type="dxa"/>
                  <w:vMerge w:val="continue"/>
                </w:tcPr>
                <w:p>
                  <w:pPr>
                    <w:spacing w:before="120" w:beforeLines="50"/>
                    <w:rPr>
                      <w:szCs w:val="21"/>
                    </w:rPr>
                  </w:pPr>
                </w:p>
              </w:tc>
              <w:tc>
                <w:tcPr>
                  <w:tcW w:w="708" w:type="dxa"/>
                  <w:vMerge w:val="continue"/>
                </w:tcPr>
                <w:p>
                  <w:pPr>
                    <w:spacing w:before="120" w:beforeLines="50"/>
                    <w:rPr>
                      <w:szCs w:val="21"/>
                    </w:rPr>
                  </w:pPr>
                </w:p>
              </w:tc>
              <w:tc>
                <w:tcPr>
                  <w:tcW w:w="709" w:type="dxa"/>
                  <w:vMerge w:val="continue"/>
                </w:tcPr>
                <w:p>
                  <w:pPr>
                    <w:spacing w:before="120" w:beforeLines="50"/>
                    <w:rPr>
                      <w:szCs w:val="21"/>
                    </w:rPr>
                  </w:pPr>
                </w:p>
              </w:tc>
              <w:tc>
                <w:tcPr>
                  <w:tcW w:w="791" w:type="dxa"/>
                  <w:vMerge w:val="continue"/>
                </w:tcPr>
                <w:p>
                  <w:pPr>
                    <w:spacing w:before="120" w:beforeLines="5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9" w:type="dxa"/>
                  <w:vAlign w:val="center"/>
                </w:tcPr>
                <w:p>
                  <w:pPr>
                    <w:spacing w:before="120" w:beforeLines="50"/>
                    <w:jc w:val="center"/>
                    <w:rPr>
                      <w:szCs w:val="21"/>
                    </w:rPr>
                  </w:pPr>
                  <w:r>
                    <w:rPr>
                      <w:szCs w:val="21"/>
                    </w:rPr>
                    <w:t>钻孔机</w:t>
                  </w:r>
                </w:p>
              </w:tc>
              <w:tc>
                <w:tcPr>
                  <w:tcW w:w="1134" w:type="dxa"/>
                  <w:vAlign w:val="center"/>
                </w:tcPr>
                <w:p>
                  <w:pPr>
                    <w:spacing w:before="120" w:beforeLines="50"/>
                    <w:jc w:val="center"/>
                    <w:rPr>
                      <w:szCs w:val="21"/>
                    </w:rPr>
                  </w:pPr>
                  <w:r>
                    <w:rPr>
                      <w:szCs w:val="21"/>
                    </w:rPr>
                    <w:t>90</w:t>
                  </w:r>
                </w:p>
              </w:tc>
              <w:tc>
                <w:tcPr>
                  <w:tcW w:w="851" w:type="dxa"/>
                  <w:vMerge w:val="continue"/>
                </w:tcPr>
                <w:p>
                  <w:pPr>
                    <w:spacing w:before="120" w:beforeLines="50"/>
                    <w:rPr>
                      <w:szCs w:val="21"/>
                    </w:rPr>
                  </w:pPr>
                </w:p>
              </w:tc>
              <w:tc>
                <w:tcPr>
                  <w:tcW w:w="708" w:type="dxa"/>
                  <w:vMerge w:val="continue"/>
                </w:tcPr>
                <w:p>
                  <w:pPr>
                    <w:spacing w:before="120" w:beforeLines="50"/>
                    <w:rPr>
                      <w:szCs w:val="21"/>
                    </w:rPr>
                  </w:pPr>
                </w:p>
              </w:tc>
              <w:tc>
                <w:tcPr>
                  <w:tcW w:w="709" w:type="dxa"/>
                  <w:vMerge w:val="continue"/>
                </w:tcPr>
                <w:p>
                  <w:pPr>
                    <w:spacing w:before="120" w:beforeLines="50"/>
                    <w:rPr>
                      <w:szCs w:val="21"/>
                    </w:rPr>
                  </w:pPr>
                </w:p>
              </w:tc>
              <w:tc>
                <w:tcPr>
                  <w:tcW w:w="709" w:type="dxa"/>
                  <w:vMerge w:val="continue"/>
                </w:tcPr>
                <w:p>
                  <w:pPr>
                    <w:spacing w:before="120" w:beforeLines="50"/>
                    <w:rPr>
                      <w:szCs w:val="21"/>
                    </w:rPr>
                  </w:pPr>
                </w:p>
              </w:tc>
              <w:tc>
                <w:tcPr>
                  <w:tcW w:w="709" w:type="dxa"/>
                  <w:vMerge w:val="continue"/>
                </w:tcPr>
                <w:p>
                  <w:pPr>
                    <w:spacing w:before="120" w:beforeLines="50"/>
                    <w:rPr>
                      <w:szCs w:val="21"/>
                    </w:rPr>
                  </w:pPr>
                </w:p>
              </w:tc>
              <w:tc>
                <w:tcPr>
                  <w:tcW w:w="708" w:type="dxa"/>
                  <w:vMerge w:val="continue"/>
                </w:tcPr>
                <w:p>
                  <w:pPr>
                    <w:spacing w:before="120" w:beforeLines="50"/>
                    <w:rPr>
                      <w:szCs w:val="21"/>
                    </w:rPr>
                  </w:pPr>
                </w:p>
              </w:tc>
              <w:tc>
                <w:tcPr>
                  <w:tcW w:w="709" w:type="dxa"/>
                  <w:vMerge w:val="continue"/>
                </w:tcPr>
                <w:p>
                  <w:pPr>
                    <w:spacing w:before="120" w:beforeLines="50"/>
                    <w:rPr>
                      <w:szCs w:val="21"/>
                    </w:rPr>
                  </w:pPr>
                </w:p>
              </w:tc>
              <w:tc>
                <w:tcPr>
                  <w:tcW w:w="791" w:type="dxa"/>
                  <w:vMerge w:val="continue"/>
                </w:tcPr>
                <w:p>
                  <w:pPr>
                    <w:spacing w:before="120" w:beforeLines="50"/>
                    <w:rPr>
                      <w:szCs w:val="21"/>
                    </w:rPr>
                  </w:pPr>
                </w:p>
              </w:tc>
            </w:tr>
          </w:tbl>
          <w:p>
            <w:pPr>
              <w:spacing w:before="120" w:beforeLines="50" w:line="336" w:lineRule="auto"/>
              <w:ind w:firstLine="480" w:firstLineChars="200"/>
              <w:rPr>
                <w:sz w:val="24"/>
              </w:rPr>
            </w:pPr>
            <w:r>
              <w:rPr>
                <w:sz w:val="24"/>
              </w:rPr>
              <w:t>由上表的预测结果是在地面空旷的条件下计算而得，在分析对外影响时，应考虑外界围墙的隔声，一般2.5m高围墙噪声的隔声值为8-10dB(A)。据此估算，项目多台施工机械同时施工时，经过距离衰减及围墙隔声，约40m外可达到《建筑施工场界环境噪声排放标准》（GB</w:t>
            </w:r>
            <w:r>
              <w:rPr>
                <w:rFonts w:hint="eastAsia"/>
                <w:sz w:val="24"/>
              </w:rPr>
              <w:t xml:space="preserve"> </w:t>
            </w:r>
            <w:r>
              <w:rPr>
                <w:sz w:val="24"/>
              </w:rPr>
              <w:t>12523-2011）标准的要求。项目施工场地边界噪声可以达到《建筑施工场界环境噪声排放标准》（GB12523-2011）；项目周边的环境均可达到《声环境质量标准》（GB3096-2008）</w:t>
            </w:r>
            <w:r>
              <w:rPr>
                <w:rFonts w:hint="eastAsia"/>
                <w:sz w:val="24"/>
              </w:rPr>
              <w:t>3</w:t>
            </w:r>
            <w:r>
              <w:rPr>
                <w:sz w:val="24"/>
              </w:rPr>
              <w:t>类标准。因此，建设单位在施工时必须要采取有效的隔声降噪措施，以最大限度地减轻工程施工噪声对</w:t>
            </w:r>
            <w:r>
              <w:rPr>
                <w:rFonts w:hint="eastAsia"/>
                <w:sz w:val="24"/>
              </w:rPr>
              <w:t>周围环境</w:t>
            </w:r>
            <w:r>
              <w:rPr>
                <w:sz w:val="24"/>
              </w:rPr>
              <w:t xml:space="preserve">的影响。 </w:t>
            </w:r>
          </w:p>
          <w:p>
            <w:pPr>
              <w:spacing w:before="120" w:beforeLines="50" w:line="360" w:lineRule="auto"/>
              <w:ind w:firstLine="482" w:firstLineChars="200"/>
              <w:rPr>
                <w:b/>
                <w:sz w:val="24"/>
              </w:rPr>
            </w:pPr>
            <w:r>
              <w:rPr>
                <w:b/>
                <w:sz w:val="24"/>
              </w:rPr>
              <w:t xml:space="preserve">3.2 施工期噪声防治措施 </w:t>
            </w:r>
          </w:p>
          <w:p>
            <w:pPr>
              <w:spacing w:before="120" w:beforeLines="50" w:line="360" w:lineRule="auto"/>
              <w:ind w:firstLine="480" w:firstLineChars="200"/>
              <w:rPr>
                <w:sz w:val="24"/>
              </w:rPr>
            </w:pPr>
            <w:r>
              <w:rPr>
                <w:sz w:val="24"/>
              </w:rPr>
              <w:t xml:space="preserve">（1）在项目边界设置围墙，围墙高度不应低于 2.5 米，把施工区域与外界隔开，以减少噪声影响。 </w:t>
            </w:r>
          </w:p>
          <w:p>
            <w:pPr>
              <w:spacing w:before="120" w:beforeLines="50" w:line="360" w:lineRule="auto"/>
              <w:ind w:firstLine="480" w:firstLineChars="200"/>
              <w:rPr>
                <w:sz w:val="24"/>
              </w:rPr>
            </w:pPr>
            <w:r>
              <w:rPr>
                <w:sz w:val="24"/>
              </w:rPr>
              <w:t xml:space="preserve">（2）合理安排施工时间，制订施工计划，应尽可能避免大量的高噪声设备同时施工。 并对高噪设备在运行过程中进行必要的屏蔽防护。除此之外，严禁高噪设备在中午（12:00～14:00）和夜间（22:00～6:00）期间作业，因特殊需要延续施工时间的，必须报有关管理部门批准，施工场界噪声应控制在《建筑施工场界环境噪声排放标准》（GB12523-2011）限值之内，才能施工作业。 </w:t>
            </w:r>
          </w:p>
          <w:p>
            <w:pPr>
              <w:spacing w:before="120" w:beforeLines="50" w:line="360" w:lineRule="auto"/>
              <w:ind w:firstLine="480" w:firstLineChars="200"/>
              <w:rPr>
                <w:sz w:val="24"/>
              </w:rPr>
            </w:pPr>
            <w:r>
              <w:rPr>
                <w:sz w:val="24"/>
              </w:rPr>
              <w:t xml:space="preserve">（3）合理布局施工现场，避免在同一地点安排大量动力机械设备，以免局部声级过高。对位置相对固定的机械设备，尽量在工棚内操作；不能进入棚内的，可采取围档之类的单面声屏障。高噪声设备合理布置。 </w:t>
            </w:r>
          </w:p>
          <w:p>
            <w:pPr>
              <w:spacing w:before="120" w:beforeLines="50" w:line="360" w:lineRule="auto"/>
              <w:ind w:firstLine="480" w:firstLineChars="200"/>
              <w:rPr>
                <w:sz w:val="24"/>
              </w:rPr>
            </w:pPr>
            <w:r>
              <w:rPr>
                <w:sz w:val="24"/>
              </w:rPr>
              <w:t xml:space="preserve">（4）施工运输车辆进出应合理安排，尽量避开噪声敏感区，尽量减少交通堵塞。加强运输车辆的管理，按规定组织车辆运输，车辆进入施工现场时，严禁鸣笛，限速行驶，应不超过16km/h，可减少运输车辆行走时产生的汽车噪声，施工现场装卸材料应做到轻拿轻放。 </w:t>
            </w:r>
          </w:p>
          <w:p>
            <w:pPr>
              <w:spacing w:before="120" w:beforeLines="50" w:line="360" w:lineRule="auto"/>
              <w:ind w:firstLine="480" w:firstLineChars="200"/>
              <w:rPr>
                <w:sz w:val="24"/>
              </w:rPr>
            </w:pPr>
            <w:r>
              <w:rPr>
                <w:sz w:val="24"/>
              </w:rPr>
              <w:t xml:space="preserve">（5）施工单位须选用符合国家有关标准的施工机具和运输车辆，尽量选用低噪声或带隔声、消声的施工机械和工艺，如用液压工具代替气压工具，皮带机机头等机械应安装消声器；振动较大的固定机械设备应加装减振机座，同时应注意对设备的养护和正确操作。为减轻钻桩机的噪声污染，建议使用静压环保钻桩机替代传统钻桩机。 </w:t>
            </w:r>
          </w:p>
          <w:p>
            <w:pPr>
              <w:spacing w:before="120" w:beforeLines="50" w:line="360" w:lineRule="auto"/>
              <w:ind w:firstLine="480" w:firstLineChars="200"/>
              <w:rPr>
                <w:sz w:val="24"/>
              </w:rPr>
            </w:pPr>
            <w:r>
              <w:rPr>
                <w:sz w:val="24"/>
              </w:rPr>
              <w:t xml:space="preserve">（6）降低人为噪声，按规定操作机械设备，模板、支架拆卸吊装过程中，遵守作业规定，减少碰撞噪音。尽量少用哨子等指挥作业，以现代化设备代替，如用无线对讲机等。在挖掘作业中，避免使用爆破法。 </w:t>
            </w:r>
          </w:p>
          <w:p>
            <w:pPr>
              <w:spacing w:before="120" w:beforeLines="50" w:line="360" w:lineRule="auto"/>
              <w:ind w:firstLine="480" w:firstLineChars="200"/>
              <w:rPr>
                <w:sz w:val="24"/>
              </w:rPr>
            </w:pPr>
            <w:r>
              <w:rPr>
                <w:sz w:val="24"/>
              </w:rPr>
              <w:t xml:space="preserve">（7）施工现场应按照现行国家标准《建筑施工场界环境噪声排放标准》(GB12523-2011) 制定降噪措施，并可由施工企业自行对施工现场的噪声值进行监测和记录。 </w:t>
            </w:r>
          </w:p>
          <w:p>
            <w:pPr>
              <w:spacing w:before="120" w:beforeLines="50" w:line="360" w:lineRule="auto"/>
              <w:ind w:firstLine="480" w:firstLineChars="200"/>
              <w:rPr>
                <w:sz w:val="24"/>
              </w:rPr>
            </w:pPr>
            <w:r>
              <w:rPr>
                <w:sz w:val="24"/>
              </w:rPr>
              <w:t xml:space="preserve">（8）施工单位在工程开工前15天内向有审批权的环境保护部门提出申报，并说明拟采用的防治措施。严禁高噪声设备在作息时间(中午12:00-14:00及夜间22:00-6:00)作业。因施工需要而必须夜间连续进行施工作业时，必须经当地有关主管部门的批准同意、取得附近居民的谅解，并采取利用移动式或临时声屏障等防噪措施。建设单位应在作业前做好安民告示，取得社会的理解和支持。采取上述措施，施工场界噪声可达到昼间≤70dB(A)，夜间≤55dB(A)，不会对周围环境造成明显的不良影响。 </w:t>
            </w:r>
          </w:p>
          <w:p>
            <w:pPr>
              <w:spacing w:before="120" w:beforeLines="50" w:line="360" w:lineRule="auto"/>
              <w:ind w:firstLine="482" w:firstLineChars="200"/>
              <w:rPr>
                <w:b/>
                <w:sz w:val="24"/>
              </w:rPr>
            </w:pPr>
            <w:r>
              <w:rPr>
                <w:b/>
                <w:sz w:val="24"/>
              </w:rPr>
              <w:t xml:space="preserve">4、施工期固体废物环境影响分析 </w:t>
            </w:r>
          </w:p>
          <w:p>
            <w:pPr>
              <w:spacing w:before="120" w:beforeLines="50" w:line="360" w:lineRule="auto"/>
              <w:ind w:firstLine="480" w:firstLineChars="200"/>
              <w:rPr>
                <w:sz w:val="24"/>
              </w:rPr>
            </w:pPr>
            <w:r>
              <w:rPr>
                <w:sz w:val="24"/>
              </w:rPr>
              <w:t>施工期间的固体废物主要是建筑垃圾、施工人员的生活垃圾和弃土。 施工期间挖土、运输各种建筑材料(如沙石、水泥、砖等)，运输过程会有散落；工程完工后，会有不少废建筑材料产生。若处置不当会由于扬尘、雨水冲淋等原因，引起对环境空气和水环境造成二次污染，会对周围环境产生相当严重的不利影响。因此，建设单位应要求施工单位规范运输，建议将施工垃圾进行分类处理，以最大限度的重复利用。对可重复利用的建筑废物应规范堆放，不可重复利用的应及时清运，运至政府指定的填埋场，严禁随意抛弃垃圾。施工人员的生活垃圾集中堆放，每天由环卫部门统一清运，对周边环境不大。项目在按上述要求合理、妥善处置各类固体废物，则项目施工期产生的固废对周围环境影响较小。</w:t>
            </w:r>
          </w:p>
          <w:p>
            <w:pPr>
              <w:spacing w:before="120" w:beforeLines="50" w:line="360" w:lineRule="auto"/>
              <w:ind w:firstLine="482" w:firstLineChars="200"/>
              <w:rPr>
                <w:b/>
                <w:sz w:val="24"/>
              </w:rPr>
            </w:pPr>
            <w:r>
              <w:rPr>
                <w:b/>
                <w:sz w:val="24"/>
              </w:rPr>
              <w:t xml:space="preserve">5、施工期生态环境影响分析 </w:t>
            </w:r>
          </w:p>
          <w:p>
            <w:pPr>
              <w:spacing w:before="120" w:beforeLines="50" w:line="360" w:lineRule="auto"/>
              <w:ind w:firstLine="480" w:firstLineChars="200"/>
              <w:rPr>
                <w:sz w:val="24"/>
              </w:rPr>
            </w:pPr>
            <w:r>
              <w:rPr>
                <w:sz w:val="24"/>
              </w:rPr>
              <w:t xml:space="preserve">施工期生态环境影响主要是水土流失。施工期可能导致水土流失的主要原因是降雨、地表开挖和弃土堆放等，项目所在地的年均降雨量为1627.7毫米，且夏季暴雨较集中，降雨量大，降雨时间长，这些气象条件给项目建设施工期的水土流失提供了充分必要的动力基础。在施工过程中，土壤暴露在雨、风和其它的干扰之中，另外，大量的土方挖填和弃土的堆放，都会使土壤暴露情况加剧。施工过程中，泥土转运装卸作业过程中和堆放时，都可能出现散落和水土流失。施工过程中严重的水土流失，不但会影响工程进度和工程质量，而且产生的泥沙作为一种废物或污染物往外排放，会对项目周围环境产生较为严重的影响。在施工场地上，雨水径流将以“黄泥水”的形式进入排水沟，沉积后将会堵塞排水沟及地下排水管网，对项目周围的雨季地面排水系统产生影响。故施工期的水土流失问题值得注意，应采取必要的措施加以控制。建议采取以下防治措施： </w:t>
            </w:r>
          </w:p>
          <w:p>
            <w:pPr>
              <w:spacing w:before="120" w:beforeLines="50" w:line="360" w:lineRule="auto"/>
              <w:ind w:firstLine="480" w:firstLineChars="200"/>
              <w:rPr>
                <w:sz w:val="24"/>
              </w:rPr>
            </w:pPr>
            <w:r>
              <w:rPr>
                <w:sz w:val="24"/>
              </w:rPr>
              <w:t>（1）施工避开雨季。根据气象台的资料，降雨量主要集中在4～9月，而且常发生暴雨。暴雨是造成水土流失的主要原因，因此工程施工尽量避开雨季，可以大大减少土壤流失量。</w:t>
            </w:r>
          </w:p>
          <w:p>
            <w:pPr>
              <w:spacing w:before="120" w:beforeLines="50" w:line="360" w:lineRule="auto"/>
              <w:ind w:firstLine="480" w:firstLineChars="200"/>
              <w:rPr>
                <w:sz w:val="24"/>
              </w:rPr>
            </w:pPr>
            <w:r>
              <w:rPr>
                <w:sz w:val="24"/>
              </w:rPr>
              <w:t xml:space="preserve">（2）施工场地，争取做到土料随填随压，不留松土。填土作业应尽量集中和避开暴雨期。 </w:t>
            </w:r>
          </w:p>
          <w:p>
            <w:pPr>
              <w:spacing w:before="120" w:beforeLines="50" w:line="360" w:lineRule="auto"/>
              <w:ind w:firstLine="480" w:firstLineChars="200"/>
              <w:rPr>
                <w:sz w:val="24"/>
              </w:rPr>
            </w:pPr>
            <w:r>
              <w:rPr>
                <w:sz w:val="24"/>
              </w:rPr>
              <w:t xml:space="preserve">（3）在堆挖填土工程完成后，工地往往还要裸露一段时间才能完成建设或重新绿化，这就要及时在地面的径流汇集线上设置缓流泥砂阻隔带。阻隔带可以采用透水的高强 PVC编制带，用角铁或木桩将纺织袋固置于汇流线相切的方向上，带高一般为50cm就已足够，带长可以视地形决定，一般为数米至数十米不等，可以有效地阻止泥沙随径流地初始流动，控制住施工期工地水土流失。 </w:t>
            </w:r>
          </w:p>
          <w:p>
            <w:pPr>
              <w:spacing w:before="120" w:beforeLines="50" w:line="360" w:lineRule="auto"/>
              <w:ind w:firstLine="480" w:firstLineChars="200"/>
              <w:rPr>
                <w:sz w:val="24"/>
              </w:rPr>
            </w:pPr>
            <w:r>
              <w:rPr>
                <w:sz w:val="24"/>
              </w:rPr>
              <w:t xml:space="preserve">（4）在施工中，要合理安排施工计划、施工程序，协调好各个施工步骤，雨季中尽量减少地面坡度，减少开挖面，并争取土料随挖、随运、减少堆土裸土的暴露时间，以避免受降雨的直接冲刷，在暴雨期，还应采取应急措施，尽量用覆盖物覆盖新开挖的陡坡，防止冲刷和崩塌。 </w:t>
            </w:r>
          </w:p>
          <w:p>
            <w:pPr>
              <w:spacing w:before="120" w:beforeLines="50" w:line="360" w:lineRule="auto"/>
              <w:ind w:firstLine="480" w:firstLineChars="200"/>
              <w:rPr>
                <w:sz w:val="24"/>
              </w:rPr>
            </w:pPr>
            <w:r>
              <w:rPr>
                <w:sz w:val="24"/>
              </w:rPr>
              <w:t xml:space="preserve">（5）对于已完成的推土区，应加强绿化工程，尽快规划绿地和各种裸露地面绿化工作；一些备用的工程建设用地，在工程项目无法马上上马的情况下，也应进行临时性的绿化覆盖，降低水土流失的可能性。 </w:t>
            </w:r>
          </w:p>
          <w:p>
            <w:pPr>
              <w:spacing w:before="120" w:beforeLines="50" w:line="360" w:lineRule="auto"/>
              <w:ind w:firstLine="480" w:firstLineChars="200"/>
              <w:rPr>
                <w:sz w:val="24"/>
              </w:rPr>
            </w:pPr>
            <w:r>
              <w:rPr>
                <w:sz w:val="24"/>
              </w:rPr>
              <w:t>总体而言，项目施工期环境影响是暂时的，只要施工单位文明施工，并采取适当治理措施，使污染物的影响降到最低限度，以降低建设项目施工所带来的环境影响，则施工期环境影响并不明显。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7" w:hRule="atLeast"/>
        </w:trPr>
        <w:tc>
          <w:tcPr>
            <w:tcW w:w="9413" w:type="dxa"/>
          </w:tcPr>
          <w:p>
            <w:pPr>
              <w:spacing w:before="120" w:beforeLines="50" w:line="336" w:lineRule="auto"/>
              <w:ind w:firstLine="482" w:firstLineChars="200"/>
              <w:rPr>
                <w:b/>
                <w:sz w:val="24"/>
              </w:rPr>
            </w:pPr>
            <w:r>
              <w:rPr>
                <w:rFonts w:hint="eastAsia"/>
                <w:b/>
                <w:sz w:val="24"/>
              </w:rPr>
              <w:t>二、</w:t>
            </w:r>
            <w:r>
              <w:rPr>
                <w:b/>
                <w:sz w:val="24"/>
              </w:rPr>
              <w:t>营运期环境影响分析</w:t>
            </w:r>
          </w:p>
          <w:p>
            <w:pPr>
              <w:spacing w:line="360" w:lineRule="auto"/>
              <w:ind w:firstLine="482" w:firstLineChars="200"/>
              <w:rPr>
                <w:b/>
                <w:sz w:val="24"/>
                <w:lang w:val="zh-CN"/>
              </w:rPr>
            </w:pPr>
            <w:r>
              <w:rPr>
                <w:b/>
                <w:sz w:val="24"/>
              </w:rPr>
              <w:t>1、</w:t>
            </w:r>
            <w:r>
              <w:rPr>
                <w:rFonts w:hint="eastAsia"/>
                <w:b/>
                <w:sz w:val="24"/>
              </w:rPr>
              <w:t>水环境影响分析</w:t>
            </w:r>
          </w:p>
          <w:p>
            <w:pPr>
              <w:spacing w:line="360" w:lineRule="auto"/>
              <w:ind w:firstLine="480" w:firstLineChars="200"/>
              <w:rPr>
                <w:sz w:val="24"/>
              </w:rPr>
            </w:pPr>
            <w:r>
              <w:rPr>
                <w:bCs/>
                <w:sz w:val="24"/>
              </w:rPr>
              <w:t>本项目外排废水为生活污水151.2 m</w:t>
            </w:r>
            <w:r>
              <w:rPr>
                <w:bCs/>
                <w:sz w:val="24"/>
                <w:vertAlign w:val="superscript"/>
              </w:rPr>
              <w:t>3</w:t>
            </w:r>
            <w:r>
              <w:rPr>
                <w:bCs/>
                <w:sz w:val="24"/>
              </w:rPr>
              <w:t>/a，项目生活污水包括办公生活污水。办公生活污水经三级化粪池预处理后，满足</w:t>
            </w:r>
            <w:r>
              <w:rPr>
                <w:sz w:val="24"/>
              </w:rPr>
              <w:t>《农田灌溉水质标准》（GB5084-2005）中的旱作标准后</w:t>
            </w:r>
            <w:r>
              <w:rPr>
                <w:rFonts w:hint="eastAsia"/>
                <w:sz w:val="24"/>
              </w:rPr>
              <w:t>排入灌溉水沟</w:t>
            </w:r>
            <w:r>
              <w:rPr>
                <w:bCs/>
                <w:sz w:val="24"/>
              </w:rPr>
              <w:t>。</w:t>
            </w:r>
            <w:r>
              <w:rPr>
                <w:rFonts w:hint="eastAsia"/>
                <w:bCs/>
                <w:sz w:val="24"/>
              </w:rPr>
              <w:t>本项目无生产废水外排。</w:t>
            </w:r>
            <w:r>
              <w:rPr>
                <w:kern w:val="0"/>
                <w:sz w:val="24"/>
              </w:rPr>
              <w:t>工艺废水</w:t>
            </w:r>
            <w:r>
              <w:rPr>
                <w:rFonts w:hint="eastAsia" w:ascii="宋体" w:cs="宋体"/>
                <w:kern w:val="0"/>
                <w:sz w:val="24"/>
              </w:rPr>
              <w:t>经过厂区沉淀池处理后全部回用不外排；设施冲洗废水循环使用，不外排；地面冲洗废水作为下一班次生产的补充用料，不外排</w:t>
            </w:r>
            <w:r>
              <w:rPr>
                <w:rFonts w:hint="eastAsia" w:ascii="宋体" w:cs="宋体"/>
                <w:sz w:val="24"/>
              </w:rPr>
              <w:t>，</w:t>
            </w:r>
            <w:r>
              <w:rPr>
                <w:rFonts w:hint="eastAsia"/>
                <w:bCs/>
                <w:sz w:val="24"/>
              </w:rPr>
              <w:t>对纳污水体的水质不会造成不良影响。</w:t>
            </w:r>
          </w:p>
          <w:p>
            <w:pPr>
              <w:spacing w:line="360" w:lineRule="auto"/>
              <w:ind w:firstLine="482" w:firstLineChars="200"/>
              <w:rPr>
                <w:b/>
                <w:sz w:val="24"/>
                <w:lang w:val="zh-CN"/>
              </w:rPr>
            </w:pPr>
            <w:r>
              <w:rPr>
                <w:b/>
                <w:sz w:val="24"/>
              </w:rPr>
              <w:t>2、</w:t>
            </w:r>
            <w:r>
              <w:rPr>
                <w:rFonts w:hint="eastAsia"/>
                <w:b/>
                <w:sz w:val="24"/>
              </w:rPr>
              <w:t>大气环境影响分析</w:t>
            </w:r>
          </w:p>
          <w:p>
            <w:pPr>
              <w:spacing w:line="360" w:lineRule="auto"/>
              <w:ind w:firstLine="480" w:firstLineChars="200"/>
              <w:rPr>
                <w:kern w:val="0"/>
                <w:sz w:val="24"/>
              </w:rPr>
            </w:pPr>
            <w:r>
              <w:rPr>
                <w:kern w:val="0"/>
                <w:sz w:val="24"/>
              </w:rPr>
              <w:t>本项目主要水洗高岭土并根据物料的密度和粒径进行物理筛分，项目生产所需原料均由铲车装入链式喂料机，通过输送带将材料输送到滚动筛前端进行高压水冲洗，其中筛分、洗沙、旋流分离、脱水、压滤等均在密闭容器内进行，原料均加水形成沙浆，不会产生粉尘。项目产生的废气主要为装卸工序粉尘、堆场粉尘和卸料粉尘</w:t>
            </w:r>
            <w:r>
              <w:rPr>
                <w:rFonts w:hint="eastAsia"/>
                <w:kern w:val="0"/>
                <w:sz w:val="24"/>
              </w:rPr>
              <w:t>。</w:t>
            </w:r>
          </w:p>
          <w:p>
            <w:pPr>
              <w:spacing w:line="360" w:lineRule="auto"/>
              <w:ind w:firstLine="480" w:firstLineChars="200"/>
              <w:rPr>
                <w:rFonts w:ascii="宋体" w:cs="宋体"/>
                <w:kern w:val="0"/>
                <w:sz w:val="24"/>
              </w:rPr>
            </w:pPr>
            <w:r>
              <w:rPr>
                <w:rFonts w:hint="eastAsia" w:ascii="宋体" w:cs="宋体"/>
                <w:kern w:val="0"/>
                <w:sz w:val="24"/>
              </w:rPr>
              <w:t>本项目投料采取轻放、密闭等措施，输送带为全封闭，传输过程中无粉尘产生，原料和投料车间为一个整体车间，统称为原料车间，通过加装彩钢板，做好密封阻挡隔尘工作，防止该区域粉尘扩散至其他生产区域及厂外；堆场区域进行定期洒水降尘，降低堆场粉尘的影响，原料区和投料区合并为一个整体，统称原料车间，产品区独立一个区域，以下称为产品车间，产品车间和原料车间与生产区其他区域采用彩钢板进行密封分隔，经过上述措施处理后，本项目堆场粉尘对周围大气环境影响较小；本项目卸货在原料区内进行，原料区和投料区合并为一个整体，统称为原料车间；原料车间与其他生产区域分隔做好密封工作，且卸货过程中要关闭好原料车间各个进出口大门，做好车间围挡隔尘措施，防止粉尘对周边环境产生影响。</w:t>
            </w:r>
          </w:p>
          <w:p>
            <w:pPr>
              <w:autoSpaceDE w:val="0"/>
              <w:autoSpaceDN w:val="0"/>
              <w:adjustRightInd w:val="0"/>
              <w:spacing w:line="360" w:lineRule="auto"/>
              <w:ind w:firstLine="480" w:firstLineChars="200"/>
              <w:rPr>
                <w:kern w:val="0"/>
                <w:sz w:val="24"/>
              </w:rPr>
            </w:pPr>
            <w:r>
              <w:rPr>
                <w:kern w:val="0"/>
                <w:sz w:val="24"/>
              </w:rPr>
              <w:t>本项目投料、堆场、卸料粉尘合计产生量约0.0665t/a，排放速率经叠加为0.0529kg/h，为无组织排放。原料区采取围挡和建棚等措施进行车间全密封，确保项目厂界粉尘量可满足广东省《大气污染物排放限值》（DB44/27-2001）第二时段二级标准限值要求（颗粒物无组织排放浓度外界浓度最高点为1.0mg/m</w:t>
            </w:r>
            <w:r>
              <w:rPr>
                <w:kern w:val="0"/>
                <w:sz w:val="24"/>
                <w:vertAlign w:val="superscript"/>
              </w:rPr>
              <w:t>3</w:t>
            </w:r>
            <w:r>
              <w:rPr>
                <w:kern w:val="0"/>
                <w:sz w:val="24"/>
              </w:rPr>
              <w:t>）。</w:t>
            </w:r>
            <w:r>
              <w:rPr>
                <w:bCs/>
                <w:sz w:val="24"/>
              </w:rPr>
              <w:t>因此本报告的颗粒物预测对环境的影响。</w:t>
            </w:r>
          </w:p>
          <w:p>
            <w:pPr>
              <w:spacing w:line="360" w:lineRule="auto"/>
              <w:ind w:firstLine="482" w:firstLineChars="200"/>
              <w:rPr>
                <w:sz w:val="24"/>
                <w:szCs w:val="22"/>
              </w:rPr>
            </w:pPr>
            <w:r>
              <w:rPr>
                <w:rFonts w:hint="eastAsia"/>
                <w:b/>
                <w:bCs/>
                <w:sz w:val="24"/>
                <w:szCs w:val="22"/>
              </w:rPr>
              <w:t>（1）大气预测因子及污染物源强及防治措施</w:t>
            </w:r>
          </w:p>
          <w:p>
            <w:pPr>
              <w:spacing w:line="360" w:lineRule="auto"/>
              <w:ind w:firstLine="480" w:firstLineChars="200"/>
              <w:rPr>
                <w:sz w:val="24"/>
                <w:szCs w:val="22"/>
              </w:rPr>
            </w:pPr>
            <w:r>
              <w:rPr>
                <w:rFonts w:hint="eastAsia"/>
                <w:sz w:val="24"/>
                <w:szCs w:val="22"/>
              </w:rPr>
              <w:t>根据本工程所排大气污染物，确定颗粒物作为预测因子。</w:t>
            </w:r>
          </w:p>
          <w:p>
            <w:pPr>
              <w:jc w:val="center"/>
              <w:outlineLvl w:val="4"/>
              <w:rPr>
                <w:b/>
                <w:szCs w:val="21"/>
              </w:rPr>
            </w:pPr>
            <w:r>
              <w:rPr>
                <w:rFonts w:hint="eastAsia"/>
                <w:b/>
                <w:szCs w:val="21"/>
              </w:rPr>
              <w:t>表</w:t>
            </w:r>
            <w:r>
              <w:rPr>
                <w:b/>
                <w:szCs w:val="21"/>
              </w:rPr>
              <w:t xml:space="preserve">29  </w:t>
            </w:r>
            <w:r>
              <w:rPr>
                <w:rFonts w:hint="eastAsia"/>
                <w:b/>
                <w:szCs w:val="21"/>
              </w:rPr>
              <w:t>排放源强及排放参数</w:t>
            </w:r>
          </w:p>
          <w:tbl>
            <w:tblPr>
              <w:tblStyle w:val="25"/>
              <w:tblW w:w="91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074"/>
              <w:gridCol w:w="828"/>
              <w:gridCol w:w="834"/>
              <w:gridCol w:w="1825"/>
              <w:gridCol w:w="1102"/>
              <w:gridCol w:w="761"/>
              <w:gridCol w:w="876"/>
              <w:gridCol w:w="876"/>
              <w:gridCol w:w="1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2" w:hRule="atLeast"/>
              </w:trPr>
              <w:tc>
                <w:tcPr>
                  <w:tcW w:w="1074" w:type="dxa"/>
                  <w:vAlign w:val="center"/>
                </w:tcPr>
                <w:p>
                  <w:pPr>
                    <w:widowControl/>
                    <w:jc w:val="center"/>
                    <w:rPr>
                      <w:b/>
                      <w:kern w:val="0"/>
                      <w:szCs w:val="21"/>
                    </w:rPr>
                  </w:pPr>
                  <w:r>
                    <w:rPr>
                      <w:rFonts w:hint="eastAsia"/>
                      <w:b/>
                      <w:kern w:val="0"/>
                      <w:szCs w:val="21"/>
                    </w:rPr>
                    <w:t>污染源</w:t>
                  </w:r>
                </w:p>
              </w:tc>
              <w:tc>
                <w:tcPr>
                  <w:tcW w:w="828" w:type="dxa"/>
                  <w:vAlign w:val="center"/>
                </w:tcPr>
                <w:p>
                  <w:pPr>
                    <w:widowControl/>
                    <w:jc w:val="center"/>
                    <w:rPr>
                      <w:b/>
                      <w:kern w:val="0"/>
                      <w:szCs w:val="21"/>
                    </w:rPr>
                  </w:pPr>
                  <w:r>
                    <w:rPr>
                      <w:rFonts w:hint="eastAsia"/>
                      <w:b/>
                      <w:kern w:val="0"/>
                      <w:szCs w:val="21"/>
                    </w:rPr>
                    <w:t>污染源类型</w:t>
                  </w:r>
                </w:p>
              </w:tc>
              <w:tc>
                <w:tcPr>
                  <w:tcW w:w="834" w:type="dxa"/>
                  <w:vAlign w:val="center"/>
                </w:tcPr>
                <w:p>
                  <w:pPr>
                    <w:widowControl/>
                    <w:jc w:val="center"/>
                    <w:rPr>
                      <w:b/>
                      <w:kern w:val="0"/>
                      <w:szCs w:val="21"/>
                    </w:rPr>
                  </w:pPr>
                  <w:r>
                    <w:rPr>
                      <w:rFonts w:hint="eastAsia"/>
                      <w:b/>
                      <w:kern w:val="0"/>
                      <w:szCs w:val="21"/>
                    </w:rPr>
                    <w:t>污染物</w:t>
                  </w:r>
                </w:p>
              </w:tc>
              <w:tc>
                <w:tcPr>
                  <w:tcW w:w="1825" w:type="dxa"/>
                  <w:vAlign w:val="center"/>
                </w:tcPr>
                <w:p>
                  <w:pPr>
                    <w:widowControl/>
                    <w:jc w:val="center"/>
                    <w:rPr>
                      <w:b/>
                      <w:kern w:val="0"/>
                      <w:szCs w:val="21"/>
                    </w:rPr>
                  </w:pPr>
                  <w:r>
                    <w:rPr>
                      <w:rFonts w:hint="eastAsia"/>
                      <w:b/>
                      <w:kern w:val="0"/>
                      <w:szCs w:val="21"/>
                    </w:rPr>
                    <w:t>参数</w:t>
                  </w:r>
                </w:p>
              </w:tc>
              <w:tc>
                <w:tcPr>
                  <w:tcW w:w="1102" w:type="dxa"/>
                  <w:vAlign w:val="center"/>
                </w:tcPr>
                <w:p>
                  <w:pPr>
                    <w:widowControl/>
                    <w:jc w:val="center"/>
                    <w:rPr>
                      <w:b/>
                      <w:kern w:val="0"/>
                      <w:szCs w:val="21"/>
                    </w:rPr>
                  </w:pPr>
                  <w:r>
                    <w:rPr>
                      <w:rFonts w:hint="eastAsia"/>
                      <w:b/>
                      <w:kern w:val="0"/>
                      <w:szCs w:val="21"/>
                    </w:rPr>
                    <w:t>废气排放温度</w:t>
                  </w:r>
                  <w:r>
                    <w:rPr>
                      <w:b/>
                      <w:szCs w:val="21"/>
                    </w:rPr>
                    <w:t xml:space="preserve"> (</w:t>
                  </w:r>
                  <w:r>
                    <w:rPr>
                      <w:rFonts w:hint="eastAsia" w:ascii="宋体" w:hAnsi="宋体" w:cs="宋体"/>
                      <w:b/>
                      <w:szCs w:val="21"/>
                    </w:rPr>
                    <w:t>℃</w:t>
                  </w:r>
                  <w:r>
                    <w:rPr>
                      <w:b/>
                      <w:szCs w:val="21"/>
                    </w:rPr>
                    <w:t>)</w:t>
                  </w:r>
                </w:p>
              </w:tc>
              <w:tc>
                <w:tcPr>
                  <w:tcW w:w="761" w:type="dxa"/>
                  <w:vAlign w:val="center"/>
                </w:tcPr>
                <w:p>
                  <w:pPr>
                    <w:widowControl/>
                    <w:jc w:val="center"/>
                    <w:rPr>
                      <w:b/>
                      <w:szCs w:val="21"/>
                    </w:rPr>
                  </w:pPr>
                  <w:r>
                    <w:rPr>
                      <w:rFonts w:hint="eastAsia"/>
                      <w:b/>
                      <w:szCs w:val="21"/>
                    </w:rPr>
                    <w:t>排放工况</w:t>
                  </w:r>
                </w:p>
              </w:tc>
              <w:tc>
                <w:tcPr>
                  <w:tcW w:w="876" w:type="dxa"/>
                  <w:vAlign w:val="center"/>
                </w:tcPr>
                <w:p>
                  <w:pPr>
                    <w:widowControl/>
                    <w:jc w:val="center"/>
                    <w:rPr>
                      <w:b/>
                      <w:szCs w:val="21"/>
                    </w:rPr>
                  </w:pPr>
                  <w:r>
                    <w:rPr>
                      <w:rFonts w:hint="eastAsia"/>
                      <w:b/>
                      <w:szCs w:val="21"/>
                    </w:rPr>
                    <w:t>年排放小时</w:t>
                  </w:r>
                </w:p>
              </w:tc>
              <w:tc>
                <w:tcPr>
                  <w:tcW w:w="876" w:type="dxa"/>
                  <w:vAlign w:val="center"/>
                </w:tcPr>
                <w:p>
                  <w:pPr>
                    <w:widowControl/>
                    <w:jc w:val="center"/>
                    <w:rPr>
                      <w:b/>
                      <w:kern w:val="0"/>
                      <w:szCs w:val="21"/>
                    </w:rPr>
                  </w:pPr>
                  <w:r>
                    <w:rPr>
                      <w:rFonts w:hint="eastAsia"/>
                      <w:b/>
                      <w:szCs w:val="21"/>
                    </w:rPr>
                    <w:t>排放速</w:t>
                  </w:r>
                  <w:r>
                    <w:rPr>
                      <w:b/>
                      <w:szCs w:val="21"/>
                    </w:rPr>
                    <w:t>(kg/h)</w:t>
                  </w:r>
                </w:p>
              </w:tc>
              <w:tc>
                <w:tcPr>
                  <w:tcW w:w="1011" w:type="dxa"/>
                  <w:vAlign w:val="center"/>
                </w:tcPr>
                <w:p>
                  <w:pPr>
                    <w:widowControl/>
                    <w:jc w:val="center"/>
                    <w:rPr>
                      <w:b/>
                      <w:szCs w:val="21"/>
                    </w:rPr>
                  </w:pPr>
                  <w:r>
                    <w:rPr>
                      <w:rFonts w:hint="eastAsia"/>
                      <w:b/>
                      <w:szCs w:val="21"/>
                    </w:rPr>
                    <w:t>标准值</w:t>
                  </w:r>
                  <w:r>
                    <w:rPr>
                      <w:b/>
                      <w:szCs w:val="21"/>
                    </w:rPr>
                    <w:t>(mg/m</w:t>
                  </w:r>
                  <w:r>
                    <w:rPr>
                      <w:b/>
                      <w:szCs w:val="21"/>
                      <w:vertAlign w:val="superscript"/>
                    </w:rPr>
                    <w:t>3</w:t>
                  </w:r>
                  <w:r>
                    <w:rPr>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2" w:hRule="atLeast"/>
              </w:trPr>
              <w:tc>
                <w:tcPr>
                  <w:tcW w:w="1074" w:type="dxa"/>
                  <w:shd w:val="clear" w:color="auto" w:fill="auto"/>
                  <w:vAlign w:val="center"/>
                </w:tcPr>
                <w:p>
                  <w:pPr>
                    <w:jc w:val="center"/>
                    <w:rPr>
                      <w:szCs w:val="21"/>
                    </w:rPr>
                  </w:pPr>
                  <w:r>
                    <w:rPr>
                      <w:rFonts w:hint="eastAsia" w:ascii="宋体" w:cs="宋体"/>
                      <w:kern w:val="0"/>
                      <w:szCs w:val="21"/>
                    </w:rPr>
                    <w:t>生产车间</w:t>
                  </w:r>
                </w:p>
              </w:tc>
              <w:tc>
                <w:tcPr>
                  <w:tcW w:w="828" w:type="dxa"/>
                  <w:vAlign w:val="center"/>
                </w:tcPr>
                <w:p>
                  <w:pPr>
                    <w:widowControl/>
                    <w:jc w:val="center"/>
                    <w:rPr>
                      <w:szCs w:val="21"/>
                    </w:rPr>
                  </w:pPr>
                  <w:r>
                    <w:rPr>
                      <w:rFonts w:hint="eastAsia"/>
                      <w:szCs w:val="21"/>
                    </w:rPr>
                    <w:t>面源</w:t>
                  </w:r>
                </w:p>
              </w:tc>
              <w:tc>
                <w:tcPr>
                  <w:tcW w:w="834" w:type="dxa"/>
                  <w:vAlign w:val="center"/>
                </w:tcPr>
                <w:p>
                  <w:pPr>
                    <w:widowControl/>
                    <w:jc w:val="center"/>
                    <w:rPr>
                      <w:szCs w:val="21"/>
                    </w:rPr>
                  </w:pPr>
                  <w:r>
                    <w:rPr>
                      <w:rFonts w:hint="eastAsia"/>
                      <w:szCs w:val="21"/>
                    </w:rPr>
                    <w:t>颗粒物</w:t>
                  </w:r>
                </w:p>
              </w:tc>
              <w:tc>
                <w:tcPr>
                  <w:tcW w:w="1825" w:type="dxa"/>
                  <w:vAlign w:val="center"/>
                </w:tcPr>
                <w:p>
                  <w:pPr>
                    <w:widowControl/>
                    <w:jc w:val="center"/>
                    <w:rPr>
                      <w:kern w:val="0"/>
                      <w:szCs w:val="21"/>
                    </w:rPr>
                  </w:pPr>
                  <w:r>
                    <w:rPr>
                      <w:rFonts w:hint="eastAsia"/>
                      <w:kern w:val="0"/>
                      <w:szCs w:val="21"/>
                    </w:rPr>
                    <w:t>排放高度：1</w:t>
                  </w:r>
                  <w:r>
                    <w:rPr>
                      <w:kern w:val="0"/>
                      <w:szCs w:val="21"/>
                    </w:rPr>
                    <w:t>m</w:t>
                  </w:r>
                  <w:r>
                    <w:rPr>
                      <w:rFonts w:hint="eastAsia"/>
                      <w:kern w:val="0"/>
                      <w:szCs w:val="21"/>
                    </w:rPr>
                    <w:t>（高），面积：</w:t>
                  </w:r>
                  <w:r>
                    <w:rPr>
                      <w:kern w:val="0"/>
                      <w:szCs w:val="21"/>
                    </w:rPr>
                    <w:t>50m</w:t>
                  </w:r>
                  <w:r>
                    <w:rPr>
                      <w:rFonts w:hint="eastAsia"/>
                      <w:kern w:val="0"/>
                      <w:szCs w:val="21"/>
                    </w:rPr>
                    <w:t>（长）×</w:t>
                  </w:r>
                  <w:r>
                    <w:rPr>
                      <w:kern w:val="0"/>
                      <w:szCs w:val="21"/>
                    </w:rPr>
                    <w:t>35m</w:t>
                  </w:r>
                  <w:r>
                    <w:rPr>
                      <w:rFonts w:hint="eastAsia"/>
                      <w:kern w:val="0"/>
                      <w:szCs w:val="21"/>
                    </w:rPr>
                    <w:t>（宽）</w:t>
                  </w:r>
                </w:p>
              </w:tc>
              <w:tc>
                <w:tcPr>
                  <w:tcW w:w="1102" w:type="dxa"/>
                  <w:vAlign w:val="center"/>
                </w:tcPr>
                <w:p>
                  <w:pPr>
                    <w:widowControl/>
                    <w:jc w:val="center"/>
                    <w:rPr>
                      <w:kern w:val="0"/>
                      <w:szCs w:val="21"/>
                    </w:rPr>
                  </w:pPr>
                  <w:r>
                    <w:rPr>
                      <w:rFonts w:hint="eastAsia"/>
                      <w:kern w:val="0"/>
                      <w:szCs w:val="21"/>
                    </w:rPr>
                    <w:t>25</w:t>
                  </w:r>
                </w:p>
              </w:tc>
              <w:tc>
                <w:tcPr>
                  <w:tcW w:w="761" w:type="dxa"/>
                  <w:vAlign w:val="center"/>
                </w:tcPr>
                <w:p>
                  <w:pPr>
                    <w:widowControl/>
                    <w:snapToGrid w:val="0"/>
                    <w:jc w:val="center"/>
                    <w:rPr>
                      <w:szCs w:val="21"/>
                    </w:rPr>
                  </w:pPr>
                  <w:r>
                    <w:rPr>
                      <w:rFonts w:hint="eastAsia"/>
                      <w:szCs w:val="21"/>
                    </w:rPr>
                    <w:t>正常</w:t>
                  </w:r>
                </w:p>
              </w:tc>
              <w:tc>
                <w:tcPr>
                  <w:tcW w:w="876" w:type="dxa"/>
                  <w:vAlign w:val="center"/>
                </w:tcPr>
                <w:p>
                  <w:pPr>
                    <w:widowControl/>
                    <w:snapToGrid w:val="0"/>
                    <w:jc w:val="center"/>
                    <w:rPr>
                      <w:szCs w:val="21"/>
                    </w:rPr>
                  </w:pPr>
                  <w:r>
                    <w:rPr>
                      <w:szCs w:val="21"/>
                    </w:rPr>
                    <w:t>2240</w:t>
                  </w:r>
                </w:p>
              </w:tc>
              <w:tc>
                <w:tcPr>
                  <w:tcW w:w="876" w:type="dxa"/>
                  <w:shd w:val="clear" w:color="auto" w:fill="auto"/>
                  <w:vAlign w:val="center"/>
                </w:tcPr>
                <w:p>
                  <w:pPr>
                    <w:widowControl/>
                    <w:snapToGrid w:val="0"/>
                    <w:jc w:val="center"/>
                    <w:rPr>
                      <w:szCs w:val="21"/>
                    </w:rPr>
                  </w:pPr>
                  <w:r>
                    <w:rPr>
                      <w:kern w:val="0"/>
                      <w:szCs w:val="21"/>
                    </w:rPr>
                    <w:t>0.0529</w:t>
                  </w:r>
                </w:p>
              </w:tc>
              <w:tc>
                <w:tcPr>
                  <w:tcW w:w="1011" w:type="dxa"/>
                  <w:vAlign w:val="center"/>
                </w:tcPr>
                <w:p>
                  <w:pPr>
                    <w:widowControl/>
                    <w:snapToGrid w:val="0"/>
                    <w:jc w:val="center"/>
                    <w:rPr>
                      <w:szCs w:val="21"/>
                    </w:rPr>
                  </w:pPr>
                  <w:r>
                    <w:rPr>
                      <w:rFonts w:hint="eastAsia"/>
                      <w:szCs w:val="21"/>
                    </w:rPr>
                    <w:t>0.45</w:t>
                  </w:r>
                </w:p>
              </w:tc>
            </w:tr>
          </w:tbl>
          <w:p>
            <w:pPr>
              <w:spacing w:line="360" w:lineRule="auto"/>
              <w:ind w:firstLine="480" w:firstLineChars="200"/>
              <w:rPr>
                <w:bCs/>
                <w:sz w:val="24"/>
              </w:rPr>
            </w:pPr>
            <w:r>
              <w:rPr>
                <w:rFonts w:hint="eastAsia"/>
                <w:bCs/>
                <w:sz w:val="24"/>
              </w:rPr>
              <w:t>采用《环境影响评价技术导则  大气环境》（HJ2.2-20</w:t>
            </w:r>
            <w:r>
              <w:rPr>
                <w:bCs/>
                <w:sz w:val="24"/>
              </w:rPr>
              <w:t>1</w:t>
            </w:r>
            <w:r>
              <w:rPr>
                <w:rFonts w:hint="eastAsia"/>
                <w:bCs/>
                <w:sz w:val="24"/>
              </w:rPr>
              <w:t>8）中</w:t>
            </w:r>
            <w:r>
              <w:rPr>
                <w:bCs/>
                <w:sz w:val="24"/>
              </w:rPr>
              <w:t>推荐</w:t>
            </w:r>
            <w:r>
              <w:rPr>
                <w:rFonts w:hint="eastAsia"/>
                <w:bCs/>
                <w:sz w:val="24"/>
              </w:rPr>
              <w:t>的大气估算模式（AERSCREEN）进行估算。</w:t>
            </w:r>
          </w:p>
          <w:p>
            <w:pPr>
              <w:ind w:firstLine="422" w:firstLineChars="200"/>
              <w:jc w:val="center"/>
              <w:rPr>
                <w:b/>
                <w:szCs w:val="21"/>
              </w:rPr>
            </w:pPr>
            <w:r>
              <w:rPr>
                <w:rFonts w:hint="eastAsia"/>
                <w:b/>
                <w:szCs w:val="21"/>
              </w:rPr>
              <w:t>表</w:t>
            </w:r>
            <w:r>
              <w:rPr>
                <w:b/>
                <w:szCs w:val="21"/>
              </w:rPr>
              <w:t>30  估算模型参数表</w:t>
            </w:r>
          </w:p>
          <w:tbl>
            <w:tblPr>
              <w:tblStyle w:val="26"/>
              <w:tblW w:w="91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0"/>
              <w:gridCol w:w="2859"/>
              <w:gridCol w:w="3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 w:hRule="atLeast"/>
                <w:jc w:val="center"/>
              </w:trPr>
              <w:tc>
                <w:tcPr>
                  <w:tcW w:w="5339" w:type="dxa"/>
                  <w:gridSpan w:val="2"/>
                  <w:vAlign w:val="center"/>
                </w:tcPr>
                <w:p>
                  <w:pPr>
                    <w:jc w:val="center"/>
                  </w:pPr>
                  <w:r>
                    <w:t>参数</w:t>
                  </w:r>
                </w:p>
              </w:tc>
              <w:tc>
                <w:tcPr>
                  <w:tcW w:w="3848" w:type="dxa"/>
                  <w:vAlign w:val="center"/>
                </w:tcPr>
                <w:p>
                  <w:pPr>
                    <w:jc w:val="center"/>
                  </w:pPr>
                  <w: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80" w:type="dxa"/>
                  <w:vMerge w:val="restart"/>
                  <w:vAlign w:val="center"/>
                </w:tcPr>
                <w:p>
                  <w:pPr>
                    <w:jc w:val="center"/>
                  </w:pPr>
                  <w:r>
                    <w:t>城市农村/选项</w:t>
                  </w:r>
                </w:p>
              </w:tc>
              <w:tc>
                <w:tcPr>
                  <w:tcW w:w="2859" w:type="dxa"/>
                  <w:vAlign w:val="center"/>
                </w:tcPr>
                <w:p>
                  <w:pPr>
                    <w:jc w:val="center"/>
                  </w:pPr>
                  <w:r>
                    <w:t>城市/农村</w:t>
                  </w:r>
                </w:p>
              </w:tc>
              <w:tc>
                <w:tcPr>
                  <w:tcW w:w="3848" w:type="dxa"/>
                  <w:vAlign w:val="center"/>
                </w:tcPr>
                <w:p>
                  <w:pPr>
                    <w:jc w:val="center"/>
                  </w:pPr>
                  <w:r>
                    <w:rPr>
                      <w:rFonts w:hint="eastAsia"/>
                    </w:rPr>
                    <w:t>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80" w:type="dxa"/>
                  <w:vMerge w:val="continue"/>
                  <w:vAlign w:val="center"/>
                </w:tcPr>
                <w:p>
                  <w:pPr>
                    <w:jc w:val="center"/>
                  </w:pPr>
                </w:p>
              </w:tc>
              <w:tc>
                <w:tcPr>
                  <w:tcW w:w="2859" w:type="dxa"/>
                  <w:vAlign w:val="center"/>
                </w:tcPr>
                <w:p>
                  <w:pPr>
                    <w:jc w:val="center"/>
                  </w:pPr>
                  <w:r>
                    <w:t>人口数(城市人口数)</w:t>
                  </w:r>
                </w:p>
              </w:tc>
              <w:tc>
                <w:tcPr>
                  <w:tcW w:w="3848" w:type="dxa"/>
                  <w:vAlign w:val="center"/>
                </w:tcPr>
                <w:p>
                  <w:pPr>
                    <w:jc w:val="center"/>
                  </w:pPr>
                  <w:r>
                    <w:t>100</w:t>
                  </w:r>
                  <w:r>
                    <w:rPr>
                      <w:rFonts w:hint="eastAsia"/>
                    </w:rPr>
                    <w:t>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339" w:type="dxa"/>
                  <w:gridSpan w:val="2"/>
                  <w:vAlign w:val="center"/>
                </w:tcPr>
                <w:p>
                  <w:pPr>
                    <w:jc w:val="center"/>
                  </w:pPr>
                  <w:r>
                    <w:t>最高环境温度</w:t>
                  </w:r>
                </w:p>
              </w:tc>
              <w:tc>
                <w:tcPr>
                  <w:tcW w:w="3848" w:type="dxa"/>
                  <w:vAlign w:val="center"/>
                </w:tcPr>
                <w:p>
                  <w:pPr>
                    <w:jc w:val="center"/>
                  </w:pPr>
                  <w:r>
                    <w:t>312.1K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339" w:type="dxa"/>
                  <w:gridSpan w:val="2"/>
                  <w:vAlign w:val="center"/>
                </w:tcPr>
                <w:p>
                  <w:pPr>
                    <w:jc w:val="center"/>
                  </w:pPr>
                  <w:r>
                    <w:t>最低环境温度</w:t>
                  </w:r>
                </w:p>
              </w:tc>
              <w:tc>
                <w:tcPr>
                  <w:tcW w:w="3848" w:type="dxa"/>
                  <w:vAlign w:val="center"/>
                </w:tcPr>
                <w:p>
                  <w:pPr>
                    <w:jc w:val="center"/>
                  </w:pPr>
                  <w:r>
                    <w:t>273K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339" w:type="dxa"/>
                  <w:gridSpan w:val="2"/>
                  <w:vAlign w:val="center"/>
                </w:tcPr>
                <w:p>
                  <w:pPr>
                    <w:jc w:val="center"/>
                  </w:pPr>
                  <w:r>
                    <w:t>土地利用类型</w:t>
                  </w:r>
                </w:p>
              </w:tc>
              <w:tc>
                <w:tcPr>
                  <w:tcW w:w="3848" w:type="dxa"/>
                  <w:vAlign w:val="center"/>
                </w:tcPr>
                <w:p>
                  <w:pPr>
                    <w:jc w:val="center"/>
                  </w:pPr>
                  <w:r>
                    <w:t>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339" w:type="dxa"/>
                  <w:gridSpan w:val="2"/>
                  <w:vAlign w:val="center"/>
                </w:tcPr>
                <w:p>
                  <w:pPr>
                    <w:jc w:val="center"/>
                  </w:pPr>
                  <w:r>
                    <w:t>区域湿度条件</w:t>
                  </w:r>
                </w:p>
              </w:tc>
              <w:tc>
                <w:tcPr>
                  <w:tcW w:w="3848" w:type="dxa"/>
                  <w:vAlign w:val="center"/>
                </w:tcPr>
                <w:p>
                  <w:pPr>
                    <w:jc w:val="center"/>
                  </w:pPr>
                  <w:r>
                    <w:rPr>
                      <w:rFonts w:hint="eastAsia"/>
                    </w:rPr>
                    <w:t>潮湿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80" w:type="dxa"/>
                  <w:vMerge w:val="restart"/>
                  <w:vAlign w:val="center"/>
                </w:tcPr>
                <w:p>
                  <w:pPr>
                    <w:jc w:val="center"/>
                  </w:pPr>
                  <w:r>
                    <w:t>是否考虑地形</w:t>
                  </w:r>
                </w:p>
              </w:tc>
              <w:tc>
                <w:tcPr>
                  <w:tcW w:w="2859" w:type="dxa"/>
                  <w:vAlign w:val="center"/>
                </w:tcPr>
                <w:p>
                  <w:pPr>
                    <w:jc w:val="center"/>
                  </w:pPr>
                  <w:r>
                    <w:t>考虑地形</w:t>
                  </w:r>
                </w:p>
              </w:tc>
              <w:tc>
                <w:tcPr>
                  <w:tcW w:w="3848" w:type="dxa"/>
                  <w:vAlign w:val="center"/>
                </w:tcPr>
                <w:p>
                  <w:pPr>
                    <w:jc w:val="center"/>
                  </w:pPr>
                  <w:r>
                    <w:rPr/>
                    <w:sym w:font="Wingdings" w:char="00A8"/>
                  </w:r>
                  <w:r>
                    <w:t xml:space="preserve">是  </w:t>
                  </w:r>
                  <w:r>
                    <w:rPr/>
                    <w:sym w:font="Wingdings" w:char="00FE"/>
                  </w: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80" w:type="dxa"/>
                  <w:vMerge w:val="continue"/>
                  <w:vAlign w:val="center"/>
                </w:tcPr>
                <w:p>
                  <w:pPr>
                    <w:jc w:val="center"/>
                  </w:pPr>
                </w:p>
              </w:tc>
              <w:tc>
                <w:tcPr>
                  <w:tcW w:w="2859" w:type="dxa"/>
                  <w:vAlign w:val="center"/>
                </w:tcPr>
                <w:p>
                  <w:pPr>
                    <w:jc w:val="center"/>
                  </w:pPr>
                  <w:r>
                    <w:t>地形数据分辨率(m)</w:t>
                  </w:r>
                </w:p>
              </w:tc>
              <w:tc>
                <w:tcPr>
                  <w:tcW w:w="3848"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80" w:type="dxa"/>
                  <w:vMerge w:val="restart"/>
                  <w:vAlign w:val="center"/>
                </w:tcPr>
                <w:p>
                  <w:pPr>
                    <w:jc w:val="center"/>
                  </w:pPr>
                  <w:r>
                    <w:t>是否考虑海岸线熏烟</w:t>
                  </w:r>
                </w:p>
              </w:tc>
              <w:tc>
                <w:tcPr>
                  <w:tcW w:w="2859" w:type="dxa"/>
                  <w:vAlign w:val="center"/>
                </w:tcPr>
                <w:p>
                  <w:pPr>
                    <w:jc w:val="center"/>
                  </w:pPr>
                  <w:r>
                    <w:t>考虑海岸线熏烟</w:t>
                  </w:r>
                </w:p>
              </w:tc>
              <w:tc>
                <w:tcPr>
                  <w:tcW w:w="3848" w:type="dxa"/>
                  <w:vAlign w:val="center"/>
                </w:tcPr>
                <w:p>
                  <w:pPr>
                    <w:jc w:val="center"/>
                  </w:pPr>
                  <w:r>
                    <w:rPr/>
                    <w:sym w:font="Wingdings" w:char="00A8"/>
                  </w:r>
                  <w:r>
                    <w:t xml:space="preserve">是  </w:t>
                  </w:r>
                  <w:r>
                    <w:rPr/>
                    <w:sym w:font="Wingdings" w:char="00FE"/>
                  </w: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80" w:type="dxa"/>
                  <w:vMerge w:val="continue"/>
                  <w:vAlign w:val="center"/>
                </w:tcPr>
                <w:p>
                  <w:pPr>
                    <w:jc w:val="center"/>
                  </w:pPr>
                </w:p>
              </w:tc>
              <w:tc>
                <w:tcPr>
                  <w:tcW w:w="2859" w:type="dxa"/>
                  <w:vAlign w:val="center"/>
                </w:tcPr>
                <w:p>
                  <w:pPr>
                    <w:jc w:val="center"/>
                  </w:pPr>
                  <w:r>
                    <w:t>海岸线距离/km</w:t>
                  </w:r>
                </w:p>
              </w:tc>
              <w:tc>
                <w:tcPr>
                  <w:tcW w:w="3848" w:type="dxa"/>
                  <w:vAlign w:val="center"/>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80" w:type="dxa"/>
                  <w:vMerge w:val="continue"/>
                  <w:vAlign w:val="center"/>
                </w:tcPr>
                <w:p>
                  <w:pPr>
                    <w:jc w:val="center"/>
                  </w:pPr>
                </w:p>
              </w:tc>
              <w:tc>
                <w:tcPr>
                  <w:tcW w:w="2859" w:type="dxa"/>
                  <w:vAlign w:val="center"/>
                </w:tcPr>
                <w:p>
                  <w:pPr>
                    <w:jc w:val="center"/>
                  </w:pPr>
                  <w:r>
                    <w:t>海岸线方向/</w:t>
                  </w:r>
                  <w:r>
                    <w:rPr>
                      <w:vertAlign w:val="superscript"/>
                    </w:rPr>
                    <w:t>o</w:t>
                  </w:r>
                </w:p>
              </w:tc>
              <w:tc>
                <w:tcPr>
                  <w:tcW w:w="3848" w:type="dxa"/>
                  <w:vAlign w:val="center"/>
                </w:tcPr>
                <w:p>
                  <w:pPr>
                    <w:jc w:val="center"/>
                  </w:pPr>
                  <w:r>
                    <w:t>/</w:t>
                  </w:r>
                </w:p>
              </w:tc>
            </w:tr>
          </w:tbl>
          <w:p>
            <w:pPr>
              <w:spacing w:line="360" w:lineRule="auto"/>
              <w:rPr>
                <w:bCs/>
                <w:sz w:val="24"/>
              </w:rPr>
            </w:pPr>
          </w:p>
          <w:p>
            <w:pPr>
              <w:spacing w:line="360" w:lineRule="auto"/>
              <w:jc w:val="center"/>
              <w:rPr>
                <w:bCs/>
                <w:sz w:val="24"/>
              </w:rPr>
            </w:pPr>
            <w:r>
              <w:drawing>
                <wp:inline distT="0" distB="0" distL="0" distR="0">
                  <wp:extent cx="4060825" cy="4088765"/>
                  <wp:effectExtent l="0" t="0" r="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4079553" cy="4108020"/>
                          </a:xfrm>
                          <a:prstGeom prst="rect">
                            <a:avLst/>
                          </a:prstGeom>
                        </pic:spPr>
                      </pic:pic>
                    </a:graphicData>
                  </a:graphic>
                </wp:inline>
              </w:drawing>
            </w:r>
          </w:p>
          <w:p>
            <w:pPr>
              <w:spacing w:line="360" w:lineRule="auto"/>
              <w:jc w:val="center"/>
              <w:rPr>
                <w:bCs/>
                <w:sz w:val="24"/>
              </w:rPr>
            </w:pPr>
            <w:r>
              <w:rPr>
                <w:bCs/>
                <w:sz w:val="24"/>
              </w:rPr>
              <w:drawing>
                <wp:inline distT="0" distB="0" distL="0" distR="0">
                  <wp:extent cx="4025265" cy="3427730"/>
                  <wp:effectExtent l="0" t="0" r="0" b="127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14"/>
                          <a:srcRect/>
                          <a:stretch>
                            <a:fillRect/>
                          </a:stretch>
                        </pic:blipFill>
                        <pic:spPr>
                          <a:xfrm>
                            <a:off x="0" y="0"/>
                            <a:ext cx="4055041" cy="3453030"/>
                          </a:xfrm>
                          <a:prstGeom prst="rect">
                            <a:avLst/>
                          </a:prstGeom>
                          <a:noFill/>
                          <a:ln>
                            <a:noFill/>
                          </a:ln>
                        </pic:spPr>
                      </pic:pic>
                    </a:graphicData>
                  </a:graphic>
                </wp:inline>
              </w:drawing>
            </w:r>
          </w:p>
          <w:p>
            <w:pPr>
              <w:jc w:val="center"/>
              <w:rPr>
                <w:bCs/>
                <w:sz w:val="24"/>
              </w:rPr>
            </w:pPr>
            <w:r>
              <w:rPr>
                <w:rFonts w:hint="eastAsia"/>
                <w:b/>
                <w:szCs w:val="21"/>
              </w:rPr>
              <w:t>表</w:t>
            </w:r>
            <w:r>
              <w:rPr>
                <w:b/>
                <w:szCs w:val="21"/>
              </w:rPr>
              <w:t xml:space="preserve">21  </w:t>
            </w:r>
            <w:r>
              <w:rPr>
                <w:rFonts w:hint="eastAsia"/>
                <w:b/>
                <w:szCs w:val="21"/>
              </w:rPr>
              <w:t>项目大气污染物落地浓度预测表</w:t>
            </w:r>
          </w:p>
          <w:tbl>
            <w:tblPr>
              <w:tblStyle w:val="25"/>
              <w:tblW w:w="91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160"/>
              <w:gridCol w:w="753"/>
              <w:gridCol w:w="770"/>
              <w:gridCol w:w="1237"/>
              <w:gridCol w:w="1262"/>
              <w:gridCol w:w="1797"/>
              <w:gridCol w:w="1104"/>
              <w:gridCol w:w="1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2" w:hRule="atLeast"/>
                <w:jc w:val="center"/>
              </w:trPr>
              <w:tc>
                <w:tcPr>
                  <w:tcW w:w="1160" w:type="dxa"/>
                  <w:vAlign w:val="center"/>
                </w:tcPr>
                <w:p>
                  <w:pPr>
                    <w:widowControl/>
                    <w:jc w:val="center"/>
                    <w:rPr>
                      <w:b/>
                      <w:kern w:val="0"/>
                      <w:szCs w:val="21"/>
                    </w:rPr>
                  </w:pPr>
                  <w:r>
                    <w:rPr>
                      <w:rFonts w:hint="eastAsia"/>
                      <w:b/>
                      <w:kern w:val="0"/>
                      <w:szCs w:val="21"/>
                    </w:rPr>
                    <w:t>污染源</w:t>
                  </w:r>
                </w:p>
              </w:tc>
              <w:tc>
                <w:tcPr>
                  <w:tcW w:w="753" w:type="dxa"/>
                  <w:vAlign w:val="center"/>
                </w:tcPr>
                <w:p>
                  <w:pPr>
                    <w:widowControl/>
                    <w:jc w:val="center"/>
                    <w:rPr>
                      <w:b/>
                      <w:kern w:val="0"/>
                      <w:szCs w:val="21"/>
                    </w:rPr>
                  </w:pPr>
                  <w:r>
                    <w:rPr>
                      <w:rFonts w:hint="eastAsia"/>
                      <w:b/>
                      <w:kern w:val="0"/>
                      <w:szCs w:val="21"/>
                    </w:rPr>
                    <w:t>污染源类型</w:t>
                  </w:r>
                </w:p>
              </w:tc>
              <w:tc>
                <w:tcPr>
                  <w:tcW w:w="770" w:type="dxa"/>
                  <w:vAlign w:val="center"/>
                </w:tcPr>
                <w:p>
                  <w:pPr>
                    <w:widowControl/>
                    <w:jc w:val="center"/>
                    <w:rPr>
                      <w:b/>
                      <w:kern w:val="0"/>
                      <w:szCs w:val="21"/>
                    </w:rPr>
                  </w:pPr>
                  <w:r>
                    <w:rPr>
                      <w:rFonts w:hint="eastAsia"/>
                      <w:b/>
                      <w:kern w:val="0"/>
                      <w:szCs w:val="21"/>
                    </w:rPr>
                    <w:t>污染物</w:t>
                  </w:r>
                </w:p>
              </w:tc>
              <w:tc>
                <w:tcPr>
                  <w:tcW w:w="1237" w:type="dxa"/>
                  <w:vAlign w:val="center"/>
                </w:tcPr>
                <w:p>
                  <w:pPr>
                    <w:widowControl/>
                    <w:jc w:val="center"/>
                    <w:rPr>
                      <w:b/>
                      <w:kern w:val="0"/>
                      <w:szCs w:val="21"/>
                    </w:rPr>
                  </w:pPr>
                  <w:r>
                    <w:rPr>
                      <w:rFonts w:hint="eastAsia"/>
                      <w:b/>
                      <w:kern w:val="0"/>
                      <w:szCs w:val="21"/>
                    </w:rPr>
                    <w:t>最大落地浓度出现的距离（m）</w:t>
                  </w:r>
                </w:p>
              </w:tc>
              <w:tc>
                <w:tcPr>
                  <w:tcW w:w="1262" w:type="dxa"/>
                  <w:vAlign w:val="center"/>
                </w:tcPr>
                <w:p>
                  <w:pPr>
                    <w:widowControl/>
                    <w:jc w:val="center"/>
                    <w:rPr>
                      <w:b/>
                      <w:kern w:val="0"/>
                      <w:szCs w:val="21"/>
                    </w:rPr>
                  </w:pPr>
                  <w:r>
                    <w:rPr>
                      <w:rFonts w:hint="eastAsia"/>
                      <w:b/>
                      <w:kern w:val="0"/>
                      <w:szCs w:val="21"/>
                    </w:rPr>
                    <w:t>最大落地浓度（</w:t>
                  </w:r>
                  <w:r>
                    <w:rPr>
                      <w:b/>
                      <w:kern w:val="0"/>
                      <w:szCs w:val="21"/>
                    </w:rPr>
                    <w:t>mg/m</w:t>
                  </w:r>
                  <w:r>
                    <w:rPr>
                      <w:b/>
                      <w:kern w:val="0"/>
                      <w:szCs w:val="21"/>
                      <w:vertAlign w:val="superscript"/>
                    </w:rPr>
                    <w:t>3</w:t>
                  </w:r>
                  <w:r>
                    <w:rPr>
                      <w:rFonts w:hint="eastAsia"/>
                      <w:b/>
                      <w:kern w:val="0"/>
                      <w:szCs w:val="21"/>
                    </w:rPr>
                    <w:t>）</w:t>
                  </w:r>
                </w:p>
              </w:tc>
              <w:tc>
                <w:tcPr>
                  <w:tcW w:w="1797" w:type="dxa"/>
                  <w:vAlign w:val="center"/>
                </w:tcPr>
                <w:p>
                  <w:pPr>
                    <w:widowControl/>
                    <w:jc w:val="center"/>
                    <w:rPr>
                      <w:b/>
                      <w:szCs w:val="21"/>
                    </w:rPr>
                  </w:pPr>
                  <w:r>
                    <w:rPr>
                      <w:rFonts w:hint="eastAsia"/>
                      <w:b/>
                      <w:kern w:val="0"/>
                      <w:szCs w:val="21"/>
                    </w:rPr>
                    <w:t>最大落地浓度占标率（%）</w:t>
                  </w:r>
                </w:p>
              </w:tc>
              <w:tc>
                <w:tcPr>
                  <w:tcW w:w="1104" w:type="dxa"/>
                  <w:vAlign w:val="center"/>
                </w:tcPr>
                <w:p>
                  <w:pPr>
                    <w:widowControl/>
                    <w:jc w:val="center"/>
                    <w:rPr>
                      <w:b/>
                      <w:szCs w:val="21"/>
                    </w:rPr>
                  </w:pPr>
                  <w:r>
                    <w:rPr>
                      <w:rFonts w:hint="eastAsia"/>
                      <w:b/>
                      <w:szCs w:val="21"/>
                    </w:rPr>
                    <w:t>标准值</w:t>
                  </w:r>
                  <w:r>
                    <w:rPr>
                      <w:b/>
                      <w:szCs w:val="21"/>
                    </w:rPr>
                    <w:t>(mg/m</w:t>
                  </w:r>
                  <w:r>
                    <w:rPr>
                      <w:b/>
                      <w:szCs w:val="21"/>
                      <w:vertAlign w:val="superscript"/>
                    </w:rPr>
                    <w:t>3</w:t>
                  </w:r>
                  <w:r>
                    <w:rPr>
                      <w:b/>
                      <w:szCs w:val="21"/>
                    </w:rPr>
                    <w:t>)</w:t>
                  </w:r>
                </w:p>
              </w:tc>
              <w:tc>
                <w:tcPr>
                  <w:tcW w:w="1104" w:type="dxa"/>
                  <w:vAlign w:val="center"/>
                </w:tcPr>
                <w:p>
                  <w:pPr>
                    <w:widowControl/>
                    <w:jc w:val="center"/>
                    <w:rPr>
                      <w:b/>
                      <w:szCs w:val="21"/>
                    </w:rPr>
                  </w:pPr>
                  <w:r>
                    <w:rPr>
                      <w:rFonts w:hint="eastAsia"/>
                      <w:b/>
                      <w:szCs w:val="21"/>
                    </w:rPr>
                    <w:t>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2" w:hRule="atLeast"/>
                <w:jc w:val="center"/>
              </w:trPr>
              <w:tc>
                <w:tcPr>
                  <w:tcW w:w="1160" w:type="dxa"/>
                  <w:shd w:val="clear" w:color="auto" w:fill="auto"/>
                  <w:vAlign w:val="center"/>
                </w:tcPr>
                <w:p>
                  <w:pPr>
                    <w:jc w:val="center"/>
                    <w:rPr>
                      <w:szCs w:val="21"/>
                    </w:rPr>
                  </w:pPr>
                  <w:r>
                    <w:rPr>
                      <w:rFonts w:hint="eastAsia"/>
                    </w:rPr>
                    <w:t>生产车间</w:t>
                  </w:r>
                </w:p>
              </w:tc>
              <w:tc>
                <w:tcPr>
                  <w:tcW w:w="753" w:type="dxa"/>
                  <w:vAlign w:val="center"/>
                </w:tcPr>
                <w:p>
                  <w:pPr>
                    <w:widowControl/>
                    <w:jc w:val="center"/>
                    <w:rPr>
                      <w:szCs w:val="21"/>
                    </w:rPr>
                  </w:pPr>
                  <w:r>
                    <w:rPr>
                      <w:rFonts w:hint="eastAsia"/>
                      <w:szCs w:val="21"/>
                    </w:rPr>
                    <w:t>面源</w:t>
                  </w:r>
                </w:p>
              </w:tc>
              <w:tc>
                <w:tcPr>
                  <w:tcW w:w="770" w:type="dxa"/>
                  <w:vAlign w:val="center"/>
                </w:tcPr>
                <w:p>
                  <w:pPr>
                    <w:widowControl/>
                    <w:jc w:val="center"/>
                    <w:rPr>
                      <w:szCs w:val="21"/>
                    </w:rPr>
                  </w:pPr>
                  <w:r>
                    <w:rPr>
                      <w:rFonts w:hint="eastAsia"/>
                    </w:rPr>
                    <w:t>颗粒物</w:t>
                  </w:r>
                </w:p>
              </w:tc>
              <w:tc>
                <w:tcPr>
                  <w:tcW w:w="1237" w:type="dxa"/>
                  <w:vAlign w:val="center"/>
                </w:tcPr>
                <w:p>
                  <w:pPr>
                    <w:widowControl/>
                    <w:jc w:val="center"/>
                    <w:rPr>
                      <w:kern w:val="0"/>
                      <w:szCs w:val="21"/>
                    </w:rPr>
                  </w:pPr>
                  <w:r>
                    <w:rPr>
                      <w:szCs w:val="21"/>
                    </w:rPr>
                    <w:t>26</w:t>
                  </w:r>
                </w:p>
              </w:tc>
              <w:tc>
                <w:tcPr>
                  <w:tcW w:w="1262" w:type="dxa"/>
                  <w:vAlign w:val="center"/>
                </w:tcPr>
                <w:p>
                  <w:pPr>
                    <w:widowControl/>
                    <w:jc w:val="center"/>
                    <w:rPr>
                      <w:kern w:val="0"/>
                      <w:szCs w:val="21"/>
                    </w:rPr>
                  </w:pPr>
                  <w:r>
                    <w:rPr>
                      <w:szCs w:val="21"/>
                    </w:rPr>
                    <w:t>0.0286</w:t>
                  </w:r>
                </w:p>
              </w:tc>
              <w:tc>
                <w:tcPr>
                  <w:tcW w:w="1797" w:type="dxa"/>
                  <w:shd w:val="clear" w:color="auto" w:fill="auto"/>
                  <w:vAlign w:val="center"/>
                </w:tcPr>
                <w:p>
                  <w:pPr>
                    <w:widowControl/>
                    <w:snapToGrid w:val="0"/>
                    <w:jc w:val="center"/>
                    <w:rPr>
                      <w:bCs/>
                      <w:szCs w:val="21"/>
                    </w:rPr>
                  </w:pPr>
                  <w:r>
                    <w:rPr>
                      <w:szCs w:val="21"/>
                    </w:rPr>
                    <w:t>3.18</w:t>
                  </w:r>
                </w:p>
              </w:tc>
              <w:tc>
                <w:tcPr>
                  <w:tcW w:w="1104" w:type="dxa"/>
                  <w:vAlign w:val="center"/>
                </w:tcPr>
                <w:p>
                  <w:pPr>
                    <w:widowControl/>
                    <w:snapToGrid w:val="0"/>
                    <w:jc w:val="center"/>
                    <w:rPr>
                      <w:szCs w:val="21"/>
                    </w:rPr>
                  </w:pPr>
                  <w:r>
                    <w:rPr>
                      <w:szCs w:val="21"/>
                    </w:rPr>
                    <w:t>0.9</w:t>
                  </w:r>
                </w:p>
              </w:tc>
              <w:tc>
                <w:tcPr>
                  <w:tcW w:w="1104" w:type="dxa"/>
                  <w:vAlign w:val="center"/>
                </w:tcPr>
                <w:p>
                  <w:pPr>
                    <w:widowControl/>
                    <w:snapToGrid w:val="0"/>
                    <w:jc w:val="center"/>
                    <w:rPr>
                      <w:szCs w:val="21"/>
                    </w:rPr>
                  </w:pPr>
                  <w:r>
                    <w:rPr>
                      <w:rFonts w:hint="eastAsia"/>
                      <w:szCs w:val="21"/>
                    </w:rPr>
                    <w:t>二级</w:t>
                  </w:r>
                </w:p>
              </w:tc>
            </w:tr>
          </w:tbl>
          <w:p>
            <w:pPr>
              <w:spacing w:line="360" w:lineRule="auto"/>
              <w:ind w:firstLine="480" w:firstLineChars="200"/>
              <w:rPr>
                <w:bCs/>
                <w:sz w:val="24"/>
              </w:rPr>
            </w:pPr>
            <w:r>
              <w:rPr>
                <w:rFonts w:hint="eastAsia"/>
                <w:bCs/>
                <w:sz w:val="24"/>
              </w:rPr>
              <w:t>根据《环境影响评价技术导则</w:t>
            </w:r>
            <w:r>
              <w:rPr>
                <w:bCs/>
                <w:sz w:val="24"/>
              </w:rPr>
              <w:t xml:space="preserve"> </w:t>
            </w:r>
            <w:r>
              <w:rPr>
                <w:rFonts w:hint="eastAsia"/>
                <w:bCs/>
                <w:sz w:val="24"/>
              </w:rPr>
              <w:t>大气环境》（</w:t>
            </w:r>
            <w:r>
              <w:rPr>
                <w:bCs/>
                <w:sz w:val="24"/>
              </w:rPr>
              <w:t>HJ2.2-2018</w:t>
            </w:r>
            <w:r>
              <w:rPr>
                <w:rFonts w:hint="eastAsia"/>
                <w:bCs/>
                <w:sz w:val="24"/>
              </w:rPr>
              <w:t>）的规定，选择项目污染源正常排放的主要污染物及排放系数，采用附录</w:t>
            </w:r>
            <w:r>
              <w:rPr>
                <w:bCs/>
                <w:sz w:val="24"/>
              </w:rPr>
              <w:t>A</w:t>
            </w:r>
            <w:r>
              <w:rPr>
                <w:rFonts w:hint="eastAsia"/>
                <w:bCs/>
                <w:sz w:val="24"/>
              </w:rPr>
              <w:t>推荐的</w:t>
            </w:r>
            <w:r>
              <w:rPr>
                <w:bCs/>
                <w:sz w:val="24"/>
              </w:rPr>
              <w:t>AERSCREEN</w:t>
            </w:r>
            <w:r>
              <w:rPr>
                <w:rFonts w:hint="eastAsia"/>
                <w:bCs/>
                <w:sz w:val="24"/>
              </w:rPr>
              <w:t>估算模型计算项目污染源的最大环境影响，然后按评价工作分级判据进行分级。评价等级按照表</w:t>
            </w:r>
            <w:r>
              <w:rPr>
                <w:bCs/>
                <w:sz w:val="24"/>
              </w:rPr>
              <w:t>31</w:t>
            </w:r>
            <w:r>
              <w:rPr>
                <w:rFonts w:hint="eastAsia"/>
                <w:bCs/>
                <w:sz w:val="24"/>
              </w:rPr>
              <w:t>的分级判据进行划分。</w:t>
            </w:r>
          </w:p>
          <w:p>
            <w:pPr>
              <w:jc w:val="center"/>
              <w:rPr>
                <w:b/>
                <w:szCs w:val="21"/>
                <w:lang w:val="zh-CN"/>
              </w:rPr>
            </w:pPr>
            <w:r>
              <w:rPr>
                <w:rFonts w:hint="eastAsia"/>
                <w:b/>
                <w:szCs w:val="21"/>
                <w:lang w:val="zh-CN"/>
              </w:rPr>
              <w:t>表</w:t>
            </w:r>
            <w:r>
              <w:rPr>
                <w:b/>
                <w:szCs w:val="21"/>
                <w:lang w:val="zh-CN"/>
              </w:rPr>
              <w:t xml:space="preserve">31  </w:t>
            </w:r>
            <w:r>
              <w:rPr>
                <w:rFonts w:hint="eastAsia"/>
                <w:b/>
                <w:szCs w:val="21"/>
                <w:lang w:val="zh-CN"/>
              </w:rPr>
              <w:t>评价等级判别表</w:t>
            </w:r>
          </w:p>
          <w:tbl>
            <w:tblPr>
              <w:tblStyle w:val="26"/>
              <w:tblW w:w="91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1"/>
              <w:gridCol w:w="4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91" w:type="dxa"/>
                  <w:vAlign w:val="center"/>
                </w:tcPr>
                <w:p>
                  <w:pPr>
                    <w:spacing w:line="360" w:lineRule="auto"/>
                    <w:jc w:val="center"/>
                    <w:rPr>
                      <w:szCs w:val="21"/>
                      <w:lang w:val="zh-CN"/>
                    </w:rPr>
                  </w:pPr>
                  <w:r>
                    <w:rPr>
                      <w:rFonts w:hint="eastAsia"/>
                      <w:szCs w:val="21"/>
                      <w:lang w:val="zh-CN"/>
                    </w:rPr>
                    <w:t>评价工作等级</w:t>
                  </w:r>
                </w:p>
              </w:tc>
              <w:tc>
                <w:tcPr>
                  <w:tcW w:w="4591" w:type="dxa"/>
                  <w:vAlign w:val="center"/>
                </w:tcPr>
                <w:p>
                  <w:pPr>
                    <w:spacing w:line="360" w:lineRule="auto"/>
                    <w:jc w:val="center"/>
                    <w:rPr>
                      <w:szCs w:val="21"/>
                      <w:lang w:val="zh-CN"/>
                    </w:rPr>
                  </w:pPr>
                  <w:r>
                    <w:rPr>
                      <w:rFonts w:hint="eastAsia"/>
                      <w:szCs w:val="21"/>
                      <w:lang w:val="zh-CN"/>
                    </w:rPr>
                    <w:t>评价工作等级依据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91" w:type="dxa"/>
                  <w:vAlign w:val="center"/>
                </w:tcPr>
                <w:p>
                  <w:pPr>
                    <w:spacing w:line="360" w:lineRule="auto"/>
                    <w:jc w:val="center"/>
                    <w:rPr>
                      <w:szCs w:val="21"/>
                      <w:lang w:val="zh-CN"/>
                    </w:rPr>
                  </w:pPr>
                  <w:r>
                    <w:rPr>
                      <w:rFonts w:hint="eastAsia"/>
                      <w:szCs w:val="21"/>
                      <w:lang w:val="zh-CN"/>
                    </w:rPr>
                    <w:t>一级</w:t>
                  </w:r>
                </w:p>
              </w:tc>
              <w:tc>
                <w:tcPr>
                  <w:tcW w:w="4591" w:type="dxa"/>
                  <w:vAlign w:val="center"/>
                </w:tcPr>
                <w:p>
                  <w:pPr>
                    <w:spacing w:line="360" w:lineRule="auto"/>
                    <w:jc w:val="center"/>
                    <w:rPr>
                      <w:szCs w:val="21"/>
                      <w:lang w:val="zh-CN"/>
                    </w:rPr>
                  </w:pPr>
                  <w:r>
                    <w:rPr>
                      <w:rFonts w:hint="eastAsia"/>
                      <w:szCs w:val="21"/>
                      <w:lang w:val="zh-CN"/>
                    </w:rPr>
                    <w:t>Pmax≥</w:t>
                  </w:r>
                  <w:r>
                    <w:rPr>
                      <w:szCs w:val="21"/>
                      <w:lang w:val="zh-CN"/>
                    </w:rPr>
                    <w:t>10</w:t>
                  </w:r>
                  <w:r>
                    <w:rPr>
                      <w:rFonts w:hint="eastAsia"/>
                      <w:szCs w:val="21"/>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91" w:type="dxa"/>
                  <w:vAlign w:val="center"/>
                </w:tcPr>
                <w:p>
                  <w:pPr>
                    <w:spacing w:line="360" w:lineRule="auto"/>
                    <w:jc w:val="center"/>
                    <w:rPr>
                      <w:szCs w:val="21"/>
                      <w:lang w:val="zh-CN"/>
                    </w:rPr>
                  </w:pPr>
                  <w:r>
                    <w:rPr>
                      <w:rFonts w:hint="eastAsia"/>
                      <w:szCs w:val="21"/>
                      <w:lang w:val="zh-CN"/>
                    </w:rPr>
                    <w:t>二级</w:t>
                  </w:r>
                </w:p>
              </w:tc>
              <w:tc>
                <w:tcPr>
                  <w:tcW w:w="4591" w:type="dxa"/>
                  <w:vAlign w:val="center"/>
                </w:tcPr>
                <w:p>
                  <w:pPr>
                    <w:spacing w:line="360" w:lineRule="auto"/>
                    <w:jc w:val="center"/>
                    <w:rPr>
                      <w:szCs w:val="21"/>
                      <w:lang w:val="zh-CN"/>
                    </w:rPr>
                  </w:pPr>
                  <w:r>
                    <w:rPr>
                      <w:rFonts w:hint="eastAsia"/>
                      <w:szCs w:val="21"/>
                      <w:lang w:val="zh-CN"/>
                    </w:rPr>
                    <w:t>1</w:t>
                  </w:r>
                  <w:r>
                    <w:rPr>
                      <w:szCs w:val="21"/>
                      <w:lang w:val="zh-CN"/>
                    </w:rPr>
                    <w:t>%</w:t>
                  </w:r>
                  <w:r>
                    <w:rPr>
                      <w:rFonts w:hint="eastAsia"/>
                      <w:szCs w:val="21"/>
                      <w:lang w:val="zh-CN"/>
                    </w:rPr>
                    <w:t>≤Pmax&lt;</w:t>
                  </w:r>
                  <w:r>
                    <w:rPr>
                      <w:szCs w:val="21"/>
                      <w:lang w:val="zh-CN"/>
                    </w:rPr>
                    <w:t>10</w:t>
                  </w:r>
                  <w:r>
                    <w:rPr>
                      <w:rFonts w:hint="eastAsia"/>
                      <w:szCs w:val="21"/>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91" w:type="dxa"/>
                  <w:vAlign w:val="center"/>
                </w:tcPr>
                <w:p>
                  <w:pPr>
                    <w:spacing w:line="360" w:lineRule="auto"/>
                    <w:jc w:val="center"/>
                    <w:rPr>
                      <w:szCs w:val="21"/>
                      <w:lang w:val="zh-CN"/>
                    </w:rPr>
                  </w:pPr>
                  <w:r>
                    <w:rPr>
                      <w:rFonts w:hint="eastAsia"/>
                      <w:szCs w:val="21"/>
                      <w:lang w:val="zh-CN"/>
                    </w:rPr>
                    <w:t>三级</w:t>
                  </w:r>
                </w:p>
              </w:tc>
              <w:tc>
                <w:tcPr>
                  <w:tcW w:w="4591" w:type="dxa"/>
                  <w:vAlign w:val="center"/>
                </w:tcPr>
                <w:p>
                  <w:pPr>
                    <w:spacing w:line="360" w:lineRule="auto"/>
                    <w:jc w:val="center"/>
                    <w:rPr>
                      <w:szCs w:val="21"/>
                      <w:lang w:val="zh-CN"/>
                    </w:rPr>
                  </w:pPr>
                  <w:r>
                    <w:rPr>
                      <w:rFonts w:hint="eastAsia"/>
                      <w:szCs w:val="21"/>
                      <w:lang w:val="zh-CN"/>
                    </w:rPr>
                    <w:t>Pmax&lt;</w:t>
                  </w:r>
                  <w:r>
                    <w:rPr>
                      <w:szCs w:val="21"/>
                      <w:lang w:val="zh-CN"/>
                    </w:rPr>
                    <w:t>1</w:t>
                  </w:r>
                  <w:r>
                    <w:rPr>
                      <w:rFonts w:hint="eastAsia"/>
                      <w:szCs w:val="21"/>
                      <w:lang w:val="zh-CN"/>
                    </w:rPr>
                    <w:t>%</w:t>
                  </w:r>
                </w:p>
              </w:tc>
            </w:tr>
          </w:tbl>
          <w:p>
            <w:pPr>
              <w:spacing w:line="360" w:lineRule="auto"/>
              <w:ind w:firstLine="480" w:firstLineChars="200"/>
              <w:rPr>
                <w:sz w:val="24"/>
                <w:szCs w:val="22"/>
              </w:rPr>
            </w:pPr>
            <w:r>
              <w:rPr>
                <w:rFonts w:hint="eastAsia"/>
                <w:sz w:val="24"/>
                <w:szCs w:val="22"/>
              </w:rPr>
              <w:t>由表</w:t>
            </w:r>
            <w:r>
              <w:rPr>
                <w:sz w:val="24"/>
                <w:szCs w:val="22"/>
              </w:rPr>
              <w:t>19</w:t>
            </w:r>
            <w:r>
              <w:rPr>
                <w:rFonts w:hint="eastAsia"/>
                <w:sz w:val="24"/>
                <w:szCs w:val="22"/>
              </w:rPr>
              <w:t>和表</w:t>
            </w:r>
            <w:r>
              <w:rPr>
                <w:sz w:val="24"/>
                <w:szCs w:val="22"/>
              </w:rPr>
              <w:t>21</w:t>
            </w:r>
            <w:r>
              <w:rPr>
                <w:rFonts w:hint="eastAsia"/>
                <w:sz w:val="24"/>
                <w:szCs w:val="22"/>
              </w:rPr>
              <w:t>可知，本项目评价工作等级为二级，评价范围为边长</w:t>
            </w:r>
            <w:r>
              <w:rPr>
                <w:sz w:val="24"/>
                <w:szCs w:val="22"/>
              </w:rPr>
              <w:t>5km</w:t>
            </w:r>
            <w:r>
              <w:rPr>
                <w:rFonts w:hint="eastAsia"/>
                <w:sz w:val="24"/>
                <w:szCs w:val="22"/>
              </w:rPr>
              <w:t>的矩形区域。</w:t>
            </w:r>
          </w:p>
          <w:p>
            <w:pPr>
              <w:spacing w:line="360" w:lineRule="auto"/>
              <w:ind w:firstLine="480" w:firstLineChars="200"/>
              <w:rPr>
                <w:sz w:val="24"/>
              </w:rPr>
            </w:pPr>
            <w:r>
              <w:rPr>
                <w:rFonts w:hint="eastAsia"/>
                <w:sz w:val="24"/>
              </w:rPr>
              <w:t>本项目正常工况下大气污染物排放量核算表详见表</w:t>
            </w:r>
            <w:r>
              <w:rPr>
                <w:sz w:val="24"/>
              </w:rPr>
              <w:t>32~</w:t>
            </w:r>
            <w:r>
              <w:rPr>
                <w:rFonts w:hint="eastAsia"/>
                <w:sz w:val="24"/>
              </w:rPr>
              <w:t>表</w:t>
            </w:r>
            <w:r>
              <w:rPr>
                <w:sz w:val="24"/>
              </w:rPr>
              <w:t>33</w:t>
            </w:r>
            <w:r>
              <w:rPr>
                <w:rFonts w:hint="eastAsia"/>
                <w:sz w:val="24"/>
              </w:rPr>
              <w:t>。</w:t>
            </w:r>
          </w:p>
          <w:p>
            <w:pPr>
              <w:ind w:firstLine="422" w:firstLineChars="200"/>
              <w:jc w:val="center"/>
              <w:rPr>
                <w:b/>
                <w:szCs w:val="21"/>
              </w:rPr>
            </w:pPr>
            <w:r>
              <w:rPr>
                <w:rFonts w:hint="eastAsia"/>
                <w:b/>
                <w:szCs w:val="21"/>
              </w:rPr>
              <w:t>表</w:t>
            </w:r>
            <w:r>
              <w:rPr>
                <w:b/>
                <w:szCs w:val="21"/>
              </w:rPr>
              <w:t xml:space="preserve">32  </w:t>
            </w:r>
            <w:r>
              <w:rPr>
                <w:rFonts w:hint="eastAsia"/>
                <w:b/>
                <w:szCs w:val="21"/>
              </w:rPr>
              <w:t>本项目大气污染物无组织排放量核算表</w:t>
            </w:r>
          </w:p>
          <w:tbl>
            <w:tblPr>
              <w:tblStyle w:val="25"/>
              <w:tblW w:w="91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9"/>
              <w:gridCol w:w="1034"/>
              <w:gridCol w:w="822"/>
              <w:gridCol w:w="771"/>
              <w:gridCol w:w="1349"/>
              <w:gridCol w:w="2046"/>
              <w:gridCol w:w="1393"/>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59" w:type="dxa"/>
                  <w:vMerge w:val="restart"/>
                  <w:vAlign w:val="center"/>
                </w:tcPr>
                <w:p>
                  <w:pPr>
                    <w:jc w:val="center"/>
                  </w:pPr>
                  <w:r>
                    <w:rPr>
                      <w:rFonts w:hint="eastAsia"/>
                    </w:rPr>
                    <w:t>序号</w:t>
                  </w:r>
                </w:p>
              </w:tc>
              <w:tc>
                <w:tcPr>
                  <w:tcW w:w="1034" w:type="dxa"/>
                  <w:vMerge w:val="restart"/>
                  <w:vAlign w:val="center"/>
                </w:tcPr>
                <w:p>
                  <w:pPr>
                    <w:jc w:val="center"/>
                  </w:pPr>
                  <w:r>
                    <w:rPr>
                      <w:rFonts w:hint="eastAsia"/>
                    </w:rPr>
                    <w:t>排放口编号</w:t>
                  </w:r>
                </w:p>
              </w:tc>
              <w:tc>
                <w:tcPr>
                  <w:tcW w:w="822" w:type="dxa"/>
                  <w:vMerge w:val="restart"/>
                  <w:vAlign w:val="center"/>
                </w:tcPr>
                <w:p>
                  <w:pPr>
                    <w:jc w:val="center"/>
                  </w:pPr>
                  <w:r>
                    <w:rPr>
                      <w:rFonts w:hint="eastAsia"/>
                    </w:rPr>
                    <w:t>产污环节</w:t>
                  </w:r>
                </w:p>
              </w:tc>
              <w:tc>
                <w:tcPr>
                  <w:tcW w:w="771" w:type="dxa"/>
                  <w:vMerge w:val="restart"/>
                  <w:vAlign w:val="center"/>
                </w:tcPr>
                <w:p>
                  <w:pPr>
                    <w:jc w:val="center"/>
                  </w:pPr>
                  <w:r>
                    <w:rPr>
                      <w:rFonts w:hint="eastAsia"/>
                    </w:rPr>
                    <w:t>污染物</w:t>
                  </w:r>
                </w:p>
              </w:tc>
              <w:tc>
                <w:tcPr>
                  <w:tcW w:w="1349" w:type="dxa"/>
                  <w:vMerge w:val="restart"/>
                  <w:vAlign w:val="center"/>
                </w:tcPr>
                <w:p>
                  <w:pPr>
                    <w:jc w:val="center"/>
                  </w:pPr>
                  <w:r>
                    <w:rPr>
                      <w:rFonts w:hint="eastAsia"/>
                    </w:rPr>
                    <w:t>主要污染防治措施</w:t>
                  </w:r>
                </w:p>
              </w:tc>
              <w:tc>
                <w:tcPr>
                  <w:tcW w:w="3439" w:type="dxa"/>
                  <w:gridSpan w:val="2"/>
                  <w:vAlign w:val="center"/>
                </w:tcPr>
                <w:p>
                  <w:pPr>
                    <w:jc w:val="center"/>
                  </w:pPr>
                  <w:r>
                    <w:rPr>
                      <w:rFonts w:hint="eastAsia"/>
                    </w:rPr>
                    <w:t>国家或地方污染物排放标准</w:t>
                  </w:r>
                </w:p>
              </w:tc>
              <w:tc>
                <w:tcPr>
                  <w:tcW w:w="1213" w:type="dxa"/>
                  <w:vMerge w:val="restart"/>
                  <w:vAlign w:val="center"/>
                </w:tcPr>
                <w:p>
                  <w:pPr>
                    <w:jc w:val="center"/>
                  </w:pPr>
                  <w:r>
                    <w:rPr>
                      <w:rFonts w:hint="eastAsia"/>
                    </w:rPr>
                    <w:t>年排放量（</w:t>
                  </w:r>
                  <w:r>
                    <w:t>t/a</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59" w:type="dxa"/>
                  <w:vMerge w:val="continue"/>
                  <w:vAlign w:val="center"/>
                </w:tcPr>
                <w:p>
                  <w:pPr>
                    <w:widowControl/>
                    <w:jc w:val="left"/>
                  </w:pPr>
                </w:p>
              </w:tc>
              <w:tc>
                <w:tcPr>
                  <w:tcW w:w="1034" w:type="dxa"/>
                  <w:vMerge w:val="continue"/>
                  <w:vAlign w:val="center"/>
                </w:tcPr>
                <w:p>
                  <w:pPr>
                    <w:widowControl/>
                    <w:jc w:val="left"/>
                  </w:pPr>
                </w:p>
              </w:tc>
              <w:tc>
                <w:tcPr>
                  <w:tcW w:w="822" w:type="dxa"/>
                  <w:vMerge w:val="continue"/>
                  <w:vAlign w:val="center"/>
                </w:tcPr>
                <w:p>
                  <w:pPr>
                    <w:widowControl/>
                    <w:jc w:val="left"/>
                  </w:pPr>
                </w:p>
              </w:tc>
              <w:tc>
                <w:tcPr>
                  <w:tcW w:w="771" w:type="dxa"/>
                  <w:vMerge w:val="continue"/>
                  <w:vAlign w:val="center"/>
                </w:tcPr>
                <w:p>
                  <w:pPr>
                    <w:widowControl/>
                    <w:jc w:val="left"/>
                  </w:pPr>
                </w:p>
              </w:tc>
              <w:tc>
                <w:tcPr>
                  <w:tcW w:w="1349" w:type="dxa"/>
                  <w:vMerge w:val="continue"/>
                  <w:vAlign w:val="center"/>
                </w:tcPr>
                <w:p>
                  <w:pPr>
                    <w:widowControl/>
                    <w:jc w:val="left"/>
                  </w:pPr>
                </w:p>
              </w:tc>
              <w:tc>
                <w:tcPr>
                  <w:tcW w:w="2046" w:type="dxa"/>
                  <w:vAlign w:val="center"/>
                </w:tcPr>
                <w:p>
                  <w:pPr>
                    <w:jc w:val="center"/>
                  </w:pPr>
                  <w:r>
                    <w:rPr>
                      <w:rFonts w:hint="eastAsia"/>
                    </w:rPr>
                    <w:t>标准名称</w:t>
                  </w:r>
                </w:p>
              </w:tc>
              <w:tc>
                <w:tcPr>
                  <w:tcW w:w="1393" w:type="dxa"/>
                  <w:vAlign w:val="center"/>
                </w:tcPr>
                <w:p>
                  <w:pPr>
                    <w:jc w:val="center"/>
                  </w:pPr>
                  <w:r>
                    <w:rPr>
                      <w:rFonts w:hint="eastAsia"/>
                    </w:rPr>
                    <w:t>浓度限值（</w:t>
                  </w:r>
                  <w:r>
                    <w:t>μg/m</w:t>
                  </w:r>
                  <w:r>
                    <w:rPr>
                      <w:vertAlign w:val="superscript"/>
                    </w:rPr>
                    <w:t>3</w:t>
                  </w:r>
                  <w:r>
                    <w:rPr>
                      <w:rFonts w:hint="eastAsia"/>
                    </w:rPr>
                    <w:t>）</w:t>
                  </w:r>
                </w:p>
              </w:tc>
              <w:tc>
                <w:tcPr>
                  <w:tcW w:w="1213" w:type="dxa"/>
                  <w:vMerge w:val="continue"/>
                  <w:vAlign w:val="center"/>
                </w:tcPr>
                <w:p>
                  <w:pPr>
                    <w:widowControl/>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59" w:type="dxa"/>
                  <w:vAlign w:val="center"/>
                </w:tcPr>
                <w:p>
                  <w:pPr>
                    <w:jc w:val="center"/>
                  </w:pPr>
                  <w:r>
                    <w:t>1</w:t>
                  </w:r>
                </w:p>
              </w:tc>
              <w:tc>
                <w:tcPr>
                  <w:tcW w:w="1034" w:type="dxa"/>
                  <w:vAlign w:val="center"/>
                </w:tcPr>
                <w:p>
                  <w:pPr>
                    <w:jc w:val="center"/>
                  </w:pPr>
                  <w:r>
                    <w:rPr>
                      <w:rFonts w:hint="eastAsia"/>
                    </w:rPr>
                    <w:t>S1</w:t>
                  </w:r>
                </w:p>
              </w:tc>
              <w:tc>
                <w:tcPr>
                  <w:tcW w:w="822" w:type="dxa"/>
                  <w:vAlign w:val="center"/>
                </w:tcPr>
                <w:p>
                  <w:pPr>
                    <w:jc w:val="center"/>
                  </w:pPr>
                  <w:r>
                    <w:rPr>
                      <w:rFonts w:hint="eastAsia"/>
                    </w:rPr>
                    <w:t>生产车间1一层</w:t>
                  </w:r>
                </w:p>
              </w:tc>
              <w:tc>
                <w:tcPr>
                  <w:tcW w:w="771" w:type="dxa"/>
                  <w:shd w:val="clear" w:color="auto" w:fill="auto"/>
                  <w:vAlign w:val="center"/>
                </w:tcPr>
                <w:p>
                  <w:pPr>
                    <w:jc w:val="center"/>
                  </w:pPr>
                  <w:r>
                    <w:rPr>
                      <w:rFonts w:hint="eastAsia"/>
                      <w:szCs w:val="21"/>
                    </w:rPr>
                    <w:t>颗粒物</w:t>
                  </w:r>
                </w:p>
              </w:tc>
              <w:tc>
                <w:tcPr>
                  <w:tcW w:w="1349" w:type="dxa"/>
                  <w:vAlign w:val="center"/>
                </w:tcPr>
                <w:p>
                  <w:pPr>
                    <w:jc w:val="center"/>
                  </w:pPr>
                  <w:r>
                    <w:rPr>
                      <w:rFonts w:hint="eastAsia"/>
                    </w:rPr>
                    <w:t>通风</w:t>
                  </w:r>
                </w:p>
              </w:tc>
              <w:tc>
                <w:tcPr>
                  <w:tcW w:w="2046" w:type="dxa"/>
                  <w:vAlign w:val="center"/>
                </w:tcPr>
                <w:p>
                  <w:pPr>
                    <w:jc w:val="center"/>
                  </w:pPr>
                  <w:r>
                    <w:rPr>
                      <w:rFonts w:hint="eastAsia"/>
                    </w:rPr>
                    <w:t>广东省《大气污染物排放限值》（</w:t>
                  </w:r>
                  <w:r>
                    <w:t>DB44/27-2001</w:t>
                  </w:r>
                  <w:r>
                    <w:rPr>
                      <w:rFonts w:hint="eastAsia"/>
                    </w:rPr>
                    <w:t>）</w:t>
                  </w:r>
                </w:p>
              </w:tc>
              <w:tc>
                <w:tcPr>
                  <w:tcW w:w="1393" w:type="dxa"/>
                  <w:vAlign w:val="center"/>
                </w:tcPr>
                <w:p>
                  <w:pPr>
                    <w:jc w:val="center"/>
                  </w:pPr>
                  <w:r>
                    <w:t>900</w:t>
                  </w:r>
                </w:p>
              </w:tc>
              <w:tc>
                <w:tcPr>
                  <w:tcW w:w="1213" w:type="dxa"/>
                  <w:vAlign w:val="center"/>
                </w:tcPr>
                <w:p>
                  <w:pPr>
                    <w:jc w:val="center"/>
                  </w:pPr>
                  <w:r>
                    <w:rPr>
                      <w:kern w:val="0"/>
                      <w:szCs w:val="21"/>
                    </w:rPr>
                    <w:t>0.0665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187" w:type="dxa"/>
                  <w:gridSpan w:val="8"/>
                  <w:vAlign w:val="center"/>
                </w:tcPr>
                <w:p>
                  <w:pPr>
                    <w:jc w:val="center"/>
                  </w:pPr>
                  <w:r>
                    <w:rPr>
                      <w:rFonts w:hint="eastAsia"/>
                    </w:rPr>
                    <w:t>无组织排放总计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186" w:type="dxa"/>
                  <w:gridSpan w:val="4"/>
                  <w:vAlign w:val="center"/>
                </w:tcPr>
                <w:p>
                  <w:pPr>
                    <w:jc w:val="center"/>
                  </w:pPr>
                  <w:r>
                    <w:rPr>
                      <w:rFonts w:hint="eastAsia"/>
                    </w:rPr>
                    <w:t>无组织排放总计</w:t>
                  </w:r>
                </w:p>
              </w:tc>
              <w:tc>
                <w:tcPr>
                  <w:tcW w:w="4788" w:type="dxa"/>
                  <w:gridSpan w:val="3"/>
                  <w:vAlign w:val="center"/>
                </w:tcPr>
                <w:p>
                  <w:pPr>
                    <w:jc w:val="center"/>
                  </w:pPr>
                  <w:r>
                    <w:rPr>
                      <w:rFonts w:hint="eastAsia"/>
                    </w:rPr>
                    <w:t>颗粒物</w:t>
                  </w:r>
                </w:p>
              </w:tc>
              <w:tc>
                <w:tcPr>
                  <w:tcW w:w="1213" w:type="dxa"/>
                  <w:vAlign w:val="center"/>
                </w:tcPr>
                <w:p>
                  <w:pPr>
                    <w:jc w:val="center"/>
                    <w:rPr>
                      <w:szCs w:val="21"/>
                    </w:rPr>
                  </w:pPr>
                  <w:r>
                    <w:rPr>
                      <w:kern w:val="0"/>
                      <w:szCs w:val="21"/>
                    </w:rPr>
                    <w:t>0.0665</w:t>
                  </w:r>
                </w:p>
              </w:tc>
            </w:tr>
          </w:tbl>
          <w:p>
            <w:pPr>
              <w:ind w:firstLine="422" w:firstLineChars="200"/>
              <w:jc w:val="center"/>
              <w:rPr>
                <w:b/>
                <w:szCs w:val="21"/>
              </w:rPr>
            </w:pPr>
          </w:p>
          <w:p>
            <w:pPr>
              <w:ind w:firstLine="422" w:firstLineChars="200"/>
              <w:jc w:val="center"/>
              <w:rPr>
                <w:b/>
                <w:szCs w:val="21"/>
              </w:rPr>
            </w:pPr>
            <w:r>
              <w:rPr>
                <w:rFonts w:hint="eastAsia"/>
                <w:b/>
                <w:szCs w:val="21"/>
              </w:rPr>
              <w:t>表</w:t>
            </w:r>
            <w:r>
              <w:rPr>
                <w:b/>
                <w:szCs w:val="21"/>
              </w:rPr>
              <w:t xml:space="preserve">33 </w:t>
            </w:r>
            <w:r>
              <w:rPr>
                <w:rFonts w:hint="eastAsia"/>
                <w:b/>
                <w:szCs w:val="21"/>
              </w:rPr>
              <w:t>大气污染物年排放量核算表</w:t>
            </w:r>
          </w:p>
          <w:tbl>
            <w:tblPr>
              <w:tblStyle w:val="26"/>
              <w:tblW w:w="91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61"/>
              <w:gridCol w:w="3061"/>
              <w:gridCol w:w="3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061" w:type="dxa"/>
                  <w:vAlign w:val="center"/>
                </w:tcPr>
                <w:p>
                  <w:pPr>
                    <w:jc w:val="center"/>
                  </w:pPr>
                  <w:r>
                    <w:rPr>
                      <w:rFonts w:hint="eastAsia"/>
                    </w:rPr>
                    <w:t>序号</w:t>
                  </w:r>
                </w:p>
              </w:tc>
              <w:tc>
                <w:tcPr>
                  <w:tcW w:w="3061" w:type="dxa"/>
                  <w:vAlign w:val="center"/>
                </w:tcPr>
                <w:p>
                  <w:pPr>
                    <w:jc w:val="center"/>
                  </w:pPr>
                  <w:r>
                    <w:rPr>
                      <w:rFonts w:hint="eastAsia"/>
                    </w:rPr>
                    <w:t>污染物</w:t>
                  </w:r>
                </w:p>
              </w:tc>
              <w:tc>
                <w:tcPr>
                  <w:tcW w:w="3065" w:type="dxa"/>
                  <w:vAlign w:val="center"/>
                </w:tcPr>
                <w:p>
                  <w:pPr>
                    <w:jc w:val="center"/>
                  </w:pPr>
                  <w:r>
                    <w:rPr>
                      <w:rFonts w:hint="eastAsia"/>
                    </w:rPr>
                    <w:t>年排放量（</w:t>
                  </w:r>
                  <w:r>
                    <w:t>t/a</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061" w:type="dxa"/>
                  <w:vAlign w:val="center"/>
                </w:tcPr>
                <w:p>
                  <w:pPr>
                    <w:jc w:val="center"/>
                  </w:pPr>
                  <w:r>
                    <w:t>1</w:t>
                  </w:r>
                </w:p>
              </w:tc>
              <w:tc>
                <w:tcPr>
                  <w:tcW w:w="3061" w:type="dxa"/>
                  <w:vAlign w:val="center"/>
                </w:tcPr>
                <w:p>
                  <w:pPr>
                    <w:jc w:val="center"/>
                  </w:pPr>
                  <w:r>
                    <w:rPr>
                      <w:rFonts w:hint="eastAsia"/>
                    </w:rPr>
                    <w:t>颗粒物</w:t>
                  </w:r>
                </w:p>
              </w:tc>
              <w:tc>
                <w:tcPr>
                  <w:tcW w:w="3065" w:type="dxa"/>
                  <w:shd w:val="clear" w:color="auto" w:fill="auto"/>
                  <w:vAlign w:val="center"/>
                </w:tcPr>
                <w:p>
                  <w:pPr>
                    <w:jc w:val="center"/>
                    <w:rPr>
                      <w:szCs w:val="21"/>
                    </w:rPr>
                  </w:pPr>
                  <w:r>
                    <w:rPr>
                      <w:kern w:val="0"/>
                      <w:szCs w:val="21"/>
                    </w:rPr>
                    <w:t>0.0665</w:t>
                  </w:r>
                </w:p>
              </w:tc>
            </w:tr>
          </w:tbl>
          <w:p>
            <w:pPr>
              <w:spacing w:before="120" w:beforeLines="50" w:line="360" w:lineRule="auto"/>
              <w:ind w:firstLine="482" w:firstLineChars="200"/>
              <w:outlineLvl w:val="2"/>
              <w:rPr>
                <w:b/>
                <w:bCs/>
                <w:sz w:val="24"/>
              </w:rPr>
            </w:pPr>
            <w:r>
              <w:rPr>
                <w:rFonts w:hint="eastAsia"/>
                <w:b/>
                <w:bCs/>
                <w:sz w:val="24"/>
              </w:rPr>
              <w:t>（</w:t>
            </w:r>
            <w:r>
              <w:rPr>
                <w:b/>
                <w:bCs/>
                <w:sz w:val="24"/>
              </w:rPr>
              <w:t>2</w:t>
            </w:r>
            <w:r>
              <w:rPr>
                <w:rFonts w:hint="eastAsia"/>
                <w:b/>
                <w:bCs/>
                <w:sz w:val="24"/>
              </w:rPr>
              <w:t>）环境监测管理与监测计划</w:t>
            </w:r>
          </w:p>
          <w:p>
            <w:pPr>
              <w:spacing w:line="360" w:lineRule="auto"/>
              <w:ind w:firstLine="480" w:firstLineChars="200"/>
              <w:rPr>
                <w:sz w:val="24"/>
              </w:rPr>
            </w:pPr>
            <w:r>
              <w:rPr>
                <w:sz w:val="24"/>
              </w:rPr>
              <w:t>1、</w:t>
            </w:r>
            <w:r>
              <w:rPr>
                <w:rFonts w:hint="eastAsia"/>
                <w:sz w:val="24"/>
              </w:rPr>
              <w:t>环境管理</w:t>
            </w:r>
          </w:p>
          <w:p>
            <w:pPr>
              <w:spacing w:line="360" w:lineRule="auto"/>
              <w:ind w:firstLine="480" w:firstLineChars="200"/>
              <w:rPr>
                <w:sz w:val="24"/>
              </w:rPr>
            </w:pPr>
            <w:r>
              <w:rPr>
                <w:rFonts w:hint="eastAsia"/>
                <w:sz w:val="24"/>
              </w:rPr>
              <w:t>环境管理的基本任务有二：一是控制污染物的排放量；二是避免污染物排放对环境质量的损害。为了控制污染物的排放，就需要加强管理，把环境管理渗透到整个项目管理中，以减少各环节排出的污染物。</w:t>
            </w:r>
          </w:p>
          <w:p>
            <w:pPr>
              <w:spacing w:line="360" w:lineRule="auto"/>
              <w:ind w:firstLine="480" w:firstLineChars="200"/>
              <w:rPr>
                <w:sz w:val="24"/>
              </w:rPr>
            </w:pPr>
            <w:r>
              <w:rPr>
                <w:rFonts w:hint="eastAsia"/>
                <w:sz w:val="24"/>
              </w:rPr>
              <w:t>为了做好生产全过程的环境保护工作，减轻本项目外排污染物对环境的影响程度，建设单位应高度重视环境保护工作，建议设立一个由</w:t>
            </w:r>
            <w:r>
              <w:rPr>
                <w:sz w:val="24"/>
              </w:rPr>
              <w:t>1~2</w:t>
            </w:r>
            <w:r>
              <w:rPr>
                <w:rFonts w:hint="eastAsia"/>
                <w:sz w:val="24"/>
              </w:rPr>
              <w:t>名专职环保管理人员组成的环境保护管理机构，负责环境监督管理工作，同时要加强对管理人员的环保培训，不断提高管理水平。</w:t>
            </w:r>
          </w:p>
          <w:p>
            <w:pPr>
              <w:spacing w:line="360" w:lineRule="auto"/>
              <w:ind w:firstLine="480" w:firstLineChars="200"/>
              <w:rPr>
                <w:sz w:val="24"/>
              </w:rPr>
            </w:pPr>
            <w:r>
              <w:rPr>
                <w:rFonts w:hint="eastAsia"/>
                <w:sz w:val="24"/>
              </w:rPr>
              <w:t>企业应建立完善环境管理制度，主要设立报告制度，污染治理设施的管理、监控制度，环保奖惩制度。</w:t>
            </w:r>
          </w:p>
          <w:p>
            <w:pPr>
              <w:spacing w:line="360" w:lineRule="auto"/>
              <w:ind w:firstLine="480" w:firstLineChars="200"/>
              <w:rPr>
                <w:sz w:val="24"/>
              </w:rPr>
            </w:pPr>
            <w:r>
              <w:rPr>
                <w:sz w:val="24"/>
              </w:rPr>
              <w:t>2</w:t>
            </w:r>
            <w:r>
              <w:rPr>
                <w:rFonts w:hint="eastAsia"/>
                <w:sz w:val="24"/>
              </w:rPr>
              <w:t>、监测计划</w:t>
            </w:r>
          </w:p>
          <w:p>
            <w:pPr>
              <w:spacing w:line="360" w:lineRule="auto"/>
              <w:ind w:firstLine="480" w:firstLineChars="200"/>
              <w:rPr>
                <w:sz w:val="24"/>
              </w:rPr>
            </w:pPr>
            <w:r>
              <w:rPr>
                <w:rFonts w:hint="eastAsia"/>
                <w:sz w:val="24"/>
              </w:rPr>
              <w:t>项目的环境监测计划主要为污染源监测计划，建设单位应定期委托有相关的资质的单位进行监测。污染源监测计划如下：</w:t>
            </w:r>
          </w:p>
          <w:p>
            <w:pPr>
              <w:spacing w:line="360" w:lineRule="auto"/>
              <w:ind w:firstLine="480" w:firstLineChars="200"/>
              <w:rPr>
                <w:sz w:val="24"/>
              </w:rPr>
            </w:pPr>
            <w:r>
              <w:rPr>
                <w:sz w:val="24"/>
              </w:rPr>
              <w:t>1</w:t>
            </w:r>
            <w:r>
              <w:rPr>
                <w:rFonts w:hint="eastAsia"/>
                <w:sz w:val="24"/>
              </w:rPr>
              <w:t>）大气污染源-无组织废气监测</w:t>
            </w:r>
          </w:p>
          <w:p>
            <w:pPr>
              <w:spacing w:line="360" w:lineRule="auto"/>
              <w:ind w:firstLine="480" w:firstLineChars="200"/>
              <w:rPr>
                <w:sz w:val="24"/>
              </w:rPr>
            </w:pPr>
            <w:r>
              <w:rPr>
                <w:rFonts w:hint="eastAsia"/>
                <w:sz w:val="24"/>
              </w:rPr>
              <w:t>本项目无组织废气监测点位、监测指标、频次及排放标准见表</w:t>
            </w:r>
            <w:r>
              <w:rPr>
                <w:sz w:val="24"/>
              </w:rPr>
              <w:t>34</w:t>
            </w:r>
            <w:r>
              <w:rPr>
                <w:rFonts w:hint="eastAsia"/>
                <w:sz w:val="24"/>
              </w:rPr>
              <w:t>。</w:t>
            </w:r>
          </w:p>
          <w:p>
            <w:pPr>
              <w:ind w:firstLine="422" w:firstLineChars="200"/>
              <w:jc w:val="center"/>
              <w:rPr>
                <w:b/>
                <w:szCs w:val="21"/>
              </w:rPr>
            </w:pPr>
            <w:r>
              <w:rPr>
                <w:rFonts w:hint="eastAsia"/>
                <w:b/>
                <w:szCs w:val="21"/>
              </w:rPr>
              <w:t>表</w:t>
            </w:r>
            <w:r>
              <w:rPr>
                <w:b/>
                <w:szCs w:val="21"/>
              </w:rPr>
              <w:t xml:space="preserve">34  </w:t>
            </w:r>
            <w:r>
              <w:rPr>
                <w:rFonts w:hint="eastAsia"/>
                <w:b/>
                <w:szCs w:val="21"/>
              </w:rPr>
              <w:t>无组织废气监测方案</w:t>
            </w:r>
          </w:p>
          <w:tbl>
            <w:tblPr>
              <w:tblStyle w:val="25"/>
              <w:tblW w:w="91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6"/>
              <w:gridCol w:w="1558"/>
              <w:gridCol w:w="1558"/>
              <w:gridCol w:w="3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466" w:type="dxa"/>
                  <w:vAlign w:val="center"/>
                </w:tcPr>
                <w:p>
                  <w:pPr>
                    <w:autoSpaceDE w:val="0"/>
                    <w:autoSpaceDN w:val="0"/>
                    <w:jc w:val="center"/>
                    <w:rPr>
                      <w:rFonts w:cs="宋体"/>
                      <w:b/>
                      <w:kern w:val="0"/>
                    </w:rPr>
                  </w:pPr>
                  <w:r>
                    <w:rPr>
                      <w:rFonts w:hint="eastAsia" w:cs="宋体"/>
                      <w:b/>
                      <w:kern w:val="0"/>
                    </w:rPr>
                    <w:t>监测点位</w:t>
                  </w:r>
                </w:p>
              </w:tc>
              <w:tc>
                <w:tcPr>
                  <w:tcW w:w="1558" w:type="dxa"/>
                  <w:vAlign w:val="center"/>
                </w:tcPr>
                <w:p>
                  <w:pPr>
                    <w:autoSpaceDE w:val="0"/>
                    <w:autoSpaceDN w:val="0"/>
                    <w:jc w:val="center"/>
                    <w:rPr>
                      <w:rFonts w:cs="宋体"/>
                      <w:b/>
                      <w:kern w:val="0"/>
                    </w:rPr>
                  </w:pPr>
                  <w:r>
                    <w:rPr>
                      <w:rFonts w:hint="eastAsia" w:cs="宋体"/>
                      <w:b/>
                      <w:kern w:val="0"/>
                    </w:rPr>
                    <w:t>监测指标</w:t>
                  </w:r>
                </w:p>
              </w:tc>
              <w:tc>
                <w:tcPr>
                  <w:tcW w:w="1558" w:type="dxa"/>
                  <w:vAlign w:val="center"/>
                </w:tcPr>
                <w:p>
                  <w:pPr>
                    <w:autoSpaceDE w:val="0"/>
                    <w:autoSpaceDN w:val="0"/>
                    <w:jc w:val="center"/>
                    <w:rPr>
                      <w:rFonts w:cs="宋体"/>
                      <w:b/>
                      <w:kern w:val="0"/>
                    </w:rPr>
                  </w:pPr>
                  <w:r>
                    <w:rPr>
                      <w:rFonts w:hint="eastAsia" w:cs="宋体"/>
                      <w:b/>
                      <w:kern w:val="0"/>
                    </w:rPr>
                    <w:t>监测频次</w:t>
                  </w:r>
                </w:p>
              </w:tc>
              <w:tc>
                <w:tcPr>
                  <w:tcW w:w="3605" w:type="dxa"/>
                  <w:vAlign w:val="center"/>
                </w:tcPr>
                <w:p>
                  <w:pPr>
                    <w:autoSpaceDE w:val="0"/>
                    <w:autoSpaceDN w:val="0"/>
                    <w:jc w:val="center"/>
                    <w:rPr>
                      <w:rFonts w:cs="宋体"/>
                      <w:b/>
                      <w:kern w:val="0"/>
                    </w:rPr>
                  </w:pPr>
                  <w:r>
                    <w:rPr>
                      <w:rFonts w:hint="eastAsia" w:cs="宋体"/>
                      <w:b/>
                      <w:kern w:val="0"/>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466" w:type="dxa"/>
                  <w:vAlign w:val="center"/>
                </w:tcPr>
                <w:p>
                  <w:pPr>
                    <w:autoSpaceDE w:val="0"/>
                    <w:autoSpaceDN w:val="0"/>
                    <w:jc w:val="center"/>
                    <w:rPr>
                      <w:rFonts w:cs="宋体"/>
                      <w:kern w:val="0"/>
                    </w:rPr>
                  </w:pPr>
                  <w:r>
                    <w:rPr>
                      <w:rFonts w:hint="eastAsia" w:cs="宋体"/>
                      <w:kern w:val="0"/>
                    </w:rPr>
                    <w:t>上风向厂界监控点</w:t>
                  </w:r>
                  <w:r>
                    <w:rPr>
                      <w:rFonts w:cs="宋体"/>
                      <w:kern w:val="0"/>
                    </w:rPr>
                    <w:t>1</w:t>
                  </w:r>
                  <w:r>
                    <w:rPr>
                      <w:rFonts w:hint="eastAsia" w:cs="宋体"/>
                      <w:kern w:val="0"/>
                    </w:rPr>
                    <w:t>个、下风向厂界监控点</w:t>
                  </w:r>
                  <w:r>
                    <w:rPr>
                      <w:rFonts w:cs="宋体"/>
                      <w:kern w:val="0"/>
                    </w:rPr>
                    <w:t>3</w:t>
                  </w:r>
                  <w:r>
                    <w:rPr>
                      <w:rFonts w:hint="eastAsia" w:cs="宋体"/>
                      <w:kern w:val="0"/>
                    </w:rPr>
                    <w:t>个</w:t>
                  </w:r>
                </w:p>
              </w:tc>
              <w:tc>
                <w:tcPr>
                  <w:tcW w:w="1558" w:type="dxa"/>
                  <w:vAlign w:val="center"/>
                </w:tcPr>
                <w:p>
                  <w:pPr>
                    <w:autoSpaceDE w:val="0"/>
                    <w:autoSpaceDN w:val="0"/>
                    <w:jc w:val="center"/>
                    <w:rPr>
                      <w:rFonts w:cs="宋体"/>
                      <w:kern w:val="0"/>
                    </w:rPr>
                  </w:pPr>
                  <w:r>
                    <w:rPr>
                      <w:rFonts w:hint="eastAsia" w:cs="宋体"/>
                      <w:kern w:val="0"/>
                    </w:rPr>
                    <w:t>颗粒物</w:t>
                  </w:r>
                </w:p>
              </w:tc>
              <w:tc>
                <w:tcPr>
                  <w:tcW w:w="1558" w:type="dxa"/>
                  <w:vAlign w:val="center"/>
                </w:tcPr>
                <w:p>
                  <w:pPr>
                    <w:autoSpaceDE w:val="0"/>
                    <w:autoSpaceDN w:val="0"/>
                    <w:jc w:val="center"/>
                    <w:rPr>
                      <w:rFonts w:cs="宋体"/>
                      <w:kern w:val="0"/>
                    </w:rPr>
                  </w:pPr>
                  <w:r>
                    <w:rPr>
                      <w:rFonts w:hint="eastAsia" w:cs="宋体"/>
                      <w:kern w:val="0"/>
                    </w:rPr>
                    <w:t>每年一次</w:t>
                  </w:r>
                </w:p>
              </w:tc>
              <w:tc>
                <w:tcPr>
                  <w:tcW w:w="3605" w:type="dxa"/>
                  <w:vAlign w:val="center"/>
                </w:tcPr>
                <w:p>
                  <w:pPr>
                    <w:autoSpaceDE w:val="0"/>
                    <w:autoSpaceDN w:val="0"/>
                    <w:jc w:val="center"/>
                    <w:rPr>
                      <w:rFonts w:cs="宋体"/>
                      <w:kern w:val="0"/>
                    </w:rPr>
                  </w:pPr>
                  <w:r>
                    <w:rPr>
                      <w:rFonts w:hint="eastAsia" w:cs="宋体"/>
                      <w:kern w:val="0"/>
                    </w:rPr>
                    <w:t>执行广东省地方标准《大气污染物排放限值》（</w:t>
                  </w:r>
                  <w:r>
                    <w:rPr>
                      <w:rFonts w:cs="宋体"/>
                      <w:kern w:val="0"/>
                    </w:rPr>
                    <w:t>DB44/27-2001</w:t>
                  </w:r>
                  <w:r>
                    <w:rPr>
                      <w:rFonts w:hint="eastAsia" w:cs="宋体"/>
                      <w:kern w:val="0"/>
                    </w:rPr>
                    <w:t>）第二时段颗粒物无组织排放监控浓度限值</w:t>
                  </w:r>
                </w:p>
              </w:tc>
            </w:tr>
          </w:tbl>
          <w:p>
            <w:pPr>
              <w:spacing w:line="360" w:lineRule="auto"/>
              <w:ind w:firstLine="420" w:firstLineChars="200"/>
            </w:pPr>
            <w:r>
              <w:rPr>
                <w:rFonts w:hint="eastAsia"/>
              </w:rPr>
              <w:t>监测采样和分析方法：《大气污染物无组织排放监测技术导则》、《空气和废气监测分析方法》中规定的技术规范和方法执行。</w:t>
            </w:r>
          </w:p>
          <w:p>
            <w:pPr>
              <w:spacing w:line="360" w:lineRule="auto"/>
              <w:ind w:firstLine="480" w:firstLineChars="200"/>
              <w:rPr>
                <w:sz w:val="24"/>
              </w:rPr>
            </w:pPr>
            <w:r>
              <w:rPr>
                <w:sz w:val="24"/>
              </w:rPr>
              <w:t>2</w:t>
            </w:r>
            <w:r>
              <w:rPr>
                <w:rFonts w:hint="eastAsia"/>
                <w:sz w:val="24"/>
              </w:rPr>
              <w:t>）水污染源</w:t>
            </w:r>
          </w:p>
          <w:p>
            <w:pPr>
              <w:autoSpaceDE w:val="0"/>
              <w:autoSpaceDN w:val="0"/>
              <w:spacing w:line="360" w:lineRule="auto"/>
              <w:ind w:firstLine="480" w:firstLineChars="200"/>
              <w:jc w:val="left"/>
              <w:rPr>
                <w:rFonts w:cs="宋体"/>
                <w:kern w:val="0"/>
                <w:sz w:val="24"/>
              </w:rPr>
            </w:pPr>
            <w:r>
              <w:rPr>
                <w:rFonts w:hint="eastAsia" w:cs="宋体"/>
                <w:kern w:val="0"/>
                <w:sz w:val="24"/>
              </w:rPr>
              <w:t>本项目废水监测指标及监测频次见表</w:t>
            </w:r>
            <w:r>
              <w:rPr>
                <w:rFonts w:cs="宋体"/>
                <w:kern w:val="0"/>
                <w:sz w:val="24"/>
              </w:rPr>
              <w:t>35</w:t>
            </w:r>
            <w:r>
              <w:rPr>
                <w:rFonts w:hint="eastAsia" w:cs="宋体"/>
                <w:kern w:val="0"/>
                <w:sz w:val="24"/>
              </w:rPr>
              <w:t>。</w:t>
            </w:r>
          </w:p>
          <w:p>
            <w:pPr>
              <w:ind w:firstLine="422" w:firstLineChars="200"/>
              <w:jc w:val="center"/>
              <w:rPr>
                <w:b/>
                <w:szCs w:val="21"/>
              </w:rPr>
            </w:pPr>
            <w:r>
              <w:rPr>
                <w:rFonts w:hint="eastAsia"/>
                <w:b/>
                <w:szCs w:val="21"/>
              </w:rPr>
              <w:t>表3</w:t>
            </w:r>
            <w:r>
              <w:rPr>
                <w:b/>
                <w:szCs w:val="21"/>
              </w:rPr>
              <w:t xml:space="preserve">5  </w:t>
            </w:r>
            <w:r>
              <w:rPr>
                <w:rFonts w:hint="eastAsia"/>
                <w:b/>
                <w:szCs w:val="21"/>
              </w:rPr>
              <w:t>废水污染物监测方案</w:t>
            </w:r>
          </w:p>
          <w:tbl>
            <w:tblPr>
              <w:tblStyle w:val="25"/>
              <w:tblW w:w="91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041"/>
              <w:gridCol w:w="2266"/>
              <w:gridCol w:w="1841"/>
              <w:gridCol w:w="3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041" w:type="dxa"/>
                  <w:vAlign w:val="center"/>
                </w:tcPr>
                <w:p>
                  <w:pPr>
                    <w:jc w:val="center"/>
                  </w:pPr>
                  <w:r>
                    <w:rPr>
                      <w:rFonts w:hint="eastAsia"/>
                    </w:rPr>
                    <w:t>监测点位</w:t>
                  </w:r>
                </w:p>
              </w:tc>
              <w:tc>
                <w:tcPr>
                  <w:tcW w:w="2266" w:type="dxa"/>
                  <w:vAlign w:val="center"/>
                </w:tcPr>
                <w:p>
                  <w:pPr>
                    <w:jc w:val="center"/>
                  </w:pPr>
                  <w:r>
                    <w:rPr>
                      <w:rFonts w:hint="eastAsia"/>
                    </w:rPr>
                    <w:t>监测指标</w:t>
                  </w:r>
                </w:p>
              </w:tc>
              <w:tc>
                <w:tcPr>
                  <w:tcW w:w="1841" w:type="dxa"/>
                  <w:vAlign w:val="center"/>
                </w:tcPr>
                <w:p>
                  <w:pPr>
                    <w:jc w:val="center"/>
                  </w:pPr>
                  <w:r>
                    <w:rPr>
                      <w:rFonts w:hint="eastAsia"/>
                    </w:rPr>
                    <w:t>监测频次</w:t>
                  </w:r>
                </w:p>
              </w:tc>
              <w:tc>
                <w:tcPr>
                  <w:tcW w:w="3039" w:type="dxa"/>
                  <w:vAlign w:val="center"/>
                </w:tcPr>
                <w:p>
                  <w:pPr>
                    <w:jc w:val="center"/>
                  </w:pPr>
                  <w:r>
                    <w:rPr>
                      <w:rFonts w:hint="eastAsia"/>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0" w:hRule="atLeast"/>
              </w:trPr>
              <w:tc>
                <w:tcPr>
                  <w:tcW w:w="2041" w:type="dxa"/>
                  <w:vMerge w:val="restart"/>
                  <w:vAlign w:val="center"/>
                </w:tcPr>
                <w:p>
                  <w:pPr>
                    <w:jc w:val="center"/>
                  </w:pPr>
                  <w:r>
                    <w:rPr>
                      <w:rFonts w:hint="eastAsia"/>
                    </w:rPr>
                    <w:t>厂区三级化粪池污水排放口</w:t>
                  </w:r>
                </w:p>
              </w:tc>
              <w:tc>
                <w:tcPr>
                  <w:tcW w:w="2266" w:type="dxa"/>
                  <w:vAlign w:val="center"/>
                </w:tcPr>
                <w:p>
                  <w:pPr>
                    <w:jc w:val="center"/>
                  </w:pPr>
                  <w:r>
                    <w:t>COD</w:t>
                  </w:r>
                  <w:r>
                    <w:rPr>
                      <w:rFonts w:hint="eastAsia"/>
                    </w:rPr>
                    <w:t>、</w:t>
                  </w:r>
                  <w:r>
                    <w:t>SS</w:t>
                  </w:r>
                </w:p>
              </w:tc>
              <w:tc>
                <w:tcPr>
                  <w:tcW w:w="1841" w:type="dxa"/>
                  <w:vAlign w:val="center"/>
                </w:tcPr>
                <w:p>
                  <w:pPr>
                    <w:jc w:val="center"/>
                  </w:pPr>
                  <w:r>
                    <w:rPr>
                      <w:rFonts w:hint="eastAsia"/>
                    </w:rPr>
                    <w:t>每季度一次</w:t>
                  </w:r>
                </w:p>
              </w:tc>
              <w:tc>
                <w:tcPr>
                  <w:tcW w:w="3039" w:type="dxa"/>
                  <w:vMerge w:val="restart"/>
                  <w:vAlign w:val="center"/>
                </w:tcPr>
                <w:p>
                  <w:pPr>
                    <w:jc w:val="center"/>
                  </w:pPr>
                  <w:r>
                    <w:rPr>
                      <w:szCs w:val="21"/>
                    </w:rPr>
                    <w:t>《农田灌溉水质标准》（GB5084-2005）表 1中旱作标准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041" w:type="dxa"/>
                  <w:vMerge w:val="continue"/>
                  <w:vAlign w:val="center"/>
                </w:tcPr>
                <w:p>
                  <w:pPr>
                    <w:widowControl/>
                    <w:jc w:val="left"/>
                  </w:pPr>
                </w:p>
              </w:tc>
              <w:tc>
                <w:tcPr>
                  <w:tcW w:w="2266" w:type="dxa"/>
                  <w:vAlign w:val="center"/>
                </w:tcPr>
                <w:p>
                  <w:pPr>
                    <w:jc w:val="center"/>
                  </w:pPr>
                  <w:r>
                    <w:t>pH</w:t>
                  </w:r>
                  <w:r>
                    <w:rPr>
                      <w:rFonts w:hint="eastAsia"/>
                    </w:rPr>
                    <w:t>、</w:t>
                  </w:r>
                  <w:r>
                    <w:t>BOD</w:t>
                  </w:r>
                  <w:r>
                    <w:rPr>
                      <w:vertAlign w:val="subscript"/>
                    </w:rPr>
                    <w:t>5</w:t>
                  </w:r>
                  <w:r>
                    <w:rPr>
                      <w:rFonts w:hint="eastAsia"/>
                    </w:rPr>
                    <w:t>、</w:t>
                  </w:r>
                  <w:r>
                    <w:t>NH</w:t>
                  </w:r>
                  <w:r>
                    <w:rPr>
                      <w:vertAlign w:val="subscript"/>
                    </w:rPr>
                    <w:t>3</w:t>
                  </w:r>
                  <w:r>
                    <w:t>-N</w:t>
                  </w:r>
                </w:p>
              </w:tc>
              <w:tc>
                <w:tcPr>
                  <w:tcW w:w="1841" w:type="dxa"/>
                  <w:vAlign w:val="center"/>
                </w:tcPr>
                <w:p>
                  <w:pPr>
                    <w:jc w:val="center"/>
                  </w:pPr>
                  <w:r>
                    <w:rPr>
                      <w:rFonts w:hint="eastAsia"/>
                    </w:rPr>
                    <w:t>每年一次</w:t>
                  </w:r>
                </w:p>
              </w:tc>
              <w:tc>
                <w:tcPr>
                  <w:tcW w:w="3039" w:type="dxa"/>
                  <w:vMerge w:val="continue"/>
                  <w:vAlign w:val="center"/>
                </w:tcPr>
                <w:p>
                  <w:pPr>
                    <w:widowControl/>
                    <w:jc w:val="left"/>
                  </w:pPr>
                </w:p>
              </w:tc>
            </w:tr>
          </w:tbl>
          <w:p>
            <w:pPr>
              <w:spacing w:line="360" w:lineRule="auto"/>
              <w:ind w:firstLine="480" w:firstLineChars="200"/>
              <w:rPr>
                <w:sz w:val="24"/>
              </w:rPr>
            </w:pPr>
            <w:r>
              <w:rPr>
                <w:sz w:val="24"/>
              </w:rPr>
              <w:t>3</w:t>
            </w:r>
            <w:r>
              <w:rPr>
                <w:rFonts w:hint="eastAsia"/>
                <w:sz w:val="24"/>
              </w:rPr>
              <w:t>）噪声污染源</w:t>
            </w:r>
          </w:p>
          <w:p>
            <w:pPr>
              <w:autoSpaceDE w:val="0"/>
              <w:autoSpaceDN w:val="0"/>
              <w:spacing w:line="360" w:lineRule="auto"/>
              <w:ind w:firstLine="480" w:firstLineChars="200"/>
              <w:jc w:val="left"/>
              <w:rPr>
                <w:rFonts w:cs="宋体"/>
                <w:kern w:val="0"/>
                <w:sz w:val="24"/>
              </w:rPr>
            </w:pPr>
            <w:r>
              <w:rPr>
                <w:rFonts w:hint="eastAsia" w:cs="宋体"/>
                <w:kern w:val="0"/>
                <w:sz w:val="24"/>
              </w:rPr>
              <w:t>本项目噪声监测点位、指标、监测频次见表</w:t>
            </w:r>
            <w:r>
              <w:rPr>
                <w:rFonts w:cs="宋体"/>
                <w:kern w:val="0"/>
                <w:sz w:val="24"/>
              </w:rPr>
              <w:t>36</w:t>
            </w:r>
            <w:r>
              <w:rPr>
                <w:rFonts w:hint="eastAsia" w:cs="宋体"/>
                <w:kern w:val="0"/>
                <w:sz w:val="24"/>
              </w:rPr>
              <w:t>。</w:t>
            </w:r>
          </w:p>
          <w:p>
            <w:pPr>
              <w:ind w:firstLine="422" w:firstLineChars="200"/>
              <w:jc w:val="center"/>
              <w:rPr>
                <w:b/>
                <w:szCs w:val="21"/>
              </w:rPr>
            </w:pPr>
            <w:r>
              <w:rPr>
                <w:rFonts w:hint="eastAsia"/>
                <w:b/>
                <w:szCs w:val="21"/>
              </w:rPr>
              <w:t>表</w:t>
            </w:r>
            <w:r>
              <w:rPr>
                <w:b/>
                <w:szCs w:val="21"/>
              </w:rPr>
              <w:t xml:space="preserve">36  </w:t>
            </w:r>
            <w:r>
              <w:rPr>
                <w:rFonts w:hint="eastAsia"/>
                <w:b/>
                <w:szCs w:val="21"/>
              </w:rPr>
              <w:t>项目噪声监测方案</w:t>
            </w:r>
          </w:p>
          <w:tbl>
            <w:tblPr>
              <w:tblStyle w:val="25"/>
              <w:tblW w:w="91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96"/>
              <w:gridCol w:w="1154"/>
              <w:gridCol w:w="1128"/>
              <w:gridCol w:w="1406"/>
              <w:gridCol w:w="3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896" w:type="dxa"/>
                  <w:vAlign w:val="center"/>
                </w:tcPr>
                <w:p>
                  <w:pPr>
                    <w:jc w:val="center"/>
                  </w:pPr>
                  <w:r>
                    <w:rPr>
                      <w:rFonts w:hint="eastAsia"/>
                    </w:rPr>
                    <w:t>监测点位</w:t>
                  </w:r>
                </w:p>
              </w:tc>
              <w:tc>
                <w:tcPr>
                  <w:tcW w:w="1154" w:type="dxa"/>
                  <w:vAlign w:val="center"/>
                </w:tcPr>
                <w:p>
                  <w:pPr>
                    <w:jc w:val="center"/>
                  </w:pPr>
                  <w:r>
                    <w:rPr>
                      <w:rFonts w:hint="eastAsia"/>
                    </w:rPr>
                    <w:t>监测指标</w:t>
                  </w:r>
                </w:p>
              </w:tc>
              <w:tc>
                <w:tcPr>
                  <w:tcW w:w="1128" w:type="dxa"/>
                  <w:vAlign w:val="center"/>
                </w:tcPr>
                <w:p>
                  <w:pPr>
                    <w:jc w:val="center"/>
                  </w:pPr>
                  <w:r>
                    <w:rPr>
                      <w:rFonts w:hint="eastAsia"/>
                    </w:rPr>
                    <w:t>测量</w:t>
                  </w:r>
                </w:p>
              </w:tc>
              <w:tc>
                <w:tcPr>
                  <w:tcW w:w="1406" w:type="dxa"/>
                  <w:vAlign w:val="center"/>
                </w:tcPr>
                <w:p>
                  <w:pPr>
                    <w:jc w:val="center"/>
                  </w:pPr>
                  <w:r>
                    <w:rPr>
                      <w:rFonts w:hint="eastAsia"/>
                    </w:rPr>
                    <w:t>监测频次</w:t>
                  </w:r>
                </w:p>
              </w:tc>
              <w:tc>
                <w:tcPr>
                  <w:tcW w:w="3603" w:type="dxa"/>
                  <w:vAlign w:val="center"/>
                </w:tcPr>
                <w:p>
                  <w:pPr>
                    <w:jc w:val="center"/>
                  </w:pPr>
                  <w:r>
                    <w:rPr>
                      <w:rFonts w:hint="eastAsia"/>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896" w:type="dxa"/>
                  <w:vAlign w:val="center"/>
                </w:tcPr>
                <w:p>
                  <w:pPr>
                    <w:jc w:val="center"/>
                  </w:pPr>
                  <w:r>
                    <w:rPr>
                      <w:rFonts w:hint="eastAsia"/>
                    </w:rPr>
                    <w:t>厂界西、南、北各布设</w:t>
                  </w:r>
                  <w:r>
                    <w:t>1</w:t>
                  </w:r>
                  <w:r>
                    <w:rPr>
                      <w:rFonts w:hint="eastAsia"/>
                    </w:rPr>
                    <w:t>个监测点</w:t>
                  </w:r>
                </w:p>
              </w:tc>
              <w:tc>
                <w:tcPr>
                  <w:tcW w:w="1154" w:type="dxa"/>
                  <w:vMerge w:val="restart"/>
                  <w:vAlign w:val="center"/>
                </w:tcPr>
                <w:p>
                  <w:pPr>
                    <w:jc w:val="center"/>
                  </w:pPr>
                  <w:r>
                    <w:rPr>
                      <w:rFonts w:hint="eastAsia"/>
                    </w:rPr>
                    <w:t>昼间噪声</w:t>
                  </w:r>
                </w:p>
              </w:tc>
              <w:tc>
                <w:tcPr>
                  <w:tcW w:w="1128" w:type="dxa"/>
                  <w:vMerge w:val="restart"/>
                  <w:vAlign w:val="center"/>
                </w:tcPr>
                <w:p>
                  <w:pPr>
                    <w:jc w:val="center"/>
                  </w:pPr>
                  <w:r>
                    <w:rPr>
                      <w:rFonts w:hint="eastAsia"/>
                    </w:rPr>
                    <w:t>等效</w:t>
                  </w:r>
                  <w:r>
                    <w:t>A</w:t>
                  </w:r>
                  <w:r>
                    <w:rPr>
                      <w:rFonts w:hint="eastAsia"/>
                    </w:rPr>
                    <w:t>声级</w:t>
                  </w:r>
                </w:p>
              </w:tc>
              <w:tc>
                <w:tcPr>
                  <w:tcW w:w="1406" w:type="dxa"/>
                  <w:vMerge w:val="restart"/>
                  <w:vAlign w:val="center"/>
                </w:tcPr>
                <w:p>
                  <w:pPr>
                    <w:jc w:val="center"/>
                  </w:pPr>
                  <w:r>
                    <w:rPr>
                      <w:rFonts w:hint="eastAsia"/>
                    </w:rPr>
                    <w:t>每个季度一次</w:t>
                  </w:r>
                </w:p>
              </w:tc>
              <w:tc>
                <w:tcPr>
                  <w:tcW w:w="3603" w:type="dxa"/>
                  <w:vAlign w:val="center"/>
                </w:tcPr>
                <w:p>
                  <w:pPr>
                    <w:jc w:val="center"/>
                  </w:pPr>
                  <w:r>
                    <w:rPr>
                      <w:rFonts w:hint="eastAsia"/>
                    </w:rPr>
                    <w:t>《工业企业厂界环境噪声排放限值》（</w:t>
                  </w:r>
                  <w:r>
                    <w:t>GB12348-2008</w:t>
                  </w:r>
                  <w:r>
                    <w:rPr>
                      <w:rFonts w:hint="eastAsia"/>
                    </w:rPr>
                    <w:t>）中的</w:t>
                  </w:r>
                  <w:r>
                    <w:t>2</w:t>
                  </w:r>
                  <w:r>
                    <w:rPr>
                      <w:rFonts w:hint="eastAsia"/>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896" w:type="dxa"/>
                  <w:vAlign w:val="center"/>
                </w:tcPr>
                <w:p>
                  <w:pPr>
                    <w:jc w:val="center"/>
                  </w:pPr>
                  <w:r>
                    <w:rPr>
                      <w:rFonts w:hint="eastAsia"/>
                    </w:rPr>
                    <w:t>厂界东面布设</w:t>
                  </w:r>
                  <w:r>
                    <w:t>1</w:t>
                  </w:r>
                  <w:r>
                    <w:rPr>
                      <w:rFonts w:hint="eastAsia"/>
                    </w:rPr>
                    <w:t>个监测点</w:t>
                  </w:r>
                </w:p>
              </w:tc>
              <w:tc>
                <w:tcPr>
                  <w:tcW w:w="1154" w:type="dxa"/>
                  <w:vMerge w:val="continue"/>
                  <w:vAlign w:val="center"/>
                </w:tcPr>
                <w:p>
                  <w:pPr>
                    <w:jc w:val="center"/>
                  </w:pPr>
                </w:p>
              </w:tc>
              <w:tc>
                <w:tcPr>
                  <w:tcW w:w="1128" w:type="dxa"/>
                  <w:vMerge w:val="continue"/>
                  <w:vAlign w:val="center"/>
                </w:tcPr>
                <w:p>
                  <w:pPr>
                    <w:jc w:val="center"/>
                  </w:pPr>
                </w:p>
              </w:tc>
              <w:tc>
                <w:tcPr>
                  <w:tcW w:w="1406" w:type="dxa"/>
                  <w:vMerge w:val="continue"/>
                  <w:vAlign w:val="center"/>
                </w:tcPr>
                <w:p>
                  <w:pPr>
                    <w:jc w:val="center"/>
                  </w:pPr>
                </w:p>
              </w:tc>
              <w:tc>
                <w:tcPr>
                  <w:tcW w:w="3603" w:type="dxa"/>
                  <w:vAlign w:val="center"/>
                </w:tcPr>
                <w:p>
                  <w:pPr>
                    <w:jc w:val="center"/>
                  </w:pPr>
                  <w:r>
                    <w:rPr>
                      <w:rFonts w:hint="eastAsia"/>
                    </w:rPr>
                    <w:t>《工业企业厂界环境噪声排放限值》（</w:t>
                  </w:r>
                  <w:r>
                    <w:t>GB12348-2008</w:t>
                  </w:r>
                  <w:r>
                    <w:rPr>
                      <w:rFonts w:hint="eastAsia"/>
                    </w:rPr>
                    <w:t>）中的</w:t>
                  </w:r>
                  <w:r>
                    <w:t>4a</w:t>
                  </w:r>
                  <w:r>
                    <w:rPr>
                      <w:rFonts w:hint="eastAsia"/>
                    </w:rPr>
                    <w:t>类标准</w:t>
                  </w:r>
                </w:p>
              </w:tc>
            </w:tr>
          </w:tbl>
          <w:p>
            <w:pPr>
              <w:adjustRightInd w:val="0"/>
              <w:snapToGrid w:val="0"/>
              <w:ind w:firstLine="480"/>
            </w:pPr>
            <w:r>
              <w:rPr>
                <w:rFonts w:hint="eastAsia"/>
              </w:rPr>
              <w:t>监测采样：《环境监测技术规范》。</w:t>
            </w:r>
          </w:p>
          <w:p>
            <w:pPr>
              <w:spacing w:line="360" w:lineRule="auto"/>
              <w:ind w:firstLine="482" w:firstLineChars="200"/>
              <w:rPr>
                <w:b/>
                <w:sz w:val="24"/>
                <w:lang w:val="zh-CN"/>
              </w:rPr>
            </w:pPr>
            <w:r>
              <w:rPr>
                <w:b/>
                <w:sz w:val="24"/>
              </w:rPr>
              <w:t>3 、固体废物环境影响分析</w:t>
            </w:r>
          </w:p>
          <w:p>
            <w:pPr>
              <w:autoSpaceDE w:val="0"/>
              <w:autoSpaceDN w:val="0"/>
              <w:adjustRightInd w:val="0"/>
              <w:spacing w:line="360" w:lineRule="auto"/>
              <w:ind w:firstLine="480" w:firstLineChars="200"/>
              <w:jc w:val="left"/>
              <w:rPr>
                <w:bCs/>
                <w:sz w:val="24"/>
              </w:rPr>
            </w:pPr>
            <w:r>
              <w:rPr>
                <w:sz w:val="24"/>
              </w:rPr>
              <w:t>项目产生的固体废物主要有</w:t>
            </w:r>
            <w:r>
              <w:rPr>
                <w:kern w:val="0"/>
                <w:sz w:val="24"/>
              </w:rPr>
              <w:t>生产残渣和</w:t>
            </w:r>
            <w:r>
              <w:rPr>
                <w:bCs/>
                <w:sz w:val="24"/>
              </w:rPr>
              <w:t>员工生活垃圾等</w:t>
            </w:r>
            <w:r>
              <w:rPr>
                <w:rFonts w:hint="eastAsia"/>
                <w:bCs/>
                <w:sz w:val="24"/>
              </w:rPr>
              <w:t>。</w:t>
            </w:r>
          </w:p>
          <w:p>
            <w:pPr>
              <w:autoSpaceDE w:val="0"/>
              <w:autoSpaceDN w:val="0"/>
              <w:adjustRightInd w:val="0"/>
              <w:spacing w:line="360" w:lineRule="auto"/>
              <w:ind w:firstLine="480" w:firstLineChars="200"/>
              <w:jc w:val="left"/>
              <w:rPr>
                <w:kern w:val="0"/>
                <w:sz w:val="24"/>
              </w:rPr>
            </w:pPr>
            <w:r>
              <w:rPr>
                <w:kern w:val="0"/>
                <w:sz w:val="24"/>
              </w:rPr>
              <w:t>（1）生产残渣</w:t>
            </w:r>
          </w:p>
          <w:p>
            <w:pPr>
              <w:autoSpaceDE w:val="0"/>
              <w:autoSpaceDN w:val="0"/>
              <w:adjustRightInd w:val="0"/>
              <w:spacing w:line="360" w:lineRule="auto"/>
              <w:ind w:firstLine="480" w:firstLineChars="200"/>
              <w:rPr>
                <w:kern w:val="0"/>
                <w:sz w:val="24"/>
              </w:rPr>
            </w:pPr>
            <w:r>
              <w:rPr>
                <w:kern w:val="0"/>
                <w:sz w:val="24"/>
              </w:rPr>
              <w:t>本项目主要进行陶瓷原料高岭土的生产，生产过程中会有一定量的残渣产生，生产残渣主要有尾泥沙和沉淀池淤泥。项目年产生泥沙量为3.48万吨/年（含水率30%），沉淀池淤泥量约5800t/a（含水率30%），本项目产生的固体废物为一般工业固体废物。均可用当作产品出售，不对外排放。</w:t>
            </w:r>
          </w:p>
          <w:p>
            <w:pPr>
              <w:autoSpaceDE w:val="0"/>
              <w:autoSpaceDN w:val="0"/>
              <w:adjustRightInd w:val="0"/>
              <w:spacing w:line="360" w:lineRule="auto"/>
              <w:ind w:firstLine="480" w:firstLineChars="200"/>
              <w:jc w:val="left"/>
              <w:rPr>
                <w:kern w:val="0"/>
                <w:sz w:val="24"/>
              </w:rPr>
            </w:pPr>
            <w:r>
              <w:rPr>
                <w:kern w:val="0"/>
                <w:sz w:val="24"/>
              </w:rPr>
              <w:t>（2）员工生活垃圾</w:t>
            </w:r>
          </w:p>
          <w:p>
            <w:pPr>
              <w:spacing w:line="360" w:lineRule="auto"/>
              <w:ind w:firstLine="480" w:firstLineChars="200"/>
              <w:rPr>
                <w:sz w:val="24"/>
              </w:rPr>
            </w:pPr>
            <w:r>
              <w:rPr>
                <w:kern w:val="0"/>
                <w:sz w:val="24"/>
              </w:rPr>
              <w:t>本项目生活垃圾的年产生量为2.1t/a</w:t>
            </w:r>
            <w:r>
              <w:rPr>
                <w:rFonts w:hint="eastAsia"/>
                <w:kern w:val="0"/>
                <w:sz w:val="24"/>
              </w:rPr>
              <w:t>，</w:t>
            </w:r>
            <w:r>
              <w:rPr>
                <w:rFonts w:hint="eastAsia"/>
                <w:sz w:val="24"/>
              </w:rPr>
              <w:t>交由</w:t>
            </w:r>
            <w:r>
              <w:rPr>
                <w:sz w:val="24"/>
              </w:rPr>
              <w:t>环卫部门收集处理</w:t>
            </w:r>
            <w:r>
              <w:rPr>
                <w:kern w:val="0"/>
                <w:sz w:val="24"/>
              </w:rPr>
              <w:t>。</w:t>
            </w:r>
          </w:p>
          <w:p>
            <w:pPr>
              <w:adjustRightInd w:val="0"/>
              <w:snapToGrid w:val="0"/>
              <w:spacing w:line="360" w:lineRule="auto"/>
              <w:ind w:firstLine="480" w:firstLineChars="200"/>
              <w:rPr>
                <w:sz w:val="24"/>
              </w:rPr>
            </w:pPr>
            <w:r>
              <w:rPr>
                <w:sz w:val="24"/>
              </w:rPr>
              <w:t>经上述措施处理后，本项目产生的固体废物</w:t>
            </w:r>
            <w:r>
              <w:rPr>
                <w:rFonts w:hint="eastAsia"/>
                <w:sz w:val="24"/>
              </w:rPr>
              <w:t>不自行排放，</w:t>
            </w:r>
            <w:r>
              <w:rPr>
                <w:sz w:val="24"/>
              </w:rPr>
              <w:t>不会对周围环境造成影响。</w:t>
            </w:r>
          </w:p>
          <w:p>
            <w:pPr>
              <w:spacing w:line="360" w:lineRule="auto"/>
              <w:ind w:firstLine="482" w:firstLineChars="200"/>
              <w:rPr>
                <w:b/>
                <w:sz w:val="24"/>
              </w:rPr>
            </w:pPr>
            <w:r>
              <w:rPr>
                <w:b/>
                <w:sz w:val="24"/>
              </w:rPr>
              <w:t>4、声环境影响分析</w:t>
            </w:r>
          </w:p>
          <w:p>
            <w:pPr>
              <w:autoSpaceDE w:val="0"/>
              <w:autoSpaceDN w:val="0"/>
              <w:adjustRightInd w:val="0"/>
              <w:spacing w:line="360" w:lineRule="auto"/>
              <w:ind w:firstLine="480" w:firstLineChars="200"/>
              <w:jc w:val="left"/>
              <w:rPr>
                <w:rFonts w:cs="宋体"/>
                <w:bCs/>
                <w:kern w:val="0"/>
                <w:sz w:val="24"/>
              </w:rPr>
            </w:pPr>
            <w:r>
              <w:rPr>
                <w:rFonts w:hint="eastAsia" w:ascii="宋体" w:cs="宋体"/>
                <w:kern w:val="0"/>
                <w:sz w:val="24"/>
              </w:rPr>
              <w:t>项目营运期产生的噪声主要为</w:t>
            </w:r>
            <w:r>
              <w:rPr>
                <w:rFonts w:hint="eastAsia"/>
                <w:sz w:val="24"/>
              </w:rPr>
              <w:t>捣浆机</w:t>
            </w:r>
            <w:r>
              <w:rPr>
                <w:rFonts w:hint="eastAsia" w:ascii="宋体" w:cs="宋体"/>
                <w:kern w:val="0"/>
                <w:sz w:val="24"/>
              </w:rPr>
              <w:t>、</w:t>
            </w:r>
            <w:r>
              <w:rPr>
                <w:rFonts w:hint="eastAsia"/>
                <w:sz w:val="24"/>
              </w:rPr>
              <w:t>自定中心振动筛</w:t>
            </w:r>
            <w:r>
              <w:rPr>
                <w:rFonts w:hint="eastAsia" w:ascii="宋体" w:cs="宋体"/>
                <w:kern w:val="0"/>
                <w:sz w:val="24"/>
              </w:rPr>
              <w:t>、</w:t>
            </w:r>
            <w:r>
              <w:rPr>
                <w:rFonts w:hint="eastAsia"/>
                <w:sz w:val="24"/>
              </w:rPr>
              <w:t>水力旋流器</w:t>
            </w:r>
            <w:r>
              <w:rPr>
                <w:rFonts w:hint="eastAsia" w:ascii="宋体" w:cs="宋体"/>
                <w:kern w:val="0"/>
                <w:sz w:val="24"/>
              </w:rPr>
              <w:t>、</w:t>
            </w:r>
            <w:r>
              <w:rPr>
                <w:rFonts w:hint="eastAsia"/>
                <w:sz w:val="24"/>
              </w:rPr>
              <w:t>压滤机</w:t>
            </w:r>
            <w:r>
              <w:rPr>
                <w:rFonts w:hint="eastAsia" w:ascii="宋体" w:cs="宋体"/>
                <w:kern w:val="0"/>
                <w:sz w:val="24"/>
              </w:rPr>
              <w:t>等设备运行噪声，噪声级在</w:t>
            </w:r>
            <w:r>
              <w:rPr>
                <w:kern w:val="0"/>
                <w:sz w:val="24"/>
              </w:rPr>
              <w:t>7</w:t>
            </w:r>
            <w:r>
              <w:rPr>
                <w:rFonts w:ascii="TimesNewRomanPSMT" w:hAnsi="TimesNewRomanPSMT" w:cs="TimesNewRomanPSMT"/>
                <w:kern w:val="0"/>
                <w:sz w:val="24"/>
              </w:rPr>
              <w:t>0</w:t>
            </w:r>
            <w:r>
              <w:rPr>
                <w:rFonts w:hint="eastAsia" w:ascii="宋体" w:cs="宋体"/>
                <w:kern w:val="0"/>
                <w:sz w:val="24"/>
              </w:rPr>
              <w:t>～</w:t>
            </w:r>
            <w:r>
              <w:rPr>
                <w:rFonts w:ascii="TimesNewRomanPSMT" w:hAnsi="TimesNewRomanPSMT" w:cs="TimesNewRomanPSMT"/>
                <w:kern w:val="0"/>
                <w:sz w:val="24"/>
              </w:rPr>
              <w:t>90dB(A)</w:t>
            </w:r>
            <w:r>
              <w:rPr>
                <w:rFonts w:hint="eastAsia" w:cs="宋体"/>
                <w:bCs/>
                <w:kern w:val="0"/>
                <w:sz w:val="24"/>
              </w:rPr>
              <w:t>。</w:t>
            </w:r>
          </w:p>
          <w:p>
            <w:pPr>
              <w:autoSpaceDE w:val="0"/>
              <w:autoSpaceDN w:val="0"/>
              <w:adjustRightInd w:val="0"/>
              <w:spacing w:line="360" w:lineRule="auto"/>
              <w:ind w:firstLine="480" w:firstLineChars="200"/>
              <w:rPr>
                <w:rFonts w:cs="宋体"/>
                <w:bCs/>
                <w:kern w:val="0"/>
                <w:sz w:val="24"/>
              </w:rPr>
            </w:pPr>
            <w:r>
              <w:rPr>
                <w:rFonts w:hint="eastAsia" w:cs="宋体"/>
                <w:bCs/>
                <w:kern w:val="0"/>
                <w:sz w:val="24"/>
              </w:rPr>
              <w:t>噪声会对车间内生产工人的身体健康有一定的影响。因此本项目应采取有效的降噪措施，使北、南和西面厂界噪声值负荷《工业企业厂界环境噪声排放标准》（G</w:t>
            </w:r>
            <w:r>
              <w:rPr>
                <w:rFonts w:cs="宋体"/>
                <w:bCs/>
                <w:kern w:val="0"/>
                <w:sz w:val="24"/>
              </w:rPr>
              <w:t>B12348-2008</w:t>
            </w:r>
            <w:r>
              <w:rPr>
                <w:rFonts w:hint="eastAsia" w:cs="宋体"/>
                <w:bCs/>
                <w:kern w:val="0"/>
                <w:sz w:val="24"/>
              </w:rPr>
              <w:t>）2类功能区标准，东面厂界噪声值负荷《工业企业厂界环境噪声排放标准》（G</w:t>
            </w:r>
            <w:r>
              <w:rPr>
                <w:rFonts w:cs="宋体"/>
                <w:bCs/>
                <w:kern w:val="0"/>
                <w:sz w:val="24"/>
              </w:rPr>
              <w:t>B12348-2008</w:t>
            </w:r>
            <w:r>
              <w:rPr>
                <w:rFonts w:hint="eastAsia" w:cs="宋体"/>
                <w:bCs/>
                <w:kern w:val="0"/>
                <w:sz w:val="24"/>
              </w:rPr>
              <w:t>）</w:t>
            </w:r>
            <w:r>
              <w:rPr>
                <w:rFonts w:cs="宋体"/>
                <w:bCs/>
                <w:kern w:val="0"/>
                <w:sz w:val="24"/>
              </w:rPr>
              <w:t>4a</w:t>
            </w:r>
            <w:r>
              <w:rPr>
                <w:rFonts w:hint="eastAsia" w:cs="宋体"/>
                <w:bCs/>
                <w:kern w:val="0"/>
                <w:sz w:val="24"/>
              </w:rPr>
              <w:t>类功能区标准。建议本项目噪声治理具体措施如下：</w:t>
            </w:r>
          </w:p>
          <w:p>
            <w:pPr>
              <w:numPr>
                <w:ilvl w:val="0"/>
                <w:numId w:val="7"/>
              </w:numPr>
              <w:autoSpaceDE w:val="0"/>
              <w:autoSpaceDN w:val="0"/>
              <w:adjustRightInd w:val="0"/>
              <w:spacing w:line="360" w:lineRule="auto"/>
              <w:ind w:left="0" w:firstLine="480" w:firstLineChars="200"/>
              <w:jc w:val="left"/>
              <w:rPr>
                <w:rFonts w:cs="宋体"/>
                <w:bCs/>
                <w:kern w:val="0"/>
                <w:sz w:val="24"/>
              </w:rPr>
            </w:pPr>
            <w:r>
              <w:rPr>
                <w:rFonts w:hint="eastAsia" w:cs="宋体"/>
                <w:bCs/>
                <w:kern w:val="0"/>
                <w:sz w:val="24"/>
              </w:rPr>
              <w:t>选用低噪声型设备，加强设备日常维护与保养，及时淘汰落后设备；</w:t>
            </w:r>
          </w:p>
          <w:p>
            <w:pPr>
              <w:numPr>
                <w:ilvl w:val="0"/>
                <w:numId w:val="7"/>
              </w:numPr>
              <w:autoSpaceDE w:val="0"/>
              <w:autoSpaceDN w:val="0"/>
              <w:adjustRightInd w:val="0"/>
              <w:spacing w:line="360" w:lineRule="auto"/>
              <w:ind w:left="0" w:firstLine="480" w:firstLineChars="200"/>
              <w:jc w:val="left"/>
              <w:rPr>
                <w:rFonts w:cs="宋体"/>
                <w:bCs/>
                <w:kern w:val="0"/>
                <w:sz w:val="24"/>
              </w:rPr>
            </w:pPr>
            <w:r>
              <w:rPr>
                <w:rFonts w:hint="eastAsia" w:cs="宋体"/>
                <w:bCs/>
                <w:kern w:val="0"/>
                <w:sz w:val="24"/>
              </w:rPr>
              <w:t>对高噪声设备采取相应的隔声，减振和消声等综合治理措施；</w:t>
            </w:r>
          </w:p>
          <w:p>
            <w:pPr>
              <w:numPr>
                <w:ilvl w:val="0"/>
                <w:numId w:val="7"/>
              </w:numPr>
              <w:autoSpaceDE w:val="0"/>
              <w:autoSpaceDN w:val="0"/>
              <w:adjustRightInd w:val="0"/>
              <w:spacing w:line="360" w:lineRule="auto"/>
              <w:ind w:left="0" w:firstLine="480" w:firstLineChars="200"/>
              <w:jc w:val="left"/>
              <w:rPr>
                <w:rFonts w:cs="宋体"/>
                <w:bCs/>
                <w:kern w:val="0"/>
                <w:sz w:val="24"/>
              </w:rPr>
            </w:pPr>
            <w:r>
              <w:rPr>
                <w:rFonts w:hint="eastAsia" w:cs="宋体"/>
                <w:bCs/>
                <w:kern w:val="0"/>
                <w:sz w:val="24"/>
              </w:rPr>
              <w:t>合理布局噪声源，将高噪声源设于本项目车间中部，远离厂界；</w:t>
            </w:r>
          </w:p>
          <w:p>
            <w:pPr>
              <w:autoSpaceDE w:val="0"/>
              <w:autoSpaceDN w:val="0"/>
              <w:adjustRightInd w:val="0"/>
              <w:spacing w:line="360" w:lineRule="auto"/>
              <w:ind w:firstLine="480" w:firstLineChars="200"/>
              <w:rPr>
                <w:rFonts w:cs="宋体"/>
                <w:bCs/>
                <w:kern w:val="0"/>
                <w:sz w:val="24"/>
              </w:rPr>
            </w:pPr>
            <w:r>
              <w:rPr>
                <w:rFonts w:hint="eastAsia" w:cs="宋体"/>
                <w:bCs/>
                <w:kern w:val="0"/>
                <w:sz w:val="24"/>
              </w:rPr>
              <w:t>经采取上述综合措施后，再经距离衰减和车间门窗、墙体隔声，本项目北、南和西面厂界噪声值负荷《工业企业厂界环境噪声排放标准》（G</w:t>
            </w:r>
            <w:r>
              <w:rPr>
                <w:rFonts w:cs="宋体"/>
                <w:bCs/>
                <w:kern w:val="0"/>
                <w:sz w:val="24"/>
              </w:rPr>
              <w:t>B12348-2008</w:t>
            </w:r>
            <w:r>
              <w:rPr>
                <w:rFonts w:hint="eastAsia" w:cs="宋体"/>
                <w:bCs/>
                <w:kern w:val="0"/>
                <w:sz w:val="24"/>
              </w:rPr>
              <w:t>）2类功能区标准（即昼间≤60</w:t>
            </w:r>
            <w:r>
              <w:rPr>
                <w:rFonts w:cs="宋体"/>
                <w:bCs/>
                <w:kern w:val="0"/>
                <w:sz w:val="24"/>
              </w:rPr>
              <w:t xml:space="preserve"> dB（A）</w:t>
            </w:r>
            <w:r>
              <w:rPr>
                <w:rFonts w:hint="eastAsia" w:cs="宋体"/>
                <w:bCs/>
                <w:kern w:val="0"/>
                <w:sz w:val="24"/>
              </w:rPr>
              <w:t xml:space="preserve">，夜间≤50 </w:t>
            </w:r>
            <w:r>
              <w:rPr>
                <w:rFonts w:cs="宋体"/>
                <w:bCs/>
                <w:kern w:val="0"/>
                <w:sz w:val="24"/>
              </w:rPr>
              <w:t>dB（A）</w:t>
            </w:r>
            <w:r>
              <w:rPr>
                <w:rFonts w:hint="eastAsia" w:cs="宋体"/>
                <w:bCs/>
                <w:kern w:val="0"/>
                <w:sz w:val="24"/>
              </w:rPr>
              <w:t>），东面厂界噪声值负荷《工业企业厂界环境噪声排放标准》（G</w:t>
            </w:r>
            <w:r>
              <w:rPr>
                <w:rFonts w:cs="宋体"/>
                <w:bCs/>
                <w:kern w:val="0"/>
                <w:sz w:val="24"/>
              </w:rPr>
              <w:t>B12348-2008</w:t>
            </w:r>
            <w:r>
              <w:rPr>
                <w:rFonts w:hint="eastAsia" w:cs="宋体"/>
                <w:bCs/>
                <w:kern w:val="0"/>
                <w:sz w:val="24"/>
              </w:rPr>
              <w:t>）</w:t>
            </w:r>
            <w:r>
              <w:rPr>
                <w:rFonts w:cs="宋体"/>
                <w:bCs/>
                <w:kern w:val="0"/>
                <w:sz w:val="24"/>
              </w:rPr>
              <w:t>4a</w:t>
            </w:r>
            <w:r>
              <w:rPr>
                <w:rFonts w:hint="eastAsia" w:cs="宋体"/>
                <w:bCs/>
                <w:kern w:val="0"/>
                <w:sz w:val="24"/>
              </w:rPr>
              <w:t>类功能区标准（即昼间≤70</w:t>
            </w:r>
            <w:r>
              <w:rPr>
                <w:rFonts w:cs="宋体"/>
                <w:bCs/>
                <w:kern w:val="0"/>
                <w:sz w:val="24"/>
              </w:rPr>
              <w:t xml:space="preserve"> dB（A）</w:t>
            </w:r>
            <w:r>
              <w:rPr>
                <w:rFonts w:hint="eastAsia" w:cs="宋体"/>
                <w:bCs/>
                <w:kern w:val="0"/>
                <w:sz w:val="24"/>
              </w:rPr>
              <w:t>，夜间≤5</w:t>
            </w:r>
            <w:r>
              <w:rPr>
                <w:rFonts w:cs="宋体"/>
                <w:bCs/>
                <w:kern w:val="0"/>
                <w:sz w:val="24"/>
              </w:rPr>
              <w:t>5</w:t>
            </w:r>
            <w:r>
              <w:rPr>
                <w:rFonts w:hint="eastAsia" w:cs="宋体"/>
                <w:bCs/>
                <w:kern w:val="0"/>
                <w:sz w:val="24"/>
              </w:rPr>
              <w:t xml:space="preserve"> </w:t>
            </w:r>
            <w:r>
              <w:rPr>
                <w:rFonts w:cs="宋体"/>
                <w:bCs/>
                <w:kern w:val="0"/>
                <w:sz w:val="24"/>
              </w:rPr>
              <w:t>dB（A）</w:t>
            </w:r>
            <w:r>
              <w:rPr>
                <w:rFonts w:hint="eastAsia" w:cs="宋体"/>
                <w:bCs/>
                <w:kern w:val="0"/>
                <w:sz w:val="24"/>
              </w:rPr>
              <w:t>），对附近敏感点和周围声环境影响较小。</w:t>
            </w:r>
          </w:p>
          <w:p>
            <w:pPr>
              <w:autoSpaceDE w:val="0"/>
              <w:autoSpaceDN w:val="0"/>
              <w:adjustRightInd w:val="0"/>
              <w:spacing w:line="360" w:lineRule="auto"/>
              <w:ind w:firstLine="480" w:firstLineChars="200"/>
              <w:rPr>
                <w:rFonts w:cs="宋体"/>
                <w:bCs/>
                <w:kern w:val="0"/>
                <w:sz w:val="24"/>
              </w:rPr>
            </w:pPr>
            <w:r>
              <w:rPr>
                <w:rFonts w:hint="eastAsia" w:cs="宋体"/>
                <w:bCs/>
                <w:kern w:val="0"/>
                <w:sz w:val="24"/>
              </w:rPr>
              <w:t>但车间噪声会对车间操作工人健康有一定的影响：国际的统计结果表明，当噪声声源强在8</w:t>
            </w:r>
            <w:r>
              <w:rPr>
                <w:rFonts w:cs="宋体"/>
                <w:bCs/>
                <w:kern w:val="0"/>
                <w:sz w:val="24"/>
              </w:rPr>
              <w:t>0 dB（A）</w:t>
            </w:r>
            <w:r>
              <w:rPr>
                <w:rFonts w:hint="eastAsia" w:cs="宋体"/>
                <w:bCs/>
                <w:kern w:val="0"/>
                <w:sz w:val="24"/>
              </w:rPr>
              <w:t>以上，每增加5</w:t>
            </w:r>
            <w:r>
              <w:rPr>
                <w:rFonts w:cs="宋体"/>
                <w:bCs/>
                <w:kern w:val="0"/>
                <w:sz w:val="24"/>
              </w:rPr>
              <w:t xml:space="preserve"> dB（A）</w:t>
            </w:r>
            <w:r>
              <w:rPr>
                <w:rFonts w:hint="eastAsia" w:cs="宋体"/>
                <w:bCs/>
                <w:kern w:val="0"/>
                <w:sz w:val="24"/>
              </w:rPr>
              <w:t>，噪声性耳聋发病率增加约10</w:t>
            </w:r>
            <w:r>
              <w:rPr>
                <w:rFonts w:cs="宋体"/>
                <w:bCs/>
                <w:kern w:val="0"/>
                <w:sz w:val="24"/>
              </w:rPr>
              <w:t>%</w:t>
            </w:r>
            <w:r>
              <w:rPr>
                <w:rFonts w:hint="eastAsia" w:cs="宋体"/>
                <w:bCs/>
                <w:kern w:val="0"/>
                <w:sz w:val="24"/>
              </w:rPr>
              <w:t>。此外，噪声还可以产生心绪不宁、疲倦失眠、工作效率低下、语言联络困难，乃至诱发各种疾病。因此，评价项目的生产设备选择低噪声产品，还应进行适当的合理安装和减振处理，合理的布置，并做好厂房的密封降噪措施，使噪声达标排放采取工人轮换作业，缩短工人进入高噪声环境的工作时间，将噪声对周围环境和生产工人的影响降至最低。</w:t>
            </w:r>
          </w:p>
          <w:p>
            <w:pPr>
              <w:pStyle w:val="35"/>
              <w:adjustRightInd w:val="0"/>
              <w:snapToGrid w:val="0"/>
              <w:spacing w:line="360" w:lineRule="auto"/>
              <w:ind w:firstLine="482" w:firstLineChars="200"/>
              <w:rPr>
                <w:b/>
                <w:bCs/>
                <w:sz w:val="24"/>
                <w:szCs w:val="24"/>
              </w:rPr>
            </w:pPr>
            <w:r>
              <w:rPr>
                <w:rFonts w:hint="eastAsia"/>
                <w:b/>
                <w:bCs/>
                <w:sz w:val="24"/>
                <w:szCs w:val="24"/>
              </w:rPr>
              <w:t>5、环保投资概算</w:t>
            </w:r>
          </w:p>
          <w:p>
            <w:pPr>
              <w:snapToGrid w:val="0"/>
              <w:jc w:val="center"/>
              <w:rPr>
                <w:b/>
                <w:szCs w:val="21"/>
              </w:rPr>
            </w:pPr>
            <w:r>
              <w:rPr>
                <w:b/>
                <w:szCs w:val="21"/>
              </w:rPr>
              <w:t>表37</w:t>
            </w:r>
            <w:r>
              <w:rPr>
                <w:rFonts w:hint="eastAsia"/>
                <w:b/>
                <w:szCs w:val="21"/>
              </w:rPr>
              <w:t xml:space="preserve"> </w:t>
            </w:r>
            <w:r>
              <w:rPr>
                <w:b/>
                <w:szCs w:val="21"/>
              </w:rPr>
              <w:t xml:space="preserve"> 环保设施投资一览表</w:t>
            </w:r>
          </w:p>
          <w:tbl>
            <w:tblPr>
              <w:tblStyle w:val="25"/>
              <w:tblW w:w="91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2433"/>
              <w:gridCol w:w="4077"/>
              <w:gridCol w:w="1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70" w:type="dxa"/>
                  <w:vAlign w:val="center"/>
                </w:tcPr>
                <w:p>
                  <w:pPr>
                    <w:pStyle w:val="48"/>
                    <w:spacing w:line="240" w:lineRule="auto"/>
                    <w:rPr>
                      <w:rFonts w:ascii="Times New Roman"/>
                      <w:b/>
                      <w:bCs/>
                      <w:kern w:val="2"/>
                      <w:szCs w:val="21"/>
                    </w:rPr>
                  </w:pPr>
                  <w:r>
                    <w:rPr>
                      <w:rFonts w:ascii="Times New Roman"/>
                      <w:b/>
                      <w:bCs/>
                      <w:kern w:val="2"/>
                      <w:szCs w:val="21"/>
                    </w:rPr>
                    <w:t>环保防治项目</w:t>
                  </w:r>
                </w:p>
              </w:tc>
              <w:tc>
                <w:tcPr>
                  <w:tcW w:w="2433" w:type="dxa"/>
                  <w:vAlign w:val="center"/>
                </w:tcPr>
                <w:p>
                  <w:pPr>
                    <w:pStyle w:val="48"/>
                    <w:spacing w:line="240" w:lineRule="auto"/>
                    <w:rPr>
                      <w:rFonts w:ascii="Times New Roman"/>
                      <w:b/>
                      <w:bCs/>
                      <w:kern w:val="2"/>
                      <w:szCs w:val="21"/>
                    </w:rPr>
                  </w:pPr>
                  <w:r>
                    <w:rPr>
                      <w:rFonts w:hint="eastAsia" w:ascii="Times New Roman"/>
                      <w:b/>
                      <w:bCs/>
                      <w:kern w:val="2"/>
                      <w:szCs w:val="21"/>
                    </w:rPr>
                    <w:t>污染物</w:t>
                  </w:r>
                </w:p>
              </w:tc>
              <w:tc>
                <w:tcPr>
                  <w:tcW w:w="4077" w:type="dxa"/>
                  <w:vAlign w:val="center"/>
                </w:tcPr>
                <w:p>
                  <w:pPr>
                    <w:pStyle w:val="48"/>
                    <w:spacing w:line="240" w:lineRule="auto"/>
                    <w:rPr>
                      <w:rFonts w:ascii="Times New Roman"/>
                      <w:b/>
                      <w:bCs/>
                      <w:kern w:val="2"/>
                      <w:szCs w:val="21"/>
                    </w:rPr>
                  </w:pPr>
                  <w:r>
                    <w:rPr>
                      <w:rFonts w:ascii="Times New Roman"/>
                      <w:b/>
                      <w:bCs/>
                      <w:kern w:val="2"/>
                      <w:szCs w:val="21"/>
                    </w:rPr>
                    <w:t>主要设施</w:t>
                  </w:r>
                </w:p>
              </w:tc>
              <w:tc>
                <w:tcPr>
                  <w:tcW w:w="1507" w:type="dxa"/>
                  <w:vAlign w:val="center"/>
                </w:tcPr>
                <w:p>
                  <w:pPr>
                    <w:pStyle w:val="48"/>
                    <w:spacing w:line="240" w:lineRule="auto"/>
                    <w:rPr>
                      <w:rFonts w:ascii="Times New Roman"/>
                      <w:b/>
                      <w:bCs/>
                      <w:kern w:val="2"/>
                      <w:szCs w:val="21"/>
                    </w:rPr>
                  </w:pPr>
                  <w:r>
                    <w:rPr>
                      <w:rFonts w:ascii="Times New Roman"/>
                      <w:b/>
                      <w:bCs/>
                      <w:kern w:val="2"/>
                      <w:szCs w:val="21"/>
                    </w:rPr>
                    <w:t>环保投资（万元）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70" w:type="dxa"/>
                  <w:vAlign w:val="center"/>
                </w:tcPr>
                <w:p>
                  <w:pPr>
                    <w:jc w:val="center"/>
                    <w:rPr>
                      <w:szCs w:val="21"/>
                    </w:rPr>
                  </w:pPr>
                  <w:r>
                    <w:rPr>
                      <w:szCs w:val="21"/>
                    </w:rPr>
                    <w:t>废气</w:t>
                  </w:r>
                </w:p>
              </w:tc>
              <w:tc>
                <w:tcPr>
                  <w:tcW w:w="2433" w:type="dxa"/>
                  <w:vAlign w:val="center"/>
                </w:tcPr>
                <w:p>
                  <w:pPr>
                    <w:jc w:val="center"/>
                    <w:rPr>
                      <w:szCs w:val="21"/>
                    </w:rPr>
                  </w:pPr>
                  <w:r>
                    <w:rPr>
                      <w:rFonts w:hint="eastAsia"/>
                      <w:szCs w:val="21"/>
                    </w:rPr>
                    <w:t>颗粒物</w:t>
                  </w:r>
                </w:p>
              </w:tc>
              <w:tc>
                <w:tcPr>
                  <w:tcW w:w="4077" w:type="dxa"/>
                  <w:vAlign w:val="center"/>
                </w:tcPr>
                <w:p>
                  <w:pPr>
                    <w:jc w:val="center"/>
                    <w:rPr>
                      <w:szCs w:val="21"/>
                    </w:rPr>
                  </w:pPr>
                  <w:r>
                    <w:rPr>
                      <w:rFonts w:hint="eastAsia" w:ascii="宋体" w:cs="宋体"/>
                      <w:kern w:val="0"/>
                      <w:szCs w:val="21"/>
                    </w:rPr>
                    <w:t>喷雾降尘装置、加装彩钢板，纤维过滤袋</w:t>
                  </w:r>
                </w:p>
              </w:tc>
              <w:tc>
                <w:tcPr>
                  <w:tcW w:w="1507" w:type="dxa"/>
                  <w:vAlign w:val="center"/>
                </w:tcPr>
                <w:p>
                  <w:pPr>
                    <w:jc w:val="center"/>
                    <w:rPr>
                      <w:szCs w:val="21"/>
                    </w:rPr>
                  </w:pPr>
                  <w:r>
                    <w:rPr>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70" w:type="dxa"/>
                  <w:vAlign w:val="center"/>
                </w:tcPr>
                <w:p>
                  <w:pPr>
                    <w:jc w:val="center"/>
                    <w:rPr>
                      <w:szCs w:val="21"/>
                    </w:rPr>
                  </w:pPr>
                  <w:r>
                    <w:rPr>
                      <w:szCs w:val="21"/>
                    </w:rPr>
                    <w:t>废水</w:t>
                  </w:r>
                </w:p>
              </w:tc>
              <w:tc>
                <w:tcPr>
                  <w:tcW w:w="2433" w:type="dxa"/>
                  <w:vAlign w:val="center"/>
                </w:tcPr>
                <w:p>
                  <w:pPr>
                    <w:jc w:val="center"/>
                    <w:rPr>
                      <w:szCs w:val="21"/>
                    </w:rPr>
                  </w:pPr>
                  <w:r>
                    <w:rPr>
                      <w:rFonts w:hint="eastAsia"/>
                      <w:szCs w:val="21"/>
                    </w:rPr>
                    <w:t>生活污水</w:t>
                  </w:r>
                </w:p>
              </w:tc>
              <w:tc>
                <w:tcPr>
                  <w:tcW w:w="4077" w:type="dxa"/>
                  <w:vAlign w:val="center"/>
                </w:tcPr>
                <w:p>
                  <w:pPr>
                    <w:jc w:val="center"/>
                    <w:rPr>
                      <w:szCs w:val="21"/>
                    </w:rPr>
                  </w:pPr>
                  <w:r>
                    <w:rPr>
                      <w:rFonts w:hint="eastAsia"/>
                      <w:szCs w:val="21"/>
                    </w:rPr>
                    <w:t>三级化粪池</w:t>
                  </w:r>
                </w:p>
              </w:tc>
              <w:tc>
                <w:tcPr>
                  <w:tcW w:w="1507" w:type="dxa"/>
                  <w:vAlign w:val="center"/>
                </w:tcPr>
                <w:p>
                  <w:pPr>
                    <w:jc w:val="center"/>
                    <w:rPr>
                      <w:szCs w:val="21"/>
                    </w:rPr>
                  </w:pPr>
                  <w:r>
                    <w:rPr>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70" w:type="dxa"/>
                  <w:vAlign w:val="center"/>
                </w:tcPr>
                <w:p>
                  <w:pPr>
                    <w:jc w:val="center"/>
                    <w:rPr>
                      <w:szCs w:val="21"/>
                    </w:rPr>
                  </w:pPr>
                  <w:r>
                    <w:rPr>
                      <w:szCs w:val="21"/>
                    </w:rPr>
                    <w:t>噪声</w:t>
                  </w:r>
                </w:p>
              </w:tc>
              <w:tc>
                <w:tcPr>
                  <w:tcW w:w="2433" w:type="dxa"/>
                  <w:vAlign w:val="center"/>
                </w:tcPr>
                <w:p>
                  <w:pPr>
                    <w:jc w:val="center"/>
                    <w:rPr>
                      <w:szCs w:val="21"/>
                    </w:rPr>
                  </w:pPr>
                  <w:r>
                    <w:rPr>
                      <w:rFonts w:hint="eastAsia"/>
                      <w:szCs w:val="21"/>
                    </w:rPr>
                    <w:t>生活污水</w:t>
                  </w:r>
                </w:p>
              </w:tc>
              <w:tc>
                <w:tcPr>
                  <w:tcW w:w="4077" w:type="dxa"/>
                  <w:vAlign w:val="center"/>
                </w:tcPr>
                <w:p>
                  <w:pPr>
                    <w:jc w:val="center"/>
                    <w:rPr>
                      <w:szCs w:val="21"/>
                    </w:rPr>
                  </w:pPr>
                  <w:r>
                    <w:rPr>
                      <w:rFonts w:hint="eastAsia"/>
                      <w:szCs w:val="21"/>
                    </w:rPr>
                    <w:t>减振</w:t>
                  </w:r>
                  <w:r>
                    <w:rPr>
                      <w:szCs w:val="21"/>
                    </w:rPr>
                    <w:t>垫、消声器、吸声材料等</w:t>
                  </w:r>
                </w:p>
              </w:tc>
              <w:tc>
                <w:tcPr>
                  <w:tcW w:w="1507" w:type="dxa"/>
                  <w:vAlign w:val="center"/>
                </w:tcPr>
                <w:p>
                  <w:pPr>
                    <w:jc w:val="center"/>
                    <w:rPr>
                      <w:szCs w:val="21"/>
                    </w:rPr>
                  </w:pPr>
                  <w:r>
                    <w:rPr>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70" w:type="dxa"/>
                  <w:vAlign w:val="center"/>
                </w:tcPr>
                <w:p>
                  <w:pPr>
                    <w:jc w:val="center"/>
                    <w:rPr>
                      <w:szCs w:val="21"/>
                    </w:rPr>
                  </w:pPr>
                  <w:r>
                    <w:rPr>
                      <w:szCs w:val="21"/>
                    </w:rPr>
                    <w:t>固废</w:t>
                  </w:r>
                </w:p>
              </w:tc>
              <w:tc>
                <w:tcPr>
                  <w:tcW w:w="2433" w:type="dxa"/>
                  <w:vAlign w:val="center"/>
                </w:tcPr>
                <w:p>
                  <w:pPr>
                    <w:jc w:val="center"/>
                    <w:rPr>
                      <w:szCs w:val="21"/>
                    </w:rPr>
                  </w:pPr>
                  <w:r>
                    <w:rPr>
                      <w:rFonts w:hint="eastAsia"/>
                      <w:szCs w:val="21"/>
                    </w:rPr>
                    <w:t>一般固废</w:t>
                  </w:r>
                </w:p>
              </w:tc>
              <w:tc>
                <w:tcPr>
                  <w:tcW w:w="4077" w:type="dxa"/>
                  <w:vAlign w:val="center"/>
                </w:tcPr>
                <w:p>
                  <w:pPr>
                    <w:jc w:val="center"/>
                    <w:rPr>
                      <w:szCs w:val="21"/>
                    </w:rPr>
                  </w:pPr>
                  <w:r>
                    <w:rPr>
                      <w:rFonts w:hint="eastAsia"/>
                      <w:szCs w:val="21"/>
                    </w:rPr>
                    <w:t>固废收集装置等</w:t>
                  </w:r>
                </w:p>
              </w:tc>
              <w:tc>
                <w:tcPr>
                  <w:tcW w:w="1507" w:type="dxa"/>
                  <w:vAlign w:val="center"/>
                </w:tcPr>
                <w:p>
                  <w:pPr>
                    <w:jc w:val="center"/>
                    <w:rPr>
                      <w:szCs w:val="21"/>
                    </w:rPr>
                  </w:pPr>
                  <w:r>
                    <w:rPr>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680" w:type="dxa"/>
                  <w:gridSpan w:val="3"/>
                  <w:vAlign w:val="center"/>
                </w:tcPr>
                <w:p>
                  <w:pPr>
                    <w:jc w:val="center"/>
                    <w:rPr>
                      <w:szCs w:val="21"/>
                    </w:rPr>
                  </w:pPr>
                  <w:r>
                    <w:rPr>
                      <w:szCs w:val="21"/>
                    </w:rPr>
                    <w:t>合计</w:t>
                  </w:r>
                </w:p>
              </w:tc>
              <w:tc>
                <w:tcPr>
                  <w:tcW w:w="1507" w:type="dxa"/>
                  <w:vAlign w:val="center"/>
                </w:tcPr>
                <w:p>
                  <w:pPr>
                    <w:jc w:val="center"/>
                    <w:rPr>
                      <w:szCs w:val="21"/>
                    </w:rPr>
                  </w:pPr>
                  <w:r>
                    <w:rPr>
                      <w:szCs w:val="21"/>
                    </w:rPr>
                    <w:t>20</w:t>
                  </w:r>
                </w:p>
              </w:tc>
            </w:tr>
          </w:tbl>
          <w:p>
            <w:pPr>
              <w:pStyle w:val="35"/>
              <w:adjustRightInd w:val="0"/>
              <w:snapToGrid w:val="0"/>
              <w:rPr>
                <w:bCs/>
                <w:sz w:val="24"/>
                <w:szCs w:val="24"/>
              </w:rPr>
            </w:pPr>
          </w:p>
          <w:p>
            <w:pPr>
              <w:pStyle w:val="35"/>
              <w:adjustRightInd w:val="0"/>
              <w:snapToGrid w:val="0"/>
              <w:spacing w:line="360" w:lineRule="auto"/>
              <w:ind w:firstLine="482" w:firstLineChars="200"/>
              <w:rPr>
                <w:b/>
                <w:sz w:val="24"/>
                <w:szCs w:val="24"/>
              </w:rPr>
            </w:pPr>
            <w:r>
              <w:rPr>
                <w:rFonts w:hint="eastAsia"/>
                <w:b/>
                <w:sz w:val="24"/>
                <w:szCs w:val="24"/>
              </w:rPr>
              <w:t>环境保护措施“三同时”</w:t>
            </w:r>
          </w:p>
          <w:p>
            <w:pPr>
              <w:pStyle w:val="35"/>
              <w:adjustRightInd w:val="0"/>
              <w:snapToGrid w:val="0"/>
              <w:spacing w:line="360" w:lineRule="auto"/>
              <w:ind w:firstLine="480" w:firstLineChars="200"/>
              <w:rPr>
                <w:rFonts w:ascii="宋体" w:cs="宋体"/>
                <w:kern w:val="0"/>
                <w:sz w:val="24"/>
              </w:rPr>
            </w:pPr>
            <w:r>
              <w:rPr>
                <w:rFonts w:hint="eastAsia" w:ascii="宋体" w:cs="宋体"/>
                <w:kern w:val="0"/>
                <w:sz w:val="24"/>
              </w:rPr>
              <w:t>本项目环保设施“三同时”竣工验收汇总表见下表。</w:t>
            </w:r>
          </w:p>
          <w:p>
            <w:pPr>
              <w:pStyle w:val="35"/>
              <w:adjustRightInd w:val="0"/>
              <w:snapToGrid w:val="0"/>
              <w:ind w:firstLine="422" w:firstLineChars="200"/>
              <w:jc w:val="center"/>
              <w:rPr>
                <w:rFonts w:ascii="宋体" w:hAnsi="宋体" w:cs="宋体"/>
                <w:b/>
                <w:bCs/>
                <w:kern w:val="0"/>
                <w:sz w:val="21"/>
                <w:szCs w:val="21"/>
              </w:rPr>
            </w:pPr>
            <w:r>
              <w:rPr>
                <w:rFonts w:hint="eastAsia" w:ascii="宋体" w:hAnsi="宋体" w:cs="宋体"/>
                <w:b/>
                <w:bCs/>
                <w:kern w:val="0"/>
                <w:sz w:val="21"/>
                <w:szCs w:val="21"/>
              </w:rPr>
              <w:t>表38</w:t>
            </w:r>
            <w:r>
              <w:rPr>
                <w:b/>
                <w:bCs/>
                <w:kern w:val="0"/>
                <w:sz w:val="21"/>
                <w:szCs w:val="21"/>
              </w:rPr>
              <w:t xml:space="preserve">  </w:t>
            </w:r>
            <w:r>
              <w:rPr>
                <w:rFonts w:ascii="宋体" w:hAnsi="宋体" w:cs="宋体"/>
                <w:b/>
                <w:bCs/>
                <w:kern w:val="0"/>
                <w:sz w:val="21"/>
                <w:szCs w:val="21"/>
              </w:rPr>
              <w:t xml:space="preserve"> </w:t>
            </w:r>
            <w:r>
              <w:rPr>
                <w:rFonts w:hint="eastAsia" w:ascii="宋体" w:hAnsi="宋体" w:cs="宋体"/>
                <w:b/>
                <w:bCs/>
                <w:kern w:val="0"/>
                <w:sz w:val="21"/>
                <w:szCs w:val="21"/>
              </w:rPr>
              <w:t>环保设施</w:t>
            </w:r>
            <w:r>
              <w:rPr>
                <w:rFonts w:hint="eastAsia" w:ascii="宋体" w:hAnsi="宋体" w:cs="Times New Roman,Bold"/>
                <w:b/>
                <w:bCs/>
                <w:kern w:val="0"/>
                <w:sz w:val="21"/>
                <w:szCs w:val="21"/>
              </w:rPr>
              <w:t>“</w:t>
            </w:r>
            <w:r>
              <w:rPr>
                <w:rFonts w:hint="eastAsia" w:ascii="宋体" w:hAnsi="宋体" w:cs="宋体"/>
                <w:b/>
                <w:bCs/>
                <w:kern w:val="0"/>
                <w:sz w:val="21"/>
                <w:szCs w:val="21"/>
              </w:rPr>
              <w:t>三同时</w:t>
            </w:r>
            <w:r>
              <w:rPr>
                <w:rFonts w:hint="eastAsia" w:ascii="宋体" w:hAnsi="宋体" w:cs="Times New Roman,Bold"/>
                <w:b/>
                <w:bCs/>
                <w:kern w:val="0"/>
                <w:sz w:val="21"/>
                <w:szCs w:val="21"/>
              </w:rPr>
              <w:t>”</w:t>
            </w:r>
            <w:r>
              <w:rPr>
                <w:rFonts w:hint="eastAsia" w:ascii="宋体" w:hAnsi="宋体" w:cs="宋体"/>
                <w:b/>
                <w:bCs/>
                <w:kern w:val="0"/>
                <w:sz w:val="21"/>
                <w:szCs w:val="21"/>
              </w:rPr>
              <w:t>验收内容</w:t>
            </w:r>
          </w:p>
          <w:tbl>
            <w:tblPr>
              <w:tblStyle w:val="26"/>
              <w:tblW w:w="91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1435"/>
              <w:gridCol w:w="1843"/>
              <w:gridCol w:w="1297"/>
              <w:gridCol w:w="1025"/>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6" w:type="dxa"/>
                  <w:vAlign w:val="center"/>
                </w:tcPr>
                <w:p>
                  <w:pPr>
                    <w:pStyle w:val="35"/>
                    <w:adjustRightInd w:val="0"/>
                    <w:snapToGrid w:val="0"/>
                    <w:jc w:val="center"/>
                    <w:rPr>
                      <w:b/>
                      <w:sz w:val="21"/>
                      <w:szCs w:val="21"/>
                    </w:rPr>
                  </w:pPr>
                  <w:r>
                    <w:rPr>
                      <w:b/>
                      <w:sz w:val="21"/>
                      <w:szCs w:val="21"/>
                    </w:rPr>
                    <w:t>验收类别</w:t>
                  </w:r>
                </w:p>
              </w:tc>
              <w:tc>
                <w:tcPr>
                  <w:tcW w:w="1435" w:type="dxa"/>
                  <w:vAlign w:val="center"/>
                </w:tcPr>
                <w:p>
                  <w:pPr>
                    <w:pStyle w:val="35"/>
                    <w:adjustRightInd w:val="0"/>
                    <w:snapToGrid w:val="0"/>
                    <w:jc w:val="center"/>
                    <w:rPr>
                      <w:b/>
                      <w:sz w:val="21"/>
                      <w:szCs w:val="21"/>
                    </w:rPr>
                  </w:pPr>
                  <w:r>
                    <w:rPr>
                      <w:b/>
                      <w:sz w:val="21"/>
                      <w:szCs w:val="21"/>
                    </w:rPr>
                    <w:t>污染源</w:t>
                  </w:r>
                </w:p>
              </w:tc>
              <w:tc>
                <w:tcPr>
                  <w:tcW w:w="1843" w:type="dxa"/>
                  <w:vAlign w:val="center"/>
                </w:tcPr>
                <w:p>
                  <w:pPr>
                    <w:pStyle w:val="35"/>
                    <w:adjustRightInd w:val="0"/>
                    <w:snapToGrid w:val="0"/>
                    <w:jc w:val="center"/>
                    <w:rPr>
                      <w:b/>
                      <w:sz w:val="21"/>
                      <w:szCs w:val="21"/>
                    </w:rPr>
                  </w:pPr>
                  <w:r>
                    <w:rPr>
                      <w:b/>
                      <w:sz w:val="21"/>
                      <w:szCs w:val="21"/>
                    </w:rPr>
                    <w:t>防治设施</w:t>
                  </w:r>
                </w:p>
              </w:tc>
              <w:tc>
                <w:tcPr>
                  <w:tcW w:w="1297" w:type="dxa"/>
                  <w:vAlign w:val="center"/>
                </w:tcPr>
                <w:p>
                  <w:pPr>
                    <w:pStyle w:val="35"/>
                    <w:adjustRightInd w:val="0"/>
                    <w:snapToGrid w:val="0"/>
                    <w:jc w:val="center"/>
                    <w:rPr>
                      <w:b/>
                      <w:sz w:val="21"/>
                      <w:szCs w:val="21"/>
                    </w:rPr>
                  </w:pPr>
                  <w:r>
                    <w:rPr>
                      <w:b/>
                      <w:sz w:val="21"/>
                      <w:szCs w:val="21"/>
                    </w:rPr>
                    <w:t>设备规格和数量</w:t>
                  </w:r>
                </w:p>
              </w:tc>
              <w:tc>
                <w:tcPr>
                  <w:tcW w:w="1025" w:type="dxa"/>
                  <w:vAlign w:val="center"/>
                </w:tcPr>
                <w:p>
                  <w:pPr>
                    <w:pStyle w:val="35"/>
                    <w:adjustRightInd w:val="0"/>
                    <w:snapToGrid w:val="0"/>
                    <w:jc w:val="center"/>
                    <w:rPr>
                      <w:b/>
                      <w:sz w:val="21"/>
                      <w:szCs w:val="21"/>
                    </w:rPr>
                  </w:pPr>
                  <w:r>
                    <w:rPr>
                      <w:b/>
                      <w:sz w:val="21"/>
                      <w:szCs w:val="21"/>
                    </w:rPr>
                    <w:t>投资估算</w:t>
                  </w:r>
                </w:p>
              </w:tc>
              <w:tc>
                <w:tcPr>
                  <w:tcW w:w="2841" w:type="dxa"/>
                  <w:vAlign w:val="center"/>
                </w:tcPr>
                <w:p>
                  <w:pPr>
                    <w:pStyle w:val="35"/>
                    <w:adjustRightInd w:val="0"/>
                    <w:snapToGrid w:val="0"/>
                    <w:jc w:val="center"/>
                    <w:rPr>
                      <w:b/>
                      <w:sz w:val="21"/>
                      <w:szCs w:val="21"/>
                    </w:rPr>
                  </w:pPr>
                  <w:r>
                    <w:rPr>
                      <w:b/>
                      <w:sz w:val="21"/>
                      <w:szCs w:val="21"/>
                    </w:rPr>
                    <w:t>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6" w:type="dxa"/>
                  <w:vAlign w:val="center"/>
                </w:tcPr>
                <w:p>
                  <w:pPr>
                    <w:pStyle w:val="35"/>
                    <w:adjustRightInd w:val="0"/>
                    <w:snapToGrid w:val="0"/>
                    <w:jc w:val="center"/>
                    <w:rPr>
                      <w:bCs/>
                      <w:sz w:val="21"/>
                      <w:szCs w:val="21"/>
                    </w:rPr>
                  </w:pPr>
                  <w:r>
                    <w:rPr>
                      <w:kern w:val="0"/>
                      <w:sz w:val="21"/>
                      <w:szCs w:val="21"/>
                    </w:rPr>
                    <w:t>废水</w:t>
                  </w:r>
                </w:p>
              </w:tc>
              <w:tc>
                <w:tcPr>
                  <w:tcW w:w="1435" w:type="dxa"/>
                  <w:vAlign w:val="center"/>
                </w:tcPr>
                <w:p>
                  <w:pPr>
                    <w:jc w:val="center"/>
                    <w:rPr>
                      <w:szCs w:val="21"/>
                    </w:rPr>
                  </w:pPr>
                  <w:r>
                    <w:rPr>
                      <w:szCs w:val="21"/>
                    </w:rPr>
                    <w:t>生活污水</w:t>
                  </w:r>
                </w:p>
              </w:tc>
              <w:tc>
                <w:tcPr>
                  <w:tcW w:w="1843" w:type="dxa"/>
                  <w:vAlign w:val="center"/>
                </w:tcPr>
                <w:p>
                  <w:pPr>
                    <w:jc w:val="center"/>
                    <w:rPr>
                      <w:szCs w:val="21"/>
                    </w:rPr>
                  </w:pPr>
                  <w:r>
                    <w:rPr>
                      <w:szCs w:val="21"/>
                    </w:rPr>
                    <w:t>三级化粪池</w:t>
                  </w:r>
                </w:p>
              </w:tc>
              <w:tc>
                <w:tcPr>
                  <w:tcW w:w="1297" w:type="dxa"/>
                  <w:vAlign w:val="center"/>
                </w:tcPr>
                <w:p>
                  <w:pPr>
                    <w:pStyle w:val="35"/>
                    <w:adjustRightInd w:val="0"/>
                    <w:snapToGrid w:val="0"/>
                    <w:jc w:val="center"/>
                    <w:rPr>
                      <w:bCs/>
                      <w:sz w:val="21"/>
                      <w:szCs w:val="21"/>
                    </w:rPr>
                  </w:pPr>
                  <w:r>
                    <w:rPr>
                      <w:kern w:val="0"/>
                      <w:sz w:val="21"/>
                      <w:szCs w:val="21"/>
                    </w:rPr>
                    <w:t>1套</w:t>
                  </w:r>
                </w:p>
              </w:tc>
              <w:tc>
                <w:tcPr>
                  <w:tcW w:w="1025" w:type="dxa"/>
                  <w:vAlign w:val="center"/>
                </w:tcPr>
                <w:p>
                  <w:pPr>
                    <w:pStyle w:val="35"/>
                    <w:adjustRightInd w:val="0"/>
                    <w:snapToGrid w:val="0"/>
                    <w:jc w:val="center"/>
                    <w:rPr>
                      <w:bCs/>
                      <w:sz w:val="21"/>
                      <w:szCs w:val="21"/>
                    </w:rPr>
                  </w:pPr>
                  <w:r>
                    <w:rPr>
                      <w:bCs/>
                      <w:sz w:val="21"/>
                      <w:szCs w:val="21"/>
                    </w:rPr>
                    <w:t>3万元</w:t>
                  </w:r>
                </w:p>
              </w:tc>
              <w:tc>
                <w:tcPr>
                  <w:tcW w:w="2841" w:type="dxa"/>
                  <w:vAlign w:val="center"/>
                </w:tcPr>
                <w:p>
                  <w:pPr>
                    <w:autoSpaceDE w:val="0"/>
                    <w:autoSpaceDN w:val="0"/>
                    <w:adjustRightInd w:val="0"/>
                    <w:jc w:val="center"/>
                    <w:rPr>
                      <w:kern w:val="0"/>
                      <w:szCs w:val="21"/>
                    </w:rPr>
                  </w:pPr>
                  <w:r>
                    <w:rPr>
                      <w:szCs w:val="21"/>
                    </w:rPr>
                    <w:t>《农田灌溉水质标准》（GB5084-2005）表1中旱作标准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6" w:type="dxa"/>
                  <w:vAlign w:val="center"/>
                </w:tcPr>
                <w:p>
                  <w:pPr>
                    <w:pStyle w:val="35"/>
                    <w:adjustRightInd w:val="0"/>
                    <w:snapToGrid w:val="0"/>
                    <w:jc w:val="center"/>
                    <w:rPr>
                      <w:bCs/>
                      <w:sz w:val="21"/>
                      <w:szCs w:val="21"/>
                    </w:rPr>
                  </w:pPr>
                  <w:r>
                    <w:rPr>
                      <w:sz w:val="21"/>
                      <w:szCs w:val="21"/>
                    </w:rPr>
                    <w:t>噪声</w:t>
                  </w:r>
                </w:p>
              </w:tc>
              <w:tc>
                <w:tcPr>
                  <w:tcW w:w="1435" w:type="dxa"/>
                  <w:vAlign w:val="center"/>
                </w:tcPr>
                <w:p>
                  <w:pPr>
                    <w:jc w:val="center"/>
                    <w:rPr>
                      <w:szCs w:val="21"/>
                    </w:rPr>
                  </w:pPr>
                  <w:r>
                    <w:rPr>
                      <w:szCs w:val="21"/>
                    </w:rPr>
                    <w:t>生活污水</w:t>
                  </w:r>
                </w:p>
              </w:tc>
              <w:tc>
                <w:tcPr>
                  <w:tcW w:w="1843" w:type="dxa"/>
                  <w:vAlign w:val="center"/>
                </w:tcPr>
                <w:p>
                  <w:pPr>
                    <w:jc w:val="center"/>
                    <w:rPr>
                      <w:szCs w:val="21"/>
                    </w:rPr>
                  </w:pPr>
                  <w:r>
                    <w:rPr>
                      <w:szCs w:val="21"/>
                    </w:rPr>
                    <w:t>设备减震、消声装置、厂房隔音</w:t>
                  </w:r>
                </w:p>
              </w:tc>
              <w:tc>
                <w:tcPr>
                  <w:tcW w:w="1297" w:type="dxa"/>
                  <w:vAlign w:val="center"/>
                </w:tcPr>
                <w:p>
                  <w:pPr>
                    <w:pStyle w:val="35"/>
                    <w:adjustRightInd w:val="0"/>
                    <w:snapToGrid w:val="0"/>
                    <w:jc w:val="center"/>
                    <w:rPr>
                      <w:bCs/>
                      <w:sz w:val="21"/>
                      <w:szCs w:val="21"/>
                    </w:rPr>
                  </w:pPr>
                  <w:r>
                    <w:rPr>
                      <w:bCs/>
                      <w:sz w:val="21"/>
                      <w:szCs w:val="21"/>
                    </w:rPr>
                    <w:t>/</w:t>
                  </w:r>
                </w:p>
              </w:tc>
              <w:tc>
                <w:tcPr>
                  <w:tcW w:w="1025" w:type="dxa"/>
                  <w:vAlign w:val="center"/>
                </w:tcPr>
                <w:p>
                  <w:pPr>
                    <w:pStyle w:val="35"/>
                    <w:adjustRightInd w:val="0"/>
                    <w:snapToGrid w:val="0"/>
                    <w:jc w:val="center"/>
                    <w:rPr>
                      <w:bCs/>
                      <w:sz w:val="21"/>
                      <w:szCs w:val="21"/>
                    </w:rPr>
                  </w:pPr>
                  <w:r>
                    <w:rPr>
                      <w:bCs/>
                      <w:sz w:val="21"/>
                      <w:szCs w:val="21"/>
                    </w:rPr>
                    <w:t>1万元</w:t>
                  </w:r>
                </w:p>
              </w:tc>
              <w:tc>
                <w:tcPr>
                  <w:tcW w:w="2841" w:type="dxa"/>
                  <w:vAlign w:val="center"/>
                </w:tcPr>
                <w:p>
                  <w:pPr>
                    <w:pStyle w:val="35"/>
                    <w:adjustRightInd w:val="0"/>
                    <w:snapToGrid w:val="0"/>
                    <w:jc w:val="center"/>
                    <w:rPr>
                      <w:bCs/>
                      <w:sz w:val="21"/>
                      <w:szCs w:val="21"/>
                    </w:rPr>
                  </w:pPr>
                  <w:r>
                    <w:rPr>
                      <w:sz w:val="21"/>
                      <w:szCs w:val="21"/>
                    </w:rPr>
                    <w:t>《工业企业厂界环境噪声排放标准》（GB12348-2008）2、4a类标准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6" w:type="dxa"/>
                  <w:vAlign w:val="center"/>
                </w:tcPr>
                <w:p>
                  <w:pPr>
                    <w:pStyle w:val="35"/>
                    <w:adjustRightInd w:val="0"/>
                    <w:snapToGrid w:val="0"/>
                    <w:jc w:val="center"/>
                    <w:rPr>
                      <w:bCs/>
                      <w:sz w:val="21"/>
                      <w:szCs w:val="21"/>
                    </w:rPr>
                  </w:pPr>
                  <w:r>
                    <w:rPr>
                      <w:sz w:val="21"/>
                      <w:szCs w:val="21"/>
                    </w:rPr>
                    <w:t>废气</w:t>
                  </w:r>
                </w:p>
              </w:tc>
              <w:tc>
                <w:tcPr>
                  <w:tcW w:w="1435" w:type="dxa"/>
                  <w:vAlign w:val="center"/>
                </w:tcPr>
                <w:p>
                  <w:pPr>
                    <w:pStyle w:val="35"/>
                    <w:adjustRightInd w:val="0"/>
                    <w:snapToGrid w:val="0"/>
                    <w:jc w:val="center"/>
                    <w:rPr>
                      <w:kern w:val="0"/>
                      <w:sz w:val="21"/>
                      <w:szCs w:val="21"/>
                    </w:rPr>
                  </w:pPr>
                  <w:r>
                    <w:rPr>
                      <w:sz w:val="21"/>
                      <w:szCs w:val="21"/>
                    </w:rPr>
                    <w:t>颗粒物</w:t>
                  </w:r>
                </w:p>
              </w:tc>
              <w:tc>
                <w:tcPr>
                  <w:tcW w:w="1843" w:type="dxa"/>
                  <w:vAlign w:val="center"/>
                </w:tcPr>
                <w:p>
                  <w:pPr>
                    <w:pStyle w:val="35"/>
                    <w:adjustRightInd w:val="0"/>
                    <w:snapToGrid w:val="0"/>
                    <w:jc w:val="center"/>
                    <w:rPr>
                      <w:bCs/>
                      <w:sz w:val="21"/>
                      <w:szCs w:val="21"/>
                    </w:rPr>
                  </w:pPr>
                  <w:r>
                    <w:rPr>
                      <w:kern w:val="0"/>
                      <w:sz w:val="21"/>
                      <w:szCs w:val="21"/>
                    </w:rPr>
                    <w:t>喷雾降尘装置、加装彩钢板，纤维过滤袋</w:t>
                  </w:r>
                </w:p>
              </w:tc>
              <w:tc>
                <w:tcPr>
                  <w:tcW w:w="1297" w:type="dxa"/>
                  <w:vAlign w:val="center"/>
                </w:tcPr>
                <w:p>
                  <w:pPr>
                    <w:pStyle w:val="35"/>
                    <w:adjustRightInd w:val="0"/>
                    <w:snapToGrid w:val="0"/>
                    <w:jc w:val="center"/>
                    <w:rPr>
                      <w:bCs/>
                      <w:sz w:val="21"/>
                      <w:szCs w:val="21"/>
                    </w:rPr>
                  </w:pPr>
                  <w:r>
                    <w:rPr>
                      <w:bCs/>
                      <w:sz w:val="21"/>
                      <w:szCs w:val="21"/>
                    </w:rPr>
                    <w:t>1套</w:t>
                  </w:r>
                </w:p>
              </w:tc>
              <w:tc>
                <w:tcPr>
                  <w:tcW w:w="1025" w:type="dxa"/>
                  <w:vAlign w:val="center"/>
                </w:tcPr>
                <w:p>
                  <w:pPr>
                    <w:pStyle w:val="35"/>
                    <w:adjustRightInd w:val="0"/>
                    <w:snapToGrid w:val="0"/>
                    <w:jc w:val="center"/>
                    <w:rPr>
                      <w:bCs/>
                      <w:sz w:val="21"/>
                      <w:szCs w:val="21"/>
                    </w:rPr>
                  </w:pPr>
                  <w:r>
                    <w:rPr>
                      <w:bCs/>
                      <w:sz w:val="21"/>
                      <w:szCs w:val="21"/>
                    </w:rPr>
                    <w:t>15万元</w:t>
                  </w:r>
                </w:p>
              </w:tc>
              <w:tc>
                <w:tcPr>
                  <w:tcW w:w="2841" w:type="dxa"/>
                  <w:vAlign w:val="center"/>
                </w:tcPr>
                <w:p>
                  <w:pPr>
                    <w:pStyle w:val="35"/>
                    <w:adjustRightInd w:val="0"/>
                    <w:snapToGrid w:val="0"/>
                    <w:jc w:val="center"/>
                    <w:rPr>
                      <w:bCs/>
                      <w:sz w:val="21"/>
                      <w:szCs w:val="21"/>
                    </w:rPr>
                  </w:pPr>
                  <w:r>
                    <w:rPr>
                      <w:bCs/>
                      <w:sz w:val="21"/>
                      <w:szCs w:val="21"/>
                    </w:rPr>
                    <w:t>广东省地方标准</w:t>
                  </w:r>
                  <w:r>
                    <w:rPr>
                      <w:kern w:val="0"/>
                      <w:sz w:val="21"/>
                      <w:szCs w:val="21"/>
                    </w:rPr>
                    <w:t>《大气污染物排放限值》（DB44/27-2001）第二时段二级标准无组织排放限值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6" w:type="dxa"/>
                  <w:vAlign w:val="center"/>
                </w:tcPr>
                <w:p>
                  <w:pPr>
                    <w:pStyle w:val="35"/>
                    <w:adjustRightInd w:val="0"/>
                    <w:snapToGrid w:val="0"/>
                    <w:jc w:val="center"/>
                    <w:rPr>
                      <w:bCs/>
                      <w:sz w:val="21"/>
                      <w:szCs w:val="21"/>
                    </w:rPr>
                  </w:pPr>
                  <w:r>
                    <w:rPr>
                      <w:sz w:val="21"/>
                      <w:szCs w:val="21"/>
                    </w:rPr>
                    <w:t>固废</w:t>
                  </w:r>
                </w:p>
              </w:tc>
              <w:tc>
                <w:tcPr>
                  <w:tcW w:w="1435" w:type="dxa"/>
                  <w:vAlign w:val="center"/>
                </w:tcPr>
                <w:p>
                  <w:pPr>
                    <w:jc w:val="center"/>
                    <w:rPr>
                      <w:szCs w:val="21"/>
                    </w:rPr>
                  </w:pPr>
                  <w:r>
                    <w:rPr>
                      <w:szCs w:val="21"/>
                    </w:rPr>
                    <w:t>一般固废</w:t>
                  </w:r>
                </w:p>
              </w:tc>
              <w:tc>
                <w:tcPr>
                  <w:tcW w:w="1843" w:type="dxa"/>
                  <w:vAlign w:val="center"/>
                </w:tcPr>
                <w:p>
                  <w:pPr>
                    <w:jc w:val="center"/>
                    <w:rPr>
                      <w:szCs w:val="21"/>
                    </w:rPr>
                  </w:pPr>
                  <w:r>
                    <w:rPr>
                      <w:szCs w:val="21"/>
                    </w:rPr>
                    <w:t>固废收集装置</w:t>
                  </w:r>
                </w:p>
              </w:tc>
              <w:tc>
                <w:tcPr>
                  <w:tcW w:w="1297" w:type="dxa"/>
                  <w:vAlign w:val="center"/>
                </w:tcPr>
                <w:p>
                  <w:pPr>
                    <w:pStyle w:val="35"/>
                    <w:adjustRightInd w:val="0"/>
                    <w:snapToGrid w:val="0"/>
                    <w:jc w:val="center"/>
                    <w:rPr>
                      <w:bCs/>
                      <w:sz w:val="21"/>
                      <w:szCs w:val="21"/>
                    </w:rPr>
                  </w:pPr>
                  <w:r>
                    <w:rPr>
                      <w:bCs/>
                      <w:sz w:val="21"/>
                      <w:szCs w:val="21"/>
                    </w:rPr>
                    <w:t>1套</w:t>
                  </w:r>
                </w:p>
              </w:tc>
              <w:tc>
                <w:tcPr>
                  <w:tcW w:w="1025" w:type="dxa"/>
                  <w:vAlign w:val="center"/>
                </w:tcPr>
                <w:p>
                  <w:pPr>
                    <w:pStyle w:val="35"/>
                    <w:adjustRightInd w:val="0"/>
                    <w:snapToGrid w:val="0"/>
                    <w:jc w:val="center"/>
                    <w:rPr>
                      <w:bCs/>
                      <w:sz w:val="21"/>
                      <w:szCs w:val="21"/>
                    </w:rPr>
                  </w:pPr>
                  <w:r>
                    <w:rPr>
                      <w:bCs/>
                      <w:sz w:val="21"/>
                      <w:szCs w:val="21"/>
                    </w:rPr>
                    <w:t>1万元</w:t>
                  </w:r>
                </w:p>
              </w:tc>
              <w:tc>
                <w:tcPr>
                  <w:tcW w:w="2841" w:type="dxa"/>
                  <w:vAlign w:val="center"/>
                </w:tcPr>
                <w:p>
                  <w:pPr>
                    <w:pStyle w:val="35"/>
                    <w:adjustRightInd w:val="0"/>
                    <w:snapToGrid w:val="0"/>
                    <w:jc w:val="center"/>
                    <w:rPr>
                      <w:bCs/>
                      <w:sz w:val="21"/>
                      <w:szCs w:val="21"/>
                    </w:rPr>
                  </w:pPr>
                  <w:r>
                    <w:rPr>
                      <w:kern w:val="0"/>
                      <w:sz w:val="21"/>
                      <w:szCs w:val="21"/>
                    </w:rPr>
                    <w:t>对周边环境无明显影响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321" w:type="dxa"/>
                  <w:gridSpan w:val="4"/>
                </w:tcPr>
                <w:p>
                  <w:pPr>
                    <w:pStyle w:val="35"/>
                    <w:adjustRightInd w:val="0"/>
                    <w:snapToGrid w:val="0"/>
                    <w:jc w:val="center"/>
                    <w:rPr>
                      <w:bCs/>
                      <w:sz w:val="21"/>
                      <w:szCs w:val="21"/>
                    </w:rPr>
                  </w:pPr>
                  <w:r>
                    <w:rPr>
                      <w:sz w:val="21"/>
                      <w:szCs w:val="21"/>
                    </w:rPr>
                    <w:t>合计</w:t>
                  </w:r>
                </w:p>
              </w:tc>
              <w:tc>
                <w:tcPr>
                  <w:tcW w:w="1025" w:type="dxa"/>
                  <w:vAlign w:val="center"/>
                </w:tcPr>
                <w:p>
                  <w:pPr>
                    <w:pStyle w:val="35"/>
                    <w:adjustRightInd w:val="0"/>
                    <w:snapToGrid w:val="0"/>
                    <w:jc w:val="center"/>
                    <w:rPr>
                      <w:bCs/>
                      <w:sz w:val="21"/>
                      <w:szCs w:val="21"/>
                    </w:rPr>
                  </w:pPr>
                  <w:r>
                    <w:rPr>
                      <w:bCs/>
                      <w:sz w:val="21"/>
                      <w:szCs w:val="21"/>
                    </w:rPr>
                    <w:t>20万</w:t>
                  </w:r>
                </w:p>
              </w:tc>
              <w:tc>
                <w:tcPr>
                  <w:tcW w:w="2841" w:type="dxa"/>
                  <w:vAlign w:val="center"/>
                </w:tcPr>
                <w:p>
                  <w:pPr>
                    <w:pStyle w:val="35"/>
                    <w:adjustRightInd w:val="0"/>
                    <w:snapToGrid w:val="0"/>
                    <w:jc w:val="center"/>
                    <w:rPr>
                      <w:kern w:val="0"/>
                      <w:sz w:val="21"/>
                      <w:szCs w:val="21"/>
                    </w:rPr>
                  </w:pPr>
                  <w:r>
                    <w:rPr>
                      <w:kern w:val="0"/>
                      <w:sz w:val="21"/>
                      <w:szCs w:val="21"/>
                    </w:rPr>
                    <w:t>/</w:t>
                  </w:r>
                </w:p>
              </w:tc>
            </w:tr>
          </w:tbl>
          <w:p>
            <w:pPr>
              <w:pStyle w:val="35"/>
              <w:adjustRightInd w:val="0"/>
              <w:snapToGrid w:val="0"/>
              <w:spacing w:line="360" w:lineRule="auto"/>
              <w:ind w:firstLine="480" w:firstLineChars="200"/>
              <w:rPr>
                <w:rFonts w:ascii="宋体" w:cs="宋体"/>
                <w:kern w:val="0"/>
                <w:sz w:val="24"/>
              </w:rPr>
            </w:pPr>
          </w:p>
          <w:p>
            <w:pPr>
              <w:pStyle w:val="35"/>
              <w:adjustRightInd w:val="0"/>
              <w:snapToGrid w:val="0"/>
              <w:rPr>
                <w:bCs/>
                <w:sz w:val="24"/>
                <w:szCs w:val="24"/>
              </w:rPr>
            </w:pPr>
          </w:p>
          <w:p>
            <w:pPr>
              <w:pStyle w:val="35"/>
              <w:adjustRightInd w:val="0"/>
              <w:snapToGrid w:val="0"/>
              <w:rPr>
                <w:bCs/>
                <w:sz w:val="24"/>
                <w:szCs w:val="24"/>
              </w:rPr>
            </w:pPr>
          </w:p>
          <w:p>
            <w:pPr>
              <w:pStyle w:val="35"/>
              <w:adjustRightInd w:val="0"/>
              <w:snapToGrid w:val="0"/>
              <w:rPr>
                <w:bCs/>
                <w:sz w:val="24"/>
                <w:szCs w:val="24"/>
              </w:rPr>
            </w:pPr>
          </w:p>
          <w:p>
            <w:pPr>
              <w:pStyle w:val="35"/>
              <w:adjustRightInd w:val="0"/>
              <w:snapToGrid w:val="0"/>
              <w:rPr>
                <w:bCs/>
                <w:sz w:val="24"/>
                <w:szCs w:val="24"/>
              </w:rPr>
            </w:pPr>
          </w:p>
          <w:p>
            <w:pPr>
              <w:pStyle w:val="35"/>
              <w:adjustRightInd w:val="0"/>
              <w:snapToGrid w:val="0"/>
              <w:rPr>
                <w:bCs/>
                <w:sz w:val="24"/>
                <w:szCs w:val="24"/>
              </w:rPr>
            </w:pPr>
          </w:p>
          <w:p>
            <w:pPr>
              <w:pStyle w:val="35"/>
              <w:adjustRightInd w:val="0"/>
              <w:snapToGrid w:val="0"/>
              <w:rPr>
                <w:bCs/>
                <w:sz w:val="24"/>
                <w:szCs w:val="24"/>
              </w:rPr>
            </w:pPr>
          </w:p>
        </w:tc>
      </w:tr>
    </w:tbl>
    <w:p>
      <w:pPr>
        <w:outlineLvl w:val="0"/>
        <w:rPr>
          <w:b/>
          <w:sz w:val="28"/>
          <w:szCs w:val="28"/>
        </w:rPr>
      </w:pPr>
      <w:r>
        <w:rPr>
          <w:sz w:val="28"/>
          <w:szCs w:val="28"/>
        </w:rPr>
        <w:br w:type="page"/>
      </w:r>
      <w:r>
        <w:rPr>
          <w:b/>
          <w:sz w:val="28"/>
          <w:szCs w:val="28"/>
        </w:rPr>
        <w:t>建设项目拟采取的防治措施及预期治理效果</w:t>
      </w:r>
    </w:p>
    <w:tbl>
      <w:tblPr>
        <w:tblStyle w:val="25"/>
        <w:tblW w:w="9336"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12"/>
        <w:gridCol w:w="1701"/>
        <w:gridCol w:w="1843"/>
        <w:gridCol w:w="2599"/>
        <w:gridCol w:w="26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595" w:hRule="atLeast"/>
          <w:jc w:val="center"/>
        </w:trPr>
        <w:tc>
          <w:tcPr>
            <w:tcW w:w="512" w:type="dxa"/>
            <w:tcBorders>
              <w:top w:val="single" w:color="000000" w:sz="6" w:space="0"/>
              <w:left w:val="single" w:color="000000" w:sz="6" w:space="0"/>
              <w:bottom w:val="single" w:color="000000" w:sz="6" w:space="0"/>
              <w:right w:val="single" w:color="000000" w:sz="6" w:space="0"/>
              <w:tl2br w:val="single" w:color="auto" w:sz="4" w:space="0"/>
            </w:tcBorders>
            <w:vAlign w:val="center"/>
          </w:tcPr>
          <w:p>
            <w:pPr>
              <w:pStyle w:val="74"/>
              <w:topLinePunct w:val="0"/>
              <w:autoSpaceDE/>
              <w:snapToGrid w:val="0"/>
              <w:jc w:val="right"/>
              <w:rPr>
                <w:rFonts w:ascii="Times New Roman" w:hAnsi="Times New Roman"/>
                <w:b/>
                <w:kern w:val="2"/>
                <w:position w:val="0"/>
                <w:szCs w:val="21"/>
              </w:rPr>
            </w:pPr>
            <w:r>
              <w:rPr>
                <w:rFonts w:hint="eastAsia" w:ascii="Times New Roman" w:hAnsi="Times New Roman"/>
                <w:b/>
                <w:kern w:val="2"/>
                <w:position w:val="0"/>
                <w:szCs w:val="21"/>
              </w:rPr>
              <w:t>内容</w:t>
            </w:r>
          </w:p>
          <w:p>
            <w:pPr>
              <w:adjustRightInd w:val="0"/>
              <w:snapToGrid w:val="0"/>
              <w:jc w:val="center"/>
              <w:rPr>
                <w:b/>
                <w:szCs w:val="21"/>
              </w:rPr>
            </w:pPr>
          </w:p>
          <w:p>
            <w:pPr>
              <w:adjustRightInd w:val="0"/>
              <w:snapToGrid w:val="0"/>
              <w:jc w:val="left"/>
              <w:rPr>
                <w:b/>
                <w:szCs w:val="21"/>
              </w:rPr>
            </w:pPr>
            <w:r>
              <w:rPr>
                <w:rFonts w:hint="eastAsia"/>
                <w:b/>
                <w:szCs w:val="21"/>
              </w:rPr>
              <w:t>类型</w:t>
            </w:r>
          </w:p>
        </w:tc>
        <w:tc>
          <w:tcPr>
            <w:tcW w:w="1701"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b/>
                <w:szCs w:val="21"/>
              </w:rPr>
            </w:pPr>
            <w:r>
              <w:rPr>
                <w:rFonts w:hint="eastAsia"/>
                <w:b/>
                <w:szCs w:val="21"/>
              </w:rPr>
              <w:t>排放源</w:t>
            </w:r>
          </w:p>
          <w:p>
            <w:pPr>
              <w:adjustRightInd w:val="0"/>
              <w:snapToGrid w:val="0"/>
              <w:jc w:val="center"/>
              <w:rPr>
                <w:b/>
                <w:szCs w:val="21"/>
              </w:rPr>
            </w:pPr>
            <w:r>
              <w:rPr>
                <w:b/>
                <w:szCs w:val="21"/>
              </w:rPr>
              <w:t>(</w:t>
            </w:r>
            <w:r>
              <w:rPr>
                <w:rFonts w:hint="eastAsia"/>
                <w:b/>
                <w:szCs w:val="21"/>
              </w:rPr>
              <w:t>编号</w:t>
            </w:r>
            <w:r>
              <w:rPr>
                <w:b/>
                <w:szCs w:val="21"/>
              </w:rPr>
              <w:t>)</w:t>
            </w:r>
          </w:p>
        </w:tc>
        <w:tc>
          <w:tcPr>
            <w:tcW w:w="1843" w:type="dxa"/>
            <w:tcBorders>
              <w:top w:val="single" w:color="000000" w:sz="6" w:space="0"/>
              <w:left w:val="single" w:color="000000" w:sz="6" w:space="0"/>
              <w:bottom w:val="single" w:color="000000" w:sz="6" w:space="0"/>
              <w:right w:val="single" w:color="000000" w:sz="6" w:space="0"/>
            </w:tcBorders>
            <w:vAlign w:val="center"/>
          </w:tcPr>
          <w:p>
            <w:pPr>
              <w:pStyle w:val="48"/>
              <w:snapToGrid w:val="0"/>
              <w:rPr>
                <w:rFonts w:ascii="Times New Roman"/>
                <w:b/>
                <w:kern w:val="2"/>
                <w:szCs w:val="21"/>
              </w:rPr>
            </w:pPr>
            <w:r>
              <w:rPr>
                <w:rFonts w:hint="eastAsia" w:ascii="Times New Roman"/>
                <w:b/>
                <w:kern w:val="2"/>
                <w:szCs w:val="21"/>
              </w:rPr>
              <w:t>污染物名称</w:t>
            </w:r>
          </w:p>
        </w:tc>
        <w:tc>
          <w:tcPr>
            <w:tcW w:w="2599" w:type="dxa"/>
            <w:tcBorders>
              <w:top w:val="single" w:color="000000" w:sz="6" w:space="0"/>
              <w:left w:val="single" w:color="000000" w:sz="6" w:space="0"/>
              <w:bottom w:val="single" w:color="auto" w:sz="4" w:space="0"/>
              <w:right w:val="single" w:color="000000" w:sz="6" w:space="0"/>
            </w:tcBorders>
            <w:vAlign w:val="center"/>
          </w:tcPr>
          <w:p>
            <w:pPr>
              <w:adjustRightInd w:val="0"/>
              <w:snapToGrid w:val="0"/>
              <w:jc w:val="center"/>
              <w:rPr>
                <w:b/>
                <w:szCs w:val="21"/>
              </w:rPr>
            </w:pPr>
            <w:r>
              <w:rPr>
                <w:rFonts w:hint="eastAsia"/>
                <w:b/>
                <w:szCs w:val="21"/>
              </w:rPr>
              <w:t>防治措施</w:t>
            </w:r>
          </w:p>
        </w:tc>
        <w:tc>
          <w:tcPr>
            <w:tcW w:w="2681" w:type="dxa"/>
            <w:tcBorders>
              <w:top w:val="single" w:color="000000" w:sz="6" w:space="0"/>
              <w:left w:val="single" w:color="000000" w:sz="6" w:space="0"/>
              <w:bottom w:val="single" w:color="auto" w:sz="4" w:space="0"/>
              <w:right w:val="single" w:color="000000" w:sz="6" w:space="0"/>
            </w:tcBorders>
            <w:vAlign w:val="center"/>
          </w:tcPr>
          <w:p>
            <w:pPr>
              <w:adjustRightInd w:val="0"/>
              <w:snapToGrid w:val="0"/>
              <w:jc w:val="center"/>
              <w:rPr>
                <w:b/>
                <w:szCs w:val="21"/>
              </w:rPr>
            </w:pPr>
            <w:r>
              <w:rPr>
                <w:rFonts w:hint="eastAsia"/>
                <w:b/>
                <w:szCs w:val="21"/>
              </w:rPr>
              <w:t>治理效果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548" w:hRule="atLeast"/>
          <w:jc w:val="center"/>
        </w:trPr>
        <w:tc>
          <w:tcPr>
            <w:tcW w:w="512" w:type="dxa"/>
            <w:vMerge w:val="restart"/>
            <w:tcBorders>
              <w:top w:val="single" w:color="auto" w:sz="4" w:space="0"/>
              <w:left w:val="single" w:color="000000" w:sz="6" w:space="0"/>
              <w:right w:val="single" w:color="000000" w:sz="6" w:space="0"/>
            </w:tcBorders>
            <w:vAlign w:val="center"/>
          </w:tcPr>
          <w:p>
            <w:pPr>
              <w:adjustRightInd w:val="0"/>
              <w:snapToGrid w:val="0"/>
              <w:jc w:val="center"/>
              <w:rPr>
                <w:szCs w:val="21"/>
              </w:rPr>
            </w:pPr>
            <w:r>
              <w:rPr>
                <w:rFonts w:hint="eastAsia"/>
                <w:szCs w:val="21"/>
              </w:rPr>
              <w:t>大</w:t>
            </w:r>
          </w:p>
          <w:p>
            <w:pPr>
              <w:adjustRightInd w:val="0"/>
              <w:snapToGrid w:val="0"/>
              <w:jc w:val="center"/>
              <w:rPr>
                <w:szCs w:val="21"/>
              </w:rPr>
            </w:pPr>
            <w:r>
              <w:rPr>
                <w:rFonts w:hint="eastAsia"/>
                <w:szCs w:val="21"/>
              </w:rPr>
              <w:t>气</w:t>
            </w:r>
          </w:p>
          <w:p>
            <w:pPr>
              <w:adjustRightInd w:val="0"/>
              <w:snapToGrid w:val="0"/>
              <w:jc w:val="center"/>
              <w:rPr>
                <w:szCs w:val="21"/>
              </w:rPr>
            </w:pPr>
            <w:r>
              <w:rPr>
                <w:rFonts w:hint="eastAsia"/>
                <w:szCs w:val="21"/>
              </w:rPr>
              <w:t>污</w:t>
            </w:r>
          </w:p>
          <w:p>
            <w:pPr>
              <w:adjustRightInd w:val="0"/>
              <w:snapToGrid w:val="0"/>
              <w:jc w:val="center"/>
              <w:rPr>
                <w:szCs w:val="21"/>
              </w:rPr>
            </w:pPr>
            <w:r>
              <w:rPr>
                <w:rFonts w:hint="eastAsia"/>
                <w:szCs w:val="21"/>
              </w:rPr>
              <w:t>染</w:t>
            </w:r>
          </w:p>
          <w:p>
            <w:pPr>
              <w:adjustRightInd w:val="0"/>
              <w:snapToGrid w:val="0"/>
              <w:jc w:val="center"/>
              <w:rPr>
                <w:szCs w:val="21"/>
              </w:rPr>
            </w:pPr>
            <w:r>
              <w:rPr>
                <w:rFonts w:hint="eastAsia"/>
                <w:szCs w:val="21"/>
              </w:rPr>
              <w:t>物</w:t>
            </w:r>
          </w:p>
        </w:tc>
        <w:tc>
          <w:tcPr>
            <w:tcW w:w="1701" w:type="dxa"/>
            <w:tcBorders>
              <w:top w:val="single" w:color="auto" w:sz="4" w:space="0"/>
              <w:left w:val="single" w:color="000000" w:sz="6" w:space="0"/>
              <w:bottom w:val="single" w:color="auto" w:sz="4" w:space="0"/>
              <w:right w:val="single" w:color="000000" w:sz="6" w:space="0"/>
            </w:tcBorders>
            <w:vAlign w:val="center"/>
          </w:tcPr>
          <w:p>
            <w:pPr>
              <w:adjustRightInd w:val="0"/>
              <w:snapToGrid w:val="0"/>
              <w:jc w:val="center"/>
              <w:rPr>
                <w:szCs w:val="21"/>
              </w:rPr>
            </w:pPr>
            <w:r>
              <w:rPr>
                <w:rFonts w:hint="eastAsia" w:ascii="宋体" w:cs="宋体"/>
                <w:kern w:val="0"/>
                <w:szCs w:val="21"/>
              </w:rPr>
              <w:t>投料</w:t>
            </w:r>
          </w:p>
        </w:tc>
        <w:tc>
          <w:tcPr>
            <w:tcW w:w="1843" w:type="dxa"/>
            <w:vMerge w:val="restart"/>
            <w:tcBorders>
              <w:top w:val="single" w:color="000000" w:sz="6" w:space="0"/>
              <w:left w:val="single" w:color="000000" w:sz="6" w:space="0"/>
              <w:right w:val="single" w:color="000000" w:sz="6" w:space="0"/>
            </w:tcBorders>
            <w:vAlign w:val="center"/>
          </w:tcPr>
          <w:p>
            <w:pPr>
              <w:adjustRightInd w:val="0"/>
              <w:snapToGrid w:val="0"/>
              <w:jc w:val="center"/>
              <w:rPr>
                <w:szCs w:val="21"/>
              </w:rPr>
            </w:pPr>
            <w:r>
              <w:rPr>
                <w:szCs w:val="21"/>
              </w:rPr>
              <w:t>颗粒物</w:t>
            </w:r>
          </w:p>
        </w:tc>
        <w:tc>
          <w:tcPr>
            <w:tcW w:w="2599" w:type="dxa"/>
            <w:vMerge w:val="restart"/>
            <w:tcBorders>
              <w:top w:val="single" w:color="auto" w:sz="4" w:space="0"/>
              <w:left w:val="single" w:color="000000" w:sz="6" w:space="0"/>
              <w:right w:val="single" w:color="auto" w:sz="4" w:space="0"/>
            </w:tcBorders>
            <w:vAlign w:val="center"/>
          </w:tcPr>
          <w:p>
            <w:pPr>
              <w:autoSpaceDE w:val="0"/>
              <w:autoSpaceDN w:val="0"/>
              <w:adjustRightInd w:val="0"/>
              <w:jc w:val="left"/>
              <w:rPr>
                <w:rFonts w:ascii="宋体" w:cs="宋体"/>
                <w:kern w:val="0"/>
                <w:szCs w:val="21"/>
              </w:rPr>
            </w:pPr>
            <w:r>
              <w:rPr>
                <w:rFonts w:hint="eastAsia" w:ascii="宋体" w:cs="宋体"/>
                <w:kern w:val="0"/>
                <w:szCs w:val="21"/>
              </w:rPr>
              <w:t>喷雾降尘、密闭车间、规范卸料、自动化设备流水线生产</w:t>
            </w:r>
          </w:p>
        </w:tc>
        <w:tc>
          <w:tcPr>
            <w:tcW w:w="2681" w:type="dxa"/>
            <w:vMerge w:val="restart"/>
            <w:tcBorders>
              <w:top w:val="single" w:color="auto" w:sz="4" w:space="0"/>
              <w:left w:val="single" w:color="000000" w:sz="6" w:space="0"/>
              <w:right w:val="single" w:color="auto" w:sz="4" w:space="0"/>
            </w:tcBorders>
            <w:vAlign w:val="center"/>
          </w:tcPr>
          <w:p>
            <w:pPr>
              <w:pStyle w:val="74"/>
              <w:snapToGrid w:val="0"/>
              <w:rPr>
                <w:rFonts w:ascii="Times New Roman" w:hAnsi="Times New Roman"/>
                <w:szCs w:val="21"/>
              </w:rPr>
            </w:pPr>
            <w:r>
              <w:rPr>
                <w:rFonts w:hAnsi="宋体"/>
                <w:bCs/>
                <w:szCs w:val="21"/>
              </w:rPr>
              <w:t>广东省</w:t>
            </w:r>
            <w:r>
              <w:rPr>
                <w:rFonts w:hint="eastAsia" w:hAnsi="宋体"/>
                <w:bCs/>
                <w:szCs w:val="21"/>
              </w:rPr>
              <w:t>地方标准</w:t>
            </w:r>
            <w:r>
              <w:rPr>
                <w:rFonts w:hint="eastAsia" w:cs="宋体"/>
                <w:kern w:val="0"/>
                <w:szCs w:val="21"/>
              </w:rPr>
              <w:t>《大气污染物排放限值》（</w:t>
            </w:r>
            <w:r>
              <w:rPr>
                <w:rFonts w:ascii="TimesNewRomanPSMT" w:hAnsi="TimesNewRomanPSMT" w:cs="TimesNewRomanPSMT"/>
                <w:kern w:val="0"/>
                <w:szCs w:val="21"/>
              </w:rPr>
              <w:t>DB44/27-2001</w:t>
            </w:r>
            <w:r>
              <w:rPr>
                <w:rFonts w:hint="eastAsia" w:cs="宋体"/>
                <w:kern w:val="0"/>
                <w:szCs w:val="21"/>
              </w:rPr>
              <w:t>）第二时段二级标准无组织排放限值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554" w:hRule="atLeast"/>
          <w:jc w:val="center"/>
        </w:trPr>
        <w:tc>
          <w:tcPr>
            <w:tcW w:w="512" w:type="dxa"/>
            <w:vMerge w:val="continue"/>
            <w:tcBorders>
              <w:top w:val="single" w:color="auto" w:sz="4" w:space="0"/>
              <w:left w:val="single" w:color="000000" w:sz="6" w:space="0"/>
              <w:right w:val="single" w:color="000000" w:sz="6" w:space="0"/>
            </w:tcBorders>
            <w:vAlign w:val="center"/>
          </w:tcPr>
          <w:p>
            <w:pPr>
              <w:adjustRightInd w:val="0"/>
              <w:snapToGrid w:val="0"/>
              <w:jc w:val="center"/>
              <w:rPr>
                <w:szCs w:val="21"/>
              </w:rPr>
            </w:pPr>
          </w:p>
        </w:tc>
        <w:tc>
          <w:tcPr>
            <w:tcW w:w="1701" w:type="dxa"/>
            <w:tcBorders>
              <w:top w:val="single" w:color="auto" w:sz="4" w:space="0"/>
              <w:left w:val="single" w:color="000000" w:sz="6" w:space="0"/>
              <w:bottom w:val="single" w:color="auto" w:sz="4" w:space="0"/>
              <w:right w:val="single" w:color="000000" w:sz="6" w:space="0"/>
            </w:tcBorders>
            <w:vAlign w:val="center"/>
          </w:tcPr>
          <w:p>
            <w:pPr>
              <w:adjustRightInd w:val="0"/>
              <w:snapToGrid w:val="0"/>
              <w:jc w:val="center"/>
              <w:rPr>
                <w:szCs w:val="21"/>
                <w:lang w:val="zh-CN"/>
              </w:rPr>
            </w:pPr>
            <w:r>
              <w:rPr>
                <w:rFonts w:hint="eastAsia" w:ascii="宋体" w:cs="宋体"/>
                <w:kern w:val="0"/>
                <w:szCs w:val="21"/>
              </w:rPr>
              <w:t>堆场</w:t>
            </w:r>
          </w:p>
        </w:tc>
        <w:tc>
          <w:tcPr>
            <w:tcW w:w="1843" w:type="dxa"/>
            <w:vMerge w:val="continue"/>
            <w:tcBorders>
              <w:left w:val="single" w:color="000000" w:sz="6" w:space="0"/>
              <w:right w:val="single" w:color="000000" w:sz="6" w:space="0"/>
            </w:tcBorders>
            <w:vAlign w:val="center"/>
          </w:tcPr>
          <w:p>
            <w:pPr>
              <w:adjustRightInd w:val="0"/>
              <w:snapToGrid w:val="0"/>
              <w:jc w:val="center"/>
              <w:rPr>
                <w:szCs w:val="21"/>
              </w:rPr>
            </w:pPr>
          </w:p>
        </w:tc>
        <w:tc>
          <w:tcPr>
            <w:tcW w:w="2599" w:type="dxa"/>
            <w:vMerge w:val="continue"/>
            <w:tcBorders>
              <w:left w:val="single" w:color="000000" w:sz="6" w:space="0"/>
              <w:right w:val="single" w:color="auto" w:sz="4" w:space="0"/>
            </w:tcBorders>
            <w:vAlign w:val="center"/>
          </w:tcPr>
          <w:p>
            <w:pPr>
              <w:pStyle w:val="74"/>
              <w:snapToGrid w:val="0"/>
              <w:rPr>
                <w:rFonts w:ascii="Times New Roman" w:hAnsi="Times New Roman"/>
                <w:szCs w:val="21"/>
              </w:rPr>
            </w:pPr>
          </w:p>
        </w:tc>
        <w:tc>
          <w:tcPr>
            <w:tcW w:w="2681" w:type="dxa"/>
            <w:vMerge w:val="continue"/>
            <w:tcBorders>
              <w:left w:val="single" w:color="000000" w:sz="6" w:space="0"/>
              <w:right w:val="single" w:color="auto" w:sz="4" w:space="0"/>
            </w:tcBorders>
            <w:vAlign w:val="center"/>
          </w:tcPr>
          <w:p>
            <w:pPr>
              <w:pStyle w:val="74"/>
              <w:snapToGrid w:val="0"/>
              <w:rPr>
                <w:rFonts w:ascii="Times New Roman" w:hAnsi="Times New Roman"/>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408" w:hRule="atLeast"/>
          <w:jc w:val="center"/>
        </w:trPr>
        <w:tc>
          <w:tcPr>
            <w:tcW w:w="512" w:type="dxa"/>
            <w:vMerge w:val="continue"/>
            <w:tcBorders>
              <w:left w:val="single" w:color="000000" w:sz="6" w:space="0"/>
              <w:right w:val="single" w:color="000000" w:sz="6" w:space="0"/>
            </w:tcBorders>
            <w:vAlign w:val="center"/>
          </w:tcPr>
          <w:p>
            <w:pPr>
              <w:adjustRightInd w:val="0"/>
              <w:snapToGrid w:val="0"/>
              <w:jc w:val="center"/>
              <w:rPr>
                <w:szCs w:val="21"/>
              </w:rPr>
            </w:pPr>
          </w:p>
        </w:tc>
        <w:tc>
          <w:tcPr>
            <w:tcW w:w="1701" w:type="dxa"/>
            <w:tcBorders>
              <w:top w:val="single" w:color="auto" w:sz="4" w:space="0"/>
              <w:left w:val="single" w:color="000000" w:sz="6" w:space="0"/>
              <w:right w:val="single" w:color="000000" w:sz="6" w:space="0"/>
            </w:tcBorders>
            <w:vAlign w:val="center"/>
          </w:tcPr>
          <w:p>
            <w:pPr>
              <w:adjustRightInd w:val="0"/>
              <w:snapToGrid w:val="0"/>
              <w:jc w:val="center"/>
              <w:rPr>
                <w:szCs w:val="21"/>
              </w:rPr>
            </w:pPr>
            <w:r>
              <w:rPr>
                <w:rFonts w:hint="eastAsia" w:ascii="宋体" w:cs="宋体"/>
                <w:kern w:val="0"/>
                <w:szCs w:val="21"/>
              </w:rPr>
              <w:t>卸料</w:t>
            </w:r>
          </w:p>
        </w:tc>
        <w:tc>
          <w:tcPr>
            <w:tcW w:w="1843" w:type="dxa"/>
            <w:vMerge w:val="continue"/>
            <w:tcBorders>
              <w:left w:val="single" w:color="000000" w:sz="6" w:space="0"/>
              <w:bottom w:val="single" w:color="auto" w:sz="4" w:space="0"/>
              <w:right w:val="single" w:color="000000" w:sz="6" w:space="0"/>
            </w:tcBorders>
            <w:vAlign w:val="center"/>
          </w:tcPr>
          <w:p>
            <w:pPr>
              <w:adjustRightInd w:val="0"/>
              <w:snapToGrid w:val="0"/>
              <w:jc w:val="center"/>
              <w:rPr>
                <w:szCs w:val="21"/>
              </w:rPr>
            </w:pPr>
          </w:p>
        </w:tc>
        <w:tc>
          <w:tcPr>
            <w:tcW w:w="2599" w:type="dxa"/>
            <w:vMerge w:val="continue"/>
            <w:tcBorders>
              <w:left w:val="single" w:color="000000" w:sz="6" w:space="0"/>
              <w:bottom w:val="single" w:color="auto" w:sz="4" w:space="0"/>
              <w:right w:val="single" w:color="auto" w:sz="4" w:space="0"/>
            </w:tcBorders>
            <w:vAlign w:val="center"/>
          </w:tcPr>
          <w:p>
            <w:pPr>
              <w:pStyle w:val="74"/>
              <w:snapToGrid w:val="0"/>
              <w:rPr>
                <w:rFonts w:ascii="Times New Roman" w:hAnsi="Times New Roman"/>
                <w:szCs w:val="21"/>
              </w:rPr>
            </w:pPr>
          </w:p>
        </w:tc>
        <w:tc>
          <w:tcPr>
            <w:tcW w:w="2681" w:type="dxa"/>
            <w:vMerge w:val="continue"/>
            <w:tcBorders>
              <w:left w:val="single" w:color="000000" w:sz="6" w:space="0"/>
              <w:bottom w:val="single" w:color="auto" w:sz="4" w:space="0"/>
              <w:right w:val="single" w:color="auto" w:sz="4" w:space="0"/>
            </w:tcBorders>
            <w:vAlign w:val="center"/>
          </w:tcPr>
          <w:p>
            <w:pPr>
              <w:pStyle w:val="74"/>
              <w:snapToGrid w:val="0"/>
              <w:jc w:val="both"/>
              <w:rPr>
                <w:rFonts w:ascii="Times New Roman" w:hAnsi="Times New Roman"/>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1534" w:hRule="atLeast"/>
          <w:jc w:val="center"/>
        </w:trPr>
        <w:tc>
          <w:tcPr>
            <w:tcW w:w="512" w:type="dxa"/>
            <w:tcBorders>
              <w:left w:val="single" w:color="000000" w:sz="6" w:space="0"/>
              <w:right w:val="single" w:color="000000" w:sz="6" w:space="0"/>
            </w:tcBorders>
            <w:vAlign w:val="center"/>
          </w:tcPr>
          <w:p>
            <w:pPr>
              <w:adjustRightInd w:val="0"/>
              <w:snapToGrid w:val="0"/>
              <w:jc w:val="center"/>
              <w:rPr>
                <w:szCs w:val="21"/>
              </w:rPr>
            </w:pPr>
            <w:r>
              <w:rPr>
                <w:rFonts w:hint="eastAsia"/>
                <w:szCs w:val="21"/>
              </w:rPr>
              <w:t>水</w:t>
            </w:r>
          </w:p>
          <w:p>
            <w:pPr>
              <w:adjustRightInd w:val="0"/>
              <w:snapToGrid w:val="0"/>
              <w:jc w:val="center"/>
              <w:rPr>
                <w:szCs w:val="21"/>
              </w:rPr>
            </w:pPr>
            <w:r>
              <w:rPr>
                <w:rFonts w:hint="eastAsia"/>
                <w:szCs w:val="21"/>
              </w:rPr>
              <w:t>污</w:t>
            </w:r>
          </w:p>
          <w:p>
            <w:pPr>
              <w:adjustRightInd w:val="0"/>
              <w:snapToGrid w:val="0"/>
              <w:jc w:val="center"/>
              <w:rPr>
                <w:szCs w:val="21"/>
              </w:rPr>
            </w:pPr>
            <w:r>
              <w:rPr>
                <w:rFonts w:hint="eastAsia"/>
                <w:szCs w:val="21"/>
              </w:rPr>
              <w:t>染</w:t>
            </w:r>
          </w:p>
          <w:p>
            <w:pPr>
              <w:adjustRightInd w:val="0"/>
              <w:snapToGrid w:val="0"/>
              <w:jc w:val="center"/>
              <w:rPr>
                <w:szCs w:val="21"/>
              </w:rPr>
            </w:pPr>
            <w:r>
              <w:rPr>
                <w:rFonts w:hint="eastAsia"/>
                <w:szCs w:val="21"/>
              </w:rPr>
              <w:t>物</w:t>
            </w:r>
          </w:p>
        </w:tc>
        <w:tc>
          <w:tcPr>
            <w:tcW w:w="1701" w:type="dxa"/>
            <w:tcBorders>
              <w:top w:val="single" w:color="auto" w:sz="4" w:space="0"/>
              <w:left w:val="single" w:color="000000" w:sz="6" w:space="0"/>
              <w:bottom w:val="single" w:color="auto" w:sz="4" w:space="0"/>
              <w:right w:val="single" w:color="000000" w:sz="6" w:space="0"/>
            </w:tcBorders>
            <w:vAlign w:val="center"/>
          </w:tcPr>
          <w:p>
            <w:pPr>
              <w:adjustRightInd w:val="0"/>
              <w:snapToGrid w:val="0"/>
              <w:jc w:val="center"/>
              <w:rPr>
                <w:szCs w:val="21"/>
              </w:rPr>
            </w:pPr>
            <w:r>
              <w:rPr>
                <w:rFonts w:hint="eastAsia"/>
                <w:szCs w:val="21"/>
              </w:rPr>
              <w:t>生活污水</w:t>
            </w:r>
          </w:p>
        </w:tc>
        <w:tc>
          <w:tcPr>
            <w:tcW w:w="1843" w:type="dxa"/>
            <w:tcBorders>
              <w:top w:val="single" w:color="auto" w:sz="4" w:space="0"/>
              <w:left w:val="single" w:color="000000" w:sz="6" w:space="0"/>
              <w:bottom w:val="single" w:color="000000" w:sz="6" w:space="0"/>
              <w:right w:val="single" w:color="000000" w:sz="6" w:space="0"/>
            </w:tcBorders>
            <w:vAlign w:val="center"/>
          </w:tcPr>
          <w:p>
            <w:pPr>
              <w:adjustRightInd w:val="0"/>
              <w:snapToGrid w:val="0"/>
              <w:jc w:val="center"/>
              <w:rPr>
                <w:szCs w:val="21"/>
              </w:rPr>
            </w:pPr>
            <w:r>
              <w:rPr>
                <w:szCs w:val="21"/>
              </w:rPr>
              <w:t>COD</w:t>
            </w:r>
            <w:r>
              <w:rPr>
                <w:rFonts w:hint="eastAsia"/>
                <w:szCs w:val="21"/>
              </w:rPr>
              <w:t>、</w:t>
            </w:r>
            <w:r>
              <w:rPr>
                <w:szCs w:val="21"/>
              </w:rPr>
              <w:t>BOD</w:t>
            </w:r>
            <w:r>
              <w:rPr>
                <w:szCs w:val="21"/>
                <w:vertAlign w:val="subscript"/>
              </w:rPr>
              <w:t>5</w:t>
            </w:r>
            <w:r>
              <w:rPr>
                <w:rFonts w:hint="eastAsia"/>
                <w:szCs w:val="21"/>
              </w:rPr>
              <w:t>、</w:t>
            </w:r>
            <w:r>
              <w:rPr>
                <w:szCs w:val="21"/>
              </w:rPr>
              <w:t>SS</w:t>
            </w:r>
            <w:r>
              <w:rPr>
                <w:rFonts w:hint="eastAsia"/>
                <w:szCs w:val="21"/>
              </w:rPr>
              <w:t>、</w:t>
            </w:r>
            <w:r>
              <w:rPr>
                <w:szCs w:val="21"/>
              </w:rPr>
              <w:t>NH</w:t>
            </w:r>
            <w:r>
              <w:rPr>
                <w:szCs w:val="21"/>
                <w:vertAlign w:val="subscript"/>
              </w:rPr>
              <w:t>3</w:t>
            </w:r>
            <w:r>
              <w:rPr>
                <w:szCs w:val="21"/>
              </w:rPr>
              <w:t xml:space="preserve">-N </w:t>
            </w:r>
          </w:p>
        </w:tc>
        <w:tc>
          <w:tcPr>
            <w:tcW w:w="2599" w:type="dxa"/>
            <w:tcBorders>
              <w:top w:val="single" w:color="auto" w:sz="4" w:space="0"/>
              <w:left w:val="single" w:color="000000" w:sz="6" w:space="0"/>
              <w:right w:val="single" w:color="auto" w:sz="4" w:space="0"/>
            </w:tcBorders>
            <w:vAlign w:val="center"/>
          </w:tcPr>
          <w:p>
            <w:pPr>
              <w:pStyle w:val="74"/>
              <w:snapToGrid w:val="0"/>
              <w:rPr>
                <w:rFonts w:ascii="Times New Roman" w:hAnsi="Times New Roman"/>
                <w:szCs w:val="21"/>
              </w:rPr>
            </w:pPr>
            <w:r>
              <w:rPr>
                <w:bCs/>
                <w:szCs w:val="21"/>
              </w:rPr>
              <w:t>经三级化粪池处理</w:t>
            </w:r>
            <w:r>
              <w:rPr>
                <w:rFonts w:hint="eastAsia"/>
                <w:bCs/>
                <w:szCs w:val="21"/>
              </w:rPr>
              <w:t>达标后</w:t>
            </w:r>
            <w:r>
              <w:rPr>
                <w:rFonts w:hint="eastAsia"/>
                <w:szCs w:val="21"/>
              </w:rPr>
              <w:t>排入灌溉水沟</w:t>
            </w:r>
            <w:r>
              <w:rPr>
                <w:bCs/>
                <w:szCs w:val="21"/>
              </w:rPr>
              <w:t>。</w:t>
            </w:r>
            <w:r>
              <w:rPr>
                <w:szCs w:val="21"/>
              </w:rPr>
              <w:t>厂区不设置生活污水排放口</w:t>
            </w:r>
          </w:p>
        </w:tc>
        <w:tc>
          <w:tcPr>
            <w:tcW w:w="2681" w:type="dxa"/>
            <w:tcBorders>
              <w:left w:val="single" w:color="000000" w:sz="6" w:space="0"/>
              <w:right w:val="single" w:color="auto" w:sz="4" w:space="0"/>
            </w:tcBorders>
            <w:vAlign w:val="center"/>
          </w:tcPr>
          <w:p>
            <w:pPr>
              <w:jc w:val="center"/>
              <w:rPr>
                <w:szCs w:val="21"/>
              </w:rPr>
            </w:pPr>
            <w:r>
              <w:rPr>
                <w:szCs w:val="21"/>
              </w:rPr>
              <w:t>《农田灌溉水质标准》（GB5084-2005）表 1 中旱作标准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595" w:hRule="atLeast"/>
          <w:jc w:val="center"/>
        </w:trPr>
        <w:tc>
          <w:tcPr>
            <w:tcW w:w="512" w:type="dxa"/>
            <w:vMerge w:val="restart"/>
            <w:tcBorders>
              <w:top w:val="single" w:color="auto" w:sz="4" w:space="0"/>
              <w:left w:val="single" w:color="000000" w:sz="6" w:space="0"/>
              <w:right w:val="single" w:color="000000" w:sz="6" w:space="0"/>
            </w:tcBorders>
            <w:vAlign w:val="center"/>
          </w:tcPr>
          <w:p>
            <w:pPr>
              <w:adjustRightInd w:val="0"/>
              <w:snapToGrid w:val="0"/>
              <w:jc w:val="center"/>
              <w:rPr>
                <w:szCs w:val="21"/>
              </w:rPr>
            </w:pPr>
            <w:r>
              <w:rPr>
                <w:rFonts w:hint="eastAsia"/>
                <w:szCs w:val="21"/>
              </w:rPr>
              <w:t>固</w:t>
            </w:r>
          </w:p>
          <w:p>
            <w:pPr>
              <w:adjustRightInd w:val="0"/>
              <w:snapToGrid w:val="0"/>
              <w:jc w:val="center"/>
              <w:rPr>
                <w:szCs w:val="21"/>
              </w:rPr>
            </w:pPr>
            <w:r>
              <w:rPr>
                <w:rFonts w:hint="eastAsia"/>
                <w:szCs w:val="21"/>
              </w:rPr>
              <w:t>体</w:t>
            </w:r>
          </w:p>
          <w:p>
            <w:pPr>
              <w:adjustRightInd w:val="0"/>
              <w:snapToGrid w:val="0"/>
              <w:jc w:val="center"/>
              <w:rPr>
                <w:szCs w:val="21"/>
              </w:rPr>
            </w:pPr>
            <w:r>
              <w:rPr>
                <w:rFonts w:hint="eastAsia"/>
                <w:szCs w:val="21"/>
              </w:rPr>
              <w:t>废</w:t>
            </w:r>
          </w:p>
          <w:p>
            <w:pPr>
              <w:adjustRightInd w:val="0"/>
              <w:snapToGrid w:val="0"/>
              <w:jc w:val="center"/>
              <w:rPr>
                <w:szCs w:val="21"/>
              </w:rPr>
            </w:pPr>
            <w:r>
              <w:rPr>
                <w:rFonts w:hint="eastAsia"/>
                <w:szCs w:val="21"/>
              </w:rPr>
              <w:t>物</w:t>
            </w:r>
          </w:p>
        </w:tc>
        <w:tc>
          <w:tcPr>
            <w:tcW w:w="1701" w:type="dxa"/>
            <w:vMerge w:val="restart"/>
            <w:tcBorders>
              <w:top w:val="single" w:color="auto" w:sz="4" w:space="0"/>
              <w:left w:val="single" w:color="000000" w:sz="6" w:space="0"/>
              <w:right w:val="single" w:color="000000" w:sz="6" w:space="0"/>
            </w:tcBorders>
            <w:vAlign w:val="center"/>
          </w:tcPr>
          <w:p>
            <w:pPr>
              <w:pStyle w:val="74"/>
              <w:snapToGrid w:val="0"/>
              <w:rPr>
                <w:rFonts w:ascii="Times New Roman" w:hAnsi="Times New Roman"/>
                <w:szCs w:val="21"/>
              </w:rPr>
            </w:pPr>
            <w:r>
              <w:rPr>
                <w:rFonts w:ascii="Times New Roman" w:hAnsi="Times New Roman"/>
                <w:szCs w:val="21"/>
              </w:rPr>
              <w:t>一般工业固废</w:t>
            </w:r>
          </w:p>
        </w:tc>
        <w:tc>
          <w:tcPr>
            <w:tcW w:w="1843" w:type="dxa"/>
            <w:tcBorders>
              <w:top w:val="single" w:color="auto" w:sz="4" w:space="0"/>
              <w:left w:val="single" w:color="000000" w:sz="6" w:space="0"/>
              <w:bottom w:val="single" w:color="000000" w:sz="6" w:space="0"/>
              <w:right w:val="single" w:color="auto" w:sz="4" w:space="0"/>
            </w:tcBorders>
            <w:vAlign w:val="center"/>
          </w:tcPr>
          <w:p>
            <w:pPr>
              <w:pStyle w:val="74"/>
              <w:snapToGrid w:val="0"/>
              <w:rPr>
                <w:rFonts w:ascii="Times New Roman" w:hAnsi="Times New Roman"/>
                <w:position w:val="0"/>
                <w:szCs w:val="21"/>
              </w:rPr>
            </w:pPr>
            <w:r>
              <w:rPr>
                <w:rFonts w:hint="eastAsia"/>
                <w:bCs/>
                <w:szCs w:val="21"/>
              </w:rPr>
              <w:t>泥沙</w:t>
            </w:r>
          </w:p>
        </w:tc>
        <w:tc>
          <w:tcPr>
            <w:tcW w:w="2599" w:type="dxa"/>
            <w:vMerge w:val="restart"/>
            <w:tcBorders>
              <w:top w:val="single" w:color="auto" w:sz="4" w:space="0"/>
              <w:left w:val="single" w:color="auto" w:sz="4" w:space="0"/>
              <w:right w:val="single" w:color="000000" w:sz="6" w:space="0"/>
            </w:tcBorders>
            <w:vAlign w:val="center"/>
          </w:tcPr>
          <w:p>
            <w:pPr>
              <w:pStyle w:val="74"/>
              <w:snapToGrid w:val="0"/>
              <w:rPr>
                <w:rFonts w:ascii="Times New Roman" w:hAnsi="Times New Roman"/>
                <w:szCs w:val="21"/>
                <w:lang w:val="en-GB"/>
              </w:rPr>
            </w:pPr>
            <w:r>
              <w:rPr>
                <w:rFonts w:hint="eastAsia" w:cs="宋体"/>
                <w:kern w:val="0"/>
                <w:szCs w:val="21"/>
              </w:rPr>
              <w:t>出售给相关厂家回收利用</w:t>
            </w:r>
          </w:p>
        </w:tc>
        <w:tc>
          <w:tcPr>
            <w:tcW w:w="2681" w:type="dxa"/>
            <w:vMerge w:val="restart"/>
            <w:tcBorders>
              <w:top w:val="single" w:color="auto" w:sz="4" w:space="0"/>
              <w:left w:val="single" w:color="auto" w:sz="4" w:space="0"/>
              <w:right w:val="single" w:color="000000" w:sz="6" w:space="0"/>
            </w:tcBorders>
            <w:vAlign w:val="center"/>
          </w:tcPr>
          <w:p>
            <w:pPr>
              <w:pStyle w:val="74"/>
              <w:snapToGrid w:val="0"/>
              <w:jc w:val="both"/>
              <w:rPr>
                <w:rFonts w:ascii="Times New Roman" w:hAnsi="Times New Roman"/>
                <w:position w:val="0"/>
                <w:szCs w:val="21"/>
              </w:rPr>
            </w:pPr>
            <w:r>
              <w:rPr>
                <w:rFonts w:hint="eastAsia" w:ascii="Times New Roman" w:hAnsi="Times New Roman"/>
                <w:position w:val="0"/>
                <w:szCs w:val="21"/>
              </w:rPr>
              <w:t>不会对项目周围环境产生明显不良影响。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595" w:hRule="atLeast"/>
          <w:jc w:val="center"/>
        </w:trPr>
        <w:tc>
          <w:tcPr>
            <w:tcW w:w="512" w:type="dxa"/>
            <w:vMerge w:val="continue"/>
            <w:tcBorders>
              <w:left w:val="single" w:color="000000" w:sz="6" w:space="0"/>
              <w:right w:val="single" w:color="000000" w:sz="6" w:space="0"/>
            </w:tcBorders>
            <w:vAlign w:val="center"/>
          </w:tcPr>
          <w:p>
            <w:pPr>
              <w:adjustRightInd w:val="0"/>
              <w:snapToGrid w:val="0"/>
              <w:jc w:val="center"/>
              <w:rPr>
                <w:szCs w:val="21"/>
              </w:rPr>
            </w:pPr>
          </w:p>
        </w:tc>
        <w:tc>
          <w:tcPr>
            <w:tcW w:w="1701" w:type="dxa"/>
            <w:vMerge w:val="continue"/>
            <w:tcBorders>
              <w:left w:val="single" w:color="000000" w:sz="6" w:space="0"/>
              <w:right w:val="single" w:color="000000" w:sz="6" w:space="0"/>
            </w:tcBorders>
            <w:vAlign w:val="center"/>
          </w:tcPr>
          <w:p>
            <w:pPr>
              <w:jc w:val="center"/>
              <w:rPr>
                <w:szCs w:val="21"/>
              </w:rPr>
            </w:pPr>
          </w:p>
        </w:tc>
        <w:tc>
          <w:tcPr>
            <w:tcW w:w="1843" w:type="dxa"/>
            <w:tcBorders>
              <w:top w:val="single" w:color="auto" w:sz="4" w:space="0"/>
              <w:left w:val="single" w:color="000000" w:sz="6" w:space="0"/>
              <w:bottom w:val="single" w:color="000000" w:sz="6" w:space="0"/>
              <w:right w:val="single" w:color="auto" w:sz="4" w:space="0"/>
            </w:tcBorders>
            <w:vAlign w:val="center"/>
          </w:tcPr>
          <w:p>
            <w:pPr>
              <w:pStyle w:val="74"/>
              <w:snapToGrid w:val="0"/>
              <w:rPr>
                <w:rFonts w:ascii="Times New Roman" w:hAnsi="Times New Roman"/>
                <w:position w:val="0"/>
                <w:szCs w:val="21"/>
              </w:rPr>
            </w:pPr>
            <w:r>
              <w:rPr>
                <w:rFonts w:hint="eastAsia"/>
                <w:szCs w:val="21"/>
              </w:rPr>
              <w:t>沉淀池淤泥</w:t>
            </w:r>
          </w:p>
        </w:tc>
        <w:tc>
          <w:tcPr>
            <w:tcW w:w="2599" w:type="dxa"/>
            <w:vMerge w:val="continue"/>
            <w:tcBorders>
              <w:left w:val="single" w:color="auto" w:sz="4" w:space="0"/>
              <w:right w:val="single" w:color="000000" w:sz="6" w:space="0"/>
            </w:tcBorders>
            <w:vAlign w:val="center"/>
          </w:tcPr>
          <w:p>
            <w:pPr>
              <w:pStyle w:val="74"/>
              <w:snapToGrid w:val="0"/>
              <w:rPr>
                <w:szCs w:val="21"/>
              </w:rPr>
            </w:pPr>
          </w:p>
        </w:tc>
        <w:tc>
          <w:tcPr>
            <w:tcW w:w="2681" w:type="dxa"/>
            <w:vMerge w:val="continue"/>
            <w:tcBorders>
              <w:left w:val="single" w:color="auto" w:sz="4" w:space="0"/>
              <w:right w:val="single" w:color="000000" w:sz="6" w:space="0"/>
            </w:tcBorders>
            <w:vAlign w:val="center"/>
          </w:tcPr>
          <w:p>
            <w:pPr>
              <w:pStyle w:val="74"/>
              <w:snapToGrid w:val="0"/>
              <w:jc w:val="both"/>
              <w:rPr>
                <w:rFonts w:ascii="Times New Roman" w:hAnsi="Times New Roman"/>
                <w:position w:val="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49" w:hRule="atLeast"/>
          <w:jc w:val="center"/>
        </w:trPr>
        <w:tc>
          <w:tcPr>
            <w:tcW w:w="512" w:type="dxa"/>
            <w:vMerge w:val="continue"/>
            <w:tcBorders>
              <w:left w:val="single" w:color="000000" w:sz="6" w:space="0"/>
              <w:right w:val="single" w:color="000000" w:sz="6" w:space="0"/>
            </w:tcBorders>
            <w:vAlign w:val="center"/>
          </w:tcPr>
          <w:p>
            <w:pPr>
              <w:adjustRightInd w:val="0"/>
              <w:snapToGrid w:val="0"/>
              <w:jc w:val="center"/>
              <w:rPr>
                <w:szCs w:val="21"/>
              </w:rPr>
            </w:pPr>
          </w:p>
        </w:tc>
        <w:tc>
          <w:tcPr>
            <w:tcW w:w="1701" w:type="dxa"/>
            <w:tcBorders>
              <w:left w:val="single" w:color="000000" w:sz="6" w:space="0"/>
              <w:right w:val="single" w:color="000000" w:sz="6" w:space="0"/>
            </w:tcBorders>
            <w:vAlign w:val="center"/>
          </w:tcPr>
          <w:p>
            <w:pPr>
              <w:jc w:val="center"/>
              <w:rPr>
                <w:szCs w:val="21"/>
              </w:rPr>
            </w:pPr>
            <w:r>
              <w:rPr>
                <w:rFonts w:hint="eastAsia"/>
                <w:szCs w:val="21"/>
              </w:rPr>
              <w:t>生活垃圾</w:t>
            </w:r>
          </w:p>
        </w:tc>
        <w:tc>
          <w:tcPr>
            <w:tcW w:w="1843" w:type="dxa"/>
            <w:tcBorders>
              <w:top w:val="single" w:color="auto" w:sz="4" w:space="0"/>
              <w:left w:val="single" w:color="000000" w:sz="6" w:space="0"/>
              <w:right w:val="single" w:color="auto" w:sz="4" w:space="0"/>
            </w:tcBorders>
            <w:vAlign w:val="center"/>
          </w:tcPr>
          <w:p>
            <w:pPr>
              <w:pStyle w:val="74"/>
              <w:snapToGrid w:val="0"/>
              <w:rPr>
                <w:szCs w:val="21"/>
              </w:rPr>
            </w:pPr>
            <w:r>
              <w:rPr>
                <w:rFonts w:hint="eastAsia"/>
                <w:szCs w:val="21"/>
              </w:rPr>
              <w:t>生活垃圾</w:t>
            </w:r>
          </w:p>
        </w:tc>
        <w:tc>
          <w:tcPr>
            <w:tcW w:w="2599" w:type="dxa"/>
            <w:tcBorders>
              <w:left w:val="single" w:color="auto" w:sz="4" w:space="0"/>
              <w:right w:val="single" w:color="000000" w:sz="6" w:space="0"/>
            </w:tcBorders>
            <w:vAlign w:val="center"/>
          </w:tcPr>
          <w:p>
            <w:pPr>
              <w:pStyle w:val="74"/>
              <w:snapToGrid w:val="0"/>
              <w:rPr>
                <w:szCs w:val="21"/>
              </w:rPr>
            </w:pPr>
            <w:r>
              <w:rPr>
                <w:rFonts w:hint="eastAsia"/>
                <w:szCs w:val="21"/>
              </w:rPr>
              <w:t>由环卫部门收集处理</w:t>
            </w:r>
          </w:p>
        </w:tc>
        <w:tc>
          <w:tcPr>
            <w:tcW w:w="2681" w:type="dxa"/>
            <w:vMerge w:val="continue"/>
            <w:tcBorders>
              <w:left w:val="single" w:color="auto" w:sz="4" w:space="0"/>
              <w:right w:val="single" w:color="000000" w:sz="6" w:space="0"/>
            </w:tcBorders>
            <w:vAlign w:val="center"/>
          </w:tcPr>
          <w:p>
            <w:pPr>
              <w:pStyle w:val="74"/>
              <w:snapToGrid w:val="0"/>
              <w:jc w:val="both"/>
              <w:rPr>
                <w:rFonts w:ascii="Times New Roman" w:hAnsi="Times New Roman"/>
                <w:position w:val="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1395" w:hRule="atLeast"/>
          <w:jc w:val="center"/>
        </w:trPr>
        <w:tc>
          <w:tcPr>
            <w:tcW w:w="512"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szCs w:val="21"/>
              </w:rPr>
            </w:pPr>
            <w:r>
              <w:rPr>
                <w:rFonts w:hint="eastAsia"/>
                <w:szCs w:val="21"/>
              </w:rPr>
              <w:t>噪</w:t>
            </w:r>
          </w:p>
          <w:p>
            <w:pPr>
              <w:adjustRightInd w:val="0"/>
              <w:snapToGrid w:val="0"/>
              <w:jc w:val="center"/>
              <w:rPr>
                <w:szCs w:val="21"/>
              </w:rPr>
            </w:pPr>
            <w:r>
              <w:rPr>
                <w:rFonts w:hint="eastAsia"/>
                <w:szCs w:val="21"/>
              </w:rPr>
              <w:t>声</w:t>
            </w:r>
          </w:p>
        </w:tc>
        <w:tc>
          <w:tcPr>
            <w:tcW w:w="1701" w:type="dxa"/>
            <w:tcBorders>
              <w:top w:val="single" w:color="000000" w:sz="6" w:space="0"/>
              <w:left w:val="single" w:color="000000" w:sz="6" w:space="0"/>
              <w:bottom w:val="single" w:color="000000" w:sz="6" w:space="0"/>
              <w:right w:val="single" w:color="auto" w:sz="4" w:space="0"/>
            </w:tcBorders>
            <w:vAlign w:val="center"/>
          </w:tcPr>
          <w:p>
            <w:pPr>
              <w:adjustRightInd w:val="0"/>
              <w:snapToGrid w:val="0"/>
              <w:jc w:val="center"/>
              <w:rPr>
                <w:szCs w:val="21"/>
              </w:rPr>
            </w:pPr>
            <w:r>
              <w:rPr>
                <w:rFonts w:hint="eastAsia"/>
                <w:szCs w:val="21"/>
              </w:rPr>
              <w:t>生产及辅助设备</w:t>
            </w:r>
          </w:p>
        </w:tc>
        <w:tc>
          <w:tcPr>
            <w:tcW w:w="1843" w:type="dxa"/>
            <w:tcBorders>
              <w:top w:val="single" w:color="000000" w:sz="6" w:space="0"/>
              <w:left w:val="single" w:color="auto" w:sz="4" w:space="0"/>
              <w:bottom w:val="single" w:color="000000" w:sz="6" w:space="0"/>
              <w:right w:val="single" w:color="auto" w:sz="4" w:space="0"/>
            </w:tcBorders>
            <w:vAlign w:val="center"/>
          </w:tcPr>
          <w:p>
            <w:pPr>
              <w:adjustRightInd w:val="0"/>
              <w:snapToGrid w:val="0"/>
              <w:jc w:val="center"/>
              <w:rPr>
                <w:szCs w:val="21"/>
              </w:rPr>
            </w:pPr>
            <w:r>
              <w:rPr>
                <w:rFonts w:hint="eastAsia"/>
                <w:szCs w:val="21"/>
              </w:rPr>
              <w:t>设备噪声等</w:t>
            </w:r>
          </w:p>
        </w:tc>
        <w:tc>
          <w:tcPr>
            <w:tcW w:w="2599" w:type="dxa"/>
            <w:tcBorders>
              <w:top w:val="single" w:color="000000" w:sz="6" w:space="0"/>
              <w:left w:val="single" w:color="auto" w:sz="4" w:space="0"/>
              <w:bottom w:val="single" w:color="000000" w:sz="6" w:space="0"/>
              <w:right w:val="single" w:color="auto" w:sz="4" w:space="0"/>
            </w:tcBorders>
            <w:vAlign w:val="center"/>
          </w:tcPr>
          <w:p>
            <w:pPr>
              <w:widowControl/>
              <w:rPr>
                <w:szCs w:val="21"/>
              </w:rPr>
            </w:pPr>
            <w:r>
              <w:rPr>
                <w:szCs w:val="21"/>
              </w:rPr>
              <w:t>选用低噪声环保型设备，并维持设备处于良好的运转状态；对声源采用</w:t>
            </w:r>
            <w:r>
              <w:rPr>
                <w:rFonts w:hint="eastAsia"/>
                <w:szCs w:val="21"/>
              </w:rPr>
              <w:t>减振</w:t>
            </w:r>
            <w:r>
              <w:rPr>
                <w:szCs w:val="21"/>
              </w:rPr>
              <w:t>、隔声、吸声和消声措施</w:t>
            </w:r>
          </w:p>
        </w:tc>
        <w:tc>
          <w:tcPr>
            <w:tcW w:w="2681" w:type="dxa"/>
            <w:tcBorders>
              <w:top w:val="single" w:color="000000" w:sz="6" w:space="0"/>
              <w:left w:val="single" w:color="auto" w:sz="4" w:space="0"/>
              <w:bottom w:val="single" w:color="000000" w:sz="6" w:space="0"/>
              <w:right w:val="single" w:color="auto" w:sz="4" w:space="0"/>
            </w:tcBorders>
            <w:vAlign w:val="center"/>
          </w:tcPr>
          <w:p>
            <w:pPr>
              <w:rPr>
                <w:szCs w:val="21"/>
              </w:rPr>
            </w:pPr>
            <w:r>
              <w:rPr>
                <w:szCs w:val="21"/>
              </w:rPr>
              <w:t>边界噪声达到《工业企业厂界环境噪声排放标准》(GB12348-2008)</w:t>
            </w:r>
            <w:r>
              <w:rPr>
                <w:rFonts w:hint="eastAsia"/>
                <w:szCs w:val="21"/>
              </w:rPr>
              <w:t>2</w:t>
            </w:r>
            <w:r>
              <w:rPr>
                <w:szCs w:val="21"/>
              </w:rPr>
              <w:t>类标准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595" w:hRule="atLeast"/>
          <w:jc w:val="center"/>
        </w:trPr>
        <w:tc>
          <w:tcPr>
            <w:tcW w:w="512"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szCs w:val="21"/>
              </w:rPr>
            </w:pPr>
            <w:r>
              <w:rPr>
                <w:rFonts w:hint="eastAsia"/>
                <w:szCs w:val="21"/>
              </w:rPr>
              <w:t>其它</w:t>
            </w:r>
          </w:p>
        </w:tc>
        <w:tc>
          <w:tcPr>
            <w:tcW w:w="8824" w:type="dxa"/>
            <w:gridSpan w:val="4"/>
            <w:tcBorders>
              <w:top w:val="single" w:color="000000" w:sz="6" w:space="0"/>
              <w:left w:val="single" w:color="000000" w:sz="6" w:space="0"/>
              <w:bottom w:val="single" w:color="000000" w:sz="6" w:space="0"/>
              <w:right w:val="single" w:color="auto" w:sz="4" w:space="0"/>
            </w:tcBorders>
            <w:vAlign w:val="center"/>
          </w:tcPr>
          <w:p>
            <w:pPr>
              <w:adjustRightInd w:val="0"/>
              <w:snapToGrid w:val="0"/>
              <w:jc w:val="center"/>
              <w:rPr>
                <w:szCs w:val="21"/>
              </w:rPr>
            </w:pPr>
            <w:r>
              <w:rPr>
                <w:rFonts w:hint="eastAsia"/>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595" w:hRule="atLeast"/>
          <w:jc w:val="center"/>
        </w:trPr>
        <w:tc>
          <w:tcPr>
            <w:tcW w:w="9336" w:type="dxa"/>
            <w:gridSpan w:val="5"/>
            <w:tcBorders>
              <w:top w:val="single" w:color="000000" w:sz="6" w:space="0"/>
              <w:left w:val="single" w:color="000000" w:sz="6" w:space="0"/>
              <w:bottom w:val="single" w:color="000000" w:sz="6" w:space="0"/>
              <w:right w:val="single" w:color="auto" w:sz="4" w:space="0"/>
            </w:tcBorders>
          </w:tcPr>
          <w:p>
            <w:pPr>
              <w:adjustRightInd w:val="0"/>
              <w:snapToGrid w:val="0"/>
              <w:spacing w:line="360" w:lineRule="auto"/>
              <w:rPr>
                <w:b/>
                <w:szCs w:val="21"/>
              </w:rPr>
            </w:pPr>
            <w:r>
              <w:rPr>
                <w:rFonts w:hint="eastAsia"/>
                <w:b/>
                <w:szCs w:val="21"/>
              </w:rPr>
              <w:t>生态保护措施及效果：</w:t>
            </w:r>
          </w:p>
          <w:p>
            <w:pPr>
              <w:adjustRightInd w:val="0"/>
              <w:snapToGrid w:val="0"/>
              <w:spacing w:line="360" w:lineRule="auto"/>
              <w:ind w:firstLine="420" w:firstLineChars="200"/>
              <w:rPr>
                <w:szCs w:val="21"/>
              </w:rPr>
            </w:pPr>
            <w:r>
              <w:rPr>
                <w:rFonts w:hint="eastAsia"/>
                <w:szCs w:val="21"/>
              </w:rPr>
              <w:t>1、做好外排废水的达标排放工作，减少对纳污河道水生生态环境的影响。</w:t>
            </w:r>
          </w:p>
          <w:p>
            <w:pPr>
              <w:adjustRightInd w:val="0"/>
              <w:snapToGrid w:val="0"/>
              <w:spacing w:line="360" w:lineRule="auto"/>
              <w:ind w:firstLine="420" w:firstLineChars="200"/>
              <w:rPr>
                <w:szCs w:val="21"/>
              </w:rPr>
            </w:pPr>
            <w:r>
              <w:rPr>
                <w:rFonts w:hint="eastAsia"/>
                <w:szCs w:val="21"/>
              </w:rPr>
              <w:t>2、做好废气的收集处理工作，减少其对周围环境的影响，保护员工的身体健康。</w:t>
            </w:r>
          </w:p>
          <w:p>
            <w:pPr>
              <w:adjustRightInd w:val="0"/>
              <w:snapToGrid w:val="0"/>
              <w:spacing w:line="360" w:lineRule="auto"/>
              <w:ind w:firstLine="420" w:firstLineChars="200"/>
              <w:rPr>
                <w:szCs w:val="21"/>
              </w:rPr>
            </w:pPr>
            <w:r>
              <w:rPr>
                <w:rFonts w:hint="eastAsia"/>
                <w:szCs w:val="21"/>
              </w:rPr>
              <w:t>3、妥善处理固体废物，杜绝二次污染。</w:t>
            </w:r>
          </w:p>
          <w:p>
            <w:pPr>
              <w:adjustRightInd w:val="0"/>
              <w:snapToGrid w:val="0"/>
              <w:spacing w:line="360" w:lineRule="auto"/>
              <w:ind w:firstLine="420" w:firstLineChars="200"/>
              <w:rPr>
                <w:szCs w:val="21"/>
              </w:rPr>
            </w:pPr>
            <w:r>
              <w:rPr>
                <w:rFonts w:hint="eastAsia"/>
                <w:szCs w:val="21"/>
              </w:rPr>
              <w:t>按上述措施对各种污染物进行有效的治理后，可降低其对周围生态环境的影响，并做好厂区周围的绿化、美化，将厂区建成一个现代化的绿色新厂区。则本项目的建设不会对生态环境造成明显的不良影响。</w:t>
            </w:r>
          </w:p>
          <w:p>
            <w:pPr>
              <w:adjustRightInd w:val="0"/>
              <w:snapToGrid w:val="0"/>
              <w:spacing w:line="360" w:lineRule="auto"/>
              <w:rPr>
                <w:szCs w:val="21"/>
              </w:rPr>
            </w:pPr>
          </w:p>
        </w:tc>
      </w:tr>
    </w:tbl>
    <w:p>
      <w:pPr>
        <w:adjustRightInd w:val="0"/>
        <w:snapToGrid w:val="0"/>
        <w:jc w:val="left"/>
        <w:rPr>
          <w:b/>
          <w:sz w:val="28"/>
          <w:szCs w:val="28"/>
        </w:rPr>
      </w:pPr>
    </w:p>
    <w:p>
      <w:pPr>
        <w:widowControl/>
        <w:jc w:val="left"/>
        <w:rPr>
          <w:b/>
          <w:sz w:val="28"/>
          <w:szCs w:val="28"/>
        </w:rPr>
      </w:pPr>
      <w:r>
        <w:rPr>
          <w:b/>
          <w:sz w:val="28"/>
          <w:szCs w:val="28"/>
        </w:rPr>
        <w:br w:type="page"/>
      </w:r>
    </w:p>
    <w:p>
      <w:pPr>
        <w:adjustRightInd w:val="0"/>
        <w:snapToGrid w:val="0"/>
        <w:jc w:val="left"/>
        <w:outlineLvl w:val="0"/>
        <w:rPr>
          <w:b/>
          <w:sz w:val="28"/>
          <w:szCs w:val="28"/>
        </w:rPr>
      </w:pPr>
      <w:r>
        <w:rPr>
          <w:b/>
          <w:sz w:val="28"/>
          <w:szCs w:val="28"/>
        </w:rPr>
        <w:t>结论与建议</w:t>
      </w:r>
    </w:p>
    <w:tbl>
      <w:tblPr>
        <w:tblStyle w:val="25"/>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57" w:hRule="atLeast"/>
        </w:trPr>
        <w:tc>
          <w:tcPr>
            <w:tcW w:w="8528" w:type="dxa"/>
          </w:tcPr>
          <w:p>
            <w:pPr>
              <w:spacing w:line="360" w:lineRule="auto"/>
              <w:ind w:firstLine="482" w:firstLineChars="200"/>
              <w:rPr>
                <w:b/>
                <w:bCs/>
                <w:sz w:val="24"/>
              </w:rPr>
            </w:pPr>
            <w:r>
              <w:rPr>
                <w:b/>
                <w:bCs/>
                <w:sz w:val="24"/>
              </w:rPr>
              <w:t>一、结论</w:t>
            </w:r>
          </w:p>
          <w:p>
            <w:pPr>
              <w:spacing w:line="360" w:lineRule="auto"/>
              <w:ind w:firstLine="482" w:firstLineChars="200"/>
              <w:rPr>
                <w:b/>
                <w:bCs/>
                <w:sz w:val="24"/>
              </w:rPr>
            </w:pPr>
            <w:r>
              <w:rPr>
                <w:b/>
                <w:bCs/>
                <w:sz w:val="24"/>
              </w:rPr>
              <w:t>1、项目概况</w:t>
            </w:r>
          </w:p>
          <w:p>
            <w:pPr>
              <w:spacing w:line="360" w:lineRule="auto"/>
              <w:ind w:firstLine="480" w:firstLineChars="200"/>
              <w:rPr>
                <w:bCs/>
                <w:sz w:val="24"/>
                <w:highlight w:val="yellow"/>
              </w:rPr>
            </w:pPr>
            <w:r>
              <w:rPr>
                <w:rFonts w:hint="eastAsia"/>
                <w:bCs/>
                <w:sz w:val="24"/>
              </w:rPr>
              <w:t>陆河县雄发环保科技</w:t>
            </w:r>
            <w:r>
              <w:rPr>
                <w:rFonts w:hint="eastAsia"/>
                <w:sz w:val="24"/>
              </w:rPr>
              <w:t>有限公司位于</w:t>
            </w:r>
            <w:r>
              <w:rPr>
                <w:rFonts w:hint="eastAsia"/>
                <w:bCs/>
                <w:spacing w:val="-6"/>
                <w:sz w:val="24"/>
              </w:rPr>
              <w:t>陆河县新田镇麻地村委山茶顶</w:t>
            </w:r>
            <w:r>
              <w:rPr>
                <w:rFonts w:hint="eastAsia"/>
                <w:sz w:val="24"/>
              </w:rPr>
              <w:t>（中心地理位置：东经</w:t>
            </w:r>
            <w:r>
              <w:rPr>
                <w:sz w:val="24"/>
              </w:rPr>
              <w:t>115.539464</w:t>
            </w:r>
            <w:r>
              <w:rPr>
                <w:rFonts w:hint="eastAsia"/>
                <w:sz w:val="24"/>
              </w:rPr>
              <w:t>°，北纬</w:t>
            </w:r>
            <w:r>
              <w:rPr>
                <w:sz w:val="24"/>
              </w:rPr>
              <w:t>23.169501</w:t>
            </w:r>
            <w:r>
              <w:rPr>
                <w:rFonts w:hint="eastAsia"/>
                <w:sz w:val="24"/>
              </w:rPr>
              <w:t>°）投资建设“</w:t>
            </w:r>
            <w:r>
              <w:rPr>
                <w:rFonts w:hint="eastAsia"/>
                <w:bCs/>
                <w:sz w:val="24"/>
              </w:rPr>
              <w:t>陆河县雄发高岭土精细加工建设项目</w:t>
            </w:r>
            <w:r>
              <w:rPr>
                <w:rFonts w:hint="eastAsia"/>
                <w:sz w:val="24"/>
              </w:rPr>
              <w:t>”（以下简称“本项目”）。</w:t>
            </w:r>
            <w:r>
              <w:rPr>
                <w:rFonts w:hint="eastAsia"/>
                <w:bCs/>
                <w:sz w:val="24"/>
              </w:rPr>
              <w:t>总投资</w:t>
            </w:r>
            <w:r>
              <w:rPr>
                <w:bCs/>
                <w:sz w:val="24"/>
              </w:rPr>
              <w:t>2</w:t>
            </w:r>
            <w:r>
              <w:rPr>
                <w:rFonts w:hint="eastAsia"/>
                <w:bCs/>
                <w:sz w:val="24"/>
              </w:rPr>
              <w:t>00万元，其中环保投资</w:t>
            </w:r>
            <w:r>
              <w:rPr>
                <w:bCs/>
                <w:sz w:val="24"/>
              </w:rPr>
              <w:t>2</w:t>
            </w:r>
            <w:r>
              <w:rPr>
                <w:rFonts w:hint="eastAsia"/>
                <w:bCs/>
                <w:sz w:val="24"/>
              </w:rPr>
              <w:t>0万元，</w:t>
            </w:r>
            <w:r>
              <w:rPr>
                <w:bCs/>
                <w:sz w:val="24"/>
              </w:rPr>
              <w:t>建筑面积500m</w:t>
            </w:r>
            <w:r>
              <w:rPr>
                <w:bCs/>
                <w:sz w:val="24"/>
                <w:vertAlign w:val="superscript"/>
              </w:rPr>
              <w:t>2</w:t>
            </w:r>
            <w:r>
              <w:rPr>
                <w:rFonts w:hint="eastAsia"/>
                <w:bCs/>
                <w:sz w:val="24"/>
              </w:rPr>
              <w:t>，</w:t>
            </w:r>
            <w:r>
              <w:rPr>
                <w:bCs/>
                <w:sz w:val="24"/>
              </w:rPr>
              <w:t>占地面积约</w:t>
            </w:r>
            <w:r>
              <w:rPr>
                <w:sz w:val="24"/>
              </w:rPr>
              <w:t>3333.3</w:t>
            </w:r>
            <w:r>
              <w:rPr>
                <w:bCs/>
                <w:sz w:val="24"/>
              </w:rPr>
              <w:t>m</w:t>
            </w:r>
            <w:r>
              <w:rPr>
                <w:bCs/>
                <w:sz w:val="24"/>
                <w:vertAlign w:val="superscript"/>
              </w:rPr>
              <w:t>2</w:t>
            </w:r>
            <w:r>
              <w:rPr>
                <w:rFonts w:hint="eastAsia"/>
                <w:bCs/>
                <w:sz w:val="24"/>
              </w:rPr>
              <w:t>。项目年产加工高岭土精细粉末4万吨。</w:t>
            </w:r>
          </w:p>
          <w:p>
            <w:pPr>
              <w:spacing w:line="360" w:lineRule="auto"/>
              <w:ind w:firstLine="482" w:firstLineChars="200"/>
              <w:rPr>
                <w:b/>
                <w:bCs/>
                <w:sz w:val="24"/>
              </w:rPr>
            </w:pPr>
            <w:bookmarkStart w:id="12" w:name="_Toc399504377"/>
            <w:bookmarkStart w:id="13" w:name="_Toc399504166"/>
            <w:bookmarkStart w:id="14" w:name="_Toc399504265"/>
            <w:bookmarkStart w:id="15" w:name="_Toc402078069"/>
            <w:bookmarkStart w:id="16" w:name="_Toc401370854"/>
            <w:bookmarkStart w:id="17" w:name="_Toc401314683"/>
            <w:bookmarkStart w:id="18" w:name="_Toc399506701"/>
            <w:bookmarkStart w:id="19" w:name="_Toc389617769"/>
            <w:bookmarkStart w:id="20" w:name="_Toc463254157"/>
            <w:bookmarkStart w:id="21" w:name="_Toc401542123"/>
            <w:bookmarkStart w:id="22" w:name="_Toc402080075"/>
            <w:bookmarkStart w:id="23" w:name="_Toc407178530"/>
            <w:bookmarkStart w:id="24" w:name="_Toc402080130"/>
            <w:bookmarkStart w:id="25" w:name="_Toc407028270"/>
            <w:bookmarkStart w:id="26" w:name="_Toc407028319"/>
            <w:bookmarkStart w:id="27" w:name="_Toc407035634"/>
            <w:bookmarkStart w:id="28" w:name="_Toc407180661"/>
            <w:bookmarkStart w:id="29" w:name="_Toc407767651"/>
            <w:r>
              <w:rPr>
                <w:b/>
                <w:bCs/>
                <w:sz w:val="24"/>
              </w:rPr>
              <w:t>2、环境质量现状评价结论</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pPr>
              <w:widowControl/>
              <w:spacing w:line="360" w:lineRule="auto"/>
              <w:ind w:firstLine="480"/>
              <w:rPr>
                <w:kern w:val="0"/>
                <w:sz w:val="24"/>
              </w:rPr>
            </w:pPr>
            <w:r>
              <w:rPr>
                <w:kern w:val="0"/>
                <w:sz w:val="24"/>
              </w:rPr>
              <w:t>（1）环境空气质量现状评价结论</w:t>
            </w:r>
          </w:p>
          <w:p>
            <w:pPr>
              <w:widowControl/>
              <w:spacing w:line="360" w:lineRule="auto"/>
              <w:ind w:firstLine="480"/>
              <w:rPr>
                <w:kern w:val="0"/>
                <w:sz w:val="24"/>
              </w:rPr>
            </w:pPr>
            <w:r>
              <w:rPr>
                <w:sz w:val="24"/>
              </w:rPr>
              <w:t>根据《汕尾市环境保护规划纲要（2008-2020）》，本项目所在区域属二类环境空气功能区，执行《环境空气质量标准》(GB3095-2012)二级标准。根据广东省环境保护厅公众网中《2017年上半年广东省环境质量状况》资料表明：全省各城市SO</w:t>
            </w:r>
            <w:r>
              <w:rPr>
                <w:sz w:val="24"/>
                <w:vertAlign w:val="subscript"/>
              </w:rPr>
              <w:t>2</w:t>
            </w:r>
            <w:r>
              <w:rPr>
                <w:sz w:val="24"/>
              </w:rPr>
              <w:t>年均值范围为6~18微克/立方米，均达到国家一级标准；各城市NO</w:t>
            </w:r>
            <w:r>
              <w:rPr>
                <w:sz w:val="24"/>
                <w:vertAlign w:val="subscript"/>
              </w:rPr>
              <w:t>2</w:t>
            </w:r>
            <w:r>
              <w:rPr>
                <w:sz w:val="24"/>
              </w:rPr>
              <w:t>年均值范围为13~56微克/立方米，除广州、佛山、东莞和清远外，其余各城市均达到国家一级标准；各城市PM</w:t>
            </w:r>
            <w:r>
              <w:rPr>
                <w:sz w:val="24"/>
                <w:vertAlign w:val="subscript"/>
              </w:rPr>
              <w:t>10</w:t>
            </w:r>
            <w:r>
              <w:rPr>
                <w:sz w:val="24"/>
              </w:rPr>
              <w:t>年均值范围为40~67微克/立方米，均达到国家二级标准；各城市PM</w:t>
            </w:r>
            <w:r>
              <w:rPr>
                <w:sz w:val="24"/>
                <w:vertAlign w:val="subscript"/>
              </w:rPr>
              <w:t>2.5</w:t>
            </w:r>
            <w:r>
              <w:rPr>
                <w:sz w:val="24"/>
              </w:rPr>
              <w:t>年均值范围为28~43微克/立方米，除广州、佛山、韶关、东莞、江门、肇庆、清远、揭阳和云浮外，其余12市均达到国家二级标准；各城市CO日均浓度第95百分位数平均为1.3微克/立方米，日平均浓度范围为1.0~2.0毫克/立方米，均达到国家一级标准。按照环境空气综合质量指数排名，2017年上半年排名前三位为汕尾、湛江和茂名，由此说明项目所在地汕尾市的环境空气质量现状良好</w:t>
            </w:r>
            <w:r>
              <w:rPr>
                <w:kern w:val="0"/>
                <w:sz w:val="24"/>
              </w:rPr>
              <w:t>。</w:t>
            </w:r>
          </w:p>
          <w:p>
            <w:pPr>
              <w:spacing w:line="360" w:lineRule="auto"/>
              <w:ind w:firstLine="480" w:firstLineChars="200"/>
              <w:rPr>
                <w:sz w:val="24"/>
              </w:rPr>
            </w:pPr>
            <w:r>
              <w:rPr>
                <w:sz w:val="24"/>
              </w:rPr>
              <w:t>（2）水环境质量现状评价结论</w:t>
            </w:r>
          </w:p>
          <w:p>
            <w:pPr>
              <w:spacing w:line="360" w:lineRule="auto"/>
              <w:ind w:firstLine="480" w:firstLineChars="200"/>
              <w:rPr>
                <w:sz w:val="24"/>
              </w:rPr>
            </w:pPr>
            <w:r>
              <w:rPr>
                <w:rFonts w:hint="eastAsia"/>
                <w:sz w:val="24"/>
              </w:rPr>
              <w:t>项目附近水体新田水各监测断面监测因子的浓度均低于《地表水环境质量标准》(GB3838-2002)中的相应标准的浓度限值，项目所在区域水体环境较好</w:t>
            </w:r>
            <w:r>
              <w:rPr>
                <w:sz w:val="24"/>
              </w:rPr>
              <w:t>。</w:t>
            </w:r>
          </w:p>
          <w:p>
            <w:pPr>
              <w:spacing w:line="360" w:lineRule="auto"/>
              <w:ind w:firstLine="480" w:firstLineChars="200"/>
              <w:rPr>
                <w:sz w:val="24"/>
              </w:rPr>
            </w:pPr>
            <w:r>
              <w:rPr>
                <w:sz w:val="24"/>
              </w:rPr>
              <w:t>（3）声环境质量现状评价结论</w:t>
            </w:r>
          </w:p>
          <w:p>
            <w:pPr>
              <w:spacing w:line="360" w:lineRule="auto"/>
              <w:ind w:firstLine="570"/>
              <w:outlineLvl w:val="0"/>
              <w:rPr>
                <w:sz w:val="24"/>
              </w:rPr>
            </w:pPr>
            <w:r>
              <w:rPr>
                <w:rFonts w:hint="eastAsia"/>
                <w:sz w:val="24"/>
              </w:rPr>
              <w:t>本</w:t>
            </w:r>
            <w:r>
              <w:rPr>
                <w:sz w:val="24"/>
              </w:rPr>
              <w:t>项目</w:t>
            </w:r>
            <w:r>
              <w:rPr>
                <w:rFonts w:hint="eastAsia"/>
                <w:sz w:val="24"/>
              </w:rPr>
              <w:t>北、南和西面</w:t>
            </w:r>
            <w:r>
              <w:rPr>
                <w:sz w:val="24"/>
              </w:rPr>
              <w:t>监测点昼、夜间环境噪声</w:t>
            </w:r>
            <w:r>
              <w:rPr>
                <w:rFonts w:hint="eastAsia"/>
                <w:sz w:val="24"/>
              </w:rPr>
              <w:t>值</w:t>
            </w:r>
            <w:r>
              <w:rPr>
                <w:sz w:val="24"/>
              </w:rPr>
              <w:t>均符合《声环境质量标准》(GB3096</w:t>
            </w:r>
            <w:r>
              <w:rPr>
                <w:rFonts w:hint="eastAsia"/>
                <w:sz w:val="24"/>
              </w:rPr>
              <w:t>-</w:t>
            </w:r>
            <w:r>
              <w:rPr>
                <w:sz w:val="24"/>
              </w:rPr>
              <w:t>2008)标准中的</w:t>
            </w:r>
            <w:r>
              <w:rPr>
                <w:rFonts w:hint="eastAsia"/>
                <w:sz w:val="24"/>
              </w:rPr>
              <w:t>2</w:t>
            </w:r>
            <w:r>
              <w:rPr>
                <w:sz w:val="24"/>
              </w:rPr>
              <w:t>类标准</w:t>
            </w:r>
            <w:r>
              <w:rPr>
                <w:rFonts w:hint="eastAsia"/>
                <w:sz w:val="24"/>
              </w:rPr>
              <w:t>；东面</w:t>
            </w:r>
            <w:r>
              <w:rPr>
                <w:sz w:val="24"/>
              </w:rPr>
              <w:t>监测点昼、夜间环境噪声</w:t>
            </w:r>
            <w:r>
              <w:rPr>
                <w:rFonts w:hint="eastAsia"/>
                <w:sz w:val="24"/>
              </w:rPr>
              <w:t>值</w:t>
            </w:r>
            <w:r>
              <w:rPr>
                <w:sz w:val="24"/>
              </w:rPr>
              <w:t>均符合《声环境质量标准》(GB3096</w:t>
            </w:r>
            <w:r>
              <w:rPr>
                <w:rFonts w:hint="eastAsia"/>
                <w:sz w:val="24"/>
              </w:rPr>
              <w:t>-</w:t>
            </w:r>
            <w:r>
              <w:rPr>
                <w:sz w:val="24"/>
              </w:rPr>
              <w:t>2008)标准中的4a类标准，项目所在区域声环境质量现状良好。</w:t>
            </w:r>
          </w:p>
          <w:p>
            <w:pPr>
              <w:spacing w:line="360" w:lineRule="auto"/>
              <w:ind w:firstLine="482" w:firstLineChars="200"/>
              <w:rPr>
                <w:b/>
                <w:sz w:val="24"/>
              </w:rPr>
            </w:pPr>
            <w:r>
              <w:rPr>
                <w:b/>
                <w:sz w:val="24"/>
              </w:rPr>
              <w:t>3、施工期环境影响评价结论</w:t>
            </w:r>
          </w:p>
          <w:p>
            <w:pPr>
              <w:spacing w:line="360" w:lineRule="auto"/>
              <w:ind w:firstLine="480" w:firstLineChars="200"/>
              <w:rPr>
                <w:rFonts w:ascii="宋体" w:hAnsi="宋体"/>
                <w:sz w:val="24"/>
              </w:rPr>
            </w:pPr>
            <w:r>
              <w:rPr>
                <w:sz w:val="24"/>
              </w:rPr>
              <w:t>本项目土建施工期内主要污染物为施工噪声、粉尘、扬尘、建筑固体废物及施工污水等。只要本项目的建设施工单位严格加强施工管理，进行科学施工，并按本报告提出的各项要求，对施工期间产生的环境污染进行控制，则本项目在施工期间产生的环境污染是可以得到控制的，不会对周围环境产生明显的不良影响</w:t>
            </w:r>
            <w:r>
              <w:rPr>
                <w:rFonts w:hint="eastAsia" w:ascii="宋体" w:hAnsi="宋体"/>
                <w:sz w:val="24"/>
              </w:rPr>
              <w:t>。</w:t>
            </w:r>
          </w:p>
          <w:p>
            <w:pPr>
              <w:spacing w:line="360" w:lineRule="auto"/>
              <w:ind w:firstLine="482" w:firstLineChars="200"/>
              <w:rPr>
                <w:b/>
                <w:sz w:val="24"/>
              </w:rPr>
            </w:pPr>
            <w:r>
              <w:rPr>
                <w:rFonts w:hint="eastAsia"/>
                <w:b/>
                <w:sz w:val="24"/>
              </w:rPr>
              <w:t>4</w:t>
            </w:r>
            <w:r>
              <w:rPr>
                <w:b/>
                <w:sz w:val="24"/>
              </w:rPr>
              <w:t>、营运期环境影响评价结论</w:t>
            </w:r>
          </w:p>
          <w:p>
            <w:pPr>
              <w:spacing w:line="360" w:lineRule="auto"/>
              <w:ind w:firstLine="480" w:firstLineChars="200"/>
              <w:rPr>
                <w:sz w:val="24"/>
              </w:rPr>
            </w:pPr>
            <w:r>
              <w:rPr>
                <w:rFonts w:hint="eastAsia"/>
                <w:sz w:val="24"/>
              </w:rPr>
              <w:t>（1）水环境影响评价结论</w:t>
            </w:r>
          </w:p>
          <w:p>
            <w:pPr>
              <w:spacing w:line="360" w:lineRule="auto"/>
              <w:ind w:firstLine="480" w:firstLineChars="200"/>
              <w:rPr>
                <w:sz w:val="24"/>
              </w:rPr>
            </w:pPr>
            <w:r>
              <w:rPr>
                <w:bCs/>
                <w:sz w:val="24"/>
              </w:rPr>
              <w:t>本项目外排废水为生活污水151.2 m</w:t>
            </w:r>
            <w:r>
              <w:rPr>
                <w:bCs/>
                <w:sz w:val="24"/>
                <w:vertAlign w:val="superscript"/>
              </w:rPr>
              <w:t>3</w:t>
            </w:r>
            <w:r>
              <w:rPr>
                <w:bCs/>
                <w:sz w:val="24"/>
              </w:rPr>
              <w:t>/a，项目生活污水包括办公生活污水。办公生活污水经三级化粪池预处理后，满足</w:t>
            </w:r>
            <w:r>
              <w:rPr>
                <w:sz w:val="24"/>
              </w:rPr>
              <w:t>《农田灌溉水质标准》（GB5084-2005）中的旱作标准后</w:t>
            </w:r>
            <w:r>
              <w:rPr>
                <w:rFonts w:hint="eastAsia"/>
                <w:sz w:val="24"/>
              </w:rPr>
              <w:t>排入灌溉水沟</w:t>
            </w:r>
            <w:r>
              <w:rPr>
                <w:bCs/>
                <w:sz w:val="24"/>
              </w:rPr>
              <w:t>。</w:t>
            </w:r>
            <w:r>
              <w:rPr>
                <w:sz w:val="24"/>
              </w:rPr>
              <w:t>厂区不设置生活污水排放口</w:t>
            </w:r>
            <w:r>
              <w:rPr>
                <w:bCs/>
                <w:sz w:val="24"/>
              </w:rPr>
              <w:t>。</w:t>
            </w:r>
            <w:r>
              <w:rPr>
                <w:rFonts w:hint="eastAsia"/>
                <w:bCs/>
                <w:sz w:val="24"/>
              </w:rPr>
              <w:t>本项目无生产废水外排。</w:t>
            </w:r>
            <w:r>
              <w:rPr>
                <w:kern w:val="0"/>
                <w:sz w:val="24"/>
              </w:rPr>
              <w:t>工艺废水</w:t>
            </w:r>
            <w:r>
              <w:rPr>
                <w:rFonts w:hint="eastAsia" w:ascii="宋体" w:cs="宋体"/>
                <w:kern w:val="0"/>
                <w:sz w:val="24"/>
              </w:rPr>
              <w:t>经过厂区沉淀池处理后全部回用不外排；设施冲洗废水循环使用，不外排；地面冲洗废水作为下一班次生产的补充用料，不外排。因此，</w:t>
            </w:r>
            <w:r>
              <w:rPr>
                <w:rFonts w:hint="eastAsia"/>
                <w:sz w:val="24"/>
              </w:rPr>
              <w:t>不会对纳污水体造成明显的不良影响。</w:t>
            </w:r>
          </w:p>
          <w:p>
            <w:pPr>
              <w:spacing w:line="360" w:lineRule="auto"/>
              <w:ind w:firstLine="480" w:firstLineChars="200"/>
              <w:rPr>
                <w:sz w:val="24"/>
              </w:rPr>
            </w:pPr>
            <w:r>
              <w:rPr>
                <w:rFonts w:hint="eastAsia"/>
                <w:sz w:val="24"/>
              </w:rPr>
              <w:t>（2）大气环境影响评价结论</w:t>
            </w:r>
          </w:p>
          <w:p>
            <w:pPr>
              <w:spacing w:line="360" w:lineRule="auto"/>
              <w:ind w:firstLine="480" w:firstLineChars="200"/>
              <w:rPr>
                <w:bCs/>
                <w:sz w:val="24"/>
              </w:rPr>
            </w:pPr>
            <w:r>
              <w:rPr>
                <w:rFonts w:hint="eastAsia"/>
                <w:bCs/>
                <w:sz w:val="24"/>
              </w:rPr>
              <w:t>项目颗粒物排放满足</w:t>
            </w:r>
            <w:r>
              <w:rPr>
                <w:bCs/>
                <w:sz w:val="24"/>
              </w:rPr>
              <w:t>广东省地方标准《大气污染物排放限值》</w:t>
            </w:r>
            <w:r>
              <w:rPr>
                <w:rFonts w:hint="eastAsia"/>
                <w:bCs/>
                <w:sz w:val="24"/>
              </w:rPr>
              <w:t>（</w:t>
            </w:r>
            <w:r>
              <w:rPr>
                <w:bCs/>
                <w:sz w:val="24"/>
              </w:rPr>
              <w:t>DB44/27-2001</w:t>
            </w:r>
            <w:r>
              <w:rPr>
                <w:rFonts w:hint="eastAsia"/>
                <w:bCs/>
                <w:sz w:val="24"/>
              </w:rPr>
              <w:t>）</w:t>
            </w:r>
            <w:r>
              <w:rPr>
                <w:bCs/>
                <w:sz w:val="24"/>
              </w:rPr>
              <w:t>第二时段二级标准</w:t>
            </w:r>
            <w:r>
              <w:rPr>
                <w:rFonts w:hint="eastAsia"/>
                <w:bCs/>
                <w:sz w:val="24"/>
              </w:rPr>
              <w:t>。</w:t>
            </w:r>
          </w:p>
          <w:p>
            <w:pPr>
              <w:adjustRightInd w:val="0"/>
              <w:snapToGrid w:val="0"/>
              <w:spacing w:line="360" w:lineRule="auto"/>
              <w:ind w:firstLine="480" w:firstLineChars="200"/>
              <w:rPr>
                <w:sz w:val="24"/>
              </w:rPr>
            </w:pPr>
            <w:r>
              <w:rPr>
                <w:rFonts w:hint="eastAsia"/>
                <w:bCs/>
                <w:sz w:val="24"/>
              </w:rPr>
              <w:t>综上，项目在落实相关废气治理措施的情况下，对大气环境影响在可接受的范围内。污染物排放量核算结果表详见表</w:t>
            </w:r>
            <w:r>
              <w:rPr>
                <w:bCs/>
                <w:sz w:val="24"/>
              </w:rPr>
              <w:t>40~</w:t>
            </w:r>
            <w:r>
              <w:rPr>
                <w:rFonts w:hint="eastAsia"/>
                <w:bCs/>
                <w:sz w:val="24"/>
              </w:rPr>
              <w:t>表</w:t>
            </w:r>
            <w:r>
              <w:rPr>
                <w:bCs/>
                <w:sz w:val="24"/>
              </w:rPr>
              <w:t>42</w:t>
            </w:r>
            <w:r>
              <w:rPr>
                <w:rFonts w:hint="eastAsia"/>
                <w:bCs/>
                <w:sz w:val="24"/>
              </w:rPr>
              <w:t>，大气污染物排放总量控制指标能满足环境管理要求。</w:t>
            </w:r>
            <w:r>
              <w:rPr>
                <w:rFonts w:hint="eastAsia"/>
                <w:sz w:val="24"/>
              </w:rPr>
              <w:t xml:space="preserve"> </w:t>
            </w:r>
          </w:p>
          <w:p>
            <w:pPr>
              <w:snapToGrid w:val="0"/>
              <w:spacing w:line="360" w:lineRule="auto"/>
              <w:ind w:firstLine="480" w:firstLineChars="200"/>
              <w:rPr>
                <w:sz w:val="24"/>
              </w:rPr>
            </w:pPr>
            <w:r>
              <w:rPr>
                <w:rFonts w:hint="eastAsia"/>
                <w:sz w:val="24"/>
              </w:rPr>
              <w:t>（3）声环境影响评价结论</w:t>
            </w:r>
          </w:p>
          <w:p>
            <w:pPr>
              <w:snapToGrid w:val="0"/>
              <w:spacing w:line="360" w:lineRule="auto"/>
              <w:ind w:firstLine="480" w:firstLineChars="200"/>
              <w:rPr>
                <w:sz w:val="24"/>
              </w:rPr>
            </w:pPr>
            <w:r>
              <w:rPr>
                <w:rFonts w:hint="eastAsia"/>
                <w:sz w:val="24"/>
              </w:rPr>
              <w:t>本项目产生的噪声主要为</w:t>
            </w:r>
            <w:r>
              <w:rPr>
                <w:sz w:val="24"/>
              </w:rPr>
              <w:t>设备</w:t>
            </w:r>
            <w:r>
              <w:rPr>
                <w:rFonts w:hint="eastAsia"/>
                <w:sz w:val="24"/>
              </w:rPr>
              <w:t>噪声</w:t>
            </w:r>
            <w:r>
              <w:rPr>
                <w:sz w:val="24"/>
              </w:rPr>
              <w:t>，</w:t>
            </w:r>
            <w:r>
              <w:rPr>
                <w:rFonts w:hint="eastAsia"/>
                <w:sz w:val="24"/>
              </w:rPr>
              <w:t>噪声级范围在</w:t>
            </w:r>
            <w:r>
              <w:rPr>
                <w:rFonts w:hint="eastAsia"/>
                <w:bCs/>
                <w:sz w:val="24"/>
              </w:rPr>
              <w:t>7</w:t>
            </w:r>
            <w:r>
              <w:rPr>
                <w:bCs/>
                <w:sz w:val="24"/>
              </w:rPr>
              <w:t>0~90 dB（A）</w:t>
            </w:r>
            <w:r>
              <w:rPr>
                <w:sz w:val="24"/>
              </w:rPr>
              <w:t>之间</w:t>
            </w:r>
            <w:r>
              <w:rPr>
                <w:rFonts w:hint="eastAsia"/>
                <w:sz w:val="24"/>
              </w:rPr>
              <w:t>。</w:t>
            </w:r>
            <w:r>
              <w:rPr>
                <w:sz w:val="24"/>
              </w:rPr>
              <w:t>经采取隔声、消声、</w:t>
            </w:r>
            <w:r>
              <w:rPr>
                <w:rFonts w:hint="eastAsia"/>
                <w:sz w:val="24"/>
              </w:rPr>
              <w:t>减振</w:t>
            </w:r>
            <w:r>
              <w:rPr>
                <w:sz w:val="24"/>
              </w:rPr>
              <w:t>等综合治理措施后，</w:t>
            </w:r>
            <w:r>
              <w:rPr>
                <w:rFonts w:hint="eastAsia" w:cs="宋体"/>
                <w:bCs/>
                <w:kern w:val="0"/>
                <w:sz w:val="24"/>
              </w:rPr>
              <w:t>项目北、南和西面厂界噪声值负荷《工业企业厂界环境噪声排放标准》（G</w:t>
            </w:r>
            <w:r>
              <w:rPr>
                <w:rFonts w:cs="宋体"/>
                <w:bCs/>
                <w:kern w:val="0"/>
                <w:sz w:val="24"/>
              </w:rPr>
              <w:t>B12348-2008</w:t>
            </w:r>
            <w:r>
              <w:rPr>
                <w:rFonts w:hint="eastAsia" w:cs="宋体"/>
                <w:bCs/>
                <w:kern w:val="0"/>
                <w:sz w:val="24"/>
              </w:rPr>
              <w:t>）2类功能区标准（即昼间≤60</w:t>
            </w:r>
            <w:r>
              <w:rPr>
                <w:rFonts w:cs="宋体"/>
                <w:bCs/>
                <w:kern w:val="0"/>
                <w:sz w:val="24"/>
              </w:rPr>
              <w:t xml:space="preserve"> dB（A）</w:t>
            </w:r>
            <w:r>
              <w:rPr>
                <w:rFonts w:hint="eastAsia" w:cs="宋体"/>
                <w:bCs/>
                <w:kern w:val="0"/>
                <w:sz w:val="24"/>
              </w:rPr>
              <w:t xml:space="preserve">，夜间≤50 </w:t>
            </w:r>
            <w:r>
              <w:rPr>
                <w:rFonts w:cs="宋体"/>
                <w:bCs/>
                <w:kern w:val="0"/>
                <w:sz w:val="24"/>
              </w:rPr>
              <w:t>dB（A）</w:t>
            </w:r>
            <w:r>
              <w:rPr>
                <w:rFonts w:hint="eastAsia" w:cs="宋体"/>
                <w:bCs/>
                <w:kern w:val="0"/>
                <w:sz w:val="24"/>
              </w:rPr>
              <w:t>），东面厂界噪声值负荷《工业企业厂界环境噪声排放标准》（G</w:t>
            </w:r>
            <w:r>
              <w:rPr>
                <w:rFonts w:cs="宋体"/>
                <w:bCs/>
                <w:kern w:val="0"/>
                <w:sz w:val="24"/>
              </w:rPr>
              <w:t>B12348-2008</w:t>
            </w:r>
            <w:r>
              <w:rPr>
                <w:rFonts w:hint="eastAsia" w:cs="宋体"/>
                <w:bCs/>
                <w:kern w:val="0"/>
                <w:sz w:val="24"/>
              </w:rPr>
              <w:t>）</w:t>
            </w:r>
            <w:r>
              <w:rPr>
                <w:rFonts w:cs="宋体"/>
                <w:bCs/>
                <w:kern w:val="0"/>
                <w:sz w:val="24"/>
              </w:rPr>
              <w:t>4a</w:t>
            </w:r>
            <w:r>
              <w:rPr>
                <w:rFonts w:hint="eastAsia" w:cs="宋体"/>
                <w:bCs/>
                <w:kern w:val="0"/>
                <w:sz w:val="24"/>
              </w:rPr>
              <w:t>类功能区标准（即昼间≤70</w:t>
            </w:r>
            <w:r>
              <w:rPr>
                <w:rFonts w:cs="宋体"/>
                <w:bCs/>
                <w:kern w:val="0"/>
                <w:sz w:val="24"/>
              </w:rPr>
              <w:t xml:space="preserve"> dB（A）</w:t>
            </w:r>
            <w:r>
              <w:rPr>
                <w:rFonts w:hint="eastAsia" w:cs="宋体"/>
                <w:bCs/>
                <w:kern w:val="0"/>
                <w:sz w:val="24"/>
              </w:rPr>
              <w:t>，夜间≤5</w:t>
            </w:r>
            <w:r>
              <w:rPr>
                <w:rFonts w:cs="宋体"/>
                <w:bCs/>
                <w:kern w:val="0"/>
                <w:sz w:val="24"/>
              </w:rPr>
              <w:t>5</w:t>
            </w:r>
            <w:r>
              <w:rPr>
                <w:rFonts w:hint="eastAsia" w:cs="宋体"/>
                <w:bCs/>
                <w:kern w:val="0"/>
                <w:sz w:val="24"/>
              </w:rPr>
              <w:t xml:space="preserve"> </w:t>
            </w:r>
            <w:r>
              <w:rPr>
                <w:rFonts w:cs="宋体"/>
                <w:bCs/>
                <w:kern w:val="0"/>
                <w:sz w:val="24"/>
              </w:rPr>
              <w:t>dB（A）</w:t>
            </w:r>
            <w:r>
              <w:rPr>
                <w:rFonts w:hint="eastAsia" w:cs="宋体"/>
                <w:bCs/>
                <w:kern w:val="0"/>
                <w:sz w:val="24"/>
              </w:rPr>
              <w:t>），</w:t>
            </w:r>
            <w:r>
              <w:rPr>
                <w:rFonts w:hint="eastAsia"/>
                <w:sz w:val="24"/>
              </w:rPr>
              <w:t>不会对本项目周围声环境质量造成明显影响。</w:t>
            </w:r>
          </w:p>
          <w:p>
            <w:pPr>
              <w:spacing w:line="360" w:lineRule="auto"/>
              <w:ind w:firstLine="480" w:firstLineChars="200"/>
              <w:rPr>
                <w:sz w:val="24"/>
              </w:rPr>
            </w:pPr>
            <w:r>
              <w:rPr>
                <w:rFonts w:hint="eastAsia"/>
                <w:sz w:val="24"/>
              </w:rPr>
              <w:t>（4）固体废物影响评价结论</w:t>
            </w:r>
          </w:p>
          <w:p>
            <w:pPr>
              <w:adjustRightInd w:val="0"/>
              <w:snapToGrid w:val="0"/>
              <w:spacing w:line="360" w:lineRule="auto"/>
              <w:ind w:firstLine="468" w:firstLineChars="195"/>
              <w:rPr>
                <w:kern w:val="0"/>
                <w:sz w:val="24"/>
              </w:rPr>
            </w:pPr>
            <w:r>
              <w:rPr>
                <w:rFonts w:hint="eastAsia"/>
                <w:kern w:val="0"/>
                <w:sz w:val="24"/>
              </w:rPr>
              <w:t>本项目产生的</w:t>
            </w:r>
            <w:r>
              <w:rPr>
                <w:rFonts w:hint="eastAsia"/>
                <w:bCs/>
                <w:sz w:val="24"/>
              </w:rPr>
              <w:t>泥沙</w:t>
            </w:r>
            <w:r>
              <w:rPr>
                <w:rFonts w:hint="eastAsia"/>
                <w:kern w:val="0"/>
                <w:sz w:val="24"/>
              </w:rPr>
              <w:t>、</w:t>
            </w:r>
            <w:r>
              <w:rPr>
                <w:rFonts w:hint="eastAsia"/>
                <w:sz w:val="24"/>
              </w:rPr>
              <w:t>沉淀池淤泥</w:t>
            </w:r>
            <w:r>
              <w:rPr>
                <w:rFonts w:hint="eastAsia"/>
                <w:kern w:val="0"/>
                <w:sz w:val="24"/>
              </w:rPr>
              <w:t>经收集后</w:t>
            </w:r>
            <w:r>
              <w:rPr>
                <w:rFonts w:hint="eastAsia" w:ascii="宋体" w:cs="宋体"/>
                <w:kern w:val="0"/>
                <w:sz w:val="24"/>
              </w:rPr>
              <w:t>出售给相关厂家回收利用</w:t>
            </w:r>
            <w:r>
              <w:rPr>
                <w:rFonts w:hint="eastAsia"/>
                <w:kern w:val="0"/>
                <w:sz w:val="24"/>
              </w:rPr>
              <w:t>；生活垃圾经收集后由</w:t>
            </w:r>
            <w:r>
              <w:rPr>
                <w:kern w:val="0"/>
                <w:sz w:val="24"/>
              </w:rPr>
              <w:t>环卫部门收集处理</w:t>
            </w:r>
            <w:r>
              <w:rPr>
                <w:rFonts w:hint="eastAsia"/>
                <w:kern w:val="0"/>
                <w:sz w:val="24"/>
              </w:rPr>
              <w:t>。</w:t>
            </w:r>
          </w:p>
          <w:p>
            <w:pPr>
              <w:spacing w:line="360" w:lineRule="auto"/>
              <w:ind w:firstLine="480" w:firstLineChars="200"/>
              <w:rPr>
                <w:sz w:val="24"/>
              </w:rPr>
            </w:pPr>
            <w:r>
              <w:rPr>
                <w:rFonts w:hint="eastAsia"/>
                <w:sz w:val="24"/>
              </w:rPr>
              <w:t>经上述措施处理后，本项目产生的固体废物不会对周围环境造成明显的影响。</w:t>
            </w:r>
          </w:p>
          <w:p>
            <w:pPr>
              <w:spacing w:line="360" w:lineRule="auto"/>
              <w:ind w:firstLine="482" w:firstLineChars="200"/>
              <w:rPr>
                <w:sz w:val="24"/>
              </w:rPr>
            </w:pPr>
            <w:r>
              <w:rPr>
                <w:rFonts w:hint="eastAsia"/>
                <w:b/>
                <w:sz w:val="24"/>
              </w:rPr>
              <w:t>5</w:t>
            </w:r>
            <w:r>
              <w:rPr>
                <w:b/>
                <w:sz w:val="24"/>
              </w:rPr>
              <w:t>、</w:t>
            </w:r>
            <w:r>
              <w:rPr>
                <w:rFonts w:hint="eastAsia"/>
                <w:b/>
                <w:sz w:val="24"/>
              </w:rPr>
              <w:t>产业政策相符性</w:t>
            </w:r>
          </w:p>
          <w:p>
            <w:pPr>
              <w:spacing w:line="360" w:lineRule="auto"/>
              <w:ind w:firstLine="480" w:firstLineChars="200"/>
              <w:rPr>
                <w:sz w:val="24"/>
              </w:rPr>
            </w:pPr>
            <w:r>
              <w:rPr>
                <w:rFonts w:hint="eastAsia"/>
                <w:sz w:val="24"/>
              </w:rPr>
              <w:t>本项目产品及工艺不属于《产业结构调整指导目录》（</w:t>
            </w:r>
            <w:r>
              <w:rPr>
                <w:sz w:val="24"/>
              </w:rPr>
              <w:t>2013</w:t>
            </w:r>
            <w:r>
              <w:rPr>
                <w:rFonts w:hint="eastAsia"/>
                <w:sz w:val="24"/>
              </w:rPr>
              <w:t>年修正）和《广东省产业结构调整指导目录（</w:t>
            </w:r>
            <w:r>
              <w:rPr>
                <w:sz w:val="24"/>
              </w:rPr>
              <w:t>2011</w:t>
            </w:r>
            <w:r>
              <w:rPr>
                <w:rFonts w:hint="eastAsia"/>
                <w:sz w:val="24"/>
              </w:rPr>
              <w:t>年本）》中淘汰和限制类项目；查阅广东省政府办公厅颁布的《广东省工业产业结构调整实施方案》等产业政策相关文件，该项目不属于国家、广东省规定的禁止重复建设或禁止建设的项目</w:t>
            </w:r>
            <w:r>
              <w:rPr>
                <w:rFonts w:hint="eastAsia"/>
                <w:bCs/>
                <w:sz w:val="24"/>
              </w:rPr>
              <w:t>。</w:t>
            </w:r>
          </w:p>
          <w:p>
            <w:pPr>
              <w:spacing w:line="360" w:lineRule="auto"/>
              <w:ind w:firstLine="482" w:firstLineChars="200"/>
              <w:rPr>
                <w:b/>
                <w:sz w:val="24"/>
              </w:rPr>
            </w:pPr>
            <w:r>
              <w:rPr>
                <w:rFonts w:hint="eastAsia"/>
                <w:b/>
                <w:sz w:val="24"/>
              </w:rPr>
              <w:t>6、</w:t>
            </w:r>
            <w:r>
              <w:rPr>
                <w:b/>
                <w:sz w:val="24"/>
              </w:rPr>
              <w:t>总量控制指标</w:t>
            </w:r>
          </w:p>
          <w:p>
            <w:pPr>
              <w:spacing w:line="360" w:lineRule="auto"/>
              <w:ind w:firstLine="480" w:firstLineChars="200"/>
              <w:rPr>
                <w:sz w:val="24"/>
              </w:rPr>
            </w:pPr>
            <w:r>
              <w:rPr>
                <w:sz w:val="24"/>
              </w:rPr>
              <w:t>（1）水污染物排放总量控制指标</w:t>
            </w:r>
          </w:p>
          <w:p>
            <w:pPr>
              <w:spacing w:line="360" w:lineRule="auto"/>
              <w:ind w:firstLine="480" w:firstLineChars="200"/>
              <w:rPr>
                <w:sz w:val="24"/>
              </w:rPr>
            </w:pPr>
            <w:r>
              <w:rPr>
                <w:rFonts w:hint="eastAsia"/>
                <w:sz w:val="24"/>
              </w:rPr>
              <w:t>项目生活污水包括办公生活污水。办公生活污水经三级化粪池预处理后排入灌溉水沟</w:t>
            </w:r>
            <w:r>
              <w:rPr>
                <w:sz w:val="24"/>
              </w:rPr>
              <w:t>，厂区不设置生活污水排放口</w:t>
            </w:r>
            <w:r>
              <w:rPr>
                <w:rFonts w:hint="eastAsia"/>
                <w:sz w:val="24"/>
              </w:rPr>
              <w:t>，本项目无需</w:t>
            </w:r>
            <w:r>
              <w:rPr>
                <w:sz w:val="24"/>
              </w:rPr>
              <w:t>申请总量控制指标</w:t>
            </w:r>
            <w:r>
              <w:rPr>
                <w:rFonts w:hint="eastAsia"/>
                <w:sz w:val="24"/>
              </w:rPr>
              <w:t>。</w:t>
            </w:r>
          </w:p>
          <w:p>
            <w:pPr>
              <w:spacing w:line="360" w:lineRule="auto"/>
              <w:ind w:firstLine="480" w:firstLineChars="200"/>
              <w:rPr>
                <w:sz w:val="24"/>
                <w:highlight w:val="yellow"/>
              </w:rPr>
            </w:pPr>
            <w:r>
              <w:rPr>
                <w:sz w:val="24"/>
              </w:rPr>
              <w:t>（2）大气污染物排放总量控制指标</w:t>
            </w:r>
          </w:p>
          <w:p>
            <w:pPr>
              <w:pStyle w:val="35"/>
              <w:snapToGrid w:val="0"/>
              <w:spacing w:line="360" w:lineRule="auto"/>
              <w:ind w:firstLine="480" w:firstLineChars="200"/>
              <w:rPr>
                <w:sz w:val="24"/>
                <w:szCs w:val="24"/>
              </w:rPr>
            </w:pPr>
            <w:r>
              <w:rPr>
                <w:rFonts w:hint="eastAsia"/>
                <w:sz w:val="24"/>
                <w:szCs w:val="24"/>
              </w:rPr>
              <w:t>颗粒物（无组织）：</w:t>
            </w:r>
            <w:r>
              <w:rPr>
                <w:kern w:val="0"/>
                <w:sz w:val="24"/>
              </w:rPr>
              <w:t>0.0665</w:t>
            </w:r>
            <w:r>
              <w:rPr>
                <w:kern w:val="0"/>
                <w:sz w:val="24"/>
                <w:szCs w:val="24"/>
              </w:rPr>
              <w:t>t/a</w:t>
            </w:r>
            <w:r>
              <w:rPr>
                <w:rFonts w:hint="eastAsia"/>
                <w:sz w:val="24"/>
                <w:szCs w:val="24"/>
              </w:rPr>
              <w:t>。</w:t>
            </w:r>
          </w:p>
          <w:p>
            <w:pPr>
              <w:spacing w:line="360" w:lineRule="auto"/>
              <w:ind w:firstLine="480" w:firstLineChars="200"/>
              <w:rPr>
                <w:sz w:val="24"/>
              </w:rPr>
            </w:pPr>
            <w:r>
              <w:rPr>
                <w:sz w:val="24"/>
              </w:rPr>
              <w:t>（3）固废物排放总量控制指标</w:t>
            </w:r>
          </w:p>
          <w:p>
            <w:pPr>
              <w:spacing w:line="360" w:lineRule="auto"/>
              <w:ind w:firstLine="480" w:firstLineChars="200"/>
              <w:rPr>
                <w:sz w:val="24"/>
              </w:rPr>
            </w:pPr>
            <w:r>
              <w:rPr>
                <w:sz w:val="24"/>
              </w:rPr>
              <w:t>本项目固体废物不自行处理排</w:t>
            </w:r>
            <w:r>
              <w:rPr>
                <w:rFonts w:hint="eastAsia" w:hAnsi="宋体"/>
                <w:sz w:val="24"/>
              </w:rPr>
              <w:t>放，</w:t>
            </w:r>
            <w:r>
              <w:rPr>
                <w:rFonts w:hAnsi="宋体"/>
                <w:sz w:val="24"/>
              </w:rPr>
              <w:t>不设置固体废物总量控制指标。</w:t>
            </w:r>
          </w:p>
          <w:p>
            <w:pPr>
              <w:spacing w:line="360" w:lineRule="auto"/>
              <w:ind w:firstLine="482" w:firstLineChars="200"/>
              <w:rPr>
                <w:b/>
                <w:sz w:val="24"/>
              </w:rPr>
            </w:pPr>
            <w:r>
              <w:rPr>
                <w:b/>
                <w:sz w:val="24"/>
              </w:rPr>
              <w:t>二、建议</w:t>
            </w:r>
          </w:p>
          <w:p>
            <w:pPr>
              <w:spacing w:line="360" w:lineRule="auto"/>
              <w:ind w:firstLine="480" w:firstLineChars="200"/>
              <w:rPr>
                <w:sz w:val="24"/>
              </w:rPr>
            </w:pPr>
            <w:r>
              <w:rPr>
                <w:rFonts w:hint="eastAsia"/>
                <w:sz w:val="24"/>
              </w:rPr>
              <w:t>1、加强环境保护工作，加强环境监测，保护周围环境。</w:t>
            </w:r>
          </w:p>
          <w:p>
            <w:pPr>
              <w:spacing w:line="360" w:lineRule="auto"/>
              <w:ind w:firstLine="480" w:firstLineChars="200"/>
              <w:rPr>
                <w:sz w:val="24"/>
              </w:rPr>
            </w:pPr>
            <w:r>
              <w:rPr>
                <w:rFonts w:hint="eastAsia"/>
                <w:sz w:val="24"/>
              </w:rPr>
              <w:t>2、落实环境污染治理措施，废气、污水、噪声做到达标排放。</w:t>
            </w:r>
          </w:p>
          <w:p>
            <w:pPr>
              <w:spacing w:line="360" w:lineRule="auto"/>
              <w:ind w:firstLine="480" w:firstLineChars="200"/>
              <w:rPr>
                <w:sz w:val="24"/>
              </w:rPr>
            </w:pPr>
            <w:r>
              <w:rPr>
                <w:rFonts w:hint="eastAsia"/>
                <w:sz w:val="24"/>
              </w:rPr>
              <w:t>3、按照《中华人民共和国固体废物污染环境防治法》和国家及地方的有关法规做好固体废物的处置工作，做到安全与合法处置。</w:t>
            </w:r>
          </w:p>
          <w:p>
            <w:pPr>
              <w:spacing w:line="360" w:lineRule="auto"/>
              <w:ind w:firstLine="480" w:firstLineChars="200"/>
              <w:rPr>
                <w:sz w:val="24"/>
              </w:rPr>
            </w:pPr>
            <w:r>
              <w:rPr>
                <w:rFonts w:hint="eastAsia"/>
                <w:sz w:val="24"/>
              </w:rPr>
              <w:t>4、开展清洁生产，从源头就要对产生污染物的各因素进行控制，减少污染物排放量。</w:t>
            </w:r>
          </w:p>
          <w:p>
            <w:pPr>
              <w:spacing w:line="360" w:lineRule="auto"/>
              <w:ind w:firstLine="480" w:firstLineChars="200"/>
              <w:rPr>
                <w:sz w:val="24"/>
              </w:rPr>
            </w:pPr>
            <w:r>
              <w:rPr>
                <w:rFonts w:hint="eastAsia"/>
                <w:sz w:val="24"/>
              </w:rPr>
              <w:t>5、建立和完善生产车间环境保护管理制度。</w:t>
            </w:r>
          </w:p>
          <w:p>
            <w:pPr>
              <w:spacing w:line="360" w:lineRule="auto"/>
              <w:ind w:firstLine="482" w:firstLineChars="200"/>
              <w:rPr>
                <w:b/>
                <w:sz w:val="24"/>
              </w:rPr>
            </w:pPr>
            <w:r>
              <w:rPr>
                <w:b/>
                <w:sz w:val="24"/>
              </w:rPr>
              <w:t>三、综合结论</w:t>
            </w:r>
          </w:p>
          <w:p>
            <w:pPr>
              <w:spacing w:line="360" w:lineRule="auto"/>
              <w:ind w:firstLine="480" w:firstLineChars="200"/>
              <w:rPr>
                <w:b/>
                <w:sz w:val="24"/>
              </w:rPr>
            </w:pPr>
            <w:r>
              <w:rPr>
                <w:sz w:val="24"/>
              </w:rPr>
              <w:t>综上所述，本项目符合国家和地方的产业政策，用地合法，选址合理。</w:t>
            </w:r>
            <w:r>
              <w:rPr>
                <w:rFonts w:hint="eastAsia"/>
                <w:sz w:val="24"/>
              </w:rPr>
              <w:t>本</w:t>
            </w:r>
            <w:r>
              <w:rPr>
                <w:sz w:val="24"/>
              </w:rPr>
              <w:t>项目</w:t>
            </w:r>
            <w:r>
              <w:rPr>
                <w:rFonts w:hint="eastAsia"/>
                <w:sz w:val="24"/>
              </w:rPr>
              <w:t>营运时</w:t>
            </w:r>
            <w:r>
              <w:rPr>
                <w:sz w:val="24"/>
              </w:rPr>
              <w:t>产生的各种污染</w:t>
            </w:r>
            <w:r>
              <w:rPr>
                <w:rFonts w:hint="eastAsia"/>
                <w:sz w:val="24"/>
              </w:rPr>
              <w:t>物</w:t>
            </w:r>
            <w:r>
              <w:rPr>
                <w:sz w:val="24"/>
              </w:rPr>
              <w:t>经治理后</w:t>
            </w:r>
            <w:r>
              <w:rPr>
                <w:rFonts w:hint="eastAsia"/>
                <w:sz w:val="24"/>
              </w:rPr>
              <w:t>，均能</w:t>
            </w:r>
            <w:r>
              <w:rPr>
                <w:sz w:val="24"/>
              </w:rPr>
              <w:t>达到相关环境标准和环保法规的要求，对周围水环境、大气环境、声环境</w:t>
            </w:r>
            <w:r>
              <w:rPr>
                <w:rFonts w:hint="eastAsia"/>
                <w:sz w:val="24"/>
              </w:rPr>
              <w:t>及生态环境</w:t>
            </w:r>
            <w:r>
              <w:rPr>
                <w:sz w:val="24"/>
              </w:rPr>
              <w:t>的影响较小。</w:t>
            </w:r>
            <w:r>
              <w:rPr>
                <w:rFonts w:hint="eastAsia"/>
                <w:sz w:val="24"/>
              </w:rPr>
              <w:t>本</w:t>
            </w:r>
            <w:r>
              <w:rPr>
                <w:sz w:val="24"/>
              </w:rPr>
              <w:t>项目在</w:t>
            </w:r>
            <w:r>
              <w:rPr>
                <w:rFonts w:hint="eastAsia"/>
                <w:sz w:val="24"/>
              </w:rPr>
              <w:t>营运</w:t>
            </w:r>
            <w:r>
              <w:rPr>
                <w:sz w:val="24"/>
              </w:rPr>
              <w:t>过程中，必须严格落实本评价提出的各项污染防治措施和相关管理规定，确保环保设施正常运转，确保污染物稳定达标排放，</w:t>
            </w:r>
            <w:r>
              <w:rPr>
                <w:rFonts w:hint="eastAsia"/>
                <w:sz w:val="24"/>
              </w:rPr>
              <w:t>将</w:t>
            </w:r>
            <w:r>
              <w:rPr>
                <w:sz w:val="24"/>
              </w:rPr>
              <w:t>项目对环境的影响</w:t>
            </w:r>
            <w:r>
              <w:rPr>
                <w:snapToGrid w:val="0"/>
                <w:kern w:val="0"/>
                <w:sz w:val="24"/>
              </w:rPr>
              <w:t>控制在最低限度</w:t>
            </w:r>
            <w:r>
              <w:rPr>
                <w:sz w:val="24"/>
              </w:rPr>
              <w:t>。</w:t>
            </w:r>
            <w:r>
              <w:rPr>
                <w:rFonts w:hint="eastAsia"/>
                <w:sz w:val="24"/>
              </w:rPr>
              <w:t>只有在严格落实本评价的相关污染防治措施的情况下，</w:t>
            </w:r>
            <w:r>
              <w:rPr>
                <w:b/>
                <w:sz w:val="24"/>
              </w:rPr>
              <w:t>从环境保护角度分析，本项目建设是可行的。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10" w:hRule="atLeast"/>
        </w:trPr>
        <w:tc>
          <w:tcPr>
            <w:tcW w:w="8528" w:type="dxa"/>
            <w:tcBorders>
              <w:bottom w:val="single" w:color="auto" w:sz="2" w:space="0"/>
            </w:tcBorders>
          </w:tcPr>
          <w:p>
            <w:pPr>
              <w:spacing w:line="400" w:lineRule="exact"/>
              <w:outlineLvl w:val="0"/>
              <w:rPr>
                <w:sz w:val="28"/>
                <w:szCs w:val="28"/>
              </w:rPr>
            </w:pPr>
            <w:r>
              <w:rPr>
                <w:sz w:val="28"/>
                <w:szCs w:val="28"/>
              </w:rPr>
              <w:t>预审意见：</w:t>
            </w: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ind w:firstLine="6440" w:firstLineChars="2300"/>
              <w:rPr>
                <w:sz w:val="28"/>
                <w:szCs w:val="28"/>
              </w:rPr>
            </w:pPr>
            <w:r>
              <w:rPr>
                <w:sz w:val="28"/>
                <w:szCs w:val="28"/>
              </w:rPr>
              <w:t>公</w:t>
            </w:r>
            <w:r>
              <w:rPr>
                <w:rFonts w:hint="eastAsia"/>
                <w:sz w:val="28"/>
                <w:szCs w:val="28"/>
              </w:rPr>
              <w:t xml:space="preserve"> </w:t>
            </w:r>
            <w:r>
              <w:rPr>
                <w:sz w:val="28"/>
                <w:szCs w:val="28"/>
              </w:rPr>
              <w:t>章</w:t>
            </w:r>
          </w:p>
          <w:p>
            <w:pPr>
              <w:spacing w:line="400" w:lineRule="exact"/>
              <w:rPr>
                <w:sz w:val="28"/>
                <w:szCs w:val="28"/>
              </w:rPr>
            </w:pPr>
          </w:p>
          <w:p>
            <w:pPr>
              <w:spacing w:line="400" w:lineRule="exact"/>
              <w:rPr>
                <w:sz w:val="28"/>
                <w:szCs w:val="28"/>
              </w:rPr>
            </w:pPr>
            <w:r>
              <w:rPr>
                <w:sz w:val="28"/>
                <w:szCs w:val="28"/>
              </w:rPr>
              <w:t>经办人：</w:t>
            </w:r>
            <w:r>
              <w:rPr>
                <w:rFonts w:hint="eastAsia"/>
                <w:sz w:val="28"/>
                <w:szCs w:val="28"/>
              </w:rPr>
              <w:t xml:space="preserve">                                  </w:t>
            </w:r>
            <w:r>
              <w:rPr>
                <w:sz w:val="28"/>
                <w:szCs w:val="28"/>
              </w:rPr>
              <w:t>年</w:t>
            </w:r>
            <w:r>
              <w:rPr>
                <w:rFonts w:hint="eastAsia"/>
                <w:sz w:val="28"/>
                <w:szCs w:val="28"/>
              </w:rPr>
              <w:t xml:space="preserve">   </w:t>
            </w:r>
            <w:r>
              <w:rPr>
                <w:sz w:val="28"/>
                <w:szCs w:val="28"/>
              </w:rPr>
              <w:t>月</w:t>
            </w:r>
            <w:r>
              <w:rPr>
                <w:rFonts w:hint="eastAsia"/>
                <w:sz w:val="28"/>
                <w:szCs w:val="28"/>
              </w:rPr>
              <w:t xml:space="preserve">   </w:t>
            </w:r>
            <w:r>
              <w:rPr>
                <w:sz w:val="28"/>
                <w:szCs w:val="28"/>
              </w:rPr>
              <w:t>日</w:t>
            </w:r>
          </w:p>
          <w:p>
            <w:pPr>
              <w:spacing w:line="480" w:lineRule="exact"/>
              <w:rPr>
                <w:sz w:val="24"/>
              </w:rPr>
            </w:pPr>
          </w:p>
          <w:p>
            <w:pPr>
              <w:spacing w:line="480" w:lineRule="exac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05" w:hRule="atLeast"/>
        </w:trPr>
        <w:tc>
          <w:tcPr>
            <w:tcW w:w="8528" w:type="dxa"/>
            <w:tcBorders>
              <w:top w:val="single" w:color="auto" w:sz="2" w:space="0"/>
            </w:tcBorders>
          </w:tcPr>
          <w:p>
            <w:pPr>
              <w:spacing w:line="400" w:lineRule="exact"/>
              <w:rPr>
                <w:sz w:val="28"/>
                <w:szCs w:val="28"/>
              </w:rPr>
            </w:pPr>
            <w:r>
              <w:rPr>
                <w:sz w:val="28"/>
                <w:szCs w:val="28"/>
              </w:rPr>
              <w:t>下一级环境保护行政主管部门审查意见：</w:t>
            </w: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ind w:firstLine="6440" w:firstLineChars="2300"/>
              <w:rPr>
                <w:sz w:val="28"/>
                <w:szCs w:val="28"/>
              </w:rPr>
            </w:pPr>
            <w:r>
              <w:rPr>
                <w:sz w:val="28"/>
                <w:szCs w:val="28"/>
              </w:rPr>
              <w:t>公</w:t>
            </w:r>
            <w:r>
              <w:rPr>
                <w:rFonts w:hint="eastAsia"/>
                <w:sz w:val="28"/>
                <w:szCs w:val="28"/>
              </w:rPr>
              <w:t xml:space="preserve"> </w:t>
            </w:r>
            <w:r>
              <w:rPr>
                <w:sz w:val="28"/>
                <w:szCs w:val="28"/>
              </w:rPr>
              <w:t>章</w:t>
            </w:r>
          </w:p>
          <w:p>
            <w:pPr>
              <w:spacing w:line="400" w:lineRule="exact"/>
              <w:rPr>
                <w:sz w:val="28"/>
                <w:szCs w:val="28"/>
              </w:rPr>
            </w:pPr>
          </w:p>
          <w:p>
            <w:pPr>
              <w:spacing w:line="400" w:lineRule="exact"/>
              <w:rPr>
                <w:sz w:val="28"/>
                <w:szCs w:val="28"/>
              </w:rPr>
            </w:pPr>
            <w:r>
              <w:rPr>
                <w:sz w:val="28"/>
                <w:szCs w:val="28"/>
              </w:rPr>
              <w:t>经办人：</w:t>
            </w:r>
            <w:r>
              <w:rPr>
                <w:rFonts w:hint="eastAsia"/>
                <w:sz w:val="28"/>
                <w:szCs w:val="28"/>
              </w:rPr>
              <w:t xml:space="preserve">                                  </w:t>
            </w:r>
            <w:r>
              <w:rPr>
                <w:sz w:val="28"/>
                <w:szCs w:val="28"/>
              </w:rPr>
              <w:t>年</w:t>
            </w:r>
            <w:r>
              <w:rPr>
                <w:rFonts w:hint="eastAsia"/>
                <w:sz w:val="28"/>
                <w:szCs w:val="28"/>
              </w:rPr>
              <w:t xml:space="preserve">   </w:t>
            </w:r>
            <w:r>
              <w:rPr>
                <w:sz w:val="28"/>
                <w:szCs w:val="28"/>
              </w:rPr>
              <w:t>月</w:t>
            </w:r>
            <w:r>
              <w:rPr>
                <w:rFonts w:hint="eastAsia"/>
                <w:sz w:val="28"/>
                <w:szCs w:val="28"/>
              </w:rPr>
              <w:t xml:space="preserve">   </w:t>
            </w:r>
            <w:r>
              <w:rPr>
                <w:sz w:val="28"/>
                <w:szCs w:val="28"/>
              </w:rPr>
              <w:t>日</w:t>
            </w:r>
          </w:p>
          <w:p>
            <w:pPr>
              <w:spacing w:line="480" w:lineRule="exact"/>
              <w:rPr>
                <w:sz w:val="28"/>
                <w:szCs w:val="28"/>
              </w:rPr>
            </w:pPr>
          </w:p>
          <w:p>
            <w:pPr>
              <w:spacing w:line="480" w:lineRule="exac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29" w:hRule="atLeast"/>
        </w:trPr>
        <w:tc>
          <w:tcPr>
            <w:tcW w:w="8528" w:type="dxa"/>
          </w:tcPr>
          <w:p>
            <w:pPr>
              <w:spacing w:line="400" w:lineRule="exact"/>
              <w:rPr>
                <w:sz w:val="28"/>
                <w:szCs w:val="28"/>
              </w:rPr>
            </w:pPr>
            <w:r>
              <w:rPr>
                <w:sz w:val="28"/>
                <w:szCs w:val="28"/>
              </w:rPr>
              <w:t>审批意见：</w:t>
            </w: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rPr>
                <w:sz w:val="28"/>
                <w:szCs w:val="28"/>
              </w:rPr>
            </w:pPr>
          </w:p>
          <w:p>
            <w:pPr>
              <w:spacing w:line="400" w:lineRule="exact"/>
              <w:ind w:firstLine="6300" w:firstLineChars="2250"/>
              <w:rPr>
                <w:sz w:val="28"/>
                <w:szCs w:val="28"/>
              </w:rPr>
            </w:pPr>
            <w:r>
              <w:rPr>
                <w:sz w:val="28"/>
                <w:szCs w:val="28"/>
              </w:rPr>
              <w:t>公</w:t>
            </w:r>
            <w:r>
              <w:rPr>
                <w:rFonts w:hint="eastAsia"/>
                <w:sz w:val="28"/>
                <w:szCs w:val="28"/>
              </w:rPr>
              <w:t xml:space="preserve"> </w:t>
            </w:r>
            <w:r>
              <w:rPr>
                <w:sz w:val="28"/>
                <w:szCs w:val="28"/>
              </w:rPr>
              <w:t>章</w:t>
            </w:r>
          </w:p>
          <w:p>
            <w:pPr>
              <w:spacing w:line="400" w:lineRule="exact"/>
              <w:rPr>
                <w:sz w:val="28"/>
                <w:szCs w:val="28"/>
              </w:rPr>
            </w:pPr>
          </w:p>
          <w:p>
            <w:pPr>
              <w:spacing w:line="400" w:lineRule="exact"/>
              <w:rPr>
                <w:sz w:val="28"/>
                <w:szCs w:val="28"/>
              </w:rPr>
            </w:pPr>
            <w:r>
              <w:rPr>
                <w:sz w:val="28"/>
                <w:szCs w:val="28"/>
              </w:rPr>
              <w:t>经办人：</w:t>
            </w:r>
            <w:r>
              <w:rPr>
                <w:rFonts w:hint="eastAsia"/>
                <w:sz w:val="28"/>
                <w:szCs w:val="28"/>
              </w:rPr>
              <w:t xml:space="preserve">                                 </w:t>
            </w:r>
            <w:r>
              <w:rPr>
                <w:sz w:val="28"/>
                <w:szCs w:val="28"/>
              </w:rPr>
              <w:t>年</w:t>
            </w:r>
            <w:r>
              <w:rPr>
                <w:rFonts w:hint="eastAsia"/>
                <w:sz w:val="28"/>
                <w:szCs w:val="28"/>
              </w:rPr>
              <w:t xml:space="preserve">   </w:t>
            </w:r>
            <w:r>
              <w:rPr>
                <w:sz w:val="28"/>
                <w:szCs w:val="28"/>
              </w:rPr>
              <w:t>月</w:t>
            </w:r>
            <w:r>
              <w:rPr>
                <w:rFonts w:hint="eastAsia"/>
                <w:sz w:val="28"/>
                <w:szCs w:val="28"/>
              </w:rPr>
              <w:t xml:space="preserve">   </w:t>
            </w:r>
            <w:r>
              <w:rPr>
                <w:sz w:val="28"/>
                <w:szCs w:val="28"/>
              </w:rPr>
              <w:t>日</w:t>
            </w:r>
          </w:p>
          <w:p>
            <w:pPr>
              <w:spacing w:line="400" w:lineRule="exact"/>
              <w:rPr>
                <w:sz w:val="28"/>
                <w:szCs w:val="28"/>
              </w:rPr>
            </w:pPr>
          </w:p>
          <w:p>
            <w:pPr>
              <w:spacing w:line="360" w:lineRule="auto"/>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8528" w:type="dxa"/>
            <w:tcBorders>
              <w:top w:val="single" w:color="auto" w:sz="4" w:space="0"/>
              <w:left w:val="single" w:color="auto" w:sz="4" w:space="0"/>
              <w:bottom w:val="single" w:color="auto" w:sz="4" w:space="0"/>
              <w:right w:val="single" w:color="auto" w:sz="4" w:space="0"/>
            </w:tcBorders>
          </w:tcPr>
          <w:p>
            <w:pPr>
              <w:spacing w:line="400" w:lineRule="exact"/>
              <w:jc w:val="center"/>
              <w:rPr>
                <w:sz w:val="24"/>
              </w:rPr>
            </w:pPr>
            <w:r>
              <w:rPr>
                <w:sz w:val="24"/>
              </w:rPr>
              <w:t>注          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1" w:hRule="atLeast"/>
        </w:trPr>
        <w:tc>
          <w:tcPr>
            <w:tcW w:w="8528" w:type="dxa"/>
            <w:tcBorders>
              <w:top w:val="single" w:color="auto" w:sz="4" w:space="0"/>
              <w:left w:val="single" w:color="auto" w:sz="4" w:space="0"/>
              <w:bottom w:val="single" w:color="auto" w:sz="4" w:space="0"/>
              <w:right w:val="single" w:color="auto" w:sz="4" w:space="0"/>
            </w:tcBorders>
          </w:tcPr>
          <w:p>
            <w:pPr>
              <w:spacing w:line="400" w:lineRule="exact"/>
              <w:rPr>
                <w:sz w:val="24"/>
              </w:rPr>
            </w:pPr>
            <w:r>
              <w:rPr>
                <w:sz w:val="24"/>
              </w:rPr>
              <w:t>一、本报告表附以下附图：</w:t>
            </w:r>
          </w:p>
          <w:p>
            <w:pPr>
              <w:spacing w:line="400" w:lineRule="exact"/>
              <w:rPr>
                <w:sz w:val="24"/>
              </w:rPr>
            </w:pPr>
            <w:r>
              <w:rPr>
                <w:rFonts w:hint="eastAsia"/>
                <w:sz w:val="24"/>
              </w:rPr>
              <w:t>附图1 项目地理位置图</w:t>
            </w:r>
          </w:p>
          <w:p>
            <w:pPr>
              <w:spacing w:line="400" w:lineRule="exact"/>
              <w:rPr>
                <w:sz w:val="24"/>
              </w:rPr>
            </w:pPr>
            <w:bookmarkStart w:id="30" w:name="_Hlk521484208"/>
            <w:r>
              <w:rPr>
                <w:rFonts w:hint="eastAsia"/>
                <w:sz w:val="24"/>
              </w:rPr>
              <w:t>附图2</w:t>
            </w:r>
            <w:r>
              <w:rPr>
                <w:sz w:val="24"/>
              </w:rPr>
              <w:t xml:space="preserve"> </w:t>
            </w:r>
            <w:r>
              <w:rPr>
                <w:rFonts w:hint="eastAsia"/>
                <w:sz w:val="24"/>
              </w:rPr>
              <w:t>项目卫星四至图</w:t>
            </w:r>
            <w:bookmarkEnd w:id="30"/>
          </w:p>
          <w:p>
            <w:pPr>
              <w:spacing w:line="400" w:lineRule="exact"/>
              <w:rPr>
                <w:sz w:val="24"/>
              </w:rPr>
            </w:pPr>
            <w:r>
              <w:rPr>
                <w:rFonts w:hint="eastAsia"/>
                <w:sz w:val="24"/>
              </w:rPr>
              <w:t>附图3</w:t>
            </w:r>
            <w:r>
              <w:rPr>
                <w:sz w:val="24"/>
              </w:rPr>
              <w:t xml:space="preserve"> </w:t>
            </w:r>
            <w:r>
              <w:rPr>
                <w:rFonts w:hint="eastAsia"/>
                <w:sz w:val="24"/>
              </w:rPr>
              <w:t>项目平面布置示意图</w:t>
            </w:r>
          </w:p>
          <w:p>
            <w:pPr>
              <w:spacing w:line="400" w:lineRule="exact"/>
              <w:rPr>
                <w:sz w:val="24"/>
              </w:rPr>
            </w:pPr>
            <w:r>
              <w:rPr>
                <w:rFonts w:hint="eastAsia"/>
                <w:sz w:val="24"/>
              </w:rPr>
              <w:t>附图4</w:t>
            </w:r>
            <w:r>
              <w:rPr>
                <w:sz w:val="24"/>
              </w:rPr>
              <w:t xml:space="preserve"> </w:t>
            </w:r>
            <w:r>
              <w:rPr>
                <w:rFonts w:hint="eastAsia"/>
                <w:sz w:val="24"/>
              </w:rPr>
              <w:t>项目四至实景图</w:t>
            </w:r>
          </w:p>
          <w:p>
            <w:pPr>
              <w:spacing w:line="400" w:lineRule="exact"/>
              <w:rPr>
                <w:sz w:val="24"/>
              </w:rPr>
            </w:pPr>
            <w:r>
              <w:rPr>
                <w:rFonts w:hint="eastAsia"/>
                <w:sz w:val="24"/>
              </w:rPr>
              <w:t>附图5 项目大气评价范围内敏感点分布图</w:t>
            </w:r>
          </w:p>
          <w:p>
            <w:pPr>
              <w:spacing w:line="400" w:lineRule="exact"/>
              <w:rPr>
                <w:sz w:val="24"/>
              </w:rPr>
            </w:pPr>
            <w:r>
              <w:rPr>
                <w:rFonts w:hint="eastAsia"/>
                <w:sz w:val="24"/>
              </w:rPr>
              <w:t>附件1 营业执照</w:t>
            </w:r>
          </w:p>
          <w:p>
            <w:pPr>
              <w:spacing w:line="400" w:lineRule="exact"/>
              <w:rPr>
                <w:sz w:val="24"/>
              </w:rPr>
            </w:pPr>
            <w:r>
              <w:rPr>
                <w:rFonts w:hint="eastAsia"/>
                <w:sz w:val="24"/>
              </w:rPr>
              <w:t>附件2 法人身份证</w:t>
            </w:r>
          </w:p>
          <w:p>
            <w:pPr>
              <w:spacing w:line="400" w:lineRule="exact"/>
              <w:rPr>
                <w:sz w:val="24"/>
              </w:rPr>
            </w:pPr>
            <w:r>
              <w:rPr>
                <w:rFonts w:hint="eastAsia"/>
                <w:sz w:val="24"/>
              </w:rPr>
              <w:t>附件3 项目租赁合同</w:t>
            </w:r>
          </w:p>
          <w:p>
            <w:pPr>
              <w:spacing w:line="400" w:lineRule="exact"/>
              <w:rPr>
                <w:sz w:val="24"/>
              </w:rPr>
            </w:pPr>
            <w:r>
              <w:rPr>
                <w:rFonts w:hint="eastAsia"/>
                <w:sz w:val="24"/>
              </w:rPr>
              <w:t>附件4土地使用证明</w:t>
            </w:r>
          </w:p>
          <w:p>
            <w:pPr>
              <w:spacing w:line="400" w:lineRule="exact"/>
              <w:rPr>
                <w:sz w:val="24"/>
              </w:rPr>
            </w:pPr>
            <w:r>
              <w:rPr>
                <w:rFonts w:hint="eastAsia"/>
                <w:sz w:val="24"/>
              </w:rPr>
              <w:t>附件5</w:t>
            </w:r>
            <w:r>
              <w:rPr>
                <w:sz w:val="24"/>
              </w:rPr>
              <w:t xml:space="preserve"> </w:t>
            </w:r>
            <w:r>
              <w:rPr>
                <w:rFonts w:hint="eastAsia"/>
                <w:sz w:val="24"/>
              </w:rPr>
              <w:t>项目备案通知</w:t>
            </w:r>
          </w:p>
          <w:p>
            <w:pPr>
              <w:spacing w:line="400" w:lineRule="exact"/>
              <w:rPr>
                <w:sz w:val="24"/>
              </w:rPr>
            </w:pPr>
            <w:r>
              <w:rPr>
                <w:rFonts w:hint="eastAsia"/>
                <w:sz w:val="24"/>
              </w:rPr>
              <w:t>附件6</w:t>
            </w:r>
            <w:r>
              <w:rPr>
                <w:sz w:val="24"/>
              </w:rPr>
              <w:t xml:space="preserve"> </w:t>
            </w:r>
            <w:r>
              <w:rPr>
                <w:rFonts w:hint="eastAsia"/>
                <w:sz w:val="24"/>
              </w:rPr>
              <w:t>建设项目大气影响评价自查表</w:t>
            </w:r>
          </w:p>
          <w:p>
            <w:pPr>
              <w:spacing w:line="400" w:lineRule="exac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 w:hRule="atLeast"/>
        </w:trPr>
        <w:tc>
          <w:tcPr>
            <w:tcW w:w="8528" w:type="dxa"/>
            <w:tcBorders>
              <w:top w:val="single" w:color="auto" w:sz="4" w:space="0"/>
              <w:left w:val="single" w:color="auto" w:sz="4" w:space="0"/>
              <w:bottom w:val="single" w:color="auto" w:sz="4" w:space="0"/>
              <w:right w:val="single" w:color="auto" w:sz="4" w:space="0"/>
            </w:tcBorders>
          </w:tcPr>
          <w:p>
            <w:pPr>
              <w:spacing w:line="400" w:lineRule="exact"/>
              <w:rPr>
                <w:sz w:val="24"/>
              </w:rPr>
            </w:pPr>
            <w:r>
              <w:rPr>
                <w:sz w:val="24"/>
              </w:rPr>
              <w:t>二、如果本报告表不能说明项目产生的污染及对环境造成的影响，应进行专项评价。根据建设项目的特点和当地环境特征，应选下列1—2项进行专项评价。</w:t>
            </w:r>
          </w:p>
          <w:p>
            <w:pPr>
              <w:spacing w:line="400" w:lineRule="exact"/>
              <w:rPr>
                <w:sz w:val="24"/>
              </w:rPr>
            </w:pPr>
            <w:r>
              <w:rPr>
                <w:sz w:val="24"/>
              </w:rPr>
              <w:t>1.大气环境影响专项评价</w:t>
            </w:r>
          </w:p>
          <w:p>
            <w:pPr>
              <w:spacing w:line="400" w:lineRule="exact"/>
              <w:rPr>
                <w:sz w:val="24"/>
              </w:rPr>
            </w:pPr>
            <w:r>
              <w:rPr>
                <w:sz w:val="24"/>
              </w:rPr>
              <w:t>2.水环境影响专项评价(包括地表水和地下水)</w:t>
            </w:r>
          </w:p>
          <w:p>
            <w:pPr>
              <w:spacing w:line="400" w:lineRule="exact"/>
              <w:rPr>
                <w:sz w:val="24"/>
              </w:rPr>
            </w:pPr>
            <w:r>
              <w:rPr>
                <w:sz w:val="24"/>
              </w:rPr>
              <w:t>3.生态影响专项评价</w:t>
            </w:r>
          </w:p>
          <w:p>
            <w:pPr>
              <w:spacing w:line="400" w:lineRule="exact"/>
              <w:rPr>
                <w:sz w:val="24"/>
              </w:rPr>
            </w:pPr>
            <w:r>
              <w:rPr>
                <w:sz w:val="24"/>
              </w:rPr>
              <w:t>4.声影响专项评价</w:t>
            </w:r>
          </w:p>
          <w:p>
            <w:pPr>
              <w:spacing w:line="400" w:lineRule="exact"/>
              <w:rPr>
                <w:sz w:val="24"/>
              </w:rPr>
            </w:pPr>
            <w:r>
              <w:rPr>
                <w:sz w:val="24"/>
              </w:rPr>
              <w:t>5.土壤影响专项评价</w:t>
            </w:r>
          </w:p>
          <w:p>
            <w:pPr>
              <w:spacing w:line="400" w:lineRule="exact"/>
              <w:rPr>
                <w:sz w:val="24"/>
              </w:rPr>
            </w:pPr>
            <w:r>
              <w:rPr>
                <w:sz w:val="24"/>
              </w:rPr>
              <w:t>6.固体废物影响专项评价</w:t>
            </w:r>
          </w:p>
          <w:p>
            <w:pPr>
              <w:spacing w:line="400" w:lineRule="exact"/>
              <w:rPr>
                <w:sz w:val="24"/>
              </w:rPr>
            </w:pPr>
            <w:r>
              <w:rPr>
                <w:sz w:val="24"/>
              </w:rPr>
              <w:t>以上专项评价未包括的可另列专项，专项评价按照《环境影响评价技术导则》中的要求进行。</w:t>
            </w:r>
          </w:p>
          <w:p>
            <w:pPr>
              <w:spacing w:line="400" w:lineRule="exact"/>
              <w:rPr>
                <w:sz w:val="24"/>
              </w:rPr>
            </w:pPr>
          </w:p>
        </w:tc>
      </w:tr>
    </w:tbl>
    <w:p>
      <w:pPr>
        <w:rPr>
          <w:sz w:val="28"/>
          <w:szCs w:val="28"/>
        </w:rPr>
        <w:sectPr>
          <w:pgSz w:w="11906" w:h="16838"/>
          <w:pgMar w:top="1440" w:right="1797" w:bottom="1440" w:left="1797" w:header="851" w:footer="992" w:gutter="0"/>
          <w:cols w:space="720" w:num="1"/>
          <w:docGrid w:linePitch="312" w:charSpace="0"/>
        </w:sectPr>
      </w:pPr>
    </w:p>
    <w:p>
      <w:pPr>
        <w:jc w:val="center"/>
        <w:rPr>
          <w:b/>
          <w:sz w:val="24"/>
        </w:rPr>
      </w:pPr>
      <w:bookmarkStart w:id="33" w:name="_GoBack"/>
      <w:r>
        <w:rPr>
          <w:b/>
          <w:sz w:val="24"/>
        </w:rPr>
        <w:drawing>
          <wp:inline distT="0" distB="0" distL="0" distR="0">
            <wp:extent cx="9253855" cy="5341620"/>
            <wp:effectExtent l="0" t="0" r="444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5"/>
                    <a:srcRect/>
                    <a:stretch>
                      <a:fillRect/>
                    </a:stretch>
                  </pic:blipFill>
                  <pic:spPr>
                    <a:xfrm>
                      <a:off x="0" y="0"/>
                      <a:ext cx="9267983" cy="5349541"/>
                    </a:xfrm>
                    <a:prstGeom prst="rect">
                      <a:avLst/>
                    </a:prstGeom>
                    <a:noFill/>
                  </pic:spPr>
                </pic:pic>
              </a:graphicData>
            </a:graphic>
          </wp:inline>
        </w:drawing>
      </w:r>
      <w:bookmarkEnd w:id="33"/>
    </w:p>
    <w:p>
      <w:pPr>
        <w:ind w:firstLine="241" w:firstLineChars="100"/>
        <w:jc w:val="center"/>
        <w:outlineLvl w:val="0"/>
        <w:rPr>
          <w:b/>
          <w:sz w:val="24"/>
        </w:rPr>
      </w:pPr>
      <w:r>
        <w:rPr>
          <w:rFonts w:hint="eastAsia"/>
          <w:b/>
          <w:sz w:val="24"/>
        </w:rPr>
        <w:t>附图1</w:t>
      </w:r>
      <w:r>
        <w:rPr>
          <w:b/>
          <w:sz w:val="24"/>
        </w:rPr>
        <w:t xml:space="preserve"> </w:t>
      </w:r>
      <w:r>
        <w:rPr>
          <w:rFonts w:hint="eastAsia"/>
          <w:b/>
          <w:sz w:val="24"/>
        </w:rPr>
        <w:t>项目地理位置图</w:t>
      </w:r>
    </w:p>
    <w:p>
      <w:pPr>
        <w:rPr>
          <w:b/>
          <w:sz w:val="24"/>
        </w:rPr>
        <w:sectPr>
          <w:headerReference r:id="rId5" w:type="default"/>
          <w:footerReference r:id="rId6" w:type="even"/>
          <w:pgSz w:w="16839" w:h="11907" w:orient="landscape"/>
          <w:pgMar w:top="720" w:right="720" w:bottom="720" w:left="720" w:header="851" w:footer="992" w:gutter="0"/>
          <w:cols w:space="720" w:num="1"/>
          <w:docGrid w:linePitch="312" w:charSpace="0"/>
        </w:sectPr>
      </w:pPr>
    </w:p>
    <w:p>
      <w:pPr>
        <w:ind w:firstLine="241" w:firstLineChars="100"/>
        <w:jc w:val="center"/>
        <w:rPr>
          <w:b/>
          <w:sz w:val="24"/>
        </w:rPr>
      </w:pPr>
      <w:r>
        <w:rPr>
          <w:b/>
          <w:sz w:val="24"/>
        </w:rPr>
        <w:drawing>
          <wp:inline distT="0" distB="0" distL="0" distR="0">
            <wp:extent cx="9196070" cy="5737860"/>
            <wp:effectExtent l="0" t="0" r="508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6"/>
                    <a:srcRect/>
                    <a:stretch>
                      <a:fillRect/>
                    </a:stretch>
                  </pic:blipFill>
                  <pic:spPr>
                    <a:xfrm>
                      <a:off x="0" y="0"/>
                      <a:ext cx="9201301" cy="5740988"/>
                    </a:xfrm>
                    <a:prstGeom prst="rect">
                      <a:avLst/>
                    </a:prstGeom>
                    <a:noFill/>
                  </pic:spPr>
                </pic:pic>
              </a:graphicData>
            </a:graphic>
          </wp:inline>
        </w:drawing>
      </w:r>
    </w:p>
    <w:p>
      <w:pPr>
        <w:ind w:firstLine="241" w:firstLineChars="100"/>
        <w:jc w:val="center"/>
        <w:outlineLvl w:val="0"/>
        <w:rPr>
          <w:b/>
          <w:sz w:val="24"/>
        </w:rPr>
      </w:pPr>
      <w:r>
        <w:rPr>
          <w:rFonts w:hint="eastAsia"/>
          <w:b/>
          <w:sz w:val="24"/>
        </w:rPr>
        <w:t>附图2 项目卫星四至图</w:t>
      </w:r>
    </w:p>
    <w:p>
      <w:pPr>
        <w:ind w:firstLine="241" w:firstLineChars="100"/>
        <w:jc w:val="center"/>
        <w:rPr>
          <w:b/>
          <w:sz w:val="24"/>
        </w:rPr>
      </w:pPr>
      <w:r>
        <w:rPr>
          <w:b/>
          <w:sz w:val="24"/>
        </w:rPr>
        <w:drawing>
          <wp:inline distT="0" distB="0" distL="0" distR="0">
            <wp:extent cx="7139940" cy="5349240"/>
            <wp:effectExtent l="0" t="0" r="381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7141939" cy="5351133"/>
                    </a:xfrm>
                    <a:prstGeom prst="rect">
                      <a:avLst/>
                    </a:prstGeom>
                    <a:noFill/>
                  </pic:spPr>
                </pic:pic>
              </a:graphicData>
            </a:graphic>
          </wp:inline>
        </w:drawing>
      </w:r>
    </w:p>
    <w:p>
      <w:pPr>
        <w:ind w:firstLine="241" w:firstLineChars="100"/>
        <w:jc w:val="center"/>
        <w:outlineLvl w:val="0"/>
        <w:rPr>
          <w:b/>
          <w:sz w:val="24"/>
        </w:rPr>
      </w:pPr>
      <w:r>
        <w:rPr>
          <w:rFonts w:hint="eastAsia"/>
          <w:b/>
          <w:sz w:val="24"/>
        </w:rPr>
        <w:t>附图3</w:t>
      </w:r>
      <w:r>
        <w:rPr>
          <w:b/>
          <w:sz w:val="24"/>
        </w:rPr>
        <w:t xml:space="preserve"> </w:t>
      </w:r>
      <w:r>
        <w:rPr>
          <w:rFonts w:hint="eastAsia"/>
          <w:b/>
          <w:sz w:val="24"/>
        </w:rPr>
        <w:t>项目平面布置示意图</w:t>
      </w:r>
    </w:p>
    <w:p>
      <w:pPr>
        <w:jc w:val="center"/>
        <w:rPr>
          <w:b/>
          <w:sz w:val="24"/>
        </w:rPr>
        <w:sectPr>
          <w:pgSz w:w="16839" w:h="11907" w:orient="landscape"/>
          <w:pgMar w:top="720" w:right="720" w:bottom="720" w:left="720" w:header="851" w:footer="992" w:gutter="0"/>
          <w:cols w:space="720" w:num="1"/>
          <w:docGrid w:linePitch="312" w:charSpace="0"/>
        </w:sectPr>
      </w:pPr>
    </w:p>
    <w:tbl>
      <w:tblPr>
        <w:tblStyle w:val="25"/>
        <w:tblW w:w="111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1"/>
        <w:gridCol w:w="5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561" w:type="dxa"/>
            <w:shd w:val="clear" w:color="auto" w:fill="auto"/>
            <w:vAlign w:val="center"/>
          </w:tcPr>
          <w:p>
            <w:pPr>
              <w:jc w:val="center"/>
              <w:rPr>
                <w:szCs w:val="21"/>
              </w:rPr>
            </w:pPr>
            <w:r>
              <w:rPr>
                <w:rFonts w:hint="eastAsia"/>
                <w:szCs w:val="21"/>
              </w:rPr>
              <w:drawing>
                <wp:inline distT="0" distB="0" distL="0" distR="0">
                  <wp:extent cx="3352800" cy="2514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8"/>
                          <a:srcRect/>
                          <a:stretch>
                            <a:fillRect/>
                          </a:stretch>
                        </pic:blipFill>
                        <pic:spPr>
                          <a:xfrm>
                            <a:off x="0" y="0"/>
                            <a:ext cx="3352800" cy="2514600"/>
                          </a:xfrm>
                          <a:prstGeom prst="rect">
                            <a:avLst/>
                          </a:prstGeom>
                          <a:noFill/>
                          <a:ln>
                            <a:noFill/>
                          </a:ln>
                        </pic:spPr>
                      </pic:pic>
                    </a:graphicData>
                  </a:graphic>
                </wp:inline>
              </w:drawing>
            </w:r>
          </w:p>
        </w:tc>
        <w:tc>
          <w:tcPr>
            <w:tcW w:w="5561" w:type="dxa"/>
            <w:shd w:val="clear" w:color="auto" w:fill="auto"/>
            <w:vAlign w:val="center"/>
          </w:tcPr>
          <w:p>
            <w:pPr>
              <w:jc w:val="center"/>
              <w:rPr>
                <w:szCs w:val="21"/>
              </w:rPr>
            </w:pPr>
            <w:r>
              <w:rPr>
                <w:rFonts w:hint="eastAsia"/>
                <w:szCs w:val="21"/>
              </w:rPr>
              <w:drawing>
                <wp:inline distT="0" distB="0" distL="0" distR="0">
                  <wp:extent cx="3291840" cy="2468880"/>
                  <wp:effectExtent l="0" t="0" r="381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9"/>
                          <a:srcRect/>
                          <a:stretch>
                            <a:fillRect/>
                          </a:stretch>
                        </pic:blipFill>
                        <pic:spPr>
                          <a:xfrm>
                            <a:off x="0" y="0"/>
                            <a:ext cx="3291840" cy="24688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561" w:type="dxa"/>
            <w:shd w:val="clear" w:color="auto" w:fill="auto"/>
            <w:vAlign w:val="center"/>
          </w:tcPr>
          <w:p>
            <w:pPr>
              <w:jc w:val="center"/>
              <w:rPr>
                <w:szCs w:val="21"/>
              </w:rPr>
            </w:pPr>
            <w:r>
              <w:rPr>
                <w:rFonts w:hint="eastAsia"/>
                <w:szCs w:val="21"/>
              </w:rPr>
              <w:t>项目东面</w:t>
            </w:r>
          </w:p>
        </w:tc>
        <w:tc>
          <w:tcPr>
            <w:tcW w:w="5561" w:type="dxa"/>
            <w:shd w:val="clear" w:color="auto" w:fill="auto"/>
            <w:vAlign w:val="center"/>
          </w:tcPr>
          <w:p>
            <w:pPr>
              <w:jc w:val="center"/>
              <w:rPr>
                <w:szCs w:val="21"/>
              </w:rPr>
            </w:pPr>
            <w:r>
              <w:rPr>
                <w:rFonts w:hint="eastAsia"/>
                <w:szCs w:val="21"/>
              </w:rPr>
              <w:t>项目南面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561" w:type="dxa"/>
            <w:shd w:val="clear" w:color="auto" w:fill="auto"/>
            <w:vAlign w:val="center"/>
          </w:tcPr>
          <w:p>
            <w:pPr>
              <w:jc w:val="center"/>
              <w:rPr>
                <w:szCs w:val="21"/>
              </w:rPr>
            </w:pPr>
            <w:r>
              <w:rPr>
                <w:rFonts w:hint="eastAsia"/>
                <w:szCs w:val="21"/>
              </w:rPr>
              <w:drawing>
                <wp:inline distT="0" distB="0" distL="0" distR="0">
                  <wp:extent cx="3302000" cy="2476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0"/>
                          <a:srcRect/>
                          <a:stretch>
                            <a:fillRect/>
                          </a:stretch>
                        </pic:blipFill>
                        <pic:spPr>
                          <a:xfrm>
                            <a:off x="0" y="0"/>
                            <a:ext cx="3302000" cy="2476500"/>
                          </a:xfrm>
                          <a:prstGeom prst="rect">
                            <a:avLst/>
                          </a:prstGeom>
                          <a:noFill/>
                          <a:ln>
                            <a:noFill/>
                          </a:ln>
                        </pic:spPr>
                      </pic:pic>
                    </a:graphicData>
                  </a:graphic>
                </wp:inline>
              </w:drawing>
            </w:r>
          </w:p>
        </w:tc>
        <w:tc>
          <w:tcPr>
            <w:tcW w:w="5561" w:type="dxa"/>
            <w:shd w:val="clear" w:color="auto" w:fill="auto"/>
            <w:vAlign w:val="center"/>
          </w:tcPr>
          <w:p>
            <w:pPr>
              <w:jc w:val="center"/>
              <w:rPr>
                <w:szCs w:val="21"/>
              </w:rPr>
            </w:pPr>
            <w:r>
              <w:rPr>
                <w:rFonts w:hint="eastAsia"/>
                <w:szCs w:val="21"/>
              </w:rPr>
              <w:drawing>
                <wp:inline distT="0" distB="0" distL="0" distR="0">
                  <wp:extent cx="3291840" cy="2468880"/>
                  <wp:effectExtent l="0" t="0" r="381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1"/>
                          <a:srcRect/>
                          <a:stretch>
                            <a:fillRect/>
                          </a:stretch>
                        </pic:blipFill>
                        <pic:spPr>
                          <a:xfrm>
                            <a:off x="0" y="0"/>
                            <a:ext cx="3291840" cy="24688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561" w:type="dxa"/>
            <w:shd w:val="clear" w:color="auto" w:fill="auto"/>
            <w:vAlign w:val="center"/>
          </w:tcPr>
          <w:p>
            <w:pPr>
              <w:jc w:val="center"/>
              <w:rPr>
                <w:szCs w:val="21"/>
              </w:rPr>
            </w:pPr>
            <w:r>
              <w:rPr>
                <w:rFonts w:hint="eastAsia"/>
                <w:szCs w:val="21"/>
              </w:rPr>
              <w:t>项目西面</w:t>
            </w:r>
          </w:p>
        </w:tc>
        <w:tc>
          <w:tcPr>
            <w:tcW w:w="5561" w:type="dxa"/>
            <w:shd w:val="clear" w:color="auto" w:fill="auto"/>
            <w:vAlign w:val="center"/>
          </w:tcPr>
          <w:p>
            <w:pPr>
              <w:jc w:val="center"/>
              <w:rPr>
                <w:szCs w:val="21"/>
              </w:rPr>
            </w:pPr>
            <w:r>
              <w:rPr>
                <w:rFonts w:hint="eastAsia"/>
                <w:szCs w:val="21"/>
              </w:rPr>
              <w:t>项目北面</w:t>
            </w:r>
          </w:p>
        </w:tc>
      </w:tr>
    </w:tbl>
    <w:p>
      <w:pPr>
        <w:ind w:firstLine="241" w:firstLineChars="100"/>
        <w:jc w:val="center"/>
        <w:outlineLvl w:val="0"/>
        <w:rPr>
          <w:b/>
          <w:sz w:val="24"/>
        </w:rPr>
      </w:pPr>
      <w:r>
        <w:rPr>
          <w:rFonts w:hint="eastAsia"/>
          <w:b/>
          <w:sz w:val="24"/>
        </w:rPr>
        <w:t>附图4</w:t>
      </w:r>
      <w:r>
        <w:rPr>
          <w:b/>
          <w:sz w:val="24"/>
        </w:rPr>
        <w:t xml:space="preserve"> </w:t>
      </w:r>
      <w:r>
        <w:rPr>
          <w:rFonts w:hint="eastAsia"/>
          <w:b/>
          <w:sz w:val="24"/>
        </w:rPr>
        <w:t>项目四至实景图</w:t>
      </w:r>
    </w:p>
    <w:p>
      <w:pPr>
        <w:jc w:val="center"/>
        <w:rPr>
          <w:b/>
          <w:sz w:val="24"/>
        </w:rPr>
      </w:pPr>
    </w:p>
    <w:p>
      <w:pPr>
        <w:ind w:firstLine="241" w:firstLineChars="100"/>
        <w:jc w:val="center"/>
        <w:rPr>
          <w:b/>
          <w:color w:val="FF0000"/>
          <w:sz w:val="24"/>
        </w:rPr>
        <w:sectPr>
          <w:pgSz w:w="11907" w:h="16839"/>
          <w:pgMar w:top="720" w:right="720" w:bottom="720" w:left="720" w:header="851" w:footer="992" w:gutter="0"/>
          <w:cols w:space="720" w:num="1"/>
          <w:docGrid w:linePitch="312" w:charSpace="0"/>
        </w:sectPr>
      </w:pPr>
    </w:p>
    <w:p>
      <w:pPr>
        <w:ind w:firstLine="241" w:firstLineChars="100"/>
        <w:jc w:val="center"/>
        <w:rPr>
          <w:b/>
          <w:color w:val="FF0000"/>
          <w:sz w:val="24"/>
        </w:rPr>
      </w:pPr>
      <w:r>
        <w:rPr>
          <w:b/>
          <w:color w:val="FF0000"/>
          <w:sz w:val="24"/>
        </w:rPr>
        <w:drawing>
          <wp:inline distT="0" distB="0" distL="0" distR="0">
            <wp:extent cx="7132320" cy="568452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22"/>
                    <a:srcRect/>
                    <a:stretch>
                      <a:fillRect/>
                    </a:stretch>
                  </pic:blipFill>
                  <pic:spPr>
                    <a:xfrm>
                      <a:off x="0" y="0"/>
                      <a:ext cx="7133729" cy="5686093"/>
                    </a:xfrm>
                    <a:prstGeom prst="rect">
                      <a:avLst/>
                    </a:prstGeom>
                    <a:noFill/>
                  </pic:spPr>
                </pic:pic>
              </a:graphicData>
            </a:graphic>
          </wp:inline>
        </w:drawing>
      </w:r>
    </w:p>
    <w:p>
      <w:pPr>
        <w:ind w:firstLine="241" w:firstLineChars="100"/>
        <w:jc w:val="center"/>
        <w:outlineLvl w:val="0"/>
        <w:rPr>
          <w:b/>
          <w:sz w:val="24"/>
        </w:rPr>
      </w:pPr>
      <w:r>
        <w:rPr>
          <w:rFonts w:hint="eastAsia"/>
          <w:b/>
          <w:sz w:val="24"/>
        </w:rPr>
        <w:t>附图</w:t>
      </w:r>
      <w:r>
        <w:rPr>
          <w:b/>
          <w:sz w:val="24"/>
        </w:rPr>
        <w:t xml:space="preserve">5 </w:t>
      </w:r>
      <w:r>
        <w:rPr>
          <w:rFonts w:hint="eastAsia"/>
          <w:b/>
          <w:sz w:val="24"/>
        </w:rPr>
        <w:t>项目大气评价范围内敏感点分布图</w:t>
      </w:r>
    </w:p>
    <w:p>
      <w:pPr>
        <w:rPr>
          <w:b/>
          <w:sz w:val="24"/>
        </w:rPr>
        <w:sectPr>
          <w:pgSz w:w="16839" w:h="11907" w:orient="landscape"/>
          <w:pgMar w:top="720" w:right="720" w:bottom="720" w:left="720" w:header="851" w:footer="992" w:gutter="0"/>
          <w:cols w:space="720" w:num="1"/>
          <w:docGrid w:linePitch="312" w:charSpace="0"/>
        </w:sectPr>
      </w:pPr>
    </w:p>
    <w:p>
      <w:pPr>
        <w:ind w:firstLine="241" w:firstLineChars="100"/>
        <w:outlineLvl w:val="0"/>
        <w:rPr>
          <w:b/>
          <w:sz w:val="24"/>
        </w:rPr>
      </w:pPr>
      <w:r>
        <w:rPr>
          <w:rFonts w:hint="eastAsia"/>
          <w:b/>
          <w:sz w:val="24"/>
        </w:rPr>
        <w:t>附件</w:t>
      </w:r>
      <w:r>
        <w:rPr>
          <w:b/>
          <w:sz w:val="24"/>
        </w:rPr>
        <w:t xml:space="preserve">1   </w:t>
      </w:r>
      <w:r>
        <w:rPr>
          <w:rFonts w:hint="eastAsia"/>
          <w:b/>
          <w:sz w:val="24"/>
        </w:rPr>
        <w:t>营业执照</w:t>
      </w:r>
    </w:p>
    <w:p>
      <w:pPr>
        <w:ind w:firstLine="241" w:firstLineChars="100"/>
        <w:jc w:val="center"/>
        <w:rPr>
          <w:b/>
          <w:sz w:val="24"/>
        </w:rPr>
      </w:pPr>
    </w:p>
    <w:p>
      <w:pPr>
        <w:ind w:firstLine="210" w:firstLineChars="100"/>
        <w:jc w:val="center"/>
        <w:rPr>
          <w:b/>
          <w:sz w:val="24"/>
        </w:rPr>
        <w:sectPr>
          <w:pgSz w:w="11907" w:h="16839"/>
          <w:pgMar w:top="720" w:right="720" w:bottom="720" w:left="720" w:header="851" w:footer="992" w:gutter="0"/>
          <w:cols w:space="720" w:num="1"/>
          <w:docGrid w:linePitch="312" w:charSpace="0"/>
        </w:sectPr>
      </w:pPr>
      <w:r>
        <w:drawing>
          <wp:inline distT="0" distB="0" distL="0" distR="0">
            <wp:extent cx="5200650" cy="71913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3"/>
                    <a:stretch>
                      <a:fillRect/>
                    </a:stretch>
                  </pic:blipFill>
                  <pic:spPr>
                    <a:xfrm>
                      <a:off x="0" y="0"/>
                      <a:ext cx="5200650" cy="7191375"/>
                    </a:xfrm>
                    <a:prstGeom prst="rect">
                      <a:avLst/>
                    </a:prstGeom>
                  </pic:spPr>
                </pic:pic>
              </a:graphicData>
            </a:graphic>
          </wp:inline>
        </w:drawing>
      </w:r>
    </w:p>
    <w:p>
      <w:pPr>
        <w:ind w:firstLine="241" w:firstLineChars="100"/>
        <w:outlineLvl w:val="0"/>
        <w:rPr>
          <w:b/>
          <w:sz w:val="24"/>
        </w:rPr>
      </w:pPr>
      <w:r>
        <w:rPr>
          <w:rFonts w:hint="eastAsia"/>
          <w:b/>
          <w:sz w:val="24"/>
        </w:rPr>
        <w:t>附件</w:t>
      </w:r>
      <w:r>
        <w:rPr>
          <w:b/>
          <w:sz w:val="24"/>
        </w:rPr>
        <w:t xml:space="preserve">2 </w:t>
      </w:r>
      <w:r>
        <w:rPr>
          <w:rFonts w:hint="eastAsia"/>
          <w:b/>
          <w:sz w:val="24"/>
        </w:rPr>
        <w:t xml:space="preserve"> 法人身份证</w:t>
      </w:r>
    </w:p>
    <w:p>
      <w:pPr>
        <w:rPr>
          <w:b/>
          <w:sz w:val="24"/>
        </w:rPr>
      </w:pPr>
    </w:p>
    <w:p>
      <w:pPr>
        <w:jc w:val="center"/>
        <w:rPr>
          <w:b/>
          <w:sz w:val="24"/>
        </w:rPr>
        <w:sectPr>
          <w:pgSz w:w="11907" w:h="16839"/>
          <w:pgMar w:top="720" w:right="720" w:bottom="720" w:left="720" w:header="851" w:footer="992" w:gutter="0"/>
          <w:cols w:space="720" w:num="1"/>
          <w:docGrid w:linePitch="312" w:charSpace="0"/>
        </w:sectPr>
      </w:pPr>
      <w:r>
        <w:drawing>
          <wp:inline distT="0" distB="0" distL="0" distR="0">
            <wp:extent cx="5318760" cy="861441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4"/>
                    <a:stretch>
                      <a:fillRect/>
                    </a:stretch>
                  </pic:blipFill>
                  <pic:spPr>
                    <a:xfrm>
                      <a:off x="0" y="0"/>
                      <a:ext cx="5320278" cy="8617032"/>
                    </a:xfrm>
                    <a:prstGeom prst="rect">
                      <a:avLst/>
                    </a:prstGeom>
                  </pic:spPr>
                </pic:pic>
              </a:graphicData>
            </a:graphic>
          </wp:inline>
        </w:drawing>
      </w:r>
    </w:p>
    <w:p>
      <w:pPr>
        <w:ind w:firstLine="241" w:firstLineChars="100"/>
        <w:outlineLvl w:val="0"/>
        <w:rPr>
          <w:b/>
          <w:sz w:val="24"/>
        </w:rPr>
      </w:pPr>
      <w:r>
        <w:rPr>
          <w:rFonts w:hint="eastAsia"/>
          <w:b/>
          <w:sz w:val="24"/>
        </w:rPr>
        <w:t>附件</w:t>
      </w:r>
      <w:r>
        <w:rPr>
          <w:b/>
          <w:sz w:val="24"/>
        </w:rPr>
        <w:t xml:space="preserve">3 </w:t>
      </w:r>
      <w:r>
        <w:rPr>
          <w:rFonts w:hint="eastAsia"/>
          <w:b/>
          <w:sz w:val="24"/>
        </w:rPr>
        <w:t xml:space="preserve"> 项目租赁合同</w:t>
      </w:r>
    </w:p>
    <w:p>
      <w:pPr>
        <w:ind w:firstLine="241" w:firstLineChars="100"/>
        <w:outlineLvl w:val="0"/>
        <w:rPr>
          <w:b/>
          <w:sz w:val="24"/>
        </w:rPr>
      </w:pPr>
      <w:r>
        <w:rPr>
          <w:b/>
          <w:sz w:val="24"/>
        </w:rPr>
        <w:drawing>
          <wp:inline distT="0" distB="0" distL="0" distR="0">
            <wp:extent cx="6201410" cy="8656320"/>
            <wp:effectExtent l="0" t="0" r="889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207743" cy="8664704"/>
                    </a:xfrm>
                    <a:prstGeom prst="rect">
                      <a:avLst/>
                    </a:prstGeom>
                    <a:noFill/>
                    <a:ln>
                      <a:noFill/>
                    </a:ln>
                  </pic:spPr>
                </pic:pic>
              </a:graphicData>
            </a:graphic>
          </wp:inline>
        </w:drawing>
      </w:r>
    </w:p>
    <w:p>
      <w:pPr>
        <w:ind w:firstLine="241" w:firstLineChars="100"/>
        <w:jc w:val="center"/>
        <w:rPr>
          <w:b/>
          <w:sz w:val="24"/>
        </w:rPr>
      </w:pPr>
      <w:r>
        <w:rPr>
          <w:b/>
          <w:sz w:val="24"/>
        </w:rPr>
        <w:drawing>
          <wp:inline distT="0" distB="0" distL="0" distR="0">
            <wp:extent cx="5737860" cy="817626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747982" cy="8190542"/>
                    </a:xfrm>
                    <a:prstGeom prst="rect">
                      <a:avLst/>
                    </a:prstGeom>
                    <a:noFill/>
                    <a:ln>
                      <a:noFill/>
                    </a:ln>
                  </pic:spPr>
                </pic:pic>
              </a:graphicData>
            </a:graphic>
          </wp:inline>
        </w:drawing>
      </w:r>
    </w:p>
    <w:p>
      <w:pPr>
        <w:ind w:firstLine="241" w:firstLineChars="100"/>
        <w:rPr>
          <w:b/>
          <w:sz w:val="24"/>
        </w:rPr>
      </w:pPr>
    </w:p>
    <w:p>
      <w:pPr>
        <w:ind w:firstLine="241" w:firstLineChars="100"/>
        <w:jc w:val="center"/>
        <w:rPr>
          <w:b/>
          <w:sz w:val="24"/>
        </w:rPr>
      </w:pPr>
      <w:r>
        <w:rPr>
          <w:b/>
          <w:sz w:val="24"/>
        </w:rPr>
        <w:drawing>
          <wp:inline distT="0" distB="0" distL="0" distR="0">
            <wp:extent cx="6259830" cy="8991600"/>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267743" cy="9002758"/>
                    </a:xfrm>
                    <a:prstGeom prst="rect">
                      <a:avLst/>
                    </a:prstGeom>
                    <a:noFill/>
                    <a:ln>
                      <a:noFill/>
                    </a:ln>
                  </pic:spPr>
                </pic:pic>
              </a:graphicData>
            </a:graphic>
          </wp:inline>
        </w:drawing>
      </w:r>
    </w:p>
    <w:p>
      <w:pPr>
        <w:ind w:firstLine="241" w:firstLineChars="100"/>
        <w:rPr>
          <w:b/>
          <w:sz w:val="24"/>
        </w:rPr>
      </w:pPr>
    </w:p>
    <w:p>
      <w:pPr>
        <w:ind w:firstLine="241" w:firstLineChars="100"/>
        <w:outlineLvl w:val="0"/>
        <w:rPr>
          <w:b/>
          <w:sz w:val="24"/>
        </w:rPr>
      </w:pPr>
      <w:r>
        <w:rPr>
          <w:rFonts w:hint="eastAsia"/>
          <w:b/>
          <w:sz w:val="24"/>
        </w:rPr>
        <w:t>附件</w:t>
      </w:r>
      <w:r>
        <w:rPr>
          <w:b/>
          <w:sz w:val="24"/>
        </w:rPr>
        <w:t>4</w:t>
      </w:r>
      <w:r>
        <w:rPr>
          <w:rFonts w:hint="eastAsia"/>
          <w:b/>
          <w:sz w:val="24"/>
        </w:rPr>
        <w:t xml:space="preserve"> 土地证</w:t>
      </w:r>
    </w:p>
    <w:p>
      <w:pPr>
        <w:ind w:firstLine="241" w:firstLineChars="100"/>
        <w:jc w:val="center"/>
        <w:rPr>
          <w:b/>
          <w:sz w:val="24"/>
        </w:rPr>
      </w:pPr>
      <w:r>
        <w:rPr>
          <w:b/>
          <w:sz w:val="24"/>
        </w:rPr>
        <w:drawing>
          <wp:inline distT="0" distB="0" distL="0" distR="0">
            <wp:extent cx="5546090" cy="8145780"/>
            <wp:effectExtent l="0" t="0" r="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550864" cy="8152228"/>
                    </a:xfrm>
                    <a:prstGeom prst="rect">
                      <a:avLst/>
                    </a:prstGeom>
                    <a:noFill/>
                    <a:ln>
                      <a:noFill/>
                    </a:ln>
                  </pic:spPr>
                </pic:pic>
              </a:graphicData>
            </a:graphic>
          </wp:inline>
        </w:drawing>
      </w:r>
    </w:p>
    <w:p>
      <w:pPr>
        <w:ind w:firstLine="241" w:firstLineChars="100"/>
        <w:jc w:val="center"/>
        <w:rPr>
          <w:b/>
          <w:sz w:val="24"/>
        </w:rPr>
      </w:pPr>
      <w:r>
        <w:rPr>
          <w:b/>
          <w:sz w:val="24"/>
        </w:rPr>
        <w:drawing>
          <wp:inline distT="0" distB="0" distL="0" distR="0">
            <wp:extent cx="6282690" cy="8199120"/>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6294198" cy="8213976"/>
                    </a:xfrm>
                    <a:prstGeom prst="rect">
                      <a:avLst/>
                    </a:prstGeom>
                    <a:noFill/>
                    <a:ln>
                      <a:noFill/>
                    </a:ln>
                  </pic:spPr>
                </pic:pic>
              </a:graphicData>
            </a:graphic>
          </wp:inline>
        </w:drawing>
      </w:r>
    </w:p>
    <w:p>
      <w:pPr>
        <w:ind w:firstLine="241" w:firstLineChars="100"/>
        <w:rPr>
          <w:b/>
          <w:sz w:val="24"/>
        </w:rPr>
      </w:pPr>
    </w:p>
    <w:p>
      <w:pPr>
        <w:ind w:firstLine="241" w:firstLineChars="100"/>
        <w:rPr>
          <w:b/>
          <w:sz w:val="24"/>
        </w:rPr>
      </w:pPr>
    </w:p>
    <w:p>
      <w:pPr>
        <w:ind w:firstLine="241" w:firstLineChars="100"/>
        <w:rPr>
          <w:b/>
          <w:sz w:val="24"/>
        </w:rPr>
      </w:pPr>
    </w:p>
    <w:p>
      <w:pPr>
        <w:ind w:firstLine="241" w:firstLineChars="100"/>
        <w:rPr>
          <w:b/>
          <w:sz w:val="24"/>
        </w:rPr>
      </w:pPr>
    </w:p>
    <w:p>
      <w:pPr>
        <w:ind w:firstLine="241" w:firstLineChars="100"/>
        <w:rPr>
          <w:b/>
          <w:sz w:val="24"/>
        </w:rPr>
      </w:pPr>
    </w:p>
    <w:p>
      <w:pPr>
        <w:ind w:firstLine="241" w:firstLineChars="100"/>
        <w:outlineLvl w:val="0"/>
        <w:rPr>
          <w:b/>
          <w:sz w:val="24"/>
        </w:rPr>
      </w:pPr>
      <w:r>
        <w:rPr>
          <w:rFonts w:hint="eastAsia"/>
          <w:b/>
          <w:sz w:val="24"/>
        </w:rPr>
        <w:t>附件</w:t>
      </w:r>
      <w:r>
        <w:rPr>
          <w:b/>
          <w:sz w:val="24"/>
        </w:rPr>
        <w:t>5</w:t>
      </w:r>
      <w:r>
        <w:rPr>
          <w:rFonts w:hint="eastAsia"/>
          <w:b/>
          <w:sz w:val="24"/>
        </w:rPr>
        <w:t xml:space="preserve"> 项目备案通知</w:t>
      </w:r>
    </w:p>
    <w:p>
      <w:pPr>
        <w:ind w:firstLine="241" w:firstLineChars="100"/>
        <w:rPr>
          <w:b/>
          <w:sz w:val="24"/>
        </w:rPr>
      </w:pPr>
      <w:r>
        <w:rPr>
          <w:b/>
          <w:sz w:val="24"/>
        </w:rPr>
        <w:drawing>
          <wp:inline distT="0" distB="0" distL="0" distR="0">
            <wp:extent cx="6111240" cy="9010015"/>
            <wp:effectExtent l="0" t="0" r="381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6115299" cy="9016275"/>
                    </a:xfrm>
                    <a:prstGeom prst="rect">
                      <a:avLst/>
                    </a:prstGeom>
                    <a:noFill/>
                    <a:ln>
                      <a:noFill/>
                    </a:ln>
                  </pic:spPr>
                </pic:pic>
              </a:graphicData>
            </a:graphic>
          </wp:inline>
        </w:drawing>
      </w:r>
    </w:p>
    <w:p>
      <w:pPr>
        <w:ind w:firstLine="241" w:firstLineChars="100"/>
        <w:rPr>
          <w:b/>
          <w:sz w:val="24"/>
        </w:rPr>
      </w:pPr>
      <w:r>
        <w:rPr>
          <w:b/>
          <w:sz w:val="24"/>
        </w:rPr>
        <w:drawing>
          <wp:inline distT="0" distB="0" distL="0" distR="0">
            <wp:extent cx="6325235" cy="89763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6327999" cy="8979520"/>
                    </a:xfrm>
                    <a:prstGeom prst="rect">
                      <a:avLst/>
                    </a:prstGeom>
                    <a:noFill/>
                    <a:ln>
                      <a:noFill/>
                    </a:ln>
                  </pic:spPr>
                </pic:pic>
              </a:graphicData>
            </a:graphic>
          </wp:inline>
        </w:drawing>
      </w:r>
    </w:p>
    <w:p>
      <w:pPr>
        <w:ind w:firstLine="241" w:firstLineChars="100"/>
        <w:rPr>
          <w:b/>
          <w:sz w:val="24"/>
        </w:rPr>
      </w:pPr>
      <w:r>
        <w:rPr>
          <w:b/>
          <w:sz w:val="24"/>
        </w:rPr>
        <w:drawing>
          <wp:inline distT="0" distB="0" distL="0" distR="0">
            <wp:extent cx="6407785" cy="89154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6409219" cy="8917174"/>
                    </a:xfrm>
                    <a:prstGeom prst="rect">
                      <a:avLst/>
                    </a:prstGeom>
                    <a:noFill/>
                    <a:ln>
                      <a:noFill/>
                    </a:ln>
                  </pic:spPr>
                </pic:pic>
              </a:graphicData>
            </a:graphic>
          </wp:inline>
        </w:drawing>
      </w:r>
    </w:p>
    <w:p>
      <w:pPr>
        <w:ind w:firstLine="241" w:firstLineChars="100"/>
        <w:rPr>
          <w:b/>
          <w:sz w:val="24"/>
        </w:rPr>
      </w:pPr>
    </w:p>
    <w:p>
      <w:pPr>
        <w:spacing w:before="60" w:after="60"/>
        <w:outlineLvl w:val="0"/>
        <w:rPr>
          <w:rFonts w:ascii="Arial" w:hAnsi="Arial" w:cs="Arial"/>
          <w:b/>
          <w:bCs/>
          <w:sz w:val="24"/>
          <w:szCs w:val="32"/>
        </w:rPr>
      </w:pPr>
      <w:r>
        <w:rPr>
          <w:rFonts w:hint="eastAsia" w:ascii="Arial" w:hAnsi="Arial" w:cs="Arial"/>
          <w:b/>
          <w:bCs/>
          <w:sz w:val="24"/>
          <w:szCs w:val="32"/>
        </w:rPr>
        <w:t>附件</w:t>
      </w:r>
      <w:r>
        <w:rPr>
          <w:b/>
          <w:bCs/>
          <w:sz w:val="24"/>
          <w:szCs w:val="32"/>
        </w:rPr>
        <w:t xml:space="preserve">6 </w:t>
      </w:r>
      <w:r>
        <w:rPr>
          <w:rFonts w:hint="eastAsia"/>
          <w:b/>
          <w:bCs/>
          <w:sz w:val="24"/>
          <w:szCs w:val="32"/>
        </w:rPr>
        <w:t>建</w:t>
      </w:r>
      <w:r>
        <w:rPr>
          <w:rFonts w:hint="eastAsia" w:ascii="Arial" w:hAnsi="Arial" w:cs="Arial"/>
          <w:b/>
          <w:bCs/>
          <w:sz w:val="24"/>
          <w:szCs w:val="32"/>
        </w:rPr>
        <w:t>设项目大气环境影响评价自查表</w:t>
      </w:r>
    </w:p>
    <w:p>
      <w:pPr>
        <w:ind w:firstLine="422" w:firstLineChars="20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附表</w:t>
      </w:r>
      <w:r>
        <w:rPr>
          <w:b/>
          <w:color w:val="000000" w:themeColor="text1"/>
          <w:szCs w:val="21"/>
          <w14:textFill>
            <w14:solidFill>
              <w14:schemeClr w14:val="tx1"/>
            </w14:solidFill>
          </w14:textFill>
        </w:rPr>
        <w:t xml:space="preserve">  </w:t>
      </w:r>
      <w:r>
        <w:rPr>
          <w:rFonts w:eastAsia="Times New Roman"/>
          <w:b/>
          <w:color w:val="000000" w:themeColor="text1"/>
          <w:szCs w:val="21"/>
          <w14:textFill>
            <w14:solidFill>
              <w14:schemeClr w14:val="tx1"/>
            </w14:solidFill>
          </w14:textFill>
        </w:rPr>
        <w:t xml:space="preserve"> </w:t>
      </w:r>
      <w:r>
        <w:rPr>
          <w:rFonts w:hint="eastAsia"/>
          <w:b/>
          <w:color w:val="000000" w:themeColor="text1"/>
          <w:szCs w:val="21"/>
          <w14:textFill>
            <w14:solidFill>
              <w14:schemeClr w14:val="tx1"/>
            </w14:solidFill>
          </w14:textFill>
        </w:rPr>
        <w:t>建设项目大气环境影响评价自查表</w:t>
      </w:r>
    </w:p>
    <w:tbl>
      <w:tblPr>
        <w:tblStyle w:val="138"/>
        <w:tblW w:w="10633" w:type="dxa"/>
        <w:tblInd w:w="-147"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53"/>
        <w:gridCol w:w="1984"/>
        <w:gridCol w:w="1146"/>
        <w:gridCol w:w="442"/>
        <w:gridCol w:w="134"/>
        <w:gridCol w:w="304"/>
        <w:gridCol w:w="149"/>
        <w:gridCol w:w="136"/>
        <w:gridCol w:w="659"/>
        <w:gridCol w:w="313"/>
        <w:gridCol w:w="136"/>
        <w:gridCol w:w="123"/>
        <w:gridCol w:w="606"/>
        <w:gridCol w:w="489"/>
        <w:gridCol w:w="211"/>
        <w:gridCol w:w="668"/>
        <w:gridCol w:w="81"/>
        <w:gridCol w:w="202"/>
        <w:gridCol w:w="276"/>
        <w:gridCol w:w="572"/>
        <w:gridCol w:w="84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241" w:hRule="atLeast"/>
        </w:trPr>
        <w:tc>
          <w:tcPr>
            <w:tcW w:w="3137" w:type="dxa"/>
            <w:gridSpan w:val="2"/>
            <w:tcBorders>
              <w:top w:val="single" w:color="auto" w:sz="12" w:space="0"/>
              <w:left w:val="single" w:color="auto" w:sz="12"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工作内容</w:t>
            </w:r>
          </w:p>
        </w:tc>
        <w:tc>
          <w:tcPr>
            <w:tcW w:w="7496" w:type="dxa"/>
            <w:gridSpan w:val="19"/>
            <w:tcBorders>
              <w:top w:val="single" w:color="auto" w:sz="12" w:space="0"/>
              <w:left w:val="single" w:color="auto" w:sz="6" w:space="0"/>
              <w:bottom w:val="single" w:color="auto" w:sz="6" w:space="0"/>
              <w:right w:val="single" w:color="auto" w:sz="12"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自查项目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241" w:hRule="atLeast"/>
        </w:trPr>
        <w:tc>
          <w:tcPr>
            <w:tcW w:w="1153" w:type="dxa"/>
            <w:vMerge w:val="restart"/>
            <w:tcBorders>
              <w:top w:val="single" w:color="auto" w:sz="6" w:space="0"/>
              <w:left w:val="single" w:color="auto" w:sz="12"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评价等级与范围</w:t>
            </w:r>
          </w:p>
        </w:tc>
        <w:tc>
          <w:tcPr>
            <w:tcW w:w="1984" w:type="dxa"/>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评价等级</w:t>
            </w:r>
          </w:p>
        </w:tc>
        <w:tc>
          <w:tcPr>
            <w:tcW w:w="2970" w:type="dxa"/>
            <w:gridSpan w:val="7"/>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一级</w:t>
            </w:r>
            <w:r>
              <w:rPr>
                <w:rFonts w:hint="eastAsia" w:ascii="仿宋" w:hAnsi="仿宋" w:eastAsia="仿宋"/>
                <w:bCs/>
                <w:color w:val="000000" w:themeColor="text1"/>
                <w:szCs w:val="21"/>
                <w14:textFill>
                  <w14:solidFill>
                    <w14:schemeClr w14:val="tx1"/>
                  </w14:solidFill>
                </w14:textFill>
              </w:rPr>
              <w:t>□</w:t>
            </w:r>
          </w:p>
        </w:tc>
        <w:tc>
          <w:tcPr>
            <w:tcW w:w="2627" w:type="dxa"/>
            <w:gridSpan w:val="8"/>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二级√</w:t>
            </w:r>
          </w:p>
        </w:tc>
        <w:tc>
          <w:tcPr>
            <w:tcW w:w="1899" w:type="dxa"/>
            <w:gridSpan w:val="4"/>
            <w:tcBorders>
              <w:top w:val="single" w:color="auto" w:sz="6" w:space="0"/>
              <w:left w:val="single" w:color="auto" w:sz="6" w:space="0"/>
              <w:bottom w:val="single" w:color="auto" w:sz="6" w:space="0"/>
              <w:right w:val="single" w:color="auto" w:sz="12"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三级</w:t>
            </w:r>
            <w:r>
              <w:rPr>
                <w:rFonts w:hint="eastAsia" w:ascii="仿宋" w:hAnsi="仿宋" w:eastAsia="仿宋"/>
                <w:bCs/>
                <w:color w:val="000000" w:themeColor="text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241" w:hRule="atLeast"/>
        </w:trPr>
        <w:tc>
          <w:tcPr>
            <w:tcW w:w="1153" w:type="dxa"/>
            <w:vMerge w:val="continue"/>
            <w:tcBorders>
              <w:top w:val="single" w:color="auto" w:sz="6" w:space="0"/>
              <w:left w:val="single" w:color="auto" w:sz="12" w:space="0"/>
              <w:bottom w:val="single" w:color="auto" w:sz="6" w:space="0"/>
              <w:right w:val="single" w:color="auto" w:sz="6" w:space="0"/>
            </w:tcBorders>
            <w:vAlign w:val="center"/>
          </w:tcPr>
          <w:p>
            <w:pPr>
              <w:widowControl/>
              <w:spacing w:beforeAutospacing="1" w:afterAutospacing="1"/>
              <w:jc w:val="left"/>
              <w:rPr>
                <w:rFonts w:ascii="Calibri" w:hAnsi="Calibri" w:eastAsia="仿宋_GB2312"/>
                <w:bCs/>
                <w:color w:val="000000" w:themeColor="text1"/>
                <w:szCs w:val="21"/>
                <w14:textFill>
                  <w14:solidFill>
                    <w14:schemeClr w14:val="tx1"/>
                  </w14:solidFill>
                </w14:textFill>
              </w:rPr>
            </w:pPr>
          </w:p>
        </w:tc>
        <w:tc>
          <w:tcPr>
            <w:tcW w:w="1984" w:type="dxa"/>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评价范围</w:t>
            </w:r>
          </w:p>
        </w:tc>
        <w:tc>
          <w:tcPr>
            <w:tcW w:w="2970" w:type="dxa"/>
            <w:gridSpan w:val="7"/>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边长</w:t>
            </w:r>
            <w:r>
              <w:rPr>
                <w:rFonts w:ascii="Calibri" w:hAnsi="Calibri" w:eastAsia="仿宋_GB2312"/>
                <w:bCs/>
                <w:color w:val="000000" w:themeColor="text1"/>
                <w:szCs w:val="21"/>
                <w14:textFill>
                  <w14:solidFill>
                    <w14:schemeClr w14:val="tx1"/>
                  </w14:solidFill>
                </w14:textFill>
              </w:rPr>
              <w:t>=50km</w:t>
            </w:r>
            <w:r>
              <w:rPr>
                <w:rFonts w:hint="eastAsia" w:ascii="仿宋" w:hAnsi="仿宋" w:eastAsia="仿宋"/>
                <w:bCs/>
                <w:color w:val="000000" w:themeColor="text1"/>
                <w:szCs w:val="21"/>
                <w14:textFill>
                  <w14:solidFill>
                    <w14:schemeClr w14:val="tx1"/>
                  </w14:solidFill>
                </w14:textFill>
              </w:rPr>
              <w:t>□</w:t>
            </w:r>
          </w:p>
        </w:tc>
        <w:tc>
          <w:tcPr>
            <w:tcW w:w="2627" w:type="dxa"/>
            <w:gridSpan w:val="8"/>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边长</w:t>
            </w:r>
            <w:r>
              <w:rPr>
                <w:rFonts w:ascii="Calibri" w:hAnsi="Calibri" w:eastAsia="仿宋_GB2312"/>
                <w:bCs/>
                <w:color w:val="000000" w:themeColor="text1"/>
                <w:szCs w:val="21"/>
                <w14:textFill>
                  <w14:solidFill>
                    <w14:schemeClr w14:val="tx1"/>
                  </w14:solidFill>
                </w14:textFill>
              </w:rPr>
              <w:t>5</w:t>
            </w:r>
            <w:r>
              <w:rPr>
                <w:rFonts w:hint="eastAsia" w:ascii="Calibri" w:hAnsi="Calibri" w:eastAsia="仿宋_GB2312"/>
                <w:bCs/>
                <w:color w:val="000000" w:themeColor="text1"/>
                <w:szCs w:val="21"/>
                <w14:textFill>
                  <w14:solidFill>
                    <w14:schemeClr w14:val="tx1"/>
                  </w14:solidFill>
                </w14:textFill>
              </w:rPr>
              <w:t>～</w:t>
            </w:r>
            <w:r>
              <w:rPr>
                <w:rFonts w:ascii="Calibri" w:hAnsi="Calibri" w:eastAsia="仿宋_GB2312"/>
                <w:bCs/>
                <w:color w:val="000000" w:themeColor="text1"/>
                <w:szCs w:val="21"/>
                <w14:textFill>
                  <w14:solidFill>
                    <w14:schemeClr w14:val="tx1"/>
                  </w14:solidFill>
                </w14:textFill>
              </w:rPr>
              <w:t>50km</w:t>
            </w:r>
            <w:r>
              <w:rPr>
                <w:rFonts w:hint="eastAsia" w:ascii="仿宋" w:hAnsi="仿宋" w:eastAsia="仿宋"/>
                <w:bCs/>
                <w:color w:val="000000" w:themeColor="text1"/>
                <w:szCs w:val="21"/>
                <w14:textFill>
                  <w14:solidFill>
                    <w14:schemeClr w14:val="tx1"/>
                  </w14:solidFill>
                </w14:textFill>
              </w:rPr>
              <w:t>□</w:t>
            </w:r>
          </w:p>
        </w:tc>
        <w:tc>
          <w:tcPr>
            <w:tcW w:w="1899" w:type="dxa"/>
            <w:gridSpan w:val="4"/>
            <w:tcBorders>
              <w:top w:val="single" w:color="auto" w:sz="6" w:space="0"/>
              <w:left w:val="single" w:color="auto" w:sz="6" w:space="0"/>
              <w:bottom w:val="single" w:color="auto" w:sz="6" w:space="0"/>
              <w:right w:val="single" w:color="auto" w:sz="12"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边长</w:t>
            </w:r>
            <w:r>
              <w:rPr>
                <w:rFonts w:ascii="Calibri" w:hAnsi="Calibri" w:eastAsia="仿宋_GB2312"/>
                <w:bCs/>
                <w:color w:val="000000" w:themeColor="text1"/>
                <w:szCs w:val="21"/>
                <w14:textFill>
                  <w14:solidFill>
                    <w14:schemeClr w14:val="tx1"/>
                  </w14:solidFill>
                </w14:textFill>
              </w:rPr>
              <w:t>=5 km</w:t>
            </w:r>
            <w:r>
              <w:rPr>
                <w:rFonts w:hint="eastAsia" w:ascii="Calibri" w:hAnsi="Calibri" w:eastAsia="仿宋_GB2312"/>
                <w:bCs/>
                <w:color w:val="000000" w:themeColor="text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241" w:hRule="atLeast"/>
        </w:trPr>
        <w:tc>
          <w:tcPr>
            <w:tcW w:w="1153" w:type="dxa"/>
            <w:vMerge w:val="restart"/>
            <w:tcBorders>
              <w:top w:val="single" w:color="auto" w:sz="6" w:space="0"/>
              <w:left w:val="single" w:color="auto" w:sz="12"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评价因子</w:t>
            </w:r>
          </w:p>
        </w:tc>
        <w:tc>
          <w:tcPr>
            <w:tcW w:w="1984" w:type="dxa"/>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ascii="Calibri" w:hAnsi="Calibri" w:eastAsia="仿宋_GB2312"/>
                <w:bCs/>
                <w:color w:val="000000" w:themeColor="text1"/>
                <w:szCs w:val="21"/>
                <w14:textFill>
                  <w14:solidFill>
                    <w14:schemeClr w14:val="tx1"/>
                  </w14:solidFill>
                </w14:textFill>
              </w:rPr>
              <w:t>SO</w:t>
            </w:r>
            <w:r>
              <w:rPr>
                <w:rFonts w:ascii="Calibri" w:hAnsi="Calibri" w:eastAsia="仿宋_GB2312"/>
                <w:bCs/>
                <w:color w:val="000000" w:themeColor="text1"/>
                <w:szCs w:val="21"/>
                <w:vertAlign w:val="subscript"/>
                <w14:textFill>
                  <w14:solidFill>
                    <w14:schemeClr w14:val="tx1"/>
                  </w14:solidFill>
                </w14:textFill>
              </w:rPr>
              <w:t xml:space="preserve">2 </w:t>
            </w:r>
            <w:r>
              <w:rPr>
                <w:rFonts w:ascii="Calibri" w:hAnsi="Calibri" w:eastAsia="仿宋_GB2312"/>
                <w:bCs/>
                <w:color w:val="000000" w:themeColor="text1"/>
                <w:szCs w:val="21"/>
                <w14:textFill>
                  <w14:solidFill>
                    <w14:schemeClr w14:val="tx1"/>
                  </w14:solidFill>
                </w14:textFill>
              </w:rPr>
              <w:t>+NO</w:t>
            </w:r>
            <w:r>
              <w:rPr>
                <w:rFonts w:ascii="Calibri" w:hAnsi="Calibri" w:eastAsia="仿宋_GB2312"/>
                <w:bCs/>
                <w:i/>
                <w:color w:val="000000" w:themeColor="text1"/>
                <w:szCs w:val="21"/>
                <w:vertAlign w:val="subscript"/>
                <w14:textFill>
                  <w14:solidFill>
                    <w14:schemeClr w14:val="tx1"/>
                  </w14:solidFill>
                </w14:textFill>
              </w:rPr>
              <w:t>x</w:t>
            </w:r>
            <w:r>
              <w:rPr>
                <w:rFonts w:hint="eastAsia" w:ascii="Calibri" w:hAnsi="Calibri" w:eastAsia="仿宋_GB2312"/>
                <w:bCs/>
                <w:color w:val="000000" w:themeColor="text1"/>
                <w:szCs w:val="21"/>
                <w14:textFill>
                  <w14:solidFill>
                    <w14:schemeClr w14:val="tx1"/>
                  </w14:solidFill>
                </w14:textFill>
              </w:rPr>
              <w:t>排放量</w:t>
            </w:r>
          </w:p>
        </w:tc>
        <w:tc>
          <w:tcPr>
            <w:tcW w:w="1588" w:type="dxa"/>
            <w:gridSpan w:val="2"/>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仿宋" w:hAnsi="仿宋" w:eastAsia="仿宋"/>
                <w:bCs/>
                <w:color w:val="000000" w:themeColor="text1"/>
                <w:szCs w:val="21"/>
                <w14:textFill>
                  <w14:solidFill>
                    <w14:schemeClr w14:val="tx1"/>
                  </w14:solidFill>
                </w14:textFill>
              </w:rPr>
              <w:t>≥</w:t>
            </w:r>
            <w:r>
              <w:rPr>
                <w:rFonts w:ascii="Calibri" w:hAnsi="Calibri" w:eastAsia="仿宋_GB2312"/>
                <w:bCs/>
                <w:color w:val="000000" w:themeColor="text1"/>
                <w:szCs w:val="21"/>
                <w14:textFill>
                  <w14:solidFill>
                    <w14:schemeClr w14:val="tx1"/>
                  </w14:solidFill>
                </w14:textFill>
              </w:rPr>
              <w:t xml:space="preserve"> 2000t/a</w:t>
            </w:r>
            <w:r>
              <w:rPr>
                <w:rFonts w:hint="eastAsia" w:ascii="仿宋" w:hAnsi="仿宋" w:eastAsia="仿宋"/>
                <w:bCs/>
                <w:color w:val="000000" w:themeColor="text1"/>
                <w:szCs w:val="21"/>
                <w14:textFill>
                  <w14:solidFill>
                    <w14:schemeClr w14:val="tx1"/>
                  </w14:solidFill>
                </w14:textFill>
              </w:rPr>
              <w:t>□</w:t>
            </w:r>
          </w:p>
        </w:tc>
        <w:tc>
          <w:tcPr>
            <w:tcW w:w="4009" w:type="dxa"/>
            <w:gridSpan w:val="13"/>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ascii="Calibri" w:hAnsi="Calibri" w:eastAsia="仿宋"/>
                <w:bCs/>
                <w:color w:val="000000" w:themeColor="text1"/>
                <w:szCs w:val="21"/>
                <w14:textFill>
                  <w14:solidFill>
                    <w14:schemeClr w14:val="tx1"/>
                  </w14:solidFill>
                </w14:textFill>
              </w:rPr>
              <w:t xml:space="preserve">500 ~ </w:t>
            </w:r>
            <w:r>
              <w:rPr>
                <w:rFonts w:ascii="Calibri" w:hAnsi="Calibri" w:eastAsia="仿宋_GB2312"/>
                <w:bCs/>
                <w:color w:val="000000" w:themeColor="text1"/>
                <w:szCs w:val="21"/>
                <w14:textFill>
                  <w14:solidFill>
                    <w14:schemeClr w14:val="tx1"/>
                  </w14:solidFill>
                </w14:textFill>
              </w:rPr>
              <w:t>2000t/a</w:t>
            </w:r>
            <w:r>
              <w:rPr>
                <w:rFonts w:hint="eastAsia" w:ascii="仿宋" w:hAnsi="仿宋" w:eastAsia="仿宋"/>
                <w:bCs/>
                <w:color w:val="000000" w:themeColor="text1"/>
                <w:szCs w:val="21"/>
                <w14:textFill>
                  <w14:solidFill>
                    <w14:schemeClr w14:val="tx1"/>
                  </w14:solidFill>
                </w14:textFill>
              </w:rPr>
              <w:t>□</w:t>
            </w:r>
          </w:p>
        </w:tc>
        <w:tc>
          <w:tcPr>
            <w:tcW w:w="1899" w:type="dxa"/>
            <w:gridSpan w:val="4"/>
            <w:tcBorders>
              <w:top w:val="single" w:color="auto" w:sz="6" w:space="0"/>
              <w:left w:val="single" w:color="auto" w:sz="6" w:space="0"/>
              <w:bottom w:val="single" w:color="auto" w:sz="6" w:space="0"/>
              <w:right w:val="single" w:color="auto" w:sz="12"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仿宋" w:hAnsi="仿宋" w:eastAsia="仿宋"/>
                <w:bCs/>
                <w:color w:val="000000" w:themeColor="text1"/>
                <w:szCs w:val="21"/>
                <w14:textFill>
                  <w14:solidFill>
                    <w14:schemeClr w14:val="tx1"/>
                  </w14:solidFill>
                </w14:textFill>
              </w:rPr>
              <w:t>＜</w:t>
            </w:r>
            <w:r>
              <w:rPr>
                <w:rFonts w:ascii="Calibri" w:hAnsi="Calibri" w:eastAsia="仿宋_GB2312"/>
                <w:bCs/>
                <w:color w:val="000000" w:themeColor="text1"/>
                <w:szCs w:val="21"/>
                <w14:textFill>
                  <w14:solidFill>
                    <w14:schemeClr w14:val="tx1"/>
                  </w14:solidFill>
                </w14:textFill>
              </w:rPr>
              <w:t>500 t/a</w:t>
            </w:r>
            <w:r>
              <w:rPr>
                <w:rFonts w:hint="eastAsia" w:ascii="Calibri" w:hAnsi="Calibri" w:eastAsia="仿宋_GB2312"/>
                <w:bCs/>
                <w:color w:val="000000" w:themeColor="text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646" w:hRule="atLeast"/>
        </w:trPr>
        <w:tc>
          <w:tcPr>
            <w:tcW w:w="1153" w:type="dxa"/>
            <w:vMerge w:val="continue"/>
            <w:tcBorders>
              <w:top w:val="single" w:color="auto" w:sz="6" w:space="0"/>
              <w:left w:val="single" w:color="auto" w:sz="12" w:space="0"/>
              <w:bottom w:val="single" w:color="auto" w:sz="6" w:space="0"/>
              <w:right w:val="single" w:color="auto" w:sz="6" w:space="0"/>
            </w:tcBorders>
            <w:vAlign w:val="center"/>
          </w:tcPr>
          <w:p>
            <w:pPr>
              <w:widowControl/>
              <w:spacing w:beforeAutospacing="1" w:afterAutospacing="1"/>
              <w:jc w:val="left"/>
              <w:rPr>
                <w:rFonts w:ascii="Calibri" w:hAnsi="Calibri" w:eastAsia="仿宋_GB2312"/>
                <w:bCs/>
                <w:color w:val="000000" w:themeColor="text1"/>
                <w:szCs w:val="21"/>
                <w14:textFill>
                  <w14:solidFill>
                    <w14:schemeClr w14:val="tx1"/>
                  </w14:solidFill>
                </w14:textFill>
              </w:rPr>
            </w:pPr>
          </w:p>
        </w:tc>
        <w:tc>
          <w:tcPr>
            <w:tcW w:w="1984" w:type="dxa"/>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评价因子</w:t>
            </w:r>
          </w:p>
        </w:tc>
        <w:tc>
          <w:tcPr>
            <w:tcW w:w="4148" w:type="dxa"/>
            <w:gridSpan w:val="11"/>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基本污染物</w:t>
            </w:r>
            <w:r>
              <w:rPr>
                <w:rFonts w:ascii="Calibri" w:hAnsi="Calibri" w:eastAsia="仿宋_GB2312"/>
                <w:bCs/>
                <w:color w:val="000000" w:themeColor="text1"/>
                <w:szCs w:val="21"/>
                <w14:textFill>
                  <w14:solidFill>
                    <w14:schemeClr w14:val="tx1"/>
                  </w14:solidFill>
                </w14:textFill>
              </w:rPr>
              <w:t xml:space="preserve"> (</w:t>
            </w:r>
            <w:r>
              <w:rPr>
                <w:rFonts w:hint="eastAsia" w:ascii="Calibri" w:hAnsi="Calibri" w:eastAsia="仿宋_GB2312"/>
                <w:bCs/>
                <w:color w:val="000000" w:themeColor="text1"/>
                <w:szCs w:val="21"/>
                <w14:textFill>
                  <w14:solidFill>
                    <w14:schemeClr w14:val="tx1"/>
                  </w14:solidFill>
                </w14:textFill>
              </w:rPr>
              <w:t>SO</w:t>
            </w:r>
            <w:r>
              <w:rPr>
                <w:rFonts w:ascii="Calibri" w:hAnsi="Calibri" w:eastAsia="仿宋_GB2312"/>
                <w:bCs/>
                <w:color w:val="000000" w:themeColor="text1"/>
                <w:szCs w:val="21"/>
                <w:vertAlign w:val="subscript"/>
                <w14:textFill>
                  <w14:solidFill>
                    <w14:schemeClr w14:val="tx1"/>
                  </w14:solidFill>
                </w14:textFill>
              </w:rPr>
              <w:t>2</w:t>
            </w:r>
            <w:r>
              <w:rPr>
                <w:rFonts w:hint="eastAsia" w:ascii="Calibri" w:hAnsi="Calibri" w:eastAsia="仿宋_GB2312"/>
                <w:bCs/>
                <w:color w:val="000000" w:themeColor="text1"/>
                <w:szCs w:val="21"/>
                <w14:textFill>
                  <w14:solidFill>
                    <w14:schemeClr w14:val="tx1"/>
                  </w14:solidFill>
                </w14:textFill>
              </w:rPr>
              <w:t>、NO</w:t>
            </w:r>
            <w:r>
              <w:rPr>
                <w:rFonts w:ascii="Calibri" w:hAnsi="Calibri" w:eastAsia="仿宋_GB2312"/>
                <w:bCs/>
                <w:color w:val="000000" w:themeColor="text1"/>
                <w:szCs w:val="21"/>
                <w:vertAlign w:val="subscript"/>
                <w14:textFill>
                  <w14:solidFill>
                    <w14:schemeClr w14:val="tx1"/>
                  </w14:solidFill>
                </w14:textFill>
              </w:rPr>
              <w:t>2</w:t>
            </w:r>
            <w:r>
              <w:rPr>
                <w:rFonts w:hint="eastAsia" w:ascii="Calibri" w:hAnsi="Calibri" w:eastAsia="仿宋_GB2312"/>
                <w:bCs/>
                <w:color w:val="000000" w:themeColor="text1"/>
                <w:szCs w:val="21"/>
                <w14:textFill>
                  <w14:solidFill>
                    <w14:schemeClr w14:val="tx1"/>
                  </w14:solidFill>
                </w14:textFill>
              </w:rPr>
              <w:t>、PM</w:t>
            </w:r>
            <w:r>
              <w:rPr>
                <w:rFonts w:ascii="Calibri" w:hAnsi="Calibri" w:eastAsia="仿宋_GB2312"/>
                <w:bCs/>
                <w:color w:val="000000" w:themeColor="text1"/>
                <w:szCs w:val="21"/>
                <w:vertAlign w:val="subscript"/>
                <w14:textFill>
                  <w14:solidFill>
                    <w14:schemeClr w14:val="tx1"/>
                  </w14:solidFill>
                </w14:textFill>
              </w:rPr>
              <w:t>10</w:t>
            </w:r>
            <w:r>
              <w:rPr>
                <w:rFonts w:hint="eastAsia" w:ascii="Calibri" w:hAnsi="Calibri" w:eastAsia="仿宋_GB2312"/>
                <w:bCs/>
                <w:color w:val="000000" w:themeColor="text1"/>
                <w:szCs w:val="21"/>
                <w14:textFill>
                  <w14:solidFill>
                    <w14:schemeClr w14:val="tx1"/>
                  </w14:solidFill>
                </w14:textFill>
              </w:rPr>
              <w:t>、PM</w:t>
            </w:r>
            <w:r>
              <w:rPr>
                <w:rFonts w:ascii="Calibri" w:hAnsi="Calibri" w:eastAsia="仿宋_GB2312"/>
                <w:bCs/>
                <w:color w:val="000000" w:themeColor="text1"/>
                <w:szCs w:val="21"/>
                <w:vertAlign w:val="subscript"/>
                <w14:textFill>
                  <w14:solidFill>
                    <w14:schemeClr w14:val="tx1"/>
                  </w14:solidFill>
                </w14:textFill>
              </w:rPr>
              <w:t>2.5</w:t>
            </w:r>
            <w:r>
              <w:rPr>
                <w:rFonts w:hint="eastAsia" w:ascii="Calibri" w:hAnsi="Calibri" w:eastAsia="仿宋_GB2312"/>
                <w:bCs/>
                <w:color w:val="000000" w:themeColor="text1"/>
                <w:szCs w:val="21"/>
                <w14:textFill>
                  <w14:solidFill>
                    <w14:schemeClr w14:val="tx1"/>
                  </w14:solidFill>
                </w14:textFill>
              </w:rPr>
              <w:t>、CO</w:t>
            </w:r>
            <w:r>
              <w:rPr>
                <w:rFonts w:ascii="Calibri" w:hAnsi="Calibri" w:eastAsia="仿宋_GB2312"/>
                <w:bCs/>
                <w:color w:val="000000" w:themeColor="text1"/>
                <w:szCs w:val="21"/>
                <w14:textFill>
                  <w14:solidFill>
                    <w14:schemeClr w14:val="tx1"/>
                  </w14:solidFill>
                </w14:textFill>
              </w:rPr>
              <w:t>)</w:t>
            </w:r>
          </w:p>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其他污染物</w:t>
            </w:r>
            <w:r>
              <w:rPr>
                <w:rFonts w:ascii="Calibri" w:hAnsi="Calibri" w:eastAsia="仿宋_GB2312"/>
                <w:bCs/>
                <w:color w:val="000000" w:themeColor="text1"/>
                <w:szCs w:val="21"/>
                <w14:textFill>
                  <w14:solidFill>
                    <w14:schemeClr w14:val="tx1"/>
                  </w14:solidFill>
                </w14:textFill>
              </w:rPr>
              <w:t xml:space="preserve"> (</w:t>
            </w:r>
            <w:r>
              <w:rPr>
                <w:rFonts w:hint="eastAsia" w:ascii="Calibri" w:hAnsi="Calibri" w:eastAsia="仿宋_GB2312"/>
                <w:bCs/>
                <w:color w:val="000000" w:themeColor="text1"/>
                <w:szCs w:val="21"/>
                <w14:textFill>
                  <w14:solidFill>
                    <w14:schemeClr w14:val="tx1"/>
                  </w14:solidFill>
                </w14:textFill>
              </w:rPr>
              <w:t>VOCs</w:t>
            </w:r>
            <w:r>
              <w:rPr>
                <w:rFonts w:ascii="Calibri" w:hAnsi="Calibri" w:eastAsia="仿宋_GB2312"/>
                <w:bCs/>
                <w:color w:val="000000" w:themeColor="text1"/>
                <w:szCs w:val="21"/>
                <w14:textFill>
                  <w14:solidFill>
                    <w14:schemeClr w14:val="tx1"/>
                  </w14:solidFill>
                </w14:textFill>
              </w:rPr>
              <w:t xml:space="preserve"> </w:t>
            </w:r>
            <w:r>
              <w:rPr>
                <w:rFonts w:hint="eastAsia" w:ascii="Calibri" w:hAnsi="Calibri" w:eastAsia="仿宋_GB2312"/>
                <w:bCs/>
                <w:color w:val="000000" w:themeColor="text1"/>
                <w:szCs w:val="21"/>
                <w14:textFill>
                  <w14:solidFill>
                    <w14:schemeClr w14:val="tx1"/>
                  </w14:solidFill>
                </w14:textFill>
              </w:rPr>
              <w:t>、二甲苯</w:t>
            </w:r>
            <w:r>
              <w:rPr>
                <w:rFonts w:ascii="Calibri" w:hAnsi="Calibri" w:eastAsia="仿宋_GB2312"/>
                <w:bCs/>
                <w:color w:val="000000" w:themeColor="text1"/>
                <w:szCs w:val="21"/>
                <w14:textFill>
                  <w14:solidFill>
                    <w14:schemeClr w14:val="tx1"/>
                  </w14:solidFill>
                </w14:textFill>
              </w:rPr>
              <w:t xml:space="preserve">           )</w:t>
            </w:r>
          </w:p>
        </w:tc>
        <w:tc>
          <w:tcPr>
            <w:tcW w:w="3348" w:type="dxa"/>
            <w:gridSpan w:val="8"/>
            <w:tcBorders>
              <w:top w:val="single" w:color="auto" w:sz="6" w:space="0"/>
              <w:left w:val="single" w:color="auto" w:sz="6" w:space="0"/>
              <w:bottom w:val="single" w:color="auto" w:sz="6" w:space="0"/>
              <w:right w:val="single" w:color="auto" w:sz="12" w:space="0"/>
            </w:tcBorders>
            <w:vAlign w:val="center"/>
          </w:tcPr>
          <w:p>
            <w:pPr>
              <w:snapToGrid w:val="0"/>
              <w:spacing w:line="260" w:lineRule="atLeast"/>
              <w:ind w:left="-97" w:leftChars="-46" w:right="412" w:rightChars="196" w:firstLine="1"/>
              <w:jc w:val="right"/>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包括二次</w:t>
            </w:r>
            <w:r>
              <w:rPr>
                <w:rFonts w:ascii="Calibri" w:hAnsi="Calibri" w:eastAsia="仿宋_GB2312"/>
                <w:bCs/>
                <w:color w:val="000000" w:themeColor="text1"/>
                <w:szCs w:val="21"/>
                <w14:textFill>
                  <w14:solidFill>
                    <w14:schemeClr w14:val="tx1"/>
                  </w14:solidFill>
                </w14:textFill>
              </w:rPr>
              <w:t>PM</w:t>
            </w:r>
            <w:r>
              <w:rPr>
                <w:rFonts w:ascii="Calibri" w:hAnsi="Calibri" w:eastAsia="仿宋_GB2312"/>
                <w:bCs/>
                <w:color w:val="000000" w:themeColor="text1"/>
                <w:szCs w:val="21"/>
                <w:vertAlign w:val="subscript"/>
                <w14:textFill>
                  <w14:solidFill>
                    <w14:schemeClr w14:val="tx1"/>
                  </w14:solidFill>
                </w14:textFill>
              </w:rPr>
              <w:t>2.5</w:t>
            </w:r>
            <w:r>
              <w:rPr>
                <w:rFonts w:hint="eastAsia" w:ascii="仿宋" w:hAnsi="仿宋" w:eastAsia="仿宋"/>
                <w:bCs/>
                <w:color w:val="000000" w:themeColor="text1"/>
                <w:szCs w:val="21"/>
                <w14:textFill>
                  <w14:solidFill>
                    <w14:schemeClr w14:val="tx1"/>
                  </w14:solidFill>
                </w14:textFill>
              </w:rPr>
              <w:t>□</w:t>
            </w:r>
          </w:p>
          <w:p>
            <w:pPr>
              <w:snapToGrid w:val="0"/>
              <w:spacing w:line="260" w:lineRule="atLeast"/>
              <w:ind w:left="-97" w:leftChars="-46" w:right="412" w:rightChars="196" w:firstLine="1"/>
              <w:jc w:val="right"/>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不包括二次</w:t>
            </w:r>
            <w:r>
              <w:rPr>
                <w:rFonts w:ascii="Calibri" w:hAnsi="Calibri" w:eastAsia="仿宋_GB2312"/>
                <w:bCs/>
                <w:color w:val="000000" w:themeColor="text1"/>
                <w:szCs w:val="21"/>
                <w14:textFill>
                  <w14:solidFill>
                    <w14:schemeClr w14:val="tx1"/>
                  </w14:solidFill>
                </w14:textFill>
              </w:rPr>
              <w:t>PM</w:t>
            </w:r>
            <w:r>
              <w:rPr>
                <w:rFonts w:ascii="Calibri" w:hAnsi="Calibri" w:eastAsia="仿宋_GB2312"/>
                <w:bCs/>
                <w:color w:val="000000" w:themeColor="text1"/>
                <w:szCs w:val="21"/>
                <w:vertAlign w:val="subscript"/>
                <w14:textFill>
                  <w14:solidFill>
                    <w14:schemeClr w14:val="tx1"/>
                  </w14:solidFill>
                </w14:textFill>
              </w:rPr>
              <w:t>2.5</w:t>
            </w:r>
            <w:r>
              <w:rPr>
                <w:rFonts w:hint="eastAsia" w:ascii="仿宋" w:hAnsi="仿宋" w:eastAsia="仿宋"/>
                <w:bCs/>
                <w:color w:val="000000" w:themeColor="text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241" w:hRule="atLeast"/>
        </w:trPr>
        <w:tc>
          <w:tcPr>
            <w:tcW w:w="1153" w:type="dxa"/>
            <w:tcBorders>
              <w:top w:val="single" w:color="auto" w:sz="6" w:space="0"/>
              <w:left w:val="single" w:color="auto" w:sz="12"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评价标准</w:t>
            </w:r>
          </w:p>
        </w:tc>
        <w:tc>
          <w:tcPr>
            <w:tcW w:w="1984" w:type="dxa"/>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评价标准</w:t>
            </w:r>
          </w:p>
        </w:tc>
        <w:tc>
          <w:tcPr>
            <w:tcW w:w="2311" w:type="dxa"/>
            <w:gridSpan w:val="6"/>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国家标准</w:t>
            </w:r>
            <w:r>
              <w:rPr>
                <w:rFonts w:hint="eastAsia" w:ascii="仿宋" w:hAnsi="仿宋" w:eastAsia="仿宋"/>
                <w:bCs/>
                <w:color w:val="000000" w:themeColor="text1"/>
                <w:szCs w:val="21"/>
                <w14:textFill>
                  <w14:solidFill>
                    <w14:schemeClr w14:val="tx1"/>
                  </w14:solidFill>
                </w14:textFill>
              </w:rPr>
              <w:t>□</w:t>
            </w:r>
          </w:p>
        </w:tc>
        <w:tc>
          <w:tcPr>
            <w:tcW w:w="1837" w:type="dxa"/>
            <w:gridSpan w:val="5"/>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地方标准</w:t>
            </w:r>
            <w:r>
              <w:rPr>
                <w:rFonts w:ascii="Calibri" w:hAnsi="Calibri" w:eastAsia="仿宋_GB2312"/>
                <w:bCs/>
                <w:color w:val="000000" w:themeColor="text1"/>
                <w:szCs w:val="21"/>
                <w14:textFill>
                  <w14:solidFill>
                    <w14:schemeClr w14:val="tx1"/>
                  </w14:solidFill>
                </w14:textFill>
              </w:rPr>
              <w:t xml:space="preserve"> </w:t>
            </w:r>
            <w:r>
              <w:rPr>
                <w:rFonts w:hint="eastAsia" w:ascii="仿宋" w:hAnsi="仿宋" w:eastAsia="仿宋"/>
                <w:bCs/>
                <w:color w:val="000000" w:themeColor="text1"/>
                <w:szCs w:val="21"/>
                <w14:textFill>
                  <w14:solidFill>
                    <w14:schemeClr w14:val="tx1"/>
                  </w14:solidFill>
                </w14:textFill>
              </w:rPr>
              <w:t>□</w:t>
            </w:r>
          </w:p>
        </w:tc>
        <w:tc>
          <w:tcPr>
            <w:tcW w:w="1927" w:type="dxa"/>
            <w:gridSpan w:val="6"/>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附录</w:t>
            </w:r>
            <w:r>
              <w:rPr>
                <w:rFonts w:ascii="Calibri" w:hAnsi="Calibri" w:eastAsia="仿宋_GB2312"/>
                <w:bCs/>
                <w:color w:val="000000" w:themeColor="text1"/>
                <w:szCs w:val="21"/>
                <w14:textFill>
                  <w14:solidFill>
                    <w14:schemeClr w14:val="tx1"/>
                  </w14:solidFill>
                </w14:textFill>
              </w:rPr>
              <w:t xml:space="preserve">D </w:t>
            </w:r>
            <w:r>
              <w:rPr>
                <w:rFonts w:hint="eastAsia" w:ascii="仿宋" w:hAnsi="仿宋" w:eastAsia="仿宋"/>
                <w:bCs/>
                <w:color w:val="000000" w:themeColor="text1"/>
                <w:szCs w:val="21"/>
                <w14:textFill>
                  <w14:solidFill>
                    <w14:schemeClr w14:val="tx1"/>
                  </w14:solidFill>
                </w14:textFill>
              </w:rPr>
              <w:t>√</w:t>
            </w:r>
          </w:p>
        </w:tc>
        <w:tc>
          <w:tcPr>
            <w:tcW w:w="1421" w:type="dxa"/>
            <w:gridSpan w:val="2"/>
            <w:tcBorders>
              <w:top w:val="single" w:color="auto" w:sz="6" w:space="0"/>
              <w:left w:val="single" w:color="auto" w:sz="6" w:space="0"/>
              <w:bottom w:val="single" w:color="auto" w:sz="6" w:space="0"/>
              <w:right w:val="single" w:color="auto" w:sz="12"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其他标准</w:t>
            </w:r>
            <w:r>
              <w:rPr>
                <w:rFonts w:ascii="Calibri" w:hAnsi="Calibri" w:eastAsia="仿宋_GB2312"/>
                <w:bCs/>
                <w:color w:val="000000" w:themeColor="text1"/>
                <w:szCs w:val="21"/>
                <w14:textFill>
                  <w14:solidFill>
                    <w14:schemeClr w14:val="tx1"/>
                  </w14:solidFill>
                </w14:textFill>
              </w:rPr>
              <w:t xml:space="preserve"> </w:t>
            </w:r>
            <w:r>
              <w:rPr>
                <w:rFonts w:hint="eastAsia" w:ascii="仿宋" w:hAnsi="仿宋" w:eastAsia="仿宋"/>
                <w:bCs/>
                <w:color w:val="000000" w:themeColor="text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241" w:hRule="atLeast"/>
        </w:trPr>
        <w:tc>
          <w:tcPr>
            <w:tcW w:w="1153" w:type="dxa"/>
            <w:vMerge w:val="restart"/>
            <w:tcBorders>
              <w:top w:val="single" w:color="auto" w:sz="6" w:space="0"/>
              <w:left w:val="single" w:color="auto" w:sz="12"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现状评价</w:t>
            </w:r>
          </w:p>
        </w:tc>
        <w:tc>
          <w:tcPr>
            <w:tcW w:w="1984" w:type="dxa"/>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环境功能区</w:t>
            </w:r>
          </w:p>
        </w:tc>
        <w:tc>
          <w:tcPr>
            <w:tcW w:w="2970" w:type="dxa"/>
            <w:gridSpan w:val="7"/>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一类区</w:t>
            </w:r>
            <w:r>
              <w:rPr>
                <w:rFonts w:hint="eastAsia" w:ascii="仿宋" w:hAnsi="仿宋" w:eastAsia="仿宋"/>
                <w:bCs/>
                <w:color w:val="000000" w:themeColor="text1"/>
                <w:szCs w:val="21"/>
                <w14:textFill>
                  <w14:solidFill>
                    <w14:schemeClr w14:val="tx1"/>
                  </w14:solidFill>
                </w14:textFill>
              </w:rPr>
              <w:t>□</w:t>
            </w:r>
          </w:p>
        </w:tc>
        <w:tc>
          <w:tcPr>
            <w:tcW w:w="2546" w:type="dxa"/>
            <w:gridSpan w:val="7"/>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二类区</w:t>
            </w:r>
            <w:r>
              <w:rPr>
                <w:rFonts w:hint="eastAsia" w:ascii="仿宋" w:hAnsi="仿宋" w:eastAsia="仿宋"/>
                <w:bCs/>
                <w:color w:val="000000" w:themeColor="text1"/>
                <w:szCs w:val="21"/>
                <w14:textFill>
                  <w14:solidFill>
                    <w14:schemeClr w14:val="tx1"/>
                  </w14:solidFill>
                </w14:textFill>
              </w:rPr>
              <w:t>√</w:t>
            </w:r>
          </w:p>
        </w:tc>
        <w:tc>
          <w:tcPr>
            <w:tcW w:w="1980" w:type="dxa"/>
            <w:gridSpan w:val="5"/>
            <w:tcBorders>
              <w:top w:val="single" w:color="auto" w:sz="6" w:space="0"/>
              <w:left w:val="single" w:color="auto" w:sz="6" w:space="0"/>
              <w:bottom w:val="single" w:color="auto" w:sz="6" w:space="0"/>
              <w:right w:val="single" w:color="auto" w:sz="12"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一类区和二类区</w:t>
            </w:r>
            <w:r>
              <w:rPr>
                <w:rFonts w:hint="eastAsia" w:ascii="仿宋" w:hAnsi="仿宋" w:eastAsia="仿宋"/>
                <w:bCs/>
                <w:color w:val="000000" w:themeColor="text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241" w:hRule="atLeast"/>
        </w:trPr>
        <w:tc>
          <w:tcPr>
            <w:tcW w:w="1153" w:type="dxa"/>
            <w:vMerge w:val="continue"/>
            <w:tcBorders>
              <w:top w:val="single" w:color="auto" w:sz="6" w:space="0"/>
              <w:left w:val="single" w:color="auto" w:sz="12" w:space="0"/>
              <w:bottom w:val="single" w:color="auto" w:sz="6" w:space="0"/>
              <w:right w:val="single" w:color="auto" w:sz="6" w:space="0"/>
            </w:tcBorders>
            <w:vAlign w:val="center"/>
          </w:tcPr>
          <w:p>
            <w:pPr>
              <w:widowControl/>
              <w:spacing w:beforeAutospacing="1" w:afterAutospacing="1"/>
              <w:jc w:val="left"/>
              <w:rPr>
                <w:rFonts w:ascii="Calibri" w:hAnsi="Calibri" w:eastAsia="仿宋_GB2312"/>
                <w:bCs/>
                <w:color w:val="000000" w:themeColor="text1"/>
                <w:szCs w:val="21"/>
                <w14:textFill>
                  <w14:solidFill>
                    <w14:schemeClr w14:val="tx1"/>
                  </w14:solidFill>
                </w14:textFill>
              </w:rPr>
            </w:pPr>
          </w:p>
        </w:tc>
        <w:tc>
          <w:tcPr>
            <w:tcW w:w="1984" w:type="dxa"/>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评价基准年</w:t>
            </w:r>
          </w:p>
        </w:tc>
        <w:tc>
          <w:tcPr>
            <w:tcW w:w="7496" w:type="dxa"/>
            <w:gridSpan w:val="19"/>
            <w:tcBorders>
              <w:top w:val="single" w:color="auto" w:sz="6" w:space="0"/>
              <w:left w:val="single" w:color="auto" w:sz="6" w:space="0"/>
              <w:bottom w:val="single" w:color="auto" w:sz="6" w:space="0"/>
              <w:right w:val="single" w:color="auto" w:sz="12"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w:t>
            </w:r>
            <w:r>
              <w:rPr>
                <w:rFonts w:ascii="Calibri" w:hAnsi="Calibri" w:eastAsia="仿宋_GB2312"/>
                <w:bCs/>
                <w:color w:val="000000" w:themeColor="text1"/>
                <w:szCs w:val="21"/>
                <w14:textFill>
                  <w14:solidFill>
                    <w14:schemeClr w14:val="tx1"/>
                  </w14:solidFill>
                </w14:textFill>
              </w:rPr>
              <w:t>2017</w:t>
            </w:r>
            <w:r>
              <w:rPr>
                <w:rFonts w:hint="eastAsia" w:ascii="Calibri" w:hAnsi="Calibri" w:eastAsia="仿宋_GB2312"/>
                <w:bCs/>
                <w:color w:val="000000" w:themeColor="text1"/>
                <w:szCs w:val="21"/>
                <w14:textFill>
                  <w14:solidFill>
                    <w14:schemeClr w14:val="tx1"/>
                  </w14:solidFill>
                </w14:textFill>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241" w:hRule="atLeast"/>
        </w:trPr>
        <w:tc>
          <w:tcPr>
            <w:tcW w:w="1153" w:type="dxa"/>
            <w:vMerge w:val="continue"/>
            <w:tcBorders>
              <w:top w:val="single" w:color="auto" w:sz="6" w:space="0"/>
              <w:left w:val="single" w:color="auto" w:sz="12" w:space="0"/>
              <w:bottom w:val="single" w:color="auto" w:sz="6" w:space="0"/>
              <w:right w:val="single" w:color="auto" w:sz="6" w:space="0"/>
            </w:tcBorders>
            <w:vAlign w:val="center"/>
          </w:tcPr>
          <w:p>
            <w:pPr>
              <w:widowControl/>
              <w:spacing w:beforeAutospacing="1" w:afterAutospacing="1"/>
              <w:jc w:val="left"/>
              <w:rPr>
                <w:rFonts w:ascii="Calibri" w:hAnsi="Calibri" w:eastAsia="仿宋_GB2312"/>
                <w:bCs/>
                <w:color w:val="000000" w:themeColor="text1"/>
                <w:szCs w:val="21"/>
                <w14:textFill>
                  <w14:solidFill>
                    <w14:schemeClr w14:val="tx1"/>
                  </w14:solidFill>
                </w14:textFill>
              </w:rPr>
            </w:pPr>
          </w:p>
        </w:tc>
        <w:tc>
          <w:tcPr>
            <w:tcW w:w="1984" w:type="dxa"/>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环境空气质量</w:t>
            </w:r>
            <w:r>
              <w:rPr>
                <w:rFonts w:ascii="Calibri" w:hAnsi="Calibri" w:eastAsia="仿宋_GB2312"/>
                <w:bCs/>
                <w:color w:val="000000" w:themeColor="text1"/>
                <w:szCs w:val="21"/>
                <w14:textFill>
                  <w14:solidFill>
                    <w14:schemeClr w14:val="tx1"/>
                  </w14:solidFill>
                </w14:textFill>
              </w:rPr>
              <w:br w:type="textWrapping"/>
            </w:r>
            <w:r>
              <w:rPr>
                <w:rFonts w:hint="eastAsia" w:ascii="Calibri" w:hAnsi="Calibri" w:eastAsia="仿宋_GB2312"/>
                <w:bCs/>
                <w:color w:val="000000" w:themeColor="text1"/>
                <w:szCs w:val="21"/>
                <w14:textFill>
                  <w14:solidFill>
                    <w14:schemeClr w14:val="tx1"/>
                  </w14:solidFill>
                </w14:textFill>
              </w:rPr>
              <w:t>现状调查数据来源</w:t>
            </w:r>
          </w:p>
        </w:tc>
        <w:tc>
          <w:tcPr>
            <w:tcW w:w="2970" w:type="dxa"/>
            <w:gridSpan w:val="7"/>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长期例行监测数据</w:t>
            </w:r>
            <w:r>
              <w:rPr>
                <w:rFonts w:hint="eastAsia" w:ascii="仿宋" w:hAnsi="仿宋" w:eastAsia="仿宋"/>
                <w:bCs/>
                <w:color w:val="000000" w:themeColor="text1"/>
                <w:szCs w:val="21"/>
                <w14:textFill>
                  <w14:solidFill>
                    <w14:schemeClr w14:val="tx1"/>
                  </w14:solidFill>
                </w14:textFill>
              </w:rPr>
              <w:t>□</w:t>
            </w:r>
          </w:p>
        </w:tc>
        <w:tc>
          <w:tcPr>
            <w:tcW w:w="2627" w:type="dxa"/>
            <w:gridSpan w:val="8"/>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主管部门发布的数据</w:t>
            </w:r>
            <w:r>
              <w:rPr>
                <w:rFonts w:hint="eastAsia" w:ascii="仿宋" w:hAnsi="仿宋" w:eastAsia="仿宋"/>
                <w:bCs/>
                <w:color w:val="000000" w:themeColor="text1"/>
                <w:szCs w:val="21"/>
                <w14:textFill>
                  <w14:solidFill>
                    <w14:schemeClr w14:val="tx1"/>
                  </w14:solidFill>
                </w14:textFill>
              </w:rPr>
              <w:t>√</w:t>
            </w:r>
          </w:p>
        </w:tc>
        <w:tc>
          <w:tcPr>
            <w:tcW w:w="1899" w:type="dxa"/>
            <w:gridSpan w:val="4"/>
            <w:tcBorders>
              <w:top w:val="single" w:color="auto" w:sz="6" w:space="0"/>
              <w:left w:val="single" w:color="auto" w:sz="6" w:space="0"/>
              <w:bottom w:val="single" w:color="auto" w:sz="6" w:space="0"/>
              <w:right w:val="single" w:color="auto" w:sz="12"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现状补充监测</w:t>
            </w:r>
            <w:r>
              <w:rPr>
                <w:rFonts w:hint="eastAsia" w:ascii="仿宋" w:hAnsi="仿宋" w:eastAsia="仿宋"/>
                <w:bCs/>
                <w:color w:val="000000" w:themeColor="text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241" w:hRule="atLeast"/>
        </w:trPr>
        <w:tc>
          <w:tcPr>
            <w:tcW w:w="1153" w:type="dxa"/>
            <w:vMerge w:val="continue"/>
            <w:tcBorders>
              <w:top w:val="single" w:color="auto" w:sz="6" w:space="0"/>
              <w:left w:val="single" w:color="auto" w:sz="12" w:space="0"/>
              <w:bottom w:val="single" w:color="auto" w:sz="6" w:space="0"/>
              <w:right w:val="single" w:color="auto" w:sz="6" w:space="0"/>
            </w:tcBorders>
            <w:vAlign w:val="center"/>
          </w:tcPr>
          <w:p>
            <w:pPr>
              <w:widowControl/>
              <w:spacing w:beforeAutospacing="1" w:afterAutospacing="1"/>
              <w:jc w:val="left"/>
              <w:rPr>
                <w:rFonts w:ascii="Calibri" w:hAnsi="Calibri" w:eastAsia="仿宋_GB2312"/>
                <w:bCs/>
                <w:color w:val="000000" w:themeColor="text1"/>
                <w:szCs w:val="21"/>
                <w14:textFill>
                  <w14:solidFill>
                    <w14:schemeClr w14:val="tx1"/>
                  </w14:solidFill>
                </w14:textFill>
              </w:rPr>
            </w:pPr>
          </w:p>
        </w:tc>
        <w:tc>
          <w:tcPr>
            <w:tcW w:w="1984" w:type="dxa"/>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现状评价</w:t>
            </w:r>
          </w:p>
        </w:tc>
        <w:tc>
          <w:tcPr>
            <w:tcW w:w="4148" w:type="dxa"/>
            <w:gridSpan w:val="11"/>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达标区</w:t>
            </w:r>
            <w:r>
              <w:rPr>
                <w:rFonts w:hint="eastAsia" w:ascii="仿宋" w:hAnsi="仿宋" w:eastAsia="仿宋"/>
                <w:bCs/>
                <w:color w:val="000000" w:themeColor="text1"/>
                <w:szCs w:val="21"/>
                <w14:textFill>
                  <w14:solidFill>
                    <w14:schemeClr w14:val="tx1"/>
                  </w14:solidFill>
                </w14:textFill>
              </w:rPr>
              <w:t>□</w:t>
            </w:r>
          </w:p>
        </w:tc>
        <w:tc>
          <w:tcPr>
            <w:tcW w:w="3348" w:type="dxa"/>
            <w:gridSpan w:val="8"/>
            <w:tcBorders>
              <w:top w:val="single" w:color="auto" w:sz="6" w:space="0"/>
              <w:left w:val="single" w:color="auto" w:sz="6" w:space="0"/>
              <w:bottom w:val="single" w:color="auto" w:sz="6" w:space="0"/>
              <w:right w:val="single" w:color="auto" w:sz="12"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不达标区</w:t>
            </w:r>
            <w:r>
              <w:rPr>
                <w:rFonts w:hint="eastAsia" w:ascii="仿宋" w:hAnsi="仿宋" w:eastAsia="仿宋"/>
                <w:bCs/>
                <w:color w:val="000000" w:themeColor="text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241" w:hRule="atLeast"/>
        </w:trPr>
        <w:tc>
          <w:tcPr>
            <w:tcW w:w="1153" w:type="dxa"/>
            <w:tcBorders>
              <w:top w:val="single" w:color="auto" w:sz="6" w:space="0"/>
              <w:left w:val="single" w:color="auto" w:sz="12"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污染源</w:t>
            </w:r>
            <w:r>
              <w:rPr>
                <w:rFonts w:ascii="Calibri" w:hAnsi="Calibri" w:eastAsia="仿宋_GB2312"/>
                <w:bCs/>
                <w:color w:val="000000" w:themeColor="text1"/>
                <w:szCs w:val="21"/>
                <w14:textFill>
                  <w14:solidFill>
                    <w14:schemeClr w14:val="tx1"/>
                  </w14:solidFill>
                </w14:textFill>
              </w:rPr>
              <w:br w:type="textWrapping"/>
            </w:r>
            <w:r>
              <w:rPr>
                <w:rFonts w:hint="eastAsia" w:ascii="Calibri" w:hAnsi="Calibri" w:eastAsia="仿宋_GB2312"/>
                <w:bCs/>
                <w:color w:val="000000" w:themeColor="text1"/>
                <w:szCs w:val="21"/>
                <w14:textFill>
                  <w14:solidFill>
                    <w14:schemeClr w14:val="tx1"/>
                  </w14:solidFill>
                </w14:textFill>
              </w:rPr>
              <w:t>调查</w:t>
            </w:r>
          </w:p>
        </w:tc>
        <w:tc>
          <w:tcPr>
            <w:tcW w:w="1984" w:type="dxa"/>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调查内容</w:t>
            </w:r>
          </w:p>
        </w:tc>
        <w:tc>
          <w:tcPr>
            <w:tcW w:w="2311" w:type="dxa"/>
            <w:gridSpan w:val="6"/>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right"/>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本项目正常排放源</w:t>
            </w:r>
            <w:r>
              <w:rPr>
                <w:rFonts w:ascii="Calibri" w:hAnsi="Calibri" w:eastAsia="仿宋_GB2312"/>
                <w:bCs/>
                <w:color w:val="000000" w:themeColor="text1"/>
                <w:szCs w:val="21"/>
                <w14:textFill>
                  <w14:solidFill>
                    <w14:schemeClr w14:val="tx1"/>
                  </w14:solidFill>
                </w14:textFill>
              </w:rPr>
              <w:t xml:space="preserve"> </w:t>
            </w:r>
            <w:r>
              <w:rPr>
                <w:rFonts w:hint="eastAsia" w:ascii="仿宋" w:hAnsi="仿宋" w:eastAsia="仿宋"/>
                <w:bCs/>
                <w:color w:val="000000" w:themeColor="text1"/>
                <w:szCs w:val="21"/>
                <w14:textFill>
                  <w14:solidFill>
                    <w14:schemeClr w14:val="tx1"/>
                  </w14:solidFill>
                </w14:textFill>
              </w:rPr>
              <w:t>√</w:t>
            </w:r>
          </w:p>
          <w:p>
            <w:pPr>
              <w:snapToGrid w:val="0"/>
              <w:spacing w:line="260" w:lineRule="atLeast"/>
              <w:ind w:left="-97" w:leftChars="-46" w:firstLine="1"/>
              <w:jc w:val="right"/>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本项目非正常排放源</w:t>
            </w:r>
            <w:r>
              <w:rPr>
                <w:rFonts w:ascii="Calibri" w:hAnsi="Calibri" w:eastAsia="仿宋_GB2312"/>
                <w:bCs/>
                <w:color w:val="000000" w:themeColor="text1"/>
                <w:szCs w:val="21"/>
                <w14:textFill>
                  <w14:solidFill>
                    <w14:schemeClr w14:val="tx1"/>
                  </w14:solidFill>
                </w14:textFill>
              </w:rPr>
              <w:t xml:space="preserve"> </w:t>
            </w:r>
            <w:r>
              <w:rPr>
                <w:rFonts w:hint="eastAsia" w:ascii="仿宋" w:hAnsi="仿宋" w:eastAsia="仿宋"/>
                <w:bCs/>
                <w:color w:val="000000" w:themeColor="text1"/>
                <w:szCs w:val="21"/>
                <w14:textFill>
                  <w14:solidFill>
                    <w14:schemeClr w14:val="tx1"/>
                  </w14:solidFill>
                </w14:textFill>
              </w:rPr>
              <w:t>□</w:t>
            </w:r>
          </w:p>
          <w:p>
            <w:pPr>
              <w:snapToGrid w:val="0"/>
              <w:spacing w:line="260" w:lineRule="atLeast"/>
              <w:ind w:left="-97" w:leftChars="-46" w:firstLine="1"/>
              <w:jc w:val="right"/>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现有污染源</w:t>
            </w:r>
            <w:r>
              <w:rPr>
                <w:rFonts w:ascii="Calibri" w:hAnsi="Calibri" w:eastAsia="仿宋_GB2312"/>
                <w:bCs/>
                <w:color w:val="000000" w:themeColor="text1"/>
                <w:szCs w:val="21"/>
                <w14:textFill>
                  <w14:solidFill>
                    <w14:schemeClr w14:val="tx1"/>
                  </w14:solidFill>
                </w14:textFill>
              </w:rPr>
              <w:t xml:space="preserve"> </w:t>
            </w:r>
            <w:r>
              <w:rPr>
                <w:rFonts w:hint="eastAsia" w:ascii="仿宋" w:hAnsi="仿宋" w:eastAsia="仿宋"/>
                <w:bCs/>
                <w:color w:val="000000" w:themeColor="text1"/>
                <w:szCs w:val="21"/>
                <w14:textFill>
                  <w14:solidFill>
                    <w14:schemeClr w14:val="tx1"/>
                  </w14:solidFill>
                </w14:textFill>
              </w:rPr>
              <w:t>□</w:t>
            </w:r>
          </w:p>
        </w:tc>
        <w:tc>
          <w:tcPr>
            <w:tcW w:w="1837" w:type="dxa"/>
            <w:gridSpan w:val="5"/>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拟替代的污染源</w:t>
            </w:r>
            <w:r>
              <w:rPr>
                <w:rFonts w:hint="eastAsia" w:ascii="仿宋" w:hAnsi="仿宋" w:eastAsia="仿宋"/>
                <w:bCs/>
                <w:color w:val="000000" w:themeColor="text1"/>
                <w:szCs w:val="21"/>
                <w14:textFill>
                  <w14:solidFill>
                    <w14:schemeClr w14:val="tx1"/>
                  </w14:solidFill>
                </w14:textFill>
              </w:rPr>
              <w:t>□</w:t>
            </w:r>
          </w:p>
        </w:tc>
        <w:tc>
          <w:tcPr>
            <w:tcW w:w="1927" w:type="dxa"/>
            <w:gridSpan w:val="6"/>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其他在建、拟建项目污染源</w:t>
            </w:r>
            <w:r>
              <w:rPr>
                <w:rFonts w:hint="eastAsia" w:ascii="仿宋" w:hAnsi="仿宋" w:eastAsia="仿宋"/>
                <w:bCs/>
                <w:color w:val="000000" w:themeColor="text1"/>
                <w:szCs w:val="21"/>
                <w14:textFill>
                  <w14:solidFill>
                    <w14:schemeClr w14:val="tx1"/>
                  </w14:solidFill>
                </w14:textFill>
              </w:rPr>
              <w:t>□</w:t>
            </w:r>
          </w:p>
        </w:tc>
        <w:tc>
          <w:tcPr>
            <w:tcW w:w="1421" w:type="dxa"/>
            <w:gridSpan w:val="2"/>
            <w:tcBorders>
              <w:top w:val="single" w:color="auto" w:sz="6" w:space="0"/>
              <w:left w:val="single" w:color="auto" w:sz="6" w:space="0"/>
              <w:bottom w:val="single" w:color="auto" w:sz="6" w:space="0"/>
              <w:right w:val="single" w:color="auto" w:sz="12"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区域污染源</w:t>
            </w:r>
            <w:r>
              <w:rPr>
                <w:rFonts w:hint="eastAsia" w:ascii="仿宋" w:hAnsi="仿宋" w:eastAsia="仿宋"/>
                <w:bCs/>
                <w:color w:val="000000" w:themeColor="text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241" w:hRule="atLeast"/>
        </w:trPr>
        <w:tc>
          <w:tcPr>
            <w:tcW w:w="1153" w:type="dxa"/>
            <w:vMerge w:val="restart"/>
            <w:tcBorders>
              <w:top w:val="single" w:color="auto" w:sz="6" w:space="0"/>
              <w:left w:val="single" w:color="auto" w:sz="12"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大气环境影响预测与</w:t>
            </w:r>
            <w:r>
              <w:rPr>
                <w:rFonts w:ascii="Calibri" w:hAnsi="Calibri" w:eastAsia="仿宋_GB2312"/>
                <w:bCs/>
                <w:color w:val="000000" w:themeColor="text1"/>
                <w:szCs w:val="21"/>
                <w14:textFill>
                  <w14:solidFill>
                    <w14:schemeClr w14:val="tx1"/>
                  </w14:solidFill>
                </w14:textFill>
              </w:rPr>
              <w:br w:type="textWrapping"/>
            </w:r>
            <w:r>
              <w:rPr>
                <w:rFonts w:hint="eastAsia" w:ascii="Calibri" w:hAnsi="Calibri" w:eastAsia="仿宋_GB2312"/>
                <w:bCs/>
                <w:color w:val="000000" w:themeColor="text1"/>
                <w:szCs w:val="21"/>
                <w14:textFill>
                  <w14:solidFill>
                    <w14:schemeClr w14:val="tx1"/>
                  </w14:solidFill>
                </w14:textFill>
              </w:rPr>
              <w:t>评价</w:t>
            </w:r>
          </w:p>
        </w:tc>
        <w:tc>
          <w:tcPr>
            <w:tcW w:w="1984" w:type="dxa"/>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预测模型</w:t>
            </w:r>
          </w:p>
        </w:tc>
        <w:tc>
          <w:tcPr>
            <w:tcW w:w="1146" w:type="dxa"/>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ascii="Calibri" w:hAnsi="Calibri" w:eastAsia="仿宋_GB2312"/>
                <w:bCs/>
                <w:color w:val="000000" w:themeColor="text1"/>
                <w:szCs w:val="18"/>
                <w14:textFill>
                  <w14:solidFill>
                    <w14:schemeClr w14:val="tx1"/>
                  </w14:solidFill>
                </w14:textFill>
              </w:rPr>
              <w:t>AERMOD</w:t>
            </w:r>
            <w:r>
              <w:rPr>
                <w:rFonts w:ascii="Calibri" w:hAnsi="Calibri" w:eastAsia="仿宋_GB2312"/>
                <w:bCs/>
                <w:color w:val="000000" w:themeColor="text1"/>
                <w:szCs w:val="18"/>
                <w14:textFill>
                  <w14:solidFill>
                    <w14:schemeClr w14:val="tx1"/>
                  </w14:solidFill>
                </w14:textFill>
              </w:rPr>
              <w:br w:type="textWrapping"/>
            </w:r>
            <w:r>
              <w:rPr>
                <w:rFonts w:hint="eastAsia" w:ascii="仿宋" w:hAnsi="仿宋" w:eastAsia="仿宋"/>
                <w:bCs/>
                <w:color w:val="000000" w:themeColor="text1"/>
                <w:szCs w:val="21"/>
                <w14:textFill>
                  <w14:solidFill>
                    <w14:schemeClr w14:val="tx1"/>
                  </w14:solidFill>
                </w14:textFill>
              </w:rPr>
              <w:t>□</w:t>
            </w:r>
          </w:p>
        </w:tc>
        <w:tc>
          <w:tcPr>
            <w:tcW w:w="1029" w:type="dxa"/>
            <w:gridSpan w:val="4"/>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ascii="Calibri" w:hAnsi="Calibri" w:eastAsia="仿宋_GB2312"/>
                <w:bCs/>
                <w:color w:val="000000" w:themeColor="text1"/>
                <w:szCs w:val="18"/>
                <w14:textFill>
                  <w14:solidFill>
                    <w14:schemeClr w14:val="tx1"/>
                  </w14:solidFill>
                </w14:textFill>
              </w:rPr>
              <w:t>ADMS</w:t>
            </w:r>
            <w:r>
              <w:rPr>
                <w:rFonts w:ascii="Calibri" w:hAnsi="Calibri" w:eastAsia="仿宋_GB2312"/>
                <w:bCs/>
                <w:color w:val="000000" w:themeColor="text1"/>
                <w:szCs w:val="18"/>
                <w14:textFill>
                  <w14:solidFill>
                    <w14:schemeClr w14:val="tx1"/>
                  </w14:solidFill>
                </w14:textFill>
              </w:rPr>
              <w:br w:type="textWrapping"/>
            </w:r>
            <w:r>
              <w:rPr>
                <w:rFonts w:hint="eastAsia" w:ascii="仿宋" w:hAnsi="仿宋" w:eastAsia="仿宋"/>
                <w:bCs/>
                <w:color w:val="000000" w:themeColor="text1"/>
                <w:szCs w:val="21"/>
                <w14:textFill>
                  <w14:solidFill>
                    <w14:schemeClr w14:val="tx1"/>
                  </w14:solidFill>
                </w14:textFill>
              </w:rPr>
              <w:t>□</w:t>
            </w:r>
          </w:p>
        </w:tc>
        <w:tc>
          <w:tcPr>
            <w:tcW w:w="1244" w:type="dxa"/>
            <w:gridSpan w:val="4"/>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ascii="Calibri" w:hAnsi="Calibri" w:eastAsia="仿宋_GB2312"/>
                <w:bCs/>
                <w:color w:val="000000" w:themeColor="text1"/>
                <w:szCs w:val="18"/>
                <w14:textFill>
                  <w14:solidFill>
                    <w14:schemeClr w14:val="tx1"/>
                  </w14:solidFill>
                </w14:textFill>
              </w:rPr>
              <w:t>AUSTAL2000</w:t>
            </w:r>
            <w:r>
              <w:rPr>
                <w:rFonts w:ascii="Calibri" w:hAnsi="Calibri" w:eastAsia="仿宋_GB2312"/>
                <w:bCs/>
                <w:color w:val="000000" w:themeColor="text1"/>
                <w:szCs w:val="18"/>
                <w14:textFill>
                  <w14:solidFill>
                    <w14:schemeClr w14:val="tx1"/>
                  </w14:solidFill>
                </w14:textFill>
              </w:rPr>
              <w:br w:type="textWrapping"/>
            </w:r>
            <w:r>
              <w:rPr>
                <w:rFonts w:hint="eastAsia" w:ascii="仿宋" w:hAnsi="仿宋" w:eastAsia="仿宋"/>
                <w:bCs/>
                <w:color w:val="000000" w:themeColor="text1"/>
                <w:szCs w:val="21"/>
                <w14:textFill>
                  <w14:solidFill>
                    <w14:schemeClr w14:val="tx1"/>
                  </w14:solidFill>
                </w14:textFill>
              </w:rPr>
              <w:t>□</w:t>
            </w:r>
          </w:p>
        </w:tc>
        <w:tc>
          <w:tcPr>
            <w:tcW w:w="1218" w:type="dxa"/>
            <w:gridSpan w:val="3"/>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ascii="Calibri" w:hAnsi="Calibri" w:eastAsia="仿宋_GB2312"/>
                <w:bCs/>
                <w:color w:val="000000" w:themeColor="text1"/>
                <w:szCs w:val="18"/>
                <w14:textFill>
                  <w14:solidFill>
                    <w14:schemeClr w14:val="tx1"/>
                  </w14:solidFill>
                </w14:textFill>
              </w:rPr>
              <w:t>EDMS/AEDT</w:t>
            </w:r>
            <w:r>
              <w:rPr>
                <w:rFonts w:ascii="Calibri" w:hAnsi="Calibri" w:eastAsia="仿宋_GB2312"/>
                <w:bCs/>
                <w:color w:val="000000" w:themeColor="text1"/>
                <w:szCs w:val="18"/>
                <w14:textFill>
                  <w14:solidFill>
                    <w14:schemeClr w14:val="tx1"/>
                  </w14:solidFill>
                </w14:textFill>
              </w:rPr>
              <w:br w:type="textWrapping"/>
            </w:r>
            <w:r>
              <w:rPr>
                <w:rFonts w:hint="eastAsia" w:ascii="仿宋" w:hAnsi="仿宋" w:eastAsia="仿宋"/>
                <w:bCs/>
                <w:color w:val="000000" w:themeColor="text1"/>
                <w:szCs w:val="21"/>
                <w14:textFill>
                  <w14:solidFill>
                    <w14:schemeClr w14:val="tx1"/>
                  </w14:solidFill>
                </w14:textFill>
              </w:rPr>
              <w:t>□</w:t>
            </w:r>
          </w:p>
        </w:tc>
        <w:tc>
          <w:tcPr>
            <w:tcW w:w="960" w:type="dxa"/>
            <w:gridSpan w:val="3"/>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ascii="Calibri" w:hAnsi="Calibri" w:eastAsia="仿宋_GB2312"/>
                <w:bCs/>
                <w:color w:val="000000" w:themeColor="text1"/>
                <w:szCs w:val="18"/>
                <w14:textFill>
                  <w14:solidFill>
                    <w14:schemeClr w14:val="tx1"/>
                  </w14:solidFill>
                </w14:textFill>
              </w:rPr>
              <w:t>CALPUFF</w:t>
            </w:r>
            <w:r>
              <w:rPr>
                <w:rFonts w:ascii="Calibri" w:hAnsi="Calibri" w:eastAsia="仿宋_GB2312"/>
                <w:bCs/>
                <w:color w:val="000000" w:themeColor="text1"/>
                <w:szCs w:val="18"/>
                <w14:textFill>
                  <w14:solidFill>
                    <w14:schemeClr w14:val="tx1"/>
                  </w14:solidFill>
                </w14:textFill>
              </w:rPr>
              <w:br w:type="textWrapping"/>
            </w:r>
            <w:r>
              <w:rPr>
                <w:rFonts w:hint="eastAsia" w:ascii="仿宋" w:hAnsi="仿宋" w:eastAsia="仿宋"/>
                <w:bCs/>
                <w:color w:val="000000" w:themeColor="text1"/>
                <w:szCs w:val="21"/>
                <w14:textFill>
                  <w14:solidFill>
                    <w14:schemeClr w14:val="tx1"/>
                  </w14:solidFill>
                </w14:textFill>
              </w:rPr>
              <w:t>□</w:t>
            </w:r>
          </w:p>
        </w:tc>
        <w:tc>
          <w:tcPr>
            <w:tcW w:w="1050" w:type="dxa"/>
            <w:gridSpan w:val="3"/>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18"/>
                <w14:textFill>
                  <w14:solidFill>
                    <w14:schemeClr w14:val="tx1"/>
                  </w14:solidFill>
                </w14:textFill>
              </w:rPr>
              <w:t>网格模型</w:t>
            </w:r>
            <w:r>
              <w:rPr>
                <w:rFonts w:ascii="Calibri" w:hAnsi="Calibri" w:eastAsia="仿宋_GB2312"/>
                <w:bCs/>
                <w:color w:val="000000" w:themeColor="text1"/>
                <w:szCs w:val="18"/>
                <w14:textFill>
                  <w14:solidFill>
                    <w14:schemeClr w14:val="tx1"/>
                  </w14:solidFill>
                </w14:textFill>
              </w:rPr>
              <w:br w:type="textWrapping"/>
            </w:r>
            <w:r>
              <w:rPr>
                <w:rFonts w:hint="eastAsia" w:ascii="仿宋" w:hAnsi="仿宋" w:eastAsia="仿宋"/>
                <w:bCs/>
                <w:color w:val="000000" w:themeColor="text1"/>
                <w:szCs w:val="21"/>
                <w14:textFill>
                  <w14:solidFill>
                    <w14:schemeClr w14:val="tx1"/>
                  </w14:solidFill>
                </w14:textFill>
              </w:rPr>
              <w:t>□</w:t>
            </w:r>
          </w:p>
        </w:tc>
        <w:tc>
          <w:tcPr>
            <w:tcW w:w="849" w:type="dxa"/>
            <w:tcBorders>
              <w:top w:val="single" w:color="auto" w:sz="6" w:space="0"/>
              <w:left w:val="single" w:color="auto" w:sz="6" w:space="0"/>
              <w:bottom w:val="single" w:color="auto" w:sz="6" w:space="0"/>
              <w:right w:val="single" w:color="auto" w:sz="12"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其他</w:t>
            </w:r>
            <w:r>
              <w:rPr>
                <w:rFonts w:ascii="Calibri" w:hAnsi="Calibri" w:eastAsia="仿宋_GB2312"/>
                <w:bCs/>
                <w:color w:val="000000" w:themeColor="text1"/>
                <w:szCs w:val="21"/>
                <w14:textFill>
                  <w14:solidFill>
                    <w14:schemeClr w14:val="tx1"/>
                  </w14:solidFill>
                </w14:textFill>
              </w:rPr>
              <w:br w:type="textWrapping"/>
            </w:r>
            <w:r>
              <w:rPr>
                <w:rFonts w:hint="eastAsia" w:ascii="仿宋" w:hAnsi="仿宋" w:eastAsia="仿宋"/>
                <w:bCs/>
                <w:color w:val="000000" w:themeColor="text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272" w:hRule="atLeast"/>
        </w:trPr>
        <w:tc>
          <w:tcPr>
            <w:tcW w:w="1153" w:type="dxa"/>
            <w:vMerge w:val="continue"/>
            <w:tcBorders>
              <w:top w:val="single" w:color="auto" w:sz="6" w:space="0"/>
              <w:left w:val="single" w:color="auto" w:sz="12" w:space="0"/>
              <w:bottom w:val="single" w:color="auto" w:sz="6" w:space="0"/>
              <w:right w:val="single" w:color="auto" w:sz="6" w:space="0"/>
            </w:tcBorders>
            <w:vAlign w:val="center"/>
          </w:tcPr>
          <w:p>
            <w:pPr>
              <w:widowControl/>
              <w:spacing w:beforeAutospacing="1" w:afterAutospacing="1"/>
              <w:jc w:val="left"/>
              <w:rPr>
                <w:rFonts w:ascii="Calibri" w:hAnsi="Calibri" w:eastAsia="仿宋_GB2312"/>
                <w:bCs/>
                <w:color w:val="000000" w:themeColor="text1"/>
                <w:szCs w:val="21"/>
                <w14:textFill>
                  <w14:solidFill>
                    <w14:schemeClr w14:val="tx1"/>
                  </w14:solidFill>
                </w14:textFill>
              </w:rPr>
            </w:pPr>
          </w:p>
        </w:tc>
        <w:tc>
          <w:tcPr>
            <w:tcW w:w="1984" w:type="dxa"/>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预测范围</w:t>
            </w:r>
          </w:p>
        </w:tc>
        <w:tc>
          <w:tcPr>
            <w:tcW w:w="2175" w:type="dxa"/>
            <w:gridSpan w:val="5"/>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18"/>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边长</w:t>
            </w:r>
            <w:r>
              <w:rPr>
                <w:rFonts w:hint="eastAsia" w:ascii="仿宋" w:hAnsi="仿宋" w:eastAsia="仿宋"/>
                <w:bCs/>
                <w:color w:val="000000" w:themeColor="text1"/>
                <w:szCs w:val="21"/>
                <w14:textFill>
                  <w14:solidFill>
                    <w14:schemeClr w14:val="tx1"/>
                  </w14:solidFill>
                </w14:textFill>
              </w:rPr>
              <w:t>≥</w:t>
            </w:r>
            <w:r>
              <w:rPr>
                <w:rFonts w:ascii="Calibri" w:hAnsi="Calibri" w:eastAsia="仿宋_GB2312"/>
                <w:bCs/>
                <w:color w:val="000000" w:themeColor="text1"/>
                <w:szCs w:val="21"/>
                <w14:textFill>
                  <w14:solidFill>
                    <w14:schemeClr w14:val="tx1"/>
                  </w14:solidFill>
                </w14:textFill>
              </w:rPr>
              <w:t xml:space="preserve"> 50km</w:t>
            </w:r>
            <w:r>
              <w:rPr>
                <w:rFonts w:hint="eastAsia" w:ascii="仿宋" w:hAnsi="仿宋" w:eastAsia="仿宋"/>
                <w:bCs/>
                <w:color w:val="000000" w:themeColor="text1"/>
                <w:szCs w:val="21"/>
                <w14:textFill>
                  <w14:solidFill>
                    <w14:schemeClr w14:val="tx1"/>
                  </w14:solidFill>
                </w14:textFill>
              </w:rPr>
              <w:t>□</w:t>
            </w:r>
          </w:p>
        </w:tc>
        <w:tc>
          <w:tcPr>
            <w:tcW w:w="3422" w:type="dxa"/>
            <w:gridSpan w:val="10"/>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18"/>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边长</w:t>
            </w:r>
            <w:r>
              <w:rPr>
                <w:rFonts w:ascii="Calibri" w:hAnsi="Calibri" w:eastAsia="仿宋_GB2312"/>
                <w:bCs/>
                <w:color w:val="000000" w:themeColor="text1"/>
                <w:szCs w:val="21"/>
                <w14:textFill>
                  <w14:solidFill>
                    <w14:schemeClr w14:val="tx1"/>
                  </w14:solidFill>
                </w14:textFill>
              </w:rPr>
              <w:t>5</w:t>
            </w:r>
            <w:r>
              <w:rPr>
                <w:rFonts w:hint="eastAsia" w:ascii="Calibri" w:hAnsi="Calibri" w:eastAsia="仿宋_GB2312"/>
                <w:bCs/>
                <w:color w:val="000000" w:themeColor="text1"/>
                <w:szCs w:val="21"/>
                <w14:textFill>
                  <w14:solidFill>
                    <w14:schemeClr w14:val="tx1"/>
                  </w14:solidFill>
                </w14:textFill>
              </w:rPr>
              <w:t>～</w:t>
            </w:r>
            <w:r>
              <w:rPr>
                <w:rFonts w:ascii="Calibri" w:hAnsi="Calibri" w:eastAsia="仿宋_GB2312"/>
                <w:bCs/>
                <w:color w:val="000000" w:themeColor="text1"/>
                <w:szCs w:val="21"/>
                <w14:textFill>
                  <w14:solidFill>
                    <w14:schemeClr w14:val="tx1"/>
                  </w14:solidFill>
                </w14:textFill>
              </w:rPr>
              <w:t xml:space="preserve">50km </w:t>
            </w:r>
            <w:r>
              <w:rPr>
                <w:rFonts w:hint="eastAsia" w:ascii="仿宋" w:hAnsi="仿宋" w:eastAsia="仿宋"/>
                <w:bCs/>
                <w:color w:val="000000" w:themeColor="text1"/>
                <w:szCs w:val="21"/>
                <w14:textFill>
                  <w14:solidFill>
                    <w14:schemeClr w14:val="tx1"/>
                  </w14:solidFill>
                </w14:textFill>
              </w:rPr>
              <w:t>□</w:t>
            </w:r>
          </w:p>
        </w:tc>
        <w:tc>
          <w:tcPr>
            <w:tcW w:w="1899" w:type="dxa"/>
            <w:gridSpan w:val="4"/>
            <w:tcBorders>
              <w:top w:val="single" w:color="auto" w:sz="6" w:space="0"/>
              <w:left w:val="single" w:color="auto" w:sz="6" w:space="0"/>
              <w:bottom w:val="single" w:color="auto" w:sz="6" w:space="0"/>
              <w:right w:val="single" w:color="auto" w:sz="12"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边长</w:t>
            </w:r>
            <w:r>
              <w:rPr>
                <w:rFonts w:ascii="Calibri" w:hAnsi="Calibri" w:eastAsia="仿宋_GB2312"/>
                <w:bCs/>
                <w:color w:val="000000" w:themeColor="text1"/>
                <w:szCs w:val="21"/>
                <w14:textFill>
                  <w14:solidFill>
                    <w14:schemeClr w14:val="tx1"/>
                  </w14:solidFill>
                </w14:textFill>
              </w:rPr>
              <w:t xml:space="preserve"> = 5 km </w:t>
            </w:r>
            <w:r>
              <w:rPr>
                <w:rFonts w:hint="eastAsia" w:ascii="仿宋" w:hAnsi="仿宋" w:eastAsia="仿宋"/>
                <w:bCs/>
                <w:color w:val="000000" w:themeColor="text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401" w:hRule="atLeast"/>
        </w:trPr>
        <w:tc>
          <w:tcPr>
            <w:tcW w:w="1153" w:type="dxa"/>
            <w:vMerge w:val="continue"/>
            <w:tcBorders>
              <w:top w:val="single" w:color="auto" w:sz="6" w:space="0"/>
              <w:left w:val="single" w:color="auto" w:sz="12" w:space="0"/>
              <w:bottom w:val="single" w:color="auto" w:sz="6" w:space="0"/>
              <w:right w:val="single" w:color="auto" w:sz="6" w:space="0"/>
            </w:tcBorders>
            <w:vAlign w:val="center"/>
          </w:tcPr>
          <w:p>
            <w:pPr>
              <w:widowControl/>
              <w:spacing w:beforeAutospacing="1" w:afterAutospacing="1"/>
              <w:jc w:val="left"/>
              <w:rPr>
                <w:rFonts w:ascii="Calibri" w:hAnsi="Calibri" w:eastAsia="仿宋_GB2312"/>
                <w:bCs/>
                <w:color w:val="000000" w:themeColor="text1"/>
                <w:szCs w:val="21"/>
                <w14:textFill>
                  <w14:solidFill>
                    <w14:schemeClr w14:val="tx1"/>
                  </w14:solidFill>
                </w14:textFill>
              </w:rPr>
            </w:pPr>
          </w:p>
        </w:tc>
        <w:tc>
          <w:tcPr>
            <w:tcW w:w="1984" w:type="dxa"/>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预测因子</w:t>
            </w:r>
          </w:p>
        </w:tc>
        <w:tc>
          <w:tcPr>
            <w:tcW w:w="4148" w:type="dxa"/>
            <w:gridSpan w:val="11"/>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预测因子</w:t>
            </w:r>
            <w:r>
              <w:rPr>
                <w:rFonts w:ascii="Calibri" w:hAnsi="Calibri" w:eastAsia="仿宋_GB2312"/>
                <w:bCs/>
                <w:color w:val="000000" w:themeColor="text1"/>
                <w:szCs w:val="21"/>
                <w14:textFill>
                  <w14:solidFill>
                    <w14:schemeClr w14:val="tx1"/>
                  </w14:solidFill>
                </w14:textFill>
              </w:rPr>
              <w:t>(                 )</w:t>
            </w:r>
          </w:p>
        </w:tc>
        <w:tc>
          <w:tcPr>
            <w:tcW w:w="3348" w:type="dxa"/>
            <w:gridSpan w:val="8"/>
            <w:tcBorders>
              <w:top w:val="single" w:color="auto" w:sz="6" w:space="0"/>
              <w:left w:val="single" w:color="auto" w:sz="6" w:space="0"/>
              <w:bottom w:val="single" w:color="auto" w:sz="6" w:space="0"/>
              <w:right w:val="single" w:color="auto" w:sz="12" w:space="0"/>
            </w:tcBorders>
            <w:vAlign w:val="center"/>
          </w:tcPr>
          <w:p>
            <w:pPr>
              <w:snapToGrid w:val="0"/>
              <w:spacing w:line="260" w:lineRule="atLeast"/>
              <w:ind w:left="-97" w:leftChars="-46" w:right="552" w:rightChars="263" w:firstLine="1"/>
              <w:jc w:val="right"/>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包括二次</w:t>
            </w:r>
            <w:r>
              <w:rPr>
                <w:rFonts w:ascii="Calibri" w:hAnsi="Calibri" w:eastAsia="仿宋_GB2312"/>
                <w:bCs/>
                <w:color w:val="000000" w:themeColor="text1"/>
                <w:szCs w:val="21"/>
                <w14:textFill>
                  <w14:solidFill>
                    <w14:schemeClr w14:val="tx1"/>
                  </w14:solidFill>
                </w14:textFill>
              </w:rPr>
              <w:t>PM</w:t>
            </w:r>
            <w:r>
              <w:rPr>
                <w:rFonts w:ascii="Calibri" w:hAnsi="Calibri" w:eastAsia="仿宋_GB2312"/>
                <w:bCs/>
                <w:color w:val="000000" w:themeColor="text1"/>
                <w:szCs w:val="21"/>
                <w:vertAlign w:val="subscript"/>
                <w14:textFill>
                  <w14:solidFill>
                    <w14:schemeClr w14:val="tx1"/>
                  </w14:solidFill>
                </w14:textFill>
              </w:rPr>
              <w:t>2.5</w:t>
            </w:r>
            <w:r>
              <w:rPr>
                <w:rFonts w:ascii="Calibri" w:hAnsi="Calibri" w:eastAsia="仿宋_GB2312"/>
                <w:bCs/>
                <w:color w:val="000000" w:themeColor="text1"/>
                <w:szCs w:val="21"/>
                <w14:textFill>
                  <w14:solidFill>
                    <w14:schemeClr w14:val="tx1"/>
                  </w14:solidFill>
                </w14:textFill>
              </w:rPr>
              <w:t xml:space="preserve"> </w:t>
            </w:r>
            <w:r>
              <w:rPr>
                <w:rFonts w:hint="eastAsia" w:ascii="仿宋" w:hAnsi="仿宋" w:eastAsia="仿宋"/>
                <w:bCs/>
                <w:color w:val="000000" w:themeColor="text1"/>
                <w:szCs w:val="21"/>
                <w14:textFill>
                  <w14:solidFill>
                    <w14:schemeClr w14:val="tx1"/>
                  </w14:solidFill>
                </w14:textFill>
              </w:rPr>
              <w:t>□</w:t>
            </w:r>
          </w:p>
          <w:p>
            <w:pPr>
              <w:snapToGrid w:val="0"/>
              <w:spacing w:line="260" w:lineRule="atLeast"/>
              <w:ind w:left="-97" w:leftChars="-46" w:right="552" w:rightChars="263" w:firstLine="1"/>
              <w:jc w:val="right"/>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不包括二次</w:t>
            </w:r>
            <w:r>
              <w:rPr>
                <w:rFonts w:ascii="Calibri" w:hAnsi="Calibri" w:eastAsia="仿宋_GB2312"/>
                <w:bCs/>
                <w:color w:val="000000" w:themeColor="text1"/>
                <w:szCs w:val="21"/>
                <w14:textFill>
                  <w14:solidFill>
                    <w14:schemeClr w14:val="tx1"/>
                  </w14:solidFill>
                </w14:textFill>
              </w:rPr>
              <w:t>PM</w:t>
            </w:r>
            <w:r>
              <w:rPr>
                <w:rFonts w:ascii="Calibri" w:hAnsi="Calibri" w:eastAsia="仿宋_GB2312"/>
                <w:bCs/>
                <w:color w:val="000000" w:themeColor="text1"/>
                <w:szCs w:val="21"/>
                <w:vertAlign w:val="subscript"/>
                <w14:textFill>
                  <w14:solidFill>
                    <w14:schemeClr w14:val="tx1"/>
                  </w14:solidFill>
                </w14:textFill>
              </w:rPr>
              <w:t>2.5</w:t>
            </w:r>
            <w:r>
              <w:rPr>
                <w:rFonts w:ascii="Calibri" w:hAnsi="Calibri" w:eastAsia="仿宋_GB2312"/>
                <w:bCs/>
                <w:color w:val="000000" w:themeColor="text1"/>
                <w:szCs w:val="21"/>
                <w14:textFill>
                  <w14:solidFill>
                    <w14:schemeClr w14:val="tx1"/>
                  </w14:solidFill>
                </w14:textFill>
              </w:rPr>
              <w:t xml:space="preserve"> </w:t>
            </w:r>
            <w:r>
              <w:rPr>
                <w:rFonts w:hint="eastAsia" w:ascii="仿宋" w:hAnsi="仿宋" w:eastAsia="仿宋"/>
                <w:bCs/>
                <w:color w:val="000000" w:themeColor="text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241" w:hRule="atLeast"/>
        </w:trPr>
        <w:tc>
          <w:tcPr>
            <w:tcW w:w="1153" w:type="dxa"/>
            <w:vMerge w:val="continue"/>
            <w:tcBorders>
              <w:top w:val="single" w:color="auto" w:sz="6" w:space="0"/>
              <w:left w:val="single" w:color="auto" w:sz="12" w:space="0"/>
              <w:bottom w:val="single" w:color="auto" w:sz="6" w:space="0"/>
              <w:right w:val="single" w:color="auto" w:sz="6" w:space="0"/>
            </w:tcBorders>
            <w:vAlign w:val="center"/>
          </w:tcPr>
          <w:p>
            <w:pPr>
              <w:widowControl/>
              <w:spacing w:beforeAutospacing="1" w:afterAutospacing="1"/>
              <w:jc w:val="left"/>
              <w:rPr>
                <w:rFonts w:ascii="Calibri" w:hAnsi="Calibri" w:eastAsia="仿宋_GB2312"/>
                <w:bCs/>
                <w:color w:val="000000" w:themeColor="text1"/>
                <w:szCs w:val="21"/>
                <w14:textFill>
                  <w14:solidFill>
                    <w14:schemeClr w14:val="tx1"/>
                  </w14:solidFill>
                </w14:textFill>
              </w:rPr>
            </w:pPr>
          </w:p>
        </w:tc>
        <w:tc>
          <w:tcPr>
            <w:tcW w:w="1984" w:type="dxa"/>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正常排放短期浓度</w:t>
            </w:r>
            <w:r>
              <w:rPr>
                <w:rFonts w:ascii="Calibri" w:hAnsi="Calibri" w:eastAsia="仿宋_GB2312"/>
                <w:bCs/>
                <w:color w:val="000000" w:themeColor="text1"/>
                <w:szCs w:val="21"/>
                <w14:textFill>
                  <w14:solidFill>
                    <w14:schemeClr w14:val="tx1"/>
                  </w14:solidFill>
                </w14:textFill>
              </w:rPr>
              <w:br w:type="textWrapping"/>
            </w:r>
            <w:r>
              <w:rPr>
                <w:rFonts w:hint="eastAsia" w:ascii="Calibri" w:hAnsi="Calibri" w:eastAsia="仿宋_GB2312"/>
                <w:bCs/>
                <w:color w:val="000000" w:themeColor="text1"/>
                <w:szCs w:val="21"/>
                <w14:textFill>
                  <w14:solidFill>
                    <w14:schemeClr w14:val="tx1"/>
                  </w14:solidFill>
                </w14:textFill>
              </w:rPr>
              <w:t>贡献值</w:t>
            </w:r>
          </w:p>
        </w:tc>
        <w:tc>
          <w:tcPr>
            <w:tcW w:w="4148" w:type="dxa"/>
            <w:gridSpan w:val="11"/>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m:oMath>
              <m:sSub>
                <m:sSubPr>
                  <m:ctrlPr>
                    <w:rPr>
                      <w:rFonts w:ascii="Cambria Math" w:hAnsi="Cambria Math" w:eastAsia="仿宋_GB2312"/>
                      <w:bCs/>
                      <w:i/>
                      <w:color w:val="000000" w:themeColor="text1"/>
                      <w:szCs w:val="21"/>
                      <w14:textFill>
                        <w14:solidFill>
                          <w14:schemeClr w14:val="tx1"/>
                        </w14:solidFill>
                      </w14:textFill>
                    </w:rPr>
                  </m:ctrlPr>
                </m:sSubPr>
                <m:e>
                  <m:r>
                    <w:rPr>
                      <w:rFonts w:ascii="Cambria Math" w:hAnsi="Cambria Math" w:eastAsia="仿宋_GB2312"/>
                      <w:color w:val="000000" w:themeColor="text1"/>
                      <w:szCs w:val="21"/>
                      <w14:textFill>
                        <w14:solidFill>
                          <w14:schemeClr w14:val="tx1"/>
                        </w14:solidFill>
                      </w14:textFill>
                    </w:rPr>
                    <m:t>C</m:t>
                  </m:r>
                  <m:ctrlPr>
                    <w:rPr>
                      <w:rFonts w:ascii="Cambria Math" w:hAnsi="Cambria Math" w:eastAsia="仿宋_GB2312"/>
                      <w:bCs/>
                      <w:i/>
                      <w:color w:val="000000" w:themeColor="text1"/>
                      <w:szCs w:val="21"/>
                      <w14:textFill>
                        <w14:solidFill>
                          <w14:schemeClr w14:val="tx1"/>
                        </w14:solidFill>
                      </w14:textFill>
                    </w:rPr>
                  </m:ctrlPr>
                </m:e>
                <m:sub>
                  <m:r>
                    <m:rPr>
                      <m:sty m:val="p"/>
                    </m:rPr>
                    <w:rPr>
                      <w:rFonts w:hint="eastAsia" w:ascii="Cambria Math" w:hAnsi="Cambria Math" w:eastAsia="仿宋_GB2312"/>
                      <w:color w:val="000000" w:themeColor="text1"/>
                      <w:szCs w:val="21"/>
                      <w14:textFill>
                        <w14:solidFill>
                          <w14:schemeClr w14:val="tx1"/>
                        </w14:solidFill>
                      </w14:textFill>
                    </w:rPr>
                    <m:t>本项目</m:t>
                  </m:r>
                  <m:ctrlPr>
                    <w:rPr>
                      <w:rFonts w:ascii="Cambria Math" w:hAnsi="Cambria Math" w:eastAsia="仿宋_GB2312"/>
                      <w:bCs/>
                      <w:i/>
                      <w:color w:val="000000" w:themeColor="text1"/>
                      <w:szCs w:val="21"/>
                      <w14:textFill>
                        <w14:solidFill>
                          <w14:schemeClr w14:val="tx1"/>
                        </w14:solidFill>
                      </w14:textFill>
                    </w:rPr>
                  </m:ctrlPr>
                </m:sub>
              </m:sSub>
            </m:oMath>
            <w:r>
              <w:rPr>
                <w:rFonts w:hint="eastAsia" w:ascii="Calibri" w:hAnsi="Calibri" w:eastAsia="仿宋_GB2312"/>
                <w:bCs/>
                <w:color w:val="000000" w:themeColor="text1"/>
                <w:szCs w:val="21"/>
                <w14:textFill>
                  <w14:solidFill>
                    <w14:schemeClr w14:val="tx1"/>
                  </w14:solidFill>
                </w14:textFill>
              </w:rPr>
              <w:t>最大占标率</w:t>
            </w:r>
            <w:r>
              <w:rPr>
                <w:rFonts w:hint="eastAsia" w:ascii="仿宋" w:hAnsi="仿宋" w:eastAsia="仿宋"/>
                <w:bCs/>
                <w:color w:val="000000" w:themeColor="text1"/>
                <w:szCs w:val="21"/>
                <w14:textFill>
                  <w14:solidFill>
                    <w14:schemeClr w14:val="tx1"/>
                  </w14:solidFill>
                </w14:textFill>
              </w:rPr>
              <w:t>≤</w:t>
            </w:r>
            <w:r>
              <w:rPr>
                <w:rFonts w:ascii="Calibri" w:hAnsi="Calibri" w:eastAsia="仿宋_GB2312"/>
                <w:bCs/>
                <w:color w:val="000000" w:themeColor="text1"/>
                <w:szCs w:val="21"/>
                <w14:textFill>
                  <w14:solidFill>
                    <w14:schemeClr w14:val="tx1"/>
                  </w14:solidFill>
                </w14:textFill>
              </w:rPr>
              <w:t>100%</w:t>
            </w:r>
            <w:r>
              <w:rPr>
                <w:rFonts w:hint="eastAsia" w:ascii="仿宋" w:hAnsi="仿宋" w:eastAsia="仿宋"/>
                <w:bCs/>
                <w:color w:val="000000" w:themeColor="text1"/>
                <w:szCs w:val="21"/>
                <w14:textFill>
                  <w14:solidFill>
                    <w14:schemeClr w14:val="tx1"/>
                  </w14:solidFill>
                </w14:textFill>
              </w:rPr>
              <w:t>□</w:t>
            </w:r>
          </w:p>
        </w:tc>
        <w:tc>
          <w:tcPr>
            <w:tcW w:w="3348" w:type="dxa"/>
            <w:gridSpan w:val="8"/>
            <w:tcBorders>
              <w:top w:val="single" w:color="auto" w:sz="6" w:space="0"/>
              <w:left w:val="single" w:color="auto" w:sz="6" w:space="0"/>
              <w:bottom w:val="single" w:color="auto" w:sz="6" w:space="0"/>
              <w:right w:val="single" w:color="auto" w:sz="12"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m:oMath>
              <m:sSub>
                <m:sSubPr>
                  <m:ctrlPr>
                    <w:rPr>
                      <w:rFonts w:ascii="Cambria Math" w:hAnsi="Cambria Math" w:eastAsia="仿宋_GB2312"/>
                      <w:bCs/>
                      <w:i/>
                      <w:color w:val="000000" w:themeColor="text1"/>
                      <w:szCs w:val="21"/>
                      <w14:textFill>
                        <w14:solidFill>
                          <w14:schemeClr w14:val="tx1"/>
                        </w14:solidFill>
                      </w14:textFill>
                    </w:rPr>
                  </m:ctrlPr>
                </m:sSubPr>
                <m:e>
                  <m:r>
                    <w:rPr>
                      <w:rFonts w:ascii="Cambria Math" w:hAnsi="Cambria Math" w:eastAsia="仿宋_GB2312"/>
                      <w:color w:val="000000" w:themeColor="text1"/>
                      <w:szCs w:val="21"/>
                      <w14:textFill>
                        <w14:solidFill>
                          <w14:schemeClr w14:val="tx1"/>
                        </w14:solidFill>
                      </w14:textFill>
                    </w:rPr>
                    <m:t>C</m:t>
                  </m:r>
                  <m:ctrlPr>
                    <w:rPr>
                      <w:rFonts w:ascii="Cambria Math" w:hAnsi="Cambria Math" w:eastAsia="仿宋_GB2312"/>
                      <w:bCs/>
                      <w:i/>
                      <w:color w:val="000000" w:themeColor="text1"/>
                      <w:szCs w:val="21"/>
                      <w14:textFill>
                        <w14:solidFill>
                          <w14:schemeClr w14:val="tx1"/>
                        </w14:solidFill>
                      </w14:textFill>
                    </w:rPr>
                  </m:ctrlPr>
                </m:e>
                <m:sub>
                  <m:r>
                    <m:rPr>
                      <m:sty m:val="p"/>
                    </m:rPr>
                    <w:rPr>
                      <w:rFonts w:hint="eastAsia" w:ascii="Cambria Math" w:hAnsi="Cambria Math" w:eastAsia="仿宋_GB2312"/>
                      <w:color w:val="000000" w:themeColor="text1"/>
                      <w:szCs w:val="21"/>
                      <w14:textFill>
                        <w14:solidFill>
                          <w14:schemeClr w14:val="tx1"/>
                        </w14:solidFill>
                      </w14:textFill>
                    </w:rPr>
                    <m:t>本项目</m:t>
                  </m:r>
                  <m:ctrlPr>
                    <w:rPr>
                      <w:rFonts w:ascii="Cambria Math" w:hAnsi="Cambria Math" w:eastAsia="仿宋_GB2312"/>
                      <w:bCs/>
                      <w:i/>
                      <w:color w:val="000000" w:themeColor="text1"/>
                      <w:szCs w:val="21"/>
                      <w14:textFill>
                        <w14:solidFill>
                          <w14:schemeClr w14:val="tx1"/>
                        </w14:solidFill>
                      </w14:textFill>
                    </w:rPr>
                  </m:ctrlPr>
                </m:sub>
              </m:sSub>
            </m:oMath>
            <w:r>
              <w:rPr>
                <w:rFonts w:hint="eastAsia" w:ascii="Calibri" w:hAnsi="Calibri" w:eastAsia="仿宋_GB2312"/>
                <w:bCs/>
                <w:color w:val="000000" w:themeColor="text1"/>
                <w:szCs w:val="21"/>
                <w14:textFill>
                  <w14:solidFill>
                    <w14:schemeClr w14:val="tx1"/>
                  </w14:solidFill>
                </w14:textFill>
              </w:rPr>
              <w:t>最大占标率</w:t>
            </w:r>
            <w:r>
              <w:rPr>
                <w:rFonts w:hint="eastAsia" w:ascii="仿宋" w:hAnsi="仿宋" w:eastAsia="仿宋"/>
                <w:bCs/>
                <w:color w:val="000000" w:themeColor="text1"/>
                <w:szCs w:val="21"/>
                <w14:textFill>
                  <w14:solidFill>
                    <w14:schemeClr w14:val="tx1"/>
                  </w14:solidFill>
                </w14:textFill>
              </w:rPr>
              <w:t>＞</w:t>
            </w:r>
            <w:r>
              <w:rPr>
                <w:rFonts w:ascii="Calibri" w:hAnsi="Calibri" w:eastAsia="仿宋_GB2312"/>
                <w:bCs/>
                <w:color w:val="000000" w:themeColor="text1"/>
                <w:szCs w:val="21"/>
                <w14:textFill>
                  <w14:solidFill>
                    <w14:schemeClr w14:val="tx1"/>
                  </w14:solidFill>
                </w14:textFill>
              </w:rPr>
              <w:t xml:space="preserve">100% </w:t>
            </w:r>
            <w:r>
              <w:rPr>
                <w:rFonts w:hint="eastAsia" w:ascii="仿宋" w:hAnsi="仿宋" w:eastAsia="仿宋"/>
                <w:bCs/>
                <w:color w:val="000000" w:themeColor="text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489" w:hRule="atLeast"/>
        </w:trPr>
        <w:tc>
          <w:tcPr>
            <w:tcW w:w="1153" w:type="dxa"/>
            <w:vMerge w:val="continue"/>
            <w:tcBorders>
              <w:top w:val="single" w:color="auto" w:sz="6" w:space="0"/>
              <w:left w:val="single" w:color="auto" w:sz="12" w:space="0"/>
              <w:bottom w:val="single" w:color="auto" w:sz="6" w:space="0"/>
              <w:right w:val="single" w:color="auto" w:sz="6" w:space="0"/>
            </w:tcBorders>
            <w:vAlign w:val="center"/>
          </w:tcPr>
          <w:p>
            <w:pPr>
              <w:widowControl/>
              <w:spacing w:beforeAutospacing="1" w:afterAutospacing="1"/>
              <w:jc w:val="left"/>
              <w:rPr>
                <w:rFonts w:ascii="Calibri" w:hAnsi="Calibri" w:eastAsia="仿宋_GB2312"/>
                <w:bCs/>
                <w:color w:val="000000" w:themeColor="text1"/>
                <w:szCs w:val="21"/>
                <w14:textFill>
                  <w14:solidFill>
                    <w14:schemeClr w14:val="tx1"/>
                  </w14:solidFill>
                </w14:textFill>
              </w:rPr>
            </w:pPr>
          </w:p>
        </w:tc>
        <w:tc>
          <w:tcPr>
            <w:tcW w:w="1984" w:type="dxa"/>
            <w:vMerge w:val="restart"/>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正常排放年均浓度</w:t>
            </w:r>
            <w:r>
              <w:rPr>
                <w:rFonts w:ascii="Calibri" w:hAnsi="Calibri" w:eastAsia="仿宋_GB2312"/>
                <w:bCs/>
                <w:color w:val="000000" w:themeColor="text1"/>
                <w:szCs w:val="21"/>
                <w14:textFill>
                  <w14:solidFill>
                    <w14:schemeClr w14:val="tx1"/>
                  </w14:solidFill>
                </w14:textFill>
              </w:rPr>
              <w:br w:type="textWrapping"/>
            </w:r>
            <w:r>
              <w:rPr>
                <w:rFonts w:hint="eastAsia" w:ascii="Calibri" w:hAnsi="Calibri" w:eastAsia="仿宋_GB2312"/>
                <w:bCs/>
                <w:color w:val="000000" w:themeColor="text1"/>
                <w:szCs w:val="21"/>
                <w14:textFill>
                  <w14:solidFill>
                    <w14:schemeClr w14:val="tx1"/>
                  </w14:solidFill>
                </w14:textFill>
              </w:rPr>
              <w:t>贡献值</w:t>
            </w:r>
          </w:p>
        </w:tc>
        <w:tc>
          <w:tcPr>
            <w:tcW w:w="1146" w:type="dxa"/>
            <w:tcBorders>
              <w:top w:val="single" w:color="auto" w:sz="6" w:space="0"/>
              <w:left w:val="single" w:color="auto" w:sz="6" w:space="0"/>
              <w:bottom w:val="single" w:color="auto" w:sz="6" w:space="0"/>
              <w:right w:val="single" w:color="auto" w:sz="4"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一类区</w:t>
            </w:r>
          </w:p>
        </w:tc>
        <w:tc>
          <w:tcPr>
            <w:tcW w:w="3002" w:type="dxa"/>
            <w:gridSpan w:val="10"/>
            <w:tcBorders>
              <w:top w:val="single" w:color="auto" w:sz="6" w:space="0"/>
              <w:left w:val="single" w:color="auto" w:sz="4"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m:oMath>
              <m:sSub>
                <m:sSubPr>
                  <m:ctrlPr>
                    <w:rPr>
                      <w:rFonts w:ascii="Cambria Math" w:hAnsi="Cambria Math" w:eastAsia="仿宋_GB2312"/>
                      <w:bCs/>
                      <w:i/>
                      <w:color w:val="000000" w:themeColor="text1"/>
                      <w:szCs w:val="21"/>
                      <w14:textFill>
                        <w14:solidFill>
                          <w14:schemeClr w14:val="tx1"/>
                        </w14:solidFill>
                      </w14:textFill>
                    </w:rPr>
                  </m:ctrlPr>
                </m:sSubPr>
                <m:e>
                  <m:r>
                    <w:rPr>
                      <w:rFonts w:ascii="Cambria Math" w:hAnsi="Cambria Math" w:eastAsia="仿宋_GB2312"/>
                      <w:color w:val="000000" w:themeColor="text1"/>
                      <w:szCs w:val="21"/>
                      <w14:textFill>
                        <w14:solidFill>
                          <w14:schemeClr w14:val="tx1"/>
                        </w14:solidFill>
                      </w14:textFill>
                    </w:rPr>
                    <m:t>C</m:t>
                  </m:r>
                  <m:ctrlPr>
                    <w:rPr>
                      <w:rFonts w:ascii="Cambria Math" w:hAnsi="Cambria Math" w:eastAsia="仿宋_GB2312"/>
                      <w:bCs/>
                      <w:i/>
                      <w:color w:val="000000" w:themeColor="text1"/>
                      <w:szCs w:val="21"/>
                      <w14:textFill>
                        <w14:solidFill>
                          <w14:schemeClr w14:val="tx1"/>
                        </w14:solidFill>
                      </w14:textFill>
                    </w:rPr>
                  </m:ctrlPr>
                </m:e>
                <m:sub>
                  <m:r>
                    <m:rPr>
                      <m:sty m:val="p"/>
                    </m:rPr>
                    <w:rPr>
                      <w:rFonts w:hint="eastAsia" w:ascii="Cambria Math" w:hAnsi="Cambria Math" w:eastAsia="仿宋_GB2312"/>
                      <w:color w:val="000000" w:themeColor="text1"/>
                      <w:szCs w:val="21"/>
                      <w14:textFill>
                        <w14:solidFill>
                          <w14:schemeClr w14:val="tx1"/>
                        </w14:solidFill>
                      </w14:textFill>
                    </w:rPr>
                    <m:t>本项目</m:t>
                  </m:r>
                  <m:ctrlPr>
                    <w:rPr>
                      <w:rFonts w:ascii="Cambria Math" w:hAnsi="Cambria Math" w:eastAsia="仿宋_GB2312"/>
                      <w:bCs/>
                      <w:i/>
                      <w:color w:val="000000" w:themeColor="text1"/>
                      <w:szCs w:val="21"/>
                      <w14:textFill>
                        <w14:solidFill>
                          <w14:schemeClr w14:val="tx1"/>
                        </w14:solidFill>
                      </w14:textFill>
                    </w:rPr>
                  </m:ctrlPr>
                </m:sub>
              </m:sSub>
            </m:oMath>
            <w:r>
              <w:rPr>
                <w:rFonts w:hint="eastAsia" w:ascii="Calibri" w:hAnsi="Calibri" w:eastAsia="仿宋_GB2312"/>
                <w:bCs/>
                <w:color w:val="000000" w:themeColor="text1"/>
                <w:szCs w:val="21"/>
                <w14:textFill>
                  <w14:solidFill>
                    <w14:schemeClr w14:val="tx1"/>
                  </w14:solidFill>
                </w14:textFill>
              </w:rPr>
              <w:t>最大占标率</w:t>
            </w:r>
            <w:bookmarkStart w:id="31" w:name="OLE_LINK5"/>
            <w:bookmarkStart w:id="32" w:name="OLE_LINK7"/>
            <w:r>
              <w:rPr>
                <w:rFonts w:hint="eastAsia" w:ascii="仿宋" w:hAnsi="仿宋" w:eastAsia="仿宋"/>
                <w:bCs/>
                <w:color w:val="000000" w:themeColor="text1"/>
                <w:szCs w:val="21"/>
                <w14:textFill>
                  <w14:solidFill>
                    <w14:schemeClr w14:val="tx1"/>
                  </w14:solidFill>
                </w14:textFill>
              </w:rPr>
              <w:t>≤</w:t>
            </w:r>
            <w:bookmarkEnd w:id="31"/>
            <w:bookmarkEnd w:id="32"/>
            <w:r>
              <w:rPr>
                <w:rFonts w:ascii="Calibri" w:hAnsi="Calibri" w:eastAsia="仿宋_GB2312"/>
                <w:bCs/>
                <w:color w:val="000000" w:themeColor="text1"/>
                <w:szCs w:val="21"/>
                <w14:textFill>
                  <w14:solidFill>
                    <w14:schemeClr w14:val="tx1"/>
                  </w14:solidFill>
                </w14:textFill>
              </w:rPr>
              <w:t>10%</w:t>
            </w:r>
            <w:r>
              <w:rPr>
                <w:rFonts w:hint="eastAsia" w:ascii="仿宋" w:hAnsi="仿宋" w:eastAsia="仿宋"/>
                <w:bCs/>
                <w:color w:val="000000" w:themeColor="text1"/>
                <w:szCs w:val="21"/>
                <w14:textFill>
                  <w14:solidFill>
                    <w14:schemeClr w14:val="tx1"/>
                  </w14:solidFill>
                </w14:textFill>
              </w:rPr>
              <w:t>□</w:t>
            </w:r>
          </w:p>
        </w:tc>
        <w:tc>
          <w:tcPr>
            <w:tcW w:w="3348" w:type="dxa"/>
            <w:gridSpan w:val="8"/>
            <w:tcBorders>
              <w:top w:val="single" w:color="auto" w:sz="6" w:space="0"/>
              <w:left w:val="single" w:color="auto" w:sz="6" w:space="0"/>
              <w:bottom w:val="single" w:color="auto" w:sz="6" w:space="0"/>
              <w:right w:val="single" w:color="auto" w:sz="12"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m:oMath>
              <m:sSub>
                <m:sSubPr>
                  <m:ctrlPr>
                    <w:rPr>
                      <w:rFonts w:ascii="Cambria Math" w:hAnsi="Cambria Math" w:eastAsia="仿宋_GB2312"/>
                      <w:bCs/>
                      <w:i/>
                      <w:color w:val="000000" w:themeColor="text1"/>
                      <w:szCs w:val="21"/>
                      <w14:textFill>
                        <w14:solidFill>
                          <w14:schemeClr w14:val="tx1"/>
                        </w14:solidFill>
                      </w14:textFill>
                    </w:rPr>
                  </m:ctrlPr>
                </m:sSubPr>
                <m:e>
                  <m:r>
                    <w:rPr>
                      <w:rFonts w:ascii="Cambria Math" w:hAnsi="Cambria Math" w:eastAsia="仿宋_GB2312"/>
                      <w:color w:val="000000" w:themeColor="text1"/>
                      <w:szCs w:val="21"/>
                      <w14:textFill>
                        <w14:solidFill>
                          <w14:schemeClr w14:val="tx1"/>
                        </w14:solidFill>
                      </w14:textFill>
                    </w:rPr>
                    <m:t>C</m:t>
                  </m:r>
                  <m:ctrlPr>
                    <w:rPr>
                      <w:rFonts w:ascii="Cambria Math" w:hAnsi="Cambria Math" w:eastAsia="仿宋_GB2312"/>
                      <w:bCs/>
                      <w:i/>
                      <w:color w:val="000000" w:themeColor="text1"/>
                      <w:szCs w:val="21"/>
                      <w14:textFill>
                        <w14:solidFill>
                          <w14:schemeClr w14:val="tx1"/>
                        </w14:solidFill>
                      </w14:textFill>
                    </w:rPr>
                  </m:ctrlPr>
                </m:e>
                <m:sub>
                  <m:r>
                    <m:rPr>
                      <m:sty m:val="p"/>
                    </m:rPr>
                    <w:rPr>
                      <w:rFonts w:hint="eastAsia" w:ascii="Cambria Math" w:hAnsi="Cambria Math" w:eastAsia="仿宋_GB2312"/>
                      <w:color w:val="000000" w:themeColor="text1"/>
                      <w:szCs w:val="21"/>
                      <w14:textFill>
                        <w14:solidFill>
                          <w14:schemeClr w14:val="tx1"/>
                        </w14:solidFill>
                      </w14:textFill>
                    </w:rPr>
                    <m:t>本项目</m:t>
                  </m:r>
                  <m:ctrlPr>
                    <w:rPr>
                      <w:rFonts w:ascii="Cambria Math" w:hAnsi="Cambria Math" w:eastAsia="仿宋_GB2312"/>
                      <w:bCs/>
                      <w:i/>
                      <w:color w:val="000000" w:themeColor="text1"/>
                      <w:szCs w:val="21"/>
                      <w14:textFill>
                        <w14:solidFill>
                          <w14:schemeClr w14:val="tx1"/>
                        </w14:solidFill>
                      </w14:textFill>
                    </w:rPr>
                  </m:ctrlPr>
                </m:sub>
              </m:sSub>
            </m:oMath>
            <w:r>
              <w:rPr>
                <w:rFonts w:hint="eastAsia" w:ascii="Calibri" w:hAnsi="Calibri" w:eastAsia="仿宋_GB2312"/>
                <w:bCs/>
                <w:color w:val="000000" w:themeColor="text1"/>
                <w:szCs w:val="21"/>
                <w14:textFill>
                  <w14:solidFill>
                    <w14:schemeClr w14:val="tx1"/>
                  </w14:solidFill>
                </w14:textFill>
              </w:rPr>
              <w:t>最大标率</w:t>
            </w:r>
            <w:r>
              <w:rPr>
                <w:rFonts w:hint="eastAsia" w:ascii="仿宋" w:hAnsi="仿宋" w:eastAsia="仿宋"/>
                <w:bCs/>
                <w:color w:val="000000" w:themeColor="text1"/>
                <w:szCs w:val="21"/>
                <w14:textFill>
                  <w14:solidFill>
                    <w14:schemeClr w14:val="tx1"/>
                  </w14:solidFill>
                </w14:textFill>
              </w:rPr>
              <w:t>＞</w:t>
            </w:r>
            <w:r>
              <w:rPr>
                <w:rFonts w:ascii="Calibri" w:hAnsi="Calibri" w:eastAsia="仿宋_GB2312"/>
                <w:bCs/>
                <w:color w:val="000000" w:themeColor="text1"/>
                <w:szCs w:val="21"/>
                <w14:textFill>
                  <w14:solidFill>
                    <w14:schemeClr w14:val="tx1"/>
                  </w14:solidFill>
                </w14:textFill>
              </w:rPr>
              <w:t xml:space="preserve">10% </w:t>
            </w:r>
            <w:r>
              <w:rPr>
                <w:rFonts w:hint="eastAsia" w:ascii="仿宋" w:hAnsi="仿宋" w:eastAsia="仿宋"/>
                <w:bCs/>
                <w:color w:val="000000" w:themeColor="text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411" w:hRule="atLeast"/>
        </w:trPr>
        <w:tc>
          <w:tcPr>
            <w:tcW w:w="1153" w:type="dxa"/>
            <w:vMerge w:val="continue"/>
            <w:tcBorders>
              <w:top w:val="single" w:color="auto" w:sz="6" w:space="0"/>
              <w:left w:val="single" w:color="auto" w:sz="12" w:space="0"/>
              <w:bottom w:val="single" w:color="auto" w:sz="6" w:space="0"/>
              <w:right w:val="single" w:color="auto" w:sz="6" w:space="0"/>
            </w:tcBorders>
            <w:vAlign w:val="center"/>
          </w:tcPr>
          <w:p>
            <w:pPr>
              <w:widowControl/>
              <w:spacing w:beforeAutospacing="1" w:afterAutospacing="1"/>
              <w:jc w:val="left"/>
              <w:rPr>
                <w:rFonts w:ascii="Calibri" w:hAnsi="Calibri" w:eastAsia="仿宋_GB2312"/>
                <w:bCs/>
                <w:color w:val="000000" w:themeColor="text1"/>
                <w:szCs w:val="21"/>
                <w14:textFill>
                  <w14:solidFill>
                    <w14:schemeClr w14:val="tx1"/>
                  </w14:solidFill>
                </w14:textFill>
              </w:rPr>
            </w:pPr>
          </w:p>
        </w:tc>
        <w:tc>
          <w:tcPr>
            <w:tcW w:w="1984" w:type="dxa"/>
            <w:vMerge w:val="continue"/>
            <w:tcBorders>
              <w:top w:val="single" w:color="auto" w:sz="6" w:space="0"/>
              <w:left w:val="single" w:color="auto" w:sz="6" w:space="0"/>
              <w:bottom w:val="single" w:color="auto" w:sz="6" w:space="0"/>
              <w:right w:val="single" w:color="auto" w:sz="6" w:space="0"/>
            </w:tcBorders>
            <w:vAlign w:val="center"/>
          </w:tcPr>
          <w:p>
            <w:pPr>
              <w:widowControl/>
              <w:spacing w:beforeAutospacing="1" w:afterAutospacing="1"/>
              <w:jc w:val="left"/>
              <w:rPr>
                <w:rFonts w:ascii="Calibri" w:hAnsi="Calibri" w:eastAsia="仿宋_GB2312"/>
                <w:bCs/>
                <w:color w:val="000000" w:themeColor="text1"/>
                <w:szCs w:val="21"/>
                <w14:textFill>
                  <w14:solidFill>
                    <w14:schemeClr w14:val="tx1"/>
                  </w14:solidFill>
                </w14:textFill>
              </w:rPr>
            </w:pPr>
          </w:p>
        </w:tc>
        <w:tc>
          <w:tcPr>
            <w:tcW w:w="1146" w:type="dxa"/>
            <w:tcBorders>
              <w:top w:val="single" w:color="auto" w:sz="6" w:space="0"/>
              <w:left w:val="single" w:color="auto" w:sz="6" w:space="0"/>
              <w:bottom w:val="single" w:color="auto" w:sz="6" w:space="0"/>
              <w:right w:val="single" w:color="auto" w:sz="4"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二类区</w:t>
            </w:r>
          </w:p>
        </w:tc>
        <w:tc>
          <w:tcPr>
            <w:tcW w:w="3002" w:type="dxa"/>
            <w:gridSpan w:val="10"/>
            <w:tcBorders>
              <w:top w:val="single" w:color="auto" w:sz="6" w:space="0"/>
              <w:left w:val="single" w:color="auto" w:sz="4"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m:oMath>
              <m:sSub>
                <m:sSubPr>
                  <m:ctrlPr>
                    <w:rPr>
                      <w:rFonts w:ascii="Cambria Math" w:hAnsi="Cambria Math" w:eastAsia="仿宋_GB2312"/>
                      <w:bCs/>
                      <w:i/>
                      <w:color w:val="000000" w:themeColor="text1"/>
                      <w:szCs w:val="21"/>
                      <w14:textFill>
                        <w14:solidFill>
                          <w14:schemeClr w14:val="tx1"/>
                        </w14:solidFill>
                      </w14:textFill>
                    </w:rPr>
                  </m:ctrlPr>
                </m:sSubPr>
                <m:e>
                  <m:r>
                    <w:rPr>
                      <w:rFonts w:ascii="Cambria Math" w:hAnsi="Cambria Math" w:eastAsia="仿宋_GB2312"/>
                      <w:color w:val="000000" w:themeColor="text1"/>
                      <w:szCs w:val="21"/>
                      <w14:textFill>
                        <w14:solidFill>
                          <w14:schemeClr w14:val="tx1"/>
                        </w14:solidFill>
                      </w14:textFill>
                    </w:rPr>
                    <m:t>C</m:t>
                  </m:r>
                  <m:ctrlPr>
                    <w:rPr>
                      <w:rFonts w:ascii="Cambria Math" w:hAnsi="Cambria Math" w:eastAsia="仿宋_GB2312"/>
                      <w:bCs/>
                      <w:i/>
                      <w:color w:val="000000" w:themeColor="text1"/>
                      <w:szCs w:val="21"/>
                      <w14:textFill>
                        <w14:solidFill>
                          <w14:schemeClr w14:val="tx1"/>
                        </w14:solidFill>
                      </w14:textFill>
                    </w:rPr>
                  </m:ctrlPr>
                </m:e>
                <m:sub>
                  <m:r>
                    <m:rPr>
                      <m:sty m:val="p"/>
                    </m:rPr>
                    <w:rPr>
                      <w:rFonts w:hint="eastAsia" w:ascii="Cambria Math" w:hAnsi="Cambria Math" w:eastAsia="仿宋_GB2312"/>
                      <w:color w:val="000000" w:themeColor="text1"/>
                      <w:szCs w:val="21"/>
                      <w14:textFill>
                        <w14:solidFill>
                          <w14:schemeClr w14:val="tx1"/>
                        </w14:solidFill>
                      </w14:textFill>
                    </w:rPr>
                    <m:t>本项目</m:t>
                  </m:r>
                  <m:ctrlPr>
                    <w:rPr>
                      <w:rFonts w:ascii="Cambria Math" w:hAnsi="Cambria Math" w:eastAsia="仿宋_GB2312"/>
                      <w:bCs/>
                      <w:i/>
                      <w:color w:val="000000" w:themeColor="text1"/>
                      <w:szCs w:val="21"/>
                      <w14:textFill>
                        <w14:solidFill>
                          <w14:schemeClr w14:val="tx1"/>
                        </w14:solidFill>
                      </w14:textFill>
                    </w:rPr>
                  </m:ctrlPr>
                </m:sub>
              </m:sSub>
            </m:oMath>
            <w:r>
              <w:rPr>
                <w:rFonts w:hint="eastAsia" w:ascii="Calibri" w:hAnsi="Calibri" w:eastAsia="仿宋_GB2312"/>
                <w:bCs/>
                <w:color w:val="000000" w:themeColor="text1"/>
                <w:szCs w:val="21"/>
                <w14:textFill>
                  <w14:solidFill>
                    <w14:schemeClr w14:val="tx1"/>
                  </w14:solidFill>
                </w14:textFill>
              </w:rPr>
              <w:t>最大占标率</w:t>
            </w:r>
            <w:r>
              <w:rPr>
                <w:rFonts w:hint="eastAsia" w:ascii="仿宋" w:hAnsi="仿宋" w:eastAsia="仿宋"/>
                <w:bCs/>
                <w:color w:val="000000" w:themeColor="text1"/>
                <w:szCs w:val="21"/>
                <w14:textFill>
                  <w14:solidFill>
                    <w14:schemeClr w14:val="tx1"/>
                  </w14:solidFill>
                </w14:textFill>
              </w:rPr>
              <w:t>≤</w:t>
            </w:r>
            <w:r>
              <w:rPr>
                <w:rFonts w:ascii="Calibri" w:hAnsi="Calibri" w:eastAsia="仿宋_GB2312"/>
                <w:bCs/>
                <w:color w:val="000000" w:themeColor="text1"/>
                <w:szCs w:val="21"/>
                <w14:textFill>
                  <w14:solidFill>
                    <w14:schemeClr w14:val="tx1"/>
                  </w14:solidFill>
                </w14:textFill>
              </w:rPr>
              <w:t>30%</w:t>
            </w:r>
            <w:r>
              <w:rPr>
                <w:rFonts w:hint="eastAsia" w:ascii="仿宋" w:hAnsi="仿宋" w:eastAsia="仿宋"/>
                <w:bCs/>
                <w:color w:val="000000" w:themeColor="text1"/>
                <w:szCs w:val="21"/>
                <w14:textFill>
                  <w14:solidFill>
                    <w14:schemeClr w14:val="tx1"/>
                  </w14:solidFill>
                </w14:textFill>
              </w:rPr>
              <w:t>□</w:t>
            </w:r>
          </w:p>
        </w:tc>
        <w:tc>
          <w:tcPr>
            <w:tcW w:w="3348" w:type="dxa"/>
            <w:gridSpan w:val="8"/>
            <w:tcBorders>
              <w:top w:val="single" w:color="auto" w:sz="6" w:space="0"/>
              <w:left w:val="single" w:color="auto" w:sz="6" w:space="0"/>
              <w:bottom w:val="single" w:color="auto" w:sz="6" w:space="0"/>
              <w:right w:val="single" w:color="auto" w:sz="12"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m:oMath>
              <m:sSub>
                <m:sSubPr>
                  <m:ctrlPr>
                    <w:rPr>
                      <w:rFonts w:ascii="Cambria Math" w:hAnsi="Cambria Math" w:eastAsia="仿宋_GB2312"/>
                      <w:bCs/>
                      <w:i/>
                      <w:color w:val="000000" w:themeColor="text1"/>
                      <w:szCs w:val="21"/>
                      <w14:textFill>
                        <w14:solidFill>
                          <w14:schemeClr w14:val="tx1"/>
                        </w14:solidFill>
                      </w14:textFill>
                    </w:rPr>
                  </m:ctrlPr>
                </m:sSubPr>
                <m:e>
                  <m:r>
                    <w:rPr>
                      <w:rFonts w:ascii="Cambria Math" w:hAnsi="Cambria Math" w:eastAsia="仿宋_GB2312"/>
                      <w:color w:val="000000" w:themeColor="text1"/>
                      <w:szCs w:val="21"/>
                      <w14:textFill>
                        <w14:solidFill>
                          <w14:schemeClr w14:val="tx1"/>
                        </w14:solidFill>
                      </w14:textFill>
                    </w:rPr>
                    <m:t>C</m:t>
                  </m:r>
                  <m:ctrlPr>
                    <w:rPr>
                      <w:rFonts w:ascii="Cambria Math" w:hAnsi="Cambria Math" w:eastAsia="仿宋_GB2312"/>
                      <w:bCs/>
                      <w:i/>
                      <w:color w:val="000000" w:themeColor="text1"/>
                      <w:szCs w:val="21"/>
                      <w14:textFill>
                        <w14:solidFill>
                          <w14:schemeClr w14:val="tx1"/>
                        </w14:solidFill>
                      </w14:textFill>
                    </w:rPr>
                  </m:ctrlPr>
                </m:e>
                <m:sub>
                  <m:r>
                    <m:rPr>
                      <m:sty m:val="p"/>
                    </m:rPr>
                    <w:rPr>
                      <w:rFonts w:hint="eastAsia" w:ascii="Cambria Math" w:hAnsi="Cambria Math" w:eastAsia="仿宋_GB2312"/>
                      <w:color w:val="000000" w:themeColor="text1"/>
                      <w:szCs w:val="21"/>
                      <w14:textFill>
                        <w14:solidFill>
                          <w14:schemeClr w14:val="tx1"/>
                        </w14:solidFill>
                      </w14:textFill>
                    </w:rPr>
                    <m:t>本项目</m:t>
                  </m:r>
                  <m:ctrlPr>
                    <w:rPr>
                      <w:rFonts w:ascii="Cambria Math" w:hAnsi="Cambria Math" w:eastAsia="仿宋_GB2312"/>
                      <w:bCs/>
                      <w:i/>
                      <w:color w:val="000000" w:themeColor="text1"/>
                      <w:szCs w:val="21"/>
                      <w14:textFill>
                        <w14:solidFill>
                          <w14:schemeClr w14:val="tx1"/>
                        </w14:solidFill>
                      </w14:textFill>
                    </w:rPr>
                  </m:ctrlPr>
                </m:sub>
              </m:sSub>
            </m:oMath>
            <w:r>
              <w:rPr>
                <w:rFonts w:hint="eastAsia" w:ascii="Calibri" w:hAnsi="Calibri" w:eastAsia="仿宋_GB2312"/>
                <w:bCs/>
                <w:color w:val="000000" w:themeColor="text1"/>
                <w:szCs w:val="21"/>
                <w14:textFill>
                  <w14:solidFill>
                    <w14:schemeClr w14:val="tx1"/>
                  </w14:solidFill>
                </w14:textFill>
              </w:rPr>
              <w:t>最大标率</w:t>
            </w:r>
            <w:r>
              <w:rPr>
                <w:rFonts w:hint="eastAsia" w:ascii="仿宋" w:hAnsi="仿宋" w:eastAsia="仿宋"/>
                <w:bCs/>
                <w:color w:val="000000" w:themeColor="text1"/>
                <w:szCs w:val="21"/>
                <w14:textFill>
                  <w14:solidFill>
                    <w14:schemeClr w14:val="tx1"/>
                  </w14:solidFill>
                </w14:textFill>
              </w:rPr>
              <w:t>＞</w:t>
            </w:r>
            <w:r>
              <w:rPr>
                <w:rFonts w:ascii="Calibri" w:hAnsi="Calibri" w:eastAsia="仿宋_GB2312"/>
                <w:bCs/>
                <w:color w:val="000000" w:themeColor="text1"/>
                <w:szCs w:val="21"/>
                <w14:textFill>
                  <w14:solidFill>
                    <w14:schemeClr w14:val="tx1"/>
                  </w14:solidFill>
                </w14:textFill>
              </w:rPr>
              <w:t xml:space="preserve">30% </w:t>
            </w:r>
            <w:r>
              <w:rPr>
                <w:rFonts w:hint="eastAsia" w:ascii="仿宋" w:hAnsi="仿宋" w:eastAsia="仿宋"/>
                <w:bCs/>
                <w:color w:val="000000" w:themeColor="text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241" w:hRule="atLeast"/>
        </w:trPr>
        <w:tc>
          <w:tcPr>
            <w:tcW w:w="1153" w:type="dxa"/>
            <w:vMerge w:val="continue"/>
            <w:tcBorders>
              <w:top w:val="single" w:color="auto" w:sz="6" w:space="0"/>
              <w:left w:val="single" w:color="auto" w:sz="12" w:space="0"/>
              <w:bottom w:val="single" w:color="auto" w:sz="6" w:space="0"/>
              <w:right w:val="single" w:color="auto" w:sz="6" w:space="0"/>
            </w:tcBorders>
            <w:vAlign w:val="center"/>
          </w:tcPr>
          <w:p>
            <w:pPr>
              <w:widowControl/>
              <w:spacing w:beforeAutospacing="1" w:afterAutospacing="1"/>
              <w:jc w:val="left"/>
              <w:rPr>
                <w:rFonts w:ascii="Calibri" w:hAnsi="Calibri" w:eastAsia="仿宋_GB2312"/>
                <w:bCs/>
                <w:color w:val="000000" w:themeColor="text1"/>
                <w:szCs w:val="21"/>
                <w14:textFill>
                  <w14:solidFill>
                    <w14:schemeClr w14:val="tx1"/>
                  </w14:solidFill>
                </w14:textFill>
              </w:rPr>
            </w:pPr>
          </w:p>
        </w:tc>
        <w:tc>
          <w:tcPr>
            <w:tcW w:w="1984" w:type="dxa"/>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非正常排放</w:t>
            </w:r>
            <w:r>
              <w:rPr>
                <w:rFonts w:ascii="Calibri" w:hAnsi="Calibri" w:eastAsia="仿宋_GB2312"/>
                <w:bCs/>
                <w:color w:val="000000" w:themeColor="text1"/>
                <w:szCs w:val="21"/>
                <w14:textFill>
                  <w14:solidFill>
                    <w14:schemeClr w14:val="tx1"/>
                  </w14:solidFill>
                </w14:textFill>
              </w:rPr>
              <w:t>1h</w:t>
            </w:r>
            <w:r>
              <w:rPr>
                <w:rFonts w:hint="eastAsia" w:ascii="Calibri" w:hAnsi="Calibri" w:eastAsia="仿宋_GB2312"/>
                <w:bCs/>
                <w:color w:val="000000" w:themeColor="text1"/>
                <w:szCs w:val="21"/>
                <w14:textFill>
                  <w14:solidFill>
                    <w14:schemeClr w14:val="tx1"/>
                  </w14:solidFill>
                </w14:textFill>
              </w:rPr>
              <w:t>浓度</w:t>
            </w:r>
            <w:r>
              <w:rPr>
                <w:rFonts w:ascii="Calibri" w:hAnsi="Calibri" w:eastAsia="仿宋_GB2312"/>
                <w:bCs/>
                <w:color w:val="000000" w:themeColor="text1"/>
                <w:szCs w:val="21"/>
                <w14:textFill>
                  <w14:solidFill>
                    <w14:schemeClr w14:val="tx1"/>
                  </w14:solidFill>
                </w14:textFill>
              </w:rPr>
              <w:br w:type="textWrapping"/>
            </w:r>
            <w:r>
              <w:rPr>
                <w:rFonts w:hint="eastAsia" w:ascii="Calibri" w:hAnsi="Calibri" w:eastAsia="仿宋_GB2312"/>
                <w:bCs/>
                <w:color w:val="000000" w:themeColor="text1"/>
                <w:szCs w:val="21"/>
                <w14:textFill>
                  <w14:solidFill>
                    <w14:schemeClr w14:val="tx1"/>
                  </w14:solidFill>
                </w14:textFill>
              </w:rPr>
              <w:t>贡献值</w:t>
            </w:r>
          </w:p>
        </w:tc>
        <w:tc>
          <w:tcPr>
            <w:tcW w:w="1722" w:type="dxa"/>
            <w:gridSpan w:val="3"/>
            <w:tcBorders>
              <w:top w:val="single" w:color="auto" w:sz="6" w:space="0"/>
              <w:left w:val="single" w:color="auto" w:sz="6" w:space="0"/>
              <w:bottom w:val="single" w:color="auto" w:sz="6" w:space="0"/>
              <w:right w:val="single" w:color="auto" w:sz="4"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非正常持续时长</w:t>
            </w:r>
            <w:r>
              <w:rPr>
                <w:rFonts w:ascii="Calibri" w:hAnsi="Calibri" w:eastAsia="仿宋_GB2312"/>
                <w:bCs/>
                <w:color w:val="000000" w:themeColor="text1"/>
                <w:szCs w:val="21"/>
                <w14:textFill>
                  <w14:solidFill>
                    <w14:schemeClr w14:val="tx1"/>
                  </w14:solidFill>
                </w14:textFill>
              </w:rPr>
              <w:br w:type="textWrapping"/>
            </w:r>
            <w:r>
              <w:rPr>
                <w:rFonts w:hint="eastAsia" w:ascii="Calibri" w:hAnsi="Calibri" w:eastAsia="仿宋_GB2312"/>
                <w:bCs/>
                <w:color w:val="000000" w:themeColor="text1"/>
                <w:szCs w:val="21"/>
                <w14:textFill>
                  <w14:solidFill>
                    <w14:schemeClr w14:val="tx1"/>
                  </w14:solidFill>
                </w14:textFill>
              </w:rPr>
              <w:t>（</w:t>
            </w:r>
            <w:r>
              <w:rPr>
                <w:rFonts w:ascii="Calibri" w:hAnsi="Calibri" w:eastAsia="仿宋_GB2312"/>
                <w:bCs/>
                <w:color w:val="000000" w:themeColor="text1"/>
                <w:szCs w:val="21"/>
                <w14:textFill>
                  <w14:solidFill>
                    <w14:schemeClr w14:val="tx1"/>
                  </w14:solidFill>
                </w14:textFill>
              </w:rPr>
              <w:t xml:space="preserve">  </w:t>
            </w:r>
            <w:r>
              <w:rPr>
                <w:rFonts w:hint="eastAsia" w:ascii="Calibri" w:hAnsi="Calibri" w:eastAsia="仿宋_GB2312"/>
                <w:bCs/>
                <w:color w:val="000000" w:themeColor="text1"/>
                <w:szCs w:val="21"/>
                <w14:textFill>
                  <w14:solidFill>
                    <w14:schemeClr w14:val="tx1"/>
                  </w14:solidFill>
                </w14:textFill>
              </w:rPr>
              <w:t>）</w:t>
            </w:r>
            <w:r>
              <w:rPr>
                <w:rFonts w:ascii="Calibri" w:hAnsi="Calibri" w:eastAsia="仿宋_GB2312"/>
                <w:bCs/>
                <w:color w:val="000000" w:themeColor="text1"/>
                <w:szCs w:val="21"/>
                <w14:textFill>
                  <w14:solidFill>
                    <w14:schemeClr w14:val="tx1"/>
                  </w14:solidFill>
                </w14:textFill>
              </w:rPr>
              <w:t>h</w:t>
            </w:r>
          </w:p>
        </w:tc>
        <w:tc>
          <w:tcPr>
            <w:tcW w:w="3126" w:type="dxa"/>
            <w:gridSpan w:val="10"/>
            <w:tcBorders>
              <w:top w:val="single" w:color="auto" w:sz="6" w:space="0"/>
              <w:left w:val="single" w:color="auto" w:sz="4"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m:oMath>
              <m:sSub>
                <m:sSubPr>
                  <m:ctrlPr>
                    <w:rPr>
                      <w:rFonts w:ascii="Cambria Math" w:hAnsi="Cambria Math" w:eastAsia="仿宋_GB2312"/>
                      <w:bCs/>
                      <w:i/>
                      <w:color w:val="000000" w:themeColor="text1"/>
                      <w:szCs w:val="21"/>
                      <w14:textFill>
                        <w14:solidFill>
                          <w14:schemeClr w14:val="tx1"/>
                        </w14:solidFill>
                      </w14:textFill>
                    </w:rPr>
                  </m:ctrlPr>
                </m:sSubPr>
                <m:e>
                  <m:r>
                    <w:rPr>
                      <w:rFonts w:ascii="Cambria Math" w:hAnsi="Cambria Math" w:eastAsia="仿宋_GB2312"/>
                      <w:color w:val="000000" w:themeColor="text1"/>
                      <w:szCs w:val="21"/>
                      <w14:textFill>
                        <w14:solidFill>
                          <w14:schemeClr w14:val="tx1"/>
                        </w14:solidFill>
                      </w14:textFill>
                    </w:rPr>
                    <m:t>C</m:t>
                  </m:r>
                  <m:ctrlPr>
                    <w:rPr>
                      <w:rFonts w:ascii="Cambria Math" w:hAnsi="Cambria Math" w:eastAsia="仿宋_GB2312"/>
                      <w:bCs/>
                      <w:i/>
                      <w:color w:val="000000" w:themeColor="text1"/>
                      <w:szCs w:val="21"/>
                      <w14:textFill>
                        <w14:solidFill>
                          <w14:schemeClr w14:val="tx1"/>
                        </w14:solidFill>
                      </w14:textFill>
                    </w:rPr>
                  </m:ctrlPr>
                </m:e>
                <m:sub>
                  <m:r>
                    <m:rPr>
                      <m:sty m:val="p"/>
                    </m:rPr>
                    <w:rPr>
                      <w:rFonts w:hint="eastAsia" w:ascii="Cambria Math" w:hAnsi="Cambria Math" w:eastAsia="仿宋_GB2312"/>
                      <w:color w:val="000000" w:themeColor="text1"/>
                      <w:szCs w:val="21"/>
                      <w14:textFill>
                        <w14:solidFill>
                          <w14:schemeClr w14:val="tx1"/>
                        </w14:solidFill>
                      </w14:textFill>
                    </w:rPr>
                    <m:t>非正常</m:t>
                  </m:r>
                  <m:ctrlPr>
                    <w:rPr>
                      <w:rFonts w:ascii="Cambria Math" w:hAnsi="Cambria Math" w:eastAsia="仿宋_GB2312"/>
                      <w:bCs/>
                      <w:i/>
                      <w:color w:val="000000" w:themeColor="text1"/>
                      <w:szCs w:val="21"/>
                      <w14:textFill>
                        <w14:solidFill>
                          <w14:schemeClr w14:val="tx1"/>
                        </w14:solidFill>
                      </w14:textFill>
                    </w:rPr>
                  </m:ctrlPr>
                </m:sub>
              </m:sSub>
            </m:oMath>
            <w:r>
              <w:rPr>
                <w:rFonts w:hint="eastAsia" w:ascii="Calibri" w:hAnsi="Calibri" w:eastAsia="仿宋_GB2312"/>
                <w:bCs/>
                <w:color w:val="000000" w:themeColor="text1"/>
                <w:szCs w:val="21"/>
                <w14:textFill>
                  <w14:solidFill>
                    <w14:schemeClr w14:val="tx1"/>
                  </w14:solidFill>
                </w14:textFill>
              </w:rPr>
              <w:t>占标率</w:t>
            </w:r>
            <w:r>
              <w:rPr>
                <w:rFonts w:hint="eastAsia" w:ascii="仿宋" w:hAnsi="仿宋" w:eastAsia="仿宋"/>
                <w:bCs/>
                <w:color w:val="000000" w:themeColor="text1"/>
                <w:szCs w:val="21"/>
                <w14:textFill>
                  <w14:solidFill>
                    <w14:schemeClr w14:val="tx1"/>
                  </w14:solidFill>
                </w14:textFill>
              </w:rPr>
              <w:t>≤</w:t>
            </w:r>
            <w:r>
              <w:rPr>
                <w:rFonts w:ascii="Calibri" w:hAnsi="Calibri" w:eastAsia="仿宋_GB2312"/>
                <w:bCs/>
                <w:color w:val="000000" w:themeColor="text1"/>
                <w:szCs w:val="21"/>
                <w14:textFill>
                  <w14:solidFill>
                    <w14:schemeClr w14:val="tx1"/>
                  </w14:solidFill>
                </w14:textFill>
              </w:rPr>
              <w:t xml:space="preserve">100% </w:t>
            </w:r>
            <w:r>
              <w:rPr>
                <w:rFonts w:hint="eastAsia" w:ascii="仿宋" w:hAnsi="仿宋" w:eastAsia="仿宋"/>
                <w:bCs/>
                <w:color w:val="000000" w:themeColor="text1"/>
                <w:szCs w:val="21"/>
                <w14:textFill>
                  <w14:solidFill>
                    <w14:schemeClr w14:val="tx1"/>
                  </w14:solidFill>
                </w14:textFill>
              </w:rPr>
              <w:t>□</w:t>
            </w:r>
          </w:p>
        </w:tc>
        <w:tc>
          <w:tcPr>
            <w:tcW w:w="2648" w:type="dxa"/>
            <w:gridSpan w:val="6"/>
            <w:tcBorders>
              <w:top w:val="single" w:color="auto" w:sz="6" w:space="0"/>
              <w:left w:val="single" w:color="auto" w:sz="6" w:space="0"/>
              <w:bottom w:val="single" w:color="auto" w:sz="6" w:space="0"/>
              <w:right w:val="single" w:color="auto" w:sz="12"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m:oMath>
              <m:sSub>
                <m:sSubPr>
                  <m:ctrlPr>
                    <w:rPr>
                      <w:rFonts w:ascii="Cambria Math" w:hAnsi="Cambria Math" w:eastAsia="仿宋_GB2312"/>
                      <w:bCs/>
                      <w:i/>
                      <w:color w:val="000000" w:themeColor="text1"/>
                      <w:szCs w:val="21"/>
                      <w14:textFill>
                        <w14:solidFill>
                          <w14:schemeClr w14:val="tx1"/>
                        </w14:solidFill>
                      </w14:textFill>
                    </w:rPr>
                  </m:ctrlPr>
                </m:sSubPr>
                <m:e>
                  <m:r>
                    <w:rPr>
                      <w:rFonts w:ascii="Cambria Math" w:hAnsi="Cambria Math" w:eastAsia="仿宋_GB2312"/>
                      <w:color w:val="000000" w:themeColor="text1"/>
                      <w:szCs w:val="21"/>
                      <w14:textFill>
                        <w14:solidFill>
                          <w14:schemeClr w14:val="tx1"/>
                        </w14:solidFill>
                      </w14:textFill>
                    </w:rPr>
                    <m:t>C</m:t>
                  </m:r>
                  <m:ctrlPr>
                    <w:rPr>
                      <w:rFonts w:ascii="Cambria Math" w:hAnsi="Cambria Math" w:eastAsia="仿宋_GB2312"/>
                      <w:bCs/>
                      <w:i/>
                      <w:color w:val="000000" w:themeColor="text1"/>
                      <w:szCs w:val="21"/>
                      <w14:textFill>
                        <w14:solidFill>
                          <w14:schemeClr w14:val="tx1"/>
                        </w14:solidFill>
                      </w14:textFill>
                    </w:rPr>
                  </m:ctrlPr>
                </m:e>
                <m:sub>
                  <m:r>
                    <m:rPr>
                      <m:sty m:val="p"/>
                    </m:rPr>
                    <w:rPr>
                      <w:rFonts w:hint="eastAsia" w:ascii="Cambria Math" w:hAnsi="Cambria Math" w:eastAsia="仿宋_GB2312"/>
                      <w:color w:val="000000" w:themeColor="text1"/>
                      <w:szCs w:val="21"/>
                      <w14:textFill>
                        <w14:solidFill>
                          <w14:schemeClr w14:val="tx1"/>
                        </w14:solidFill>
                      </w14:textFill>
                    </w:rPr>
                    <m:t>非正常</m:t>
                  </m:r>
                  <m:ctrlPr>
                    <w:rPr>
                      <w:rFonts w:ascii="Cambria Math" w:hAnsi="Cambria Math" w:eastAsia="仿宋_GB2312"/>
                      <w:bCs/>
                      <w:i/>
                      <w:color w:val="000000" w:themeColor="text1"/>
                      <w:szCs w:val="21"/>
                      <w14:textFill>
                        <w14:solidFill>
                          <w14:schemeClr w14:val="tx1"/>
                        </w14:solidFill>
                      </w14:textFill>
                    </w:rPr>
                  </m:ctrlPr>
                </m:sub>
              </m:sSub>
            </m:oMath>
            <w:r>
              <w:rPr>
                <w:rFonts w:hint="eastAsia" w:ascii="Calibri" w:hAnsi="Calibri" w:eastAsia="仿宋_GB2312"/>
                <w:bCs/>
                <w:color w:val="000000" w:themeColor="text1"/>
                <w:szCs w:val="21"/>
                <w14:textFill>
                  <w14:solidFill>
                    <w14:schemeClr w14:val="tx1"/>
                  </w14:solidFill>
                </w14:textFill>
              </w:rPr>
              <w:t>占标率</w:t>
            </w:r>
            <w:r>
              <w:rPr>
                <w:rFonts w:hint="eastAsia" w:ascii="仿宋" w:hAnsi="仿宋" w:eastAsia="仿宋"/>
                <w:bCs/>
                <w:color w:val="000000" w:themeColor="text1"/>
                <w:szCs w:val="21"/>
                <w14:textFill>
                  <w14:solidFill>
                    <w14:schemeClr w14:val="tx1"/>
                  </w14:solidFill>
                </w14:textFill>
              </w:rPr>
              <w:t>＞</w:t>
            </w:r>
            <w:r>
              <w:rPr>
                <w:rFonts w:ascii="Calibri" w:hAnsi="Calibri" w:eastAsia="仿宋_GB2312"/>
                <w:bCs/>
                <w:color w:val="000000" w:themeColor="text1"/>
                <w:szCs w:val="21"/>
                <w14:textFill>
                  <w14:solidFill>
                    <w14:schemeClr w14:val="tx1"/>
                  </w14:solidFill>
                </w14:textFill>
              </w:rPr>
              <w:t>100%</w:t>
            </w:r>
            <w:r>
              <w:rPr>
                <w:rFonts w:hint="eastAsia" w:ascii="仿宋" w:hAnsi="仿宋" w:eastAsia="仿宋"/>
                <w:bCs/>
                <w:color w:val="000000" w:themeColor="text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625" w:hRule="atLeast"/>
        </w:trPr>
        <w:tc>
          <w:tcPr>
            <w:tcW w:w="1153" w:type="dxa"/>
            <w:vMerge w:val="continue"/>
            <w:tcBorders>
              <w:top w:val="single" w:color="auto" w:sz="6" w:space="0"/>
              <w:left w:val="single" w:color="auto" w:sz="12" w:space="0"/>
              <w:bottom w:val="single" w:color="auto" w:sz="6" w:space="0"/>
              <w:right w:val="single" w:color="auto" w:sz="6" w:space="0"/>
            </w:tcBorders>
            <w:vAlign w:val="center"/>
          </w:tcPr>
          <w:p>
            <w:pPr>
              <w:widowControl/>
              <w:spacing w:beforeAutospacing="1" w:afterAutospacing="1"/>
              <w:jc w:val="left"/>
              <w:rPr>
                <w:rFonts w:ascii="Calibri" w:hAnsi="Calibri" w:eastAsia="仿宋_GB2312"/>
                <w:bCs/>
                <w:color w:val="000000" w:themeColor="text1"/>
                <w:szCs w:val="21"/>
                <w14:textFill>
                  <w14:solidFill>
                    <w14:schemeClr w14:val="tx1"/>
                  </w14:solidFill>
                </w14:textFill>
              </w:rPr>
            </w:pPr>
          </w:p>
        </w:tc>
        <w:tc>
          <w:tcPr>
            <w:tcW w:w="1984" w:type="dxa"/>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保证率日平均浓度和年平均浓度叠加值</w:t>
            </w:r>
          </w:p>
        </w:tc>
        <w:tc>
          <w:tcPr>
            <w:tcW w:w="3542" w:type="dxa"/>
            <w:gridSpan w:val="10"/>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m:oMath>
              <m:sSub>
                <m:sSubPr>
                  <m:ctrlPr>
                    <w:rPr>
                      <w:rFonts w:ascii="Cambria Math" w:hAnsi="Cambria Math" w:eastAsia="仿宋_GB2312"/>
                      <w:bCs/>
                      <w:i/>
                      <w:color w:val="000000" w:themeColor="text1"/>
                      <w:szCs w:val="21"/>
                      <w14:textFill>
                        <w14:solidFill>
                          <w14:schemeClr w14:val="tx1"/>
                        </w14:solidFill>
                      </w14:textFill>
                    </w:rPr>
                  </m:ctrlPr>
                </m:sSubPr>
                <m:e>
                  <m:r>
                    <w:rPr>
                      <w:rFonts w:ascii="Cambria Math" w:hAnsi="Cambria Math" w:eastAsia="仿宋_GB2312"/>
                      <w:color w:val="000000" w:themeColor="text1"/>
                      <w:szCs w:val="21"/>
                      <w14:textFill>
                        <w14:solidFill>
                          <w14:schemeClr w14:val="tx1"/>
                        </w14:solidFill>
                      </w14:textFill>
                    </w:rPr>
                    <m:t>C</m:t>
                  </m:r>
                  <m:ctrlPr>
                    <w:rPr>
                      <w:rFonts w:ascii="Cambria Math" w:hAnsi="Cambria Math" w:eastAsia="仿宋_GB2312"/>
                      <w:bCs/>
                      <w:i/>
                      <w:color w:val="000000" w:themeColor="text1"/>
                      <w:szCs w:val="21"/>
                      <w14:textFill>
                        <w14:solidFill>
                          <w14:schemeClr w14:val="tx1"/>
                        </w14:solidFill>
                      </w14:textFill>
                    </w:rPr>
                  </m:ctrlPr>
                </m:e>
                <m:sub>
                  <m:r>
                    <m:rPr>
                      <m:sty m:val="p"/>
                    </m:rPr>
                    <w:rPr>
                      <w:rFonts w:hint="eastAsia" w:ascii="Cambria Math" w:hAnsi="Cambria Math" w:eastAsia="仿宋_GB2312"/>
                      <w:color w:val="000000" w:themeColor="text1"/>
                      <w:szCs w:val="21"/>
                      <w14:textFill>
                        <w14:solidFill>
                          <w14:schemeClr w14:val="tx1"/>
                        </w14:solidFill>
                      </w14:textFill>
                    </w:rPr>
                    <m:t>叠加</m:t>
                  </m:r>
                  <m:ctrlPr>
                    <w:rPr>
                      <w:rFonts w:ascii="Cambria Math" w:hAnsi="Cambria Math" w:eastAsia="仿宋_GB2312"/>
                      <w:bCs/>
                      <w:i/>
                      <w:color w:val="000000" w:themeColor="text1"/>
                      <w:szCs w:val="21"/>
                      <w14:textFill>
                        <w14:solidFill>
                          <w14:schemeClr w14:val="tx1"/>
                        </w14:solidFill>
                      </w14:textFill>
                    </w:rPr>
                  </m:ctrlPr>
                </m:sub>
              </m:sSub>
            </m:oMath>
            <w:r>
              <w:rPr>
                <w:rFonts w:hint="eastAsia" w:ascii="Calibri" w:hAnsi="Calibri" w:eastAsia="仿宋_GB2312"/>
                <w:bCs/>
                <w:color w:val="000000" w:themeColor="text1"/>
                <w:szCs w:val="21"/>
                <w14:textFill>
                  <w14:solidFill>
                    <w14:schemeClr w14:val="tx1"/>
                  </w14:solidFill>
                </w14:textFill>
              </w:rPr>
              <w:t>达标</w:t>
            </w:r>
            <w:r>
              <w:rPr>
                <w:rFonts w:ascii="Calibri" w:hAnsi="Calibri" w:eastAsia="仿宋_GB2312"/>
                <w:bCs/>
                <w:color w:val="000000" w:themeColor="text1"/>
                <w:szCs w:val="21"/>
                <w14:textFill>
                  <w14:solidFill>
                    <w14:schemeClr w14:val="tx1"/>
                  </w14:solidFill>
                </w14:textFill>
              </w:rPr>
              <w:t xml:space="preserve"> </w:t>
            </w:r>
            <w:r>
              <w:rPr>
                <w:rFonts w:hint="eastAsia" w:ascii="仿宋" w:hAnsi="仿宋" w:eastAsia="仿宋"/>
                <w:bCs/>
                <w:color w:val="000000" w:themeColor="text1"/>
                <w:szCs w:val="21"/>
                <w14:textFill>
                  <w14:solidFill>
                    <w14:schemeClr w14:val="tx1"/>
                  </w14:solidFill>
                </w14:textFill>
              </w:rPr>
              <w:t>□</w:t>
            </w:r>
          </w:p>
        </w:tc>
        <w:tc>
          <w:tcPr>
            <w:tcW w:w="3954" w:type="dxa"/>
            <w:gridSpan w:val="9"/>
            <w:tcBorders>
              <w:top w:val="single" w:color="auto" w:sz="6" w:space="0"/>
              <w:left w:val="single" w:color="auto" w:sz="6" w:space="0"/>
              <w:bottom w:val="single" w:color="auto" w:sz="6" w:space="0"/>
              <w:right w:val="single" w:color="auto" w:sz="12"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m:oMath>
              <m:sSub>
                <m:sSubPr>
                  <m:ctrlPr>
                    <w:rPr>
                      <w:rFonts w:ascii="Cambria Math" w:hAnsi="Cambria Math" w:eastAsia="仿宋_GB2312"/>
                      <w:bCs/>
                      <w:i/>
                      <w:color w:val="000000" w:themeColor="text1"/>
                      <w:szCs w:val="21"/>
                      <w14:textFill>
                        <w14:solidFill>
                          <w14:schemeClr w14:val="tx1"/>
                        </w14:solidFill>
                      </w14:textFill>
                    </w:rPr>
                  </m:ctrlPr>
                </m:sSubPr>
                <m:e>
                  <m:r>
                    <w:rPr>
                      <w:rFonts w:ascii="Cambria Math" w:hAnsi="Cambria Math" w:eastAsia="仿宋_GB2312"/>
                      <w:color w:val="000000" w:themeColor="text1"/>
                      <w:szCs w:val="21"/>
                      <w14:textFill>
                        <w14:solidFill>
                          <w14:schemeClr w14:val="tx1"/>
                        </w14:solidFill>
                      </w14:textFill>
                    </w:rPr>
                    <m:t>C</m:t>
                  </m:r>
                  <m:ctrlPr>
                    <w:rPr>
                      <w:rFonts w:ascii="Cambria Math" w:hAnsi="Cambria Math" w:eastAsia="仿宋_GB2312"/>
                      <w:bCs/>
                      <w:i/>
                      <w:color w:val="000000" w:themeColor="text1"/>
                      <w:szCs w:val="21"/>
                      <w14:textFill>
                        <w14:solidFill>
                          <w14:schemeClr w14:val="tx1"/>
                        </w14:solidFill>
                      </w14:textFill>
                    </w:rPr>
                  </m:ctrlPr>
                </m:e>
                <m:sub>
                  <m:r>
                    <m:rPr>
                      <m:sty m:val="p"/>
                    </m:rPr>
                    <w:rPr>
                      <w:rFonts w:hint="eastAsia" w:ascii="Cambria Math" w:hAnsi="Cambria Math" w:eastAsia="仿宋_GB2312"/>
                      <w:color w:val="000000" w:themeColor="text1"/>
                      <w:szCs w:val="21"/>
                      <w14:textFill>
                        <w14:solidFill>
                          <w14:schemeClr w14:val="tx1"/>
                        </w14:solidFill>
                      </w14:textFill>
                    </w:rPr>
                    <m:t>叠加</m:t>
                  </m:r>
                  <m:ctrlPr>
                    <w:rPr>
                      <w:rFonts w:ascii="Cambria Math" w:hAnsi="Cambria Math" w:eastAsia="仿宋_GB2312"/>
                      <w:bCs/>
                      <w:i/>
                      <w:color w:val="000000" w:themeColor="text1"/>
                      <w:szCs w:val="21"/>
                      <w14:textFill>
                        <w14:solidFill>
                          <w14:schemeClr w14:val="tx1"/>
                        </w14:solidFill>
                      </w14:textFill>
                    </w:rPr>
                  </m:ctrlPr>
                </m:sub>
              </m:sSub>
            </m:oMath>
            <w:r>
              <w:rPr>
                <w:rFonts w:hint="eastAsia" w:ascii="Calibri" w:hAnsi="Calibri" w:eastAsia="仿宋_GB2312"/>
                <w:bCs/>
                <w:color w:val="000000" w:themeColor="text1"/>
                <w:szCs w:val="21"/>
                <w14:textFill>
                  <w14:solidFill>
                    <w14:schemeClr w14:val="tx1"/>
                  </w14:solidFill>
                </w14:textFill>
              </w:rPr>
              <w:t>不达标</w:t>
            </w:r>
            <w:r>
              <w:rPr>
                <w:rFonts w:ascii="Calibri" w:hAnsi="Calibri" w:eastAsia="仿宋_GB2312"/>
                <w:bCs/>
                <w:color w:val="000000" w:themeColor="text1"/>
                <w:szCs w:val="21"/>
                <w14:textFill>
                  <w14:solidFill>
                    <w14:schemeClr w14:val="tx1"/>
                  </w14:solidFill>
                </w14:textFill>
              </w:rPr>
              <w:t xml:space="preserve"> </w:t>
            </w:r>
            <w:r>
              <w:rPr>
                <w:rFonts w:hint="eastAsia" w:ascii="仿宋" w:hAnsi="仿宋" w:eastAsia="仿宋"/>
                <w:bCs/>
                <w:color w:val="000000" w:themeColor="text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241" w:hRule="atLeast"/>
        </w:trPr>
        <w:tc>
          <w:tcPr>
            <w:tcW w:w="1153" w:type="dxa"/>
            <w:vMerge w:val="continue"/>
            <w:tcBorders>
              <w:top w:val="single" w:color="auto" w:sz="6" w:space="0"/>
              <w:left w:val="single" w:color="auto" w:sz="12" w:space="0"/>
              <w:bottom w:val="single" w:color="auto" w:sz="6" w:space="0"/>
              <w:right w:val="single" w:color="auto" w:sz="6" w:space="0"/>
            </w:tcBorders>
            <w:vAlign w:val="center"/>
          </w:tcPr>
          <w:p>
            <w:pPr>
              <w:widowControl/>
              <w:spacing w:beforeAutospacing="1" w:afterAutospacing="1"/>
              <w:jc w:val="left"/>
              <w:rPr>
                <w:rFonts w:ascii="Calibri" w:hAnsi="Calibri" w:eastAsia="仿宋_GB2312"/>
                <w:bCs/>
                <w:color w:val="000000" w:themeColor="text1"/>
                <w:szCs w:val="21"/>
                <w14:textFill>
                  <w14:solidFill>
                    <w14:schemeClr w14:val="tx1"/>
                  </w14:solidFill>
                </w14:textFill>
              </w:rPr>
            </w:pPr>
          </w:p>
        </w:tc>
        <w:tc>
          <w:tcPr>
            <w:tcW w:w="1984" w:type="dxa"/>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区域环境质量的整体变化情况</w:t>
            </w:r>
          </w:p>
        </w:tc>
        <w:tc>
          <w:tcPr>
            <w:tcW w:w="3542" w:type="dxa"/>
            <w:gridSpan w:val="10"/>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ascii="Calibri" w:hAnsi="Calibri" w:eastAsia="仿宋_GB2312"/>
                <w:bCs/>
                <w:i/>
                <w:color w:val="000000" w:themeColor="text1"/>
                <w:szCs w:val="21"/>
                <w14:textFill>
                  <w14:solidFill>
                    <w14:schemeClr w14:val="tx1"/>
                  </w14:solidFill>
                </w14:textFill>
              </w:rPr>
              <w:t xml:space="preserve">k </w:t>
            </w:r>
            <w:r>
              <w:rPr>
                <w:rFonts w:hint="eastAsia" w:ascii="仿宋" w:hAnsi="仿宋" w:eastAsia="仿宋"/>
                <w:bCs/>
                <w:color w:val="000000" w:themeColor="text1"/>
                <w:szCs w:val="21"/>
                <w14:textFill>
                  <w14:solidFill>
                    <w14:schemeClr w14:val="tx1"/>
                  </w14:solidFill>
                </w14:textFill>
              </w:rPr>
              <w:t>≤</w:t>
            </w:r>
            <w:r>
              <w:rPr>
                <w:rFonts w:ascii="Calibri" w:hAnsi="Calibri" w:eastAsia="仿宋_GB2312"/>
                <w:bCs/>
                <w:color w:val="000000" w:themeColor="text1"/>
                <w:szCs w:val="21"/>
                <w14:textFill>
                  <w14:solidFill>
                    <w14:schemeClr w14:val="tx1"/>
                  </w14:solidFill>
                </w14:textFill>
              </w:rPr>
              <w:t xml:space="preserve">-20% </w:t>
            </w:r>
            <w:r>
              <w:rPr>
                <w:rFonts w:hint="eastAsia" w:ascii="仿宋" w:hAnsi="仿宋" w:eastAsia="仿宋"/>
                <w:bCs/>
                <w:color w:val="000000" w:themeColor="text1"/>
                <w:szCs w:val="21"/>
                <w14:textFill>
                  <w14:solidFill>
                    <w14:schemeClr w14:val="tx1"/>
                  </w14:solidFill>
                </w14:textFill>
              </w:rPr>
              <w:t>□</w:t>
            </w:r>
          </w:p>
        </w:tc>
        <w:tc>
          <w:tcPr>
            <w:tcW w:w="3954" w:type="dxa"/>
            <w:gridSpan w:val="9"/>
            <w:tcBorders>
              <w:top w:val="single" w:color="auto" w:sz="6" w:space="0"/>
              <w:left w:val="single" w:color="auto" w:sz="6" w:space="0"/>
              <w:bottom w:val="single" w:color="auto" w:sz="6" w:space="0"/>
              <w:right w:val="single" w:color="auto" w:sz="12"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ascii="Calibri" w:hAnsi="Calibri" w:eastAsia="仿宋_GB2312"/>
                <w:bCs/>
                <w:i/>
                <w:color w:val="000000" w:themeColor="text1"/>
                <w:szCs w:val="21"/>
                <w14:textFill>
                  <w14:solidFill>
                    <w14:schemeClr w14:val="tx1"/>
                  </w14:solidFill>
                </w14:textFill>
              </w:rPr>
              <w:t>k</w:t>
            </w:r>
            <w:r>
              <w:rPr>
                <w:rFonts w:ascii="Calibri" w:hAnsi="Calibri" w:eastAsia="仿宋_GB2312"/>
                <w:bCs/>
                <w:color w:val="000000" w:themeColor="text1"/>
                <w:szCs w:val="21"/>
                <w14:textFill>
                  <w14:solidFill>
                    <w14:schemeClr w14:val="tx1"/>
                  </w14:solidFill>
                </w14:textFill>
              </w:rPr>
              <w:t xml:space="preserve"> </w:t>
            </w:r>
            <w:r>
              <w:rPr>
                <w:rFonts w:hint="eastAsia" w:ascii="仿宋" w:hAnsi="仿宋" w:eastAsia="仿宋"/>
                <w:bCs/>
                <w:color w:val="000000" w:themeColor="text1"/>
                <w:szCs w:val="21"/>
                <w14:textFill>
                  <w14:solidFill>
                    <w14:schemeClr w14:val="tx1"/>
                  </w14:solidFill>
                </w14:textFill>
              </w:rPr>
              <w:t>＞</w:t>
            </w:r>
            <w:r>
              <w:rPr>
                <w:rFonts w:ascii="Calibri" w:hAnsi="Calibri" w:eastAsia="仿宋_GB2312"/>
                <w:bCs/>
                <w:color w:val="000000" w:themeColor="text1"/>
                <w:szCs w:val="21"/>
                <w14:textFill>
                  <w14:solidFill>
                    <w14:schemeClr w14:val="tx1"/>
                  </w14:solidFill>
                </w14:textFill>
              </w:rPr>
              <w:t xml:space="preserve">-20% </w:t>
            </w:r>
            <w:r>
              <w:rPr>
                <w:rFonts w:hint="eastAsia" w:ascii="仿宋" w:hAnsi="仿宋" w:eastAsia="仿宋"/>
                <w:bCs/>
                <w:color w:val="000000" w:themeColor="text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241" w:hRule="atLeast"/>
        </w:trPr>
        <w:tc>
          <w:tcPr>
            <w:tcW w:w="1153" w:type="dxa"/>
            <w:vMerge w:val="restart"/>
            <w:tcBorders>
              <w:top w:val="single" w:color="auto" w:sz="6" w:space="0"/>
              <w:left w:val="single" w:color="auto" w:sz="12"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环境监测</w:t>
            </w:r>
            <w:r>
              <w:rPr>
                <w:rFonts w:ascii="Calibri" w:hAnsi="Calibri" w:eastAsia="仿宋_GB2312"/>
                <w:bCs/>
                <w:color w:val="000000" w:themeColor="text1"/>
                <w:szCs w:val="21"/>
                <w14:textFill>
                  <w14:solidFill>
                    <w14:schemeClr w14:val="tx1"/>
                  </w14:solidFill>
                </w14:textFill>
              </w:rPr>
              <w:br w:type="textWrapping"/>
            </w:r>
            <w:r>
              <w:rPr>
                <w:rFonts w:hint="eastAsia" w:ascii="Calibri" w:hAnsi="Calibri" w:eastAsia="仿宋_GB2312"/>
                <w:bCs/>
                <w:color w:val="000000" w:themeColor="text1"/>
                <w:szCs w:val="21"/>
                <w14:textFill>
                  <w14:solidFill>
                    <w14:schemeClr w14:val="tx1"/>
                  </w14:solidFill>
                </w14:textFill>
              </w:rPr>
              <w:t>计划</w:t>
            </w:r>
          </w:p>
        </w:tc>
        <w:tc>
          <w:tcPr>
            <w:tcW w:w="1984" w:type="dxa"/>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污染源监测</w:t>
            </w:r>
          </w:p>
        </w:tc>
        <w:tc>
          <w:tcPr>
            <w:tcW w:w="3283" w:type="dxa"/>
            <w:gridSpan w:val="8"/>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监测因子：（VOCs、二甲苯、SO</w:t>
            </w:r>
            <w:r>
              <w:rPr>
                <w:rFonts w:ascii="Calibri" w:hAnsi="Calibri" w:eastAsia="仿宋_GB2312"/>
                <w:bCs/>
                <w:color w:val="000000" w:themeColor="text1"/>
                <w:szCs w:val="21"/>
                <w:vertAlign w:val="subscript"/>
                <w14:textFill>
                  <w14:solidFill>
                    <w14:schemeClr w14:val="tx1"/>
                  </w14:solidFill>
                </w14:textFill>
              </w:rPr>
              <w:t>2</w:t>
            </w:r>
            <w:r>
              <w:rPr>
                <w:rFonts w:ascii="Calibri" w:hAnsi="Calibri" w:eastAsia="仿宋_GB2312"/>
                <w:bCs/>
                <w:color w:val="000000" w:themeColor="text1"/>
                <w:szCs w:val="21"/>
                <w14:textFill>
                  <w14:solidFill>
                    <w14:schemeClr w14:val="tx1"/>
                  </w14:solidFill>
                </w14:textFill>
              </w:rPr>
              <w:t>、NOx</w:t>
            </w:r>
            <w:r>
              <w:rPr>
                <w:rFonts w:hint="eastAsia" w:ascii="Calibri" w:hAnsi="Calibri" w:eastAsia="仿宋_GB2312"/>
                <w:bCs/>
                <w:color w:val="000000" w:themeColor="text1"/>
                <w:szCs w:val="21"/>
                <w14:textFill>
                  <w14:solidFill>
                    <w14:schemeClr w14:val="tx1"/>
                  </w14:solidFill>
                </w14:textFill>
              </w:rPr>
              <w:t>、颗粒物）</w:t>
            </w:r>
          </w:p>
        </w:tc>
        <w:tc>
          <w:tcPr>
            <w:tcW w:w="2792" w:type="dxa"/>
            <w:gridSpan w:val="9"/>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有组织废气监测</w:t>
            </w:r>
            <w:r>
              <w:rPr>
                <w:rFonts w:ascii="Calibri" w:hAnsi="Calibri" w:eastAsia="仿宋_GB2312"/>
                <w:bCs/>
                <w:color w:val="000000" w:themeColor="text1"/>
                <w:szCs w:val="21"/>
                <w14:textFill>
                  <w14:solidFill>
                    <w14:schemeClr w14:val="tx1"/>
                  </w14:solidFill>
                </w14:textFill>
              </w:rPr>
              <w:t xml:space="preserve"> </w:t>
            </w:r>
            <w:r>
              <w:rPr>
                <w:rFonts w:hint="eastAsia" w:ascii="仿宋" w:hAnsi="仿宋" w:eastAsia="仿宋"/>
                <w:bCs/>
                <w:color w:val="000000" w:themeColor="text1"/>
                <w:szCs w:val="21"/>
                <w14:textFill>
                  <w14:solidFill>
                    <w14:schemeClr w14:val="tx1"/>
                  </w14:solidFill>
                </w14:textFill>
              </w:rPr>
              <w:t>□</w:t>
            </w:r>
            <w:r>
              <w:rPr>
                <w:rFonts w:ascii="Calibri" w:hAnsi="Calibri" w:eastAsia="仿宋_GB2312"/>
                <w:bCs/>
                <w:color w:val="000000" w:themeColor="text1"/>
                <w:szCs w:val="21"/>
                <w14:textFill>
                  <w14:solidFill>
                    <w14:schemeClr w14:val="tx1"/>
                  </w14:solidFill>
                </w14:textFill>
              </w:rPr>
              <w:t xml:space="preserve">    </w:t>
            </w:r>
            <w:r>
              <w:rPr>
                <w:rFonts w:ascii="Calibri" w:hAnsi="Calibri" w:eastAsia="仿宋_GB2312"/>
                <w:bCs/>
                <w:color w:val="000000" w:themeColor="text1"/>
                <w:szCs w:val="21"/>
                <w14:textFill>
                  <w14:solidFill>
                    <w14:schemeClr w14:val="tx1"/>
                  </w14:solidFill>
                </w14:textFill>
              </w:rPr>
              <w:br w:type="textWrapping"/>
            </w:r>
            <w:r>
              <w:rPr>
                <w:rFonts w:hint="eastAsia" w:ascii="Calibri" w:hAnsi="Calibri" w:eastAsia="仿宋_GB2312"/>
                <w:bCs/>
                <w:color w:val="000000" w:themeColor="text1"/>
                <w:szCs w:val="21"/>
                <w14:textFill>
                  <w14:solidFill>
                    <w14:schemeClr w14:val="tx1"/>
                  </w14:solidFill>
                </w14:textFill>
              </w:rPr>
              <w:t>无组织废气监测</w:t>
            </w:r>
            <w:r>
              <w:rPr>
                <w:rFonts w:ascii="Calibri" w:hAnsi="Calibri" w:eastAsia="仿宋_GB2312"/>
                <w:bCs/>
                <w:color w:val="000000" w:themeColor="text1"/>
                <w:szCs w:val="21"/>
                <w14:textFill>
                  <w14:solidFill>
                    <w14:schemeClr w14:val="tx1"/>
                  </w14:solidFill>
                </w14:textFill>
              </w:rPr>
              <w:t xml:space="preserve"> </w:t>
            </w:r>
            <w:r>
              <w:rPr>
                <w:rFonts w:hint="eastAsia" w:ascii="仿宋" w:hAnsi="仿宋" w:eastAsia="仿宋"/>
                <w:bCs/>
                <w:color w:val="000000" w:themeColor="text1"/>
                <w:szCs w:val="21"/>
                <w14:textFill>
                  <w14:solidFill>
                    <w14:schemeClr w14:val="tx1"/>
                  </w14:solidFill>
                </w14:textFill>
              </w:rPr>
              <w:t>□</w:t>
            </w:r>
          </w:p>
        </w:tc>
        <w:tc>
          <w:tcPr>
            <w:tcW w:w="1421" w:type="dxa"/>
            <w:gridSpan w:val="2"/>
            <w:tcBorders>
              <w:top w:val="single" w:color="auto" w:sz="6" w:space="0"/>
              <w:left w:val="single" w:color="auto" w:sz="6" w:space="0"/>
              <w:bottom w:val="single" w:color="auto" w:sz="6" w:space="0"/>
              <w:right w:val="single" w:color="auto" w:sz="12"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无监测</w:t>
            </w:r>
            <w:r>
              <w:rPr>
                <w:rFonts w:hint="eastAsia" w:ascii="仿宋" w:hAnsi="仿宋" w:eastAsia="仿宋"/>
                <w:bCs/>
                <w:color w:val="000000" w:themeColor="text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241" w:hRule="atLeast"/>
        </w:trPr>
        <w:tc>
          <w:tcPr>
            <w:tcW w:w="1153" w:type="dxa"/>
            <w:vMerge w:val="continue"/>
            <w:tcBorders>
              <w:top w:val="single" w:color="auto" w:sz="6" w:space="0"/>
              <w:left w:val="single" w:color="auto" w:sz="12" w:space="0"/>
              <w:bottom w:val="single" w:color="auto" w:sz="6" w:space="0"/>
              <w:right w:val="single" w:color="auto" w:sz="6" w:space="0"/>
            </w:tcBorders>
            <w:vAlign w:val="center"/>
          </w:tcPr>
          <w:p>
            <w:pPr>
              <w:widowControl/>
              <w:spacing w:beforeAutospacing="1" w:afterAutospacing="1"/>
              <w:jc w:val="left"/>
              <w:rPr>
                <w:rFonts w:ascii="Calibri" w:hAnsi="Calibri" w:eastAsia="仿宋_GB2312"/>
                <w:bCs/>
                <w:color w:val="000000" w:themeColor="text1"/>
                <w:szCs w:val="21"/>
                <w14:textFill>
                  <w14:solidFill>
                    <w14:schemeClr w14:val="tx1"/>
                  </w14:solidFill>
                </w14:textFill>
              </w:rPr>
            </w:pPr>
          </w:p>
        </w:tc>
        <w:tc>
          <w:tcPr>
            <w:tcW w:w="1984" w:type="dxa"/>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环境质量监测</w:t>
            </w:r>
          </w:p>
        </w:tc>
        <w:tc>
          <w:tcPr>
            <w:tcW w:w="3283" w:type="dxa"/>
            <w:gridSpan w:val="8"/>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监测因子：（SO</w:t>
            </w:r>
            <w:r>
              <w:rPr>
                <w:rFonts w:ascii="Calibri" w:hAnsi="Calibri" w:eastAsia="仿宋_GB2312"/>
                <w:bCs/>
                <w:color w:val="000000" w:themeColor="text1"/>
                <w:szCs w:val="21"/>
                <w:vertAlign w:val="subscript"/>
                <w14:textFill>
                  <w14:solidFill>
                    <w14:schemeClr w14:val="tx1"/>
                  </w14:solidFill>
                </w14:textFill>
              </w:rPr>
              <w:t>2</w:t>
            </w:r>
            <w:r>
              <w:rPr>
                <w:rFonts w:ascii="Calibri" w:hAnsi="Calibri" w:eastAsia="仿宋_GB2312"/>
                <w:bCs/>
                <w:color w:val="000000" w:themeColor="text1"/>
                <w:szCs w:val="21"/>
                <w14:textFill>
                  <w14:solidFill>
                    <w14:schemeClr w14:val="tx1"/>
                  </w14:solidFill>
                </w14:textFill>
              </w:rPr>
              <w:t>、NOx</w:t>
            </w:r>
            <w:r>
              <w:rPr>
                <w:rFonts w:hint="eastAsia" w:ascii="Calibri" w:hAnsi="Calibri" w:eastAsia="仿宋_GB2312"/>
                <w:bCs/>
                <w:color w:val="000000" w:themeColor="text1"/>
                <w:szCs w:val="21"/>
                <w14:textFill>
                  <w14:solidFill>
                    <w14:schemeClr w14:val="tx1"/>
                  </w14:solidFill>
                </w14:textFill>
              </w:rPr>
              <w:t>、TSP、PM</w:t>
            </w:r>
            <w:r>
              <w:rPr>
                <w:rFonts w:ascii="Calibri" w:hAnsi="Calibri" w:eastAsia="仿宋_GB2312"/>
                <w:bCs/>
                <w:color w:val="000000" w:themeColor="text1"/>
                <w:szCs w:val="21"/>
                <w:vertAlign w:val="subscript"/>
                <w14:textFill>
                  <w14:solidFill>
                    <w14:schemeClr w14:val="tx1"/>
                  </w14:solidFill>
                </w14:textFill>
              </w:rPr>
              <w:t>10</w:t>
            </w:r>
            <w:r>
              <w:rPr>
                <w:rFonts w:hint="eastAsia" w:ascii="Calibri" w:hAnsi="Calibri" w:eastAsia="仿宋_GB2312"/>
                <w:bCs/>
                <w:color w:val="000000" w:themeColor="text1"/>
                <w:szCs w:val="21"/>
                <w14:textFill>
                  <w14:solidFill>
                    <w14:schemeClr w14:val="tx1"/>
                  </w14:solidFill>
                </w14:textFill>
              </w:rPr>
              <w:t>、PM</w:t>
            </w:r>
            <w:r>
              <w:rPr>
                <w:rFonts w:hint="eastAsia" w:ascii="Calibri" w:hAnsi="Calibri" w:eastAsia="仿宋_GB2312"/>
                <w:bCs/>
                <w:color w:val="000000" w:themeColor="text1"/>
                <w:szCs w:val="21"/>
                <w:vertAlign w:val="subscript"/>
                <w14:textFill>
                  <w14:solidFill>
                    <w14:schemeClr w14:val="tx1"/>
                  </w14:solidFill>
                </w14:textFill>
              </w:rPr>
              <w:t>2.5</w:t>
            </w:r>
            <w:r>
              <w:rPr>
                <w:rFonts w:hint="eastAsia" w:ascii="Calibri" w:hAnsi="Calibri" w:eastAsia="仿宋_GB2312"/>
                <w:bCs/>
                <w:color w:val="000000" w:themeColor="text1"/>
                <w:szCs w:val="21"/>
                <w14:textFill>
                  <w14:solidFill>
                    <w14:schemeClr w14:val="tx1"/>
                  </w14:solidFill>
                </w14:textFill>
              </w:rPr>
              <w:t>）</w:t>
            </w:r>
          </w:p>
        </w:tc>
        <w:tc>
          <w:tcPr>
            <w:tcW w:w="2792" w:type="dxa"/>
            <w:gridSpan w:val="9"/>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监测点位数（</w:t>
            </w:r>
            <w:r>
              <w:rPr>
                <w:rFonts w:ascii="Calibri" w:hAnsi="Calibri" w:eastAsia="仿宋_GB2312"/>
                <w:bCs/>
                <w:color w:val="000000" w:themeColor="text1"/>
                <w:szCs w:val="21"/>
                <w14:textFill>
                  <w14:solidFill>
                    <w14:schemeClr w14:val="tx1"/>
                  </w14:solidFill>
                </w14:textFill>
              </w:rPr>
              <w:t xml:space="preserve">     </w:t>
            </w:r>
            <w:r>
              <w:rPr>
                <w:rFonts w:hint="eastAsia" w:ascii="Calibri" w:hAnsi="Calibri" w:eastAsia="仿宋_GB2312"/>
                <w:bCs/>
                <w:color w:val="000000" w:themeColor="text1"/>
                <w:szCs w:val="21"/>
                <w14:textFill>
                  <w14:solidFill>
                    <w14:schemeClr w14:val="tx1"/>
                  </w14:solidFill>
                </w14:textFill>
              </w:rPr>
              <w:t>）</w:t>
            </w:r>
          </w:p>
        </w:tc>
        <w:tc>
          <w:tcPr>
            <w:tcW w:w="1421" w:type="dxa"/>
            <w:gridSpan w:val="2"/>
            <w:tcBorders>
              <w:top w:val="single" w:color="auto" w:sz="6" w:space="0"/>
              <w:left w:val="single" w:color="auto" w:sz="6" w:space="0"/>
              <w:bottom w:val="single" w:color="auto" w:sz="6" w:space="0"/>
              <w:right w:val="single" w:color="auto" w:sz="12"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无监测</w:t>
            </w:r>
            <w:r>
              <w:rPr>
                <w:rFonts w:hint="eastAsia" w:ascii="仿宋" w:hAnsi="仿宋" w:eastAsia="仿宋"/>
                <w:bCs/>
                <w:color w:val="000000" w:themeColor="text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94" w:hRule="atLeast"/>
        </w:trPr>
        <w:tc>
          <w:tcPr>
            <w:tcW w:w="1153" w:type="dxa"/>
            <w:vMerge w:val="restart"/>
            <w:tcBorders>
              <w:top w:val="single" w:color="auto" w:sz="6" w:space="0"/>
              <w:left w:val="single" w:color="auto" w:sz="12"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评价结论</w:t>
            </w:r>
          </w:p>
        </w:tc>
        <w:tc>
          <w:tcPr>
            <w:tcW w:w="1984" w:type="dxa"/>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环境影响</w:t>
            </w:r>
          </w:p>
        </w:tc>
        <w:tc>
          <w:tcPr>
            <w:tcW w:w="7496" w:type="dxa"/>
            <w:gridSpan w:val="19"/>
            <w:tcBorders>
              <w:top w:val="single" w:color="auto" w:sz="6" w:space="0"/>
              <w:left w:val="single" w:color="auto" w:sz="6" w:space="0"/>
              <w:bottom w:val="single" w:color="auto" w:sz="6" w:space="0"/>
              <w:right w:val="single" w:color="auto" w:sz="12"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可以接受</w:t>
            </w:r>
            <w:r>
              <w:rPr>
                <w:rFonts w:ascii="Calibri" w:hAnsi="Calibri" w:eastAsia="仿宋_GB2312"/>
                <w:bCs/>
                <w:color w:val="000000" w:themeColor="text1"/>
                <w:szCs w:val="21"/>
                <w14:textFill>
                  <w14:solidFill>
                    <w14:schemeClr w14:val="tx1"/>
                  </w14:solidFill>
                </w14:textFill>
              </w:rPr>
              <w:t xml:space="preserve"> </w:t>
            </w:r>
            <w:r>
              <w:rPr>
                <w:rFonts w:hint="eastAsia" w:ascii="仿宋" w:hAnsi="仿宋" w:eastAsia="仿宋"/>
                <w:bCs/>
                <w:color w:val="000000" w:themeColor="text1"/>
                <w:szCs w:val="21"/>
                <w14:textFill>
                  <w14:solidFill>
                    <w14:schemeClr w14:val="tx1"/>
                  </w14:solidFill>
                </w14:textFill>
              </w:rPr>
              <w:t>√</w:t>
            </w:r>
            <w:r>
              <w:rPr>
                <w:rFonts w:ascii="Calibri" w:hAnsi="Calibri" w:eastAsia="仿宋_GB2312"/>
                <w:bCs/>
                <w:color w:val="000000" w:themeColor="text1"/>
                <w:szCs w:val="21"/>
                <w14:textFill>
                  <w14:solidFill>
                    <w14:schemeClr w14:val="tx1"/>
                  </w14:solidFill>
                </w14:textFill>
              </w:rPr>
              <w:t xml:space="preserve">       </w:t>
            </w:r>
            <w:r>
              <w:rPr>
                <w:rFonts w:hint="eastAsia" w:ascii="Calibri" w:hAnsi="Calibri" w:eastAsia="仿宋_GB2312"/>
                <w:bCs/>
                <w:color w:val="000000" w:themeColor="text1"/>
                <w:szCs w:val="21"/>
                <w14:textFill>
                  <w14:solidFill>
                    <w14:schemeClr w14:val="tx1"/>
                  </w14:solidFill>
                </w14:textFill>
              </w:rPr>
              <w:t>不可以接受</w:t>
            </w:r>
            <w:r>
              <w:rPr>
                <w:rFonts w:ascii="Calibri" w:hAnsi="Calibri" w:eastAsia="仿宋_GB2312"/>
                <w:bCs/>
                <w:color w:val="000000" w:themeColor="text1"/>
                <w:szCs w:val="21"/>
                <w14:textFill>
                  <w14:solidFill>
                    <w14:schemeClr w14:val="tx1"/>
                  </w14:solidFill>
                </w14:textFill>
              </w:rPr>
              <w:t xml:space="preserve"> </w:t>
            </w:r>
            <w:r>
              <w:rPr>
                <w:rFonts w:hint="eastAsia" w:ascii="仿宋" w:hAnsi="仿宋" w:eastAsia="仿宋"/>
                <w:bCs/>
                <w:color w:val="000000" w:themeColor="text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98" w:hRule="atLeast"/>
        </w:trPr>
        <w:tc>
          <w:tcPr>
            <w:tcW w:w="1153" w:type="dxa"/>
            <w:vMerge w:val="continue"/>
            <w:tcBorders>
              <w:top w:val="single" w:color="auto" w:sz="6" w:space="0"/>
              <w:left w:val="single" w:color="auto" w:sz="12" w:space="0"/>
              <w:bottom w:val="single" w:color="auto" w:sz="6" w:space="0"/>
              <w:right w:val="single" w:color="auto" w:sz="6" w:space="0"/>
            </w:tcBorders>
            <w:vAlign w:val="center"/>
          </w:tcPr>
          <w:p>
            <w:pPr>
              <w:widowControl/>
              <w:spacing w:beforeAutospacing="1" w:afterAutospacing="1"/>
              <w:jc w:val="left"/>
              <w:rPr>
                <w:rFonts w:ascii="Calibri" w:hAnsi="Calibri" w:eastAsia="仿宋_GB2312"/>
                <w:bCs/>
                <w:color w:val="000000" w:themeColor="text1"/>
                <w:szCs w:val="21"/>
                <w14:textFill>
                  <w14:solidFill>
                    <w14:schemeClr w14:val="tx1"/>
                  </w14:solidFill>
                </w14:textFill>
              </w:rPr>
            </w:pPr>
          </w:p>
        </w:tc>
        <w:tc>
          <w:tcPr>
            <w:tcW w:w="1984" w:type="dxa"/>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大气环境防护距离</w:t>
            </w:r>
          </w:p>
        </w:tc>
        <w:tc>
          <w:tcPr>
            <w:tcW w:w="7496" w:type="dxa"/>
            <w:gridSpan w:val="19"/>
            <w:tcBorders>
              <w:top w:val="single" w:color="auto" w:sz="6" w:space="0"/>
              <w:left w:val="single" w:color="auto" w:sz="6" w:space="0"/>
              <w:bottom w:val="single" w:color="auto" w:sz="6" w:space="0"/>
              <w:right w:val="single" w:color="auto" w:sz="12"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距（</w:t>
            </w:r>
            <w:r>
              <w:rPr>
                <w:rFonts w:ascii="Calibri" w:hAnsi="Calibri" w:eastAsia="仿宋_GB2312"/>
                <w:bCs/>
                <w:color w:val="000000" w:themeColor="text1"/>
                <w:szCs w:val="21"/>
                <w14:textFill>
                  <w14:solidFill>
                    <w14:schemeClr w14:val="tx1"/>
                  </w14:solidFill>
                </w14:textFill>
              </w:rPr>
              <w:t xml:space="preserve">     </w:t>
            </w:r>
            <w:r>
              <w:rPr>
                <w:rFonts w:hint="eastAsia" w:ascii="Calibri" w:hAnsi="Calibri" w:eastAsia="仿宋_GB2312"/>
                <w:bCs/>
                <w:color w:val="000000" w:themeColor="text1"/>
                <w:szCs w:val="21"/>
                <w14:textFill>
                  <w14:solidFill>
                    <w14:schemeClr w14:val="tx1"/>
                  </w14:solidFill>
                </w14:textFill>
              </w:rPr>
              <w:t>）厂界最远（</w:t>
            </w:r>
            <w:r>
              <w:rPr>
                <w:rFonts w:ascii="Calibri" w:hAnsi="Calibri" w:eastAsia="仿宋_GB2312"/>
                <w:bCs/>
                <w:color w:val="000000" w:themeColor="text1"/>
                <w:szCs w:val="21"/>
                <w14:textFill>
                  <w14:solidFill>
                    <w14:schemeClr w14:val="tx1"/>
                  </w14:solidFill>
                </w14:textFill>
              </w:rPr>
              <w:t xml:space="preserve">     </w:t>
            </w:r>
            <w:r>
              <w:rPr>
                <w:rFonts w:hint="eastAsia" w:ascii="Calibri" w:hAnsi="Calibri" w:eastAsia="仿宋_GB2312"/>
                <w:bCs/>
                <w:color w:val="000000" w:themeColor="text1"/>
                <w:szCs w:val="21"/>
                <w14:textFill>
                  <w14:solidFill>
                    <w14:schemeClr w14:val="tx1"/>
                  </w14:solidFill>
                </w14:textFill>
              </w:rPr>
              <w:t>）</w:t>
            </w:r>
            <w:r>
              <w:rPr>
                <w:rFonts w:ascii="Calibri" w:hAnsi="Calibri" w:eastAsia="仿宋_GB2312"/>
                <w:bCs/>
                <w:color w:val="000000" w:themeColor="text1"/>
                <w:szCs w:val="21"/>
                <w14:textFill>
                  <w14:solidFill>
                    <w14:schemeClr w14:val="tx1"/>
                  </w14:solidFill>
                </w14:textFill>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241" w:hRule="atLeast"/>
        </w:trPr>
        <w:tc>
          <w:tcPr>
            <w:tcW w:w="1153" w:type="dxa"/>
            <w:vMerge w:val="continue"/>
            <w:tcBorders>
              <w:top w:val="single" w:color="auto" w:sz="6" w:space="0"/>
              <w:left w:val="single" w:color="auto" w:sz="12" w:space="0"/>
              <w:bottom w:val="single" w:color="auto" w:sz="6" w:space="0"/>
              <w:right w:val="single" w:color="auto" w:sz="6" w:space="0"/>
            </w:tcBorders>
            <w:vAlign w:val="center"/>
          </w:tcPr>
          <w:p>
            <w:pPr>
              <w:widowControl/>
              <w:spacing w:beforeAutospacing="1" w:afterAutospacing="1"/>
              <w:jc w:val="left"/>
              <w:rPr>
                <w:rFonts w:ascii="Calibri" w:hAnsi="Calibri" w:eastAsia="仿宋_GB2312"/>
                <w:bCs/>
                <w:color w:val="000000" w:themeColor="text1"/>
                <w:szCs w:val="21"/>
                <w14:textFill>
                  <w14:solidFill>
                    <w14:schemeClr w14:val="tx1"/>
                  </w14:solidFill>
                </w14:textFill>
              </w:rPr>
            </w:pPr>
          </w:p>
        </w:tc>
        <w:tc>
          <w:tcPr>
            <w:tcW w:w="1984" w:type="dxa"/>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污染源年排放量</w:t>
            </w:r>
          </w:p>
        </w:tc>
        <w:tc>
          <w:tcPr>
            <w:tcW w:w="2026" w:type="dxa"/>
            <w:gridSpan w:val="4"/>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ascii="Calibri" w:hAnsi="Calibri" w:eastAsia="仿宋_GB2312"/>
                <w:bCs/>
                <w:color w:val="000000" w:themeColor="text1"/>
                <w:szCs w:val="21"/>
                <w14:textFill>
                  <w14:solidFill>
                    <w14:schemeClr w14:val="tx1"/>
                  </w14:solidFill>
                </w14:textFill>
              </w:rPr>
              <w:t>SO</w:t>
            </w:r>
            <w:r>
              <w:rPr>
                <w:rFonts w:ascii="Calibri" w:hAnsi="Calibri" w:eastAsia="仿宋_GB2312"/>
                <w:bCs/>
                <w:color w:val="000000" w:themeColor="text1"/>
                <w:szCs w:val="21"/>
                <w:vertAlign w:val="subscript"/>
                <w14:textFill>
                  <w14:solidFill>
                    <w14:schemeClr w14:val="tx1"/>
                  </w14:solidFill>
                </w14:textFill>
              </w:rPr>
              <w:t>2</w:t>
            </w:r>
            <w:r>
              <w:rPr>
                <w:rFonts w:ascii="Calibri" w:hAnsi="Calibri" w:eastAsia="仿宋_GB2312"/>
                <w:bCs/>
                <w:color w:val="000000" w:themeColor="text1"/>
                <w:szCs w:val="21"/>
                <w14:textFill>
                  <w14:solidFill>
                    <w14:schemeClr w14:val="tx1"/>
                  </w14:solidFill>
                </w14:textFill>
              </w:rPr>
              <w:t>:</w:t>
            </w:r>
            <w:r>
              <w:rPr>
                <w:rFonts w:hint="eastAsia" w:ascii="Calibri" w:hAnsi="Calibri" w:eastAsia="仿宋_GB2312"/>
                <w:bCs/>
                <w:color w:val="000000" w:themeColor="text1"/>
                <w:szCs w:val="21"/>
                <w14:textFill>
                  <w14:solidFill>
                    <w14:schemeClr w14:val="tx1"/>
                  </w14:solidFill>
                </w14:textFill>
              </w:rPr>
              <w:t>（</w:t>
            </w:r>
            <w:r>
              <w:rPr>
                <w:rFonts w:ascii="Calibri" w:hAnsi="Calibri"/>
                <w:color w:val="000000"/>
                <w:szCs w:val="21"/>
              </w:rPr>
              <w:t>0</w:t>
            </w:r>
            <w:r>
              <w:rPr>
                <w:rFonts w:hint="eastAsia" w:ascii="Calibri" w:hAnsi="Calibri" w:eastAsia="仿宋_GB2312"/>
                <w:bCs/>
                <w:color w:val="000000" w:themeColor="text1"/>
                <w:szCs w:val="21"/>
                <w14:textFill>
                  <w14:solidFill>
                    <w14:schemeClr w14:val="tx1"/>
                  </w14:solidFill>
                </w14:textFill>
              </w:rPr>
              <w:t>）</w:t>
            </w:r>
            <w:r>
              <w:rPr>
                <w:rFonts w:ascii="Calibri" w:hAnsi="Calibri" w:eastAsia="仿宋_GB2312"/>
                <w:bCs/>
                <w:color w:val="000000" w:themeColor="text1"/>
                <w:szCs w:val="21"/>
                <w14:textFill>
                  <w14:solidFill>
                    <w14:schemeClr w14:val="tx1"/>
                  </w14:solidFill>
                </w14:textFill>
              </w:rPr>
              <w:t>t/a</w:t>
            </w:r>
          </w:p>
        </w:tc>
        <w:tc>
          <w:tcPr>
            <w:tcW w:w="2122" w:type="dxa"/>
            <w:gridSpan w:val="7"/>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ascii="Calibri" w:hAnsi="Calibri" w:eastAsia="仿宋_GB2312"/>
                <w:bCs/>
                <w:color w:val="000000" w:themeColor="text1"/>
                <w:szCs w:val="21"/>
                <w14:textFill>
                  <w14:solidFill>
                    <w14:schemeClr w14:val="tx1"/>
                  </w14:solidFill>
                </w14:textFill>
              </w:rPr>
              <w:t>NO</w:t>
            </w:r>
            <w:r>
              <w:rPr>
                <w:rFonts w:ascii="Calibri" w:hAnsi="Calibri" w:eastAsia="仿宋_GB2312"/>
                <w:bCs/>
                <w:color w:val="000000" w:themeColor="text1"/>
                <w:szCs w:val="21"/>
                <w:vertAlign w:val="subscript"/>
                <w14:textFill>
                  <w14:solidFill>
                    <w14:schemeClr w14:val="tx1"/>
                  </w14:solidFill>
                </w14:textFill>
              </w:rPr>
              <w:t>x</w:t>
            </w:r>
            <w:r>
              <w:rPr>
                <w:rFonts w:ascii="Calibri" w:hAnsi="Calibri" w:eastAsia="仿宋_GB2312"/>
                <w:bCs/>
                <w:color w:val="000000" w:themeColor="text1"/>
                <w:szCs w:val="21"/>
                <w14:textFill>
                  <w14:solidFill>
                    <w14:schemeClr w14:val="tx1"/>
                  </w14:solidFill>
                </w14:textFill>
              </w:rPr>
              <w:t>:</w:t>
            </w:r>
            <w:r>
              <w:rPr>
                <w:rFonts w:hint="eastAsia" w:ascii="Calibri" w:hAnsi="Calibri" w:eastAsia="仿宋_GB2312"/>
                <w:bCs/>
                <w:color w:val="000000" w:themeColor="text1"/>
                <w:szCs w:val="21"/>
                <w14:textFill>
                  <w14:solidFill>
                    <w14:schemeClr w14:val="tx1"/>
                  </w14:solidFill>
                </w14:textFill>
              </w:rPr>
              <w:t>（</w:t>
            </w:r>
            <w:r>
              <w:rPr>
                <w:rFonts w:ascii="Calibri" w:hAnsi="Calibri"/>
                <w:color w:val="000000"/>
                <w:szCs w:val="21"/>
              </w:rPr>
              <w:t>0</w:t>
            </w:r>
            <w:r>
              <w:rPr>
                <w:rFonts w:hint="eastAsia" w:ascii="Calibri" w:hAnsi="Calibri" w:eastAsia="仿宋_GB2312"/>
                <w:bCs/>
                <w:color w:val="000000" w:themeColor="text1"/>
                <w:szCs w:val="21"/>
                <w14:textFill>
                  <w14:solidFill>
                    <w14:schemeClr w14:val="tx1"/>
                  </w14:solidFill>
                </w14:textFill>
              </w:rPr>
              <w:t>）</w:t>
            </w:r>
            <w:r>
              <w:rPr>
                <w:rFonts w:ascii="Calibri" w:hAnsi="Calibri" w:eastAsia="仿宋_GB2312"/>
                <w:bCs/>
                <w:color w:val="000000" w:themeColor="text1"/>
                <w:szCs w:val="21"/>
                <w14:textFill>
                  <w14:solidFill>
                    <w14:schemeClr w14:val="tx1"/>
                  </w14:solidFill>
                </w14:textFill>
              </w:rPr>
              <w:t>t/a</w:t>
            </w:r>
          </w:p>
        </w:tc>
        <w:tc>
          <w:tcPr>
            <w:tcW w:w="1651" w:type="dxa"/>
            <w:gridSpan w:val="5"/>
            <w:tcBorders>
              <w:top w:val="single" w:color="auto" w:sz="6" w:space="0"/>
              <w:left w:val="single" w:color="auto" w:sz="6" w:space="0"/>
              <w:bottom w:val="single" w:color="auto" w:sz="6" w:space="0"/>
              <w:right w:val="single" w:color="auto" w:sz="6"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颗粒物</w:t>
            </w:r>
            <w:r>
              <w:rPr>
                <w:rFonts w:ascii="Calibri" w:hAnsi="Calibri" w:eastAsia="仿宋_GB2312"/>
                <w:bCs/>
                <w:color w:val="000000" w:themeColor="text1"/>
                <w:szCs w:val="21"/>
                <w14:textFill>
                  <w14:solidFill>
                    <w14:schemeClr w14:val="tx1"/>
                  </w14:solidFill>
                </w14:textFill>
              </w:rPr>
              <w:t>:</w:t>
            </w:r>
            <w:r>
              <w:rPr>
                <w:rFonts w:hint="eastAsia" w:ascii="Calibri" w:hAnsi="Calibri" w:eastAsia="仿宋_GB2312"/>
                <w:bCs/>
                <w:color w:val="000000" w:themeColor="text1"/>
                <w:szCs w:val="21"/>
                <w14:textFill>
                  <w14:solidFill>
                    <w14:schemeClr w14:val="tx1"/>
                  </w14:solidFill>
                </w14:textFill>
              </w:rPr>
              <w:t>（</w:t>
            </w:r>
            <w:r>
              <w:rPr>
                <w:rFonts w:ascii="Calibri" w:hAnsi="Calibri"/>
                <w:color w:val="000000"/>
                <w:szCs w:val="21"/>
              </w:rPr>
              <w:t>0.0665</w:t>
            </w:r>
            <w:r>
              <w:rPr>
                <w:rFonts w:hint="eastAsia" w:ascii="Calibri" w:hAnsi="Calibri" w:eastAsia="仿宋_GB2312"/>
                <w:bCs/>
                <w:color w:val="000000" w:themeColor="text1"/>
                <w:szCs w:val="21"/>
                <w14:textFill>
                  <w14:solidFill>
                    <w14:schemeClr w14:val="tx1"/>
                  </w14:solidFill>
                </w14:textFill>
              </w:rPr>
              <w:t>）</w:t>
            </w:r>
            <w:r>
              <w:rPr>
                <w:rFonts w:ascii="Calibri" w:hAnsi="Calibri" w:eastAsia="仿宋_GB2312"/>
                <w:bCs/>
                <w:color w:val="000000" w:themeColor="text1"/>
                <w:szCs w:val="21"/>
                <w14:textFill>
                  <w14:solidFill>
                    <w14:schemeClr w14:val="tx1"/>
                  </w14:solidFill>
                </w14:textFill>
              </w:rPr>
              <w:t>t/a</w:t>
            </w:r>
          </w:p>
        </w:tc>
        <w:tc>
          <w:tcPr>
            <w:tcW w:w="1697" w:type="dxa"/>
            <w:gridSpan w:val="3"/>
            <w:tcBorders>
              <w:top w:val="single" w:color="auto" w:sz="6" w:space="0"/>
              <w:left w:val="single" w:color="auto" w:sz="6" w:space="0"/>
              <w:bottom w:val="single" w:color="auto" w:sz="6" w:space="0"/>
              <w:right w:val="single" w:color="auto" w:sz="12" w:space="0"/>
            </w:tcBorders>
            <w:vAlign w:val="center"/>
          </w:tcPr>
          <w:p>
            <w:pPr>
              <w:snapToGrid w:val="0"/>
              <w:spacing w:line="260" w:lineRule="atLeast"/>
              <w:ind w:left="-97" w:leftChars="-46" w:firstLine="1"/>
              <w:jc w:val="center"/>
              <w:rPr>
                <w:rFonts w:ascii="Calibri" w:hAnsi="Calibri" w:eastAsia="仿宋_GB2312"/>
                <w:bCs/>
                <w:color w:val="000000" w:themeColor="text1"/>
                <w:szCs w:val="21"/>
                <w14:textFill>
                  <w14:solidFill>
                    <w14:schemeClr w14:val="tx1"/>
                  </w14:solidFill>
                </w14:textFill>
              </w:rPr>
            </w:pPr>
            <w:r>
              <w:rPr>
                <w:rFonts w:ascii="Calibri" w:hAnsi="Calibri" w:eastAsia="仿宋_GB2312"/>
                <w:bCs/>
                <w:color w:val="000000" w:themeColor="text1"/>
                <w:szCs w:val="21"/>
                <w14:textFill>
                  <w14:solidFill>
                    <w14:schemeClr w14:val="tx1"/>
                  </w14:solidFill>
                </w14:textFill>
              </w:rPr>
              <w:t>VOC</w:t>
            </w:r>
            <w:r>
              <w:rPr>
                <w:rFonts w:ascii="Calibri" w:hAnsi="Calibri" w:eastAsia="仿宋_GB2312"/>
                <w:bCs/>
                <w:color w:val="000000" w:themeColor="text1"/>
                <w:szCs w:val="21"/>
                <w:vertAlign w:val="subscript"/>
                <w14:textFill>
                  <w14:solidFill>
                    <w14:schemeClr w14:val="tx1"/>
                  </w14:solidFill>
                </w14:textFill>
              </w:rPr>
              <w:t>s</w:t>
            </w:r>
            <w:r>
              <w:rPr>
                <w:rFonts w:ascii="Calibri" w:hAnsi="Calibri" w:eastAsia="仿宋_GB2312"/>
                <w:bCs/>
                <w:color w:val="000000" w:themeColor="text1"/>
                <w:szCs w:val="21"/>
                <w14:textFill>
                  <w14:solidFill>
                    <w14:schemeClr w14:val="tx1"/>
                  </w14:solidFill>
                </w14:textFill>
              </w:rPr>
              <w:t>:</w:t>
            </w:r>
            <w:r>
              <w:rPr>
                <w:rFonts w:hint="eastAsia" w:ascii="Calibri" w:hAnsi="Calibri" w:eastAsia="仿宋_GB2312"/>
                <w:bCs/>
                <w:color w:val="000000" w:themeColor="text1"/>
                <w:szCs w:val="21"/>
                <w14:textFill>
                  <w14:solidFill>
                    <w14:schemeClr w14:val="tx1"/>
                  </w14:solidFill>
                </w14:textFill>
              </w:rPr>
              <w:t>（</w:t>
            </w:r>
            <w:r>
              <w:rPr>
                <w:rFonts w:ascii="Calibri" w:hAnsi="Calibri"/>
                <w:color w:val="000000"/>
                <w:szCs w:val="21"/>
              </w:rPr>
              <w:t>0</w:t>
            </w:r>
            <w:r>
              <w:rPr>
                <w:rFonts w:hint="eastAsia" w:ascii="Calibri" w:hAnsi="Calibri" w:eastAsia="仿宋_GB2312"/>
                <w:bCs/>
                <w:color w:val="000000" w:themeColor="text1"/>
                <w:szCs w:val="21"/>
                <w14:textFill>
                  <w14:solidFill>
                    <w14:schemeClr w14:val="tx1"/>
                  </w14:solidFill>
                </w14:textFill>
              </w:rPr>
              <w:t>）</w:t>
            </w:r>
            <w:r>
              <w:rPr>
                <w:rFonts w:ascii="Calibri" w:hAnsi="Calibri" w:eastAsia="仿宋_GB2312"/>
                <w:bCs/>
                <w:color w:val="000000" w:themeColor="text1"/>
                <w:szCs w:val="21"/>
                <w14:textFill>
                  <w14:solidFill>
                    <w14:schemeClr w14:val="tx1"/>
                  </w14:solidFill>
                </w14:textFill>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411" w:hRule="atLeast"/>
        </w:trPr>
        <w:tc>
          <w:tcPr>
            <w:tcW w:w="10633" w:type="dxa"/>
            <w:gridSpan w:val="21"/>
            <w:tcBorders>
              <w:top w:val="single" w:color="auto" w:sz="6" w:space="0"/>
              <w:left w:val="single" w:color="auto" w:sz="12" w:space="0"/>
              <w:bottom w:val="single" w:color="auto" w:sz="12" w:space="0"/>
              <w:right w:val="single" w:color="auto" w:sz="12" w:space="0"/>
            </w:tcBorders>
            <w:vAlign w:val="center"/>
          </w:tcPr>
          <w:p>
            <w:pPr>
              <w:snapToGrid w:val="0"/>
              <w:spacing w:line="260" w:lineRule="atLeast"/>
              <w:ind w:left="-97" w:leftChars="-46" w:firstLine="1"/>
              <w:jc w:val="left"/>
              <w:rPr>
                <w:rFonts w:ascii="Calibri" w:hAnsi="Calibri" w:eastAsia="仿宋_GB2312"/>
                <w:bCs/>
                <w:color w:val="000000" w:themeColor="text1"/>
                <w:szCs w:val="21"/>
                <w14:textFill>
                  <w14:solidFill>
                    <w14:schemeClr w14:val="tx1"/>
                  </w14:solidFill>
                </w14:textFill>
              </w:rPr>
            </w:pPr>
            <w:r>
              <w:rPr>
                <w:rFonts w:hint="eastAsia" w:ascii="Calibri" w:hAnsi="Calibri" w:eastAsia="仿宋_GB2312"/>
                <w:bCs/>
                <w:color w:val="000000" w:themeColor="text1"/>
                <w:szCs w:val="21"/>
                <w14:textFill>
                  <w14:solidFill>
                    <w14:schemeClr w14:val="tx1"/>
                  </w14:solidFill>
                </w14:textFill>
              </w:rPr>
              <w:t>注：“</w:t>
            </w:r>
            <w:r>
              <w:rPr>
                <w:rFonts w:hint="eastAsia" w:ascii="仿宋" w:hAnsi="仿宋" w:eastAsia="仿宋"/>
                <w:bCs/>
                <w:color w:val="000000" w:themeColor="text1"/>
                <w:szCs w:val="21"/>
                <w14:textFill>
                  <w14:solidFill>
                    <w14:schemeClr w14:val="tx1"/>
                  </w14:solidFill>
                </w14:textFill>
              </w:rPr>
              <w:t>□</w:t>
            </w:r>
            <w:r>
              <w:rPr>
                <w:rFonts w:hint="eastAsia" w:ascii="Calibri" w:hAnsi="Calibri" w:eastAsia="仿宋_GB2312"/>
                <w:bCs/>
                <w:color w:val="000000" w:themeColor="text1"/>
                <w:szCs w:val="21"/>
                <w14:textFill>
                  <w14:solidFill>
                    <w14:schemeClr w14:val="tx1"/>
                  </w14:solidFill>
                </w14:textFill>
              </w:rPr>
              <w:t>”</w:t>
            </w:r>
            <w:r>
              <w:rPr>
                <w:rFonts w:ascii="Calibri" w:hAnsi="Calibri" w:eastAsia="仿宋_GB2312"/>
                <w:bCs/>
                <w:color w:val="000000" w:themeColor="text1"/>
                <w:szCs w:val="21"/>
                <w14:textFill>
                  <w14:solidFill>
                    <w14:schemeClr w14:val="tx1"/>
                  </w14:solidFill>
                </w14:textFill>
              </w:rPr>
              <w:t xml:space="preserve"> </w:t>
            </w:r>
            <w:r>
              <w:rPr>
                <w:rFonts w:hint="eastAsia" w:ascii="Calibri" w:hAnsi="Calibri" w:eastAsia="仿宋_GB2312"/>
                <w:bCs/>
                <w:color w:val="000000" w:themeColor="text1"/>
                <w:szCs w:val="21"/>
                <w14:textFill>
                  <w14:solidFill>
                    <w14:schemeClr w14:val="tx1"/>
                  </w14:solidFill>
                </w14:textFill>
              </w:rPr>
              <w:t>为勾选项</w:t>
            </w:r>
            <w:r>
              <w:rPr>
                <w:rFonts w:ascii="Calibri" w:hAnsi="Calibri" w:eastAsia="仿宋_GB2312"/>
                <w:bCs/>
                <w:color w:val="000000" w:themeColor="text1"/>
                <w:szCs w:val="21"/>
                <w14:textFill>
                  <w14:solidFill>
                    <w14:schemeClr w14:val="tx1"/>
                  </w14:solidFill>
                </w14:textFill>
              </w:rPr>
              <w:t xml:space="preserve"> </w:t>
            </w:r>
            <w:r>
              <w:rPr>
                <w:rFonts w:hint="eastAsia" w:ascii="Calibri" w:hAnsi="Calibri" w:eastAsia="仿宋_GB2312"/>
                <w:bCs/>
                <w:color w:val="000000" w:themeColor="text1"/>
                <w:szCs w:val="21"/>
                <w14:textFill>
                  <w14:solidFill>
                    <w14:schemeClr w14:val="tx1"/>
                  </w14:solidFill>
                </w14:textFill>
              </w:rPr>
              <w:t>，填“√”</w:t>
            </w:r>
            <w:r>
              <w:rPr>
                <w:rFonts w:ascii="Calibri" w:hAnsi="Calibri" w:eastAsia="仿宋_GB2312"/>
                <w:bCs/>
                <w:color w:val="000000" w:themeColor="text1"/>
                <w:szCs w:val="21"/>
                <w14:textFill>
                  <w14:solidFill>
                    <w14:schemeClr w14:val="tx1"/>
                  </w14:solidFill>
                </w14:textFill>
              </w:rPr>
              <w:t xml:space="preserve"> </w:t>
            </w:r>
            <w:r>
              <w:rPr>
                <w:rFonts w:hint="eastAsia" w:ascii="Calibri" w:hAnsi="Calibri" w:eastAsia="仿宋_GB2312"/>
                <w:bCs/>
                <w:color w:val="000000" w:themeColor="text1"/>
                <w:szCs w:val="21"/>
                <w14:textFill>
                  <w14:solidFill>
                    <w14:schemeClr w14:val="tx1"/>
                  </w14:solidFill>
                </w14:textFill>
              </w:rPr>
              <w:t>；</w:t>
            </w:r>
            <w:r>
              <w:rPr>
                <w:rFonts w:ascii="Calibri" w:hAnsi="Calibri" w:eastAsia="仿宋_GB2312"/>
                <w:bCs/>
                <w:color w:val="000000" w:themeColor="text1"/>
                <w:szCs w:val="21"/>
                <w14:textFill>
                  <w14:solidFill>
                    <w14:schemeClr w14:val="tx1"/>
                  </w14:solidFill>
                </w14:textFill>
              </w:rPr>
              <w:t>“</w:t>
            </w:r>
            <w:r>
              <w:rPr>
                <w:rFonts w:hint="eastAsia" w:ascii="Calibri" w:hAnsi="Calibri" w:eastAsia="仿宋_GB2312"/>
                <w:bCs/>
                <w:color w:val="000000" w:themeColor="text1"/>
                <w:szCs w:val="21"/>
                <w14:textFill>
                  <w14:solidFill>
                    <w14:schemeClr w14:val="tx1"/>
                  </w14:solidFill>
                </w14:textFill>
              </w:rPr>
              <w:t>（</w:t>
            </w:r>
            <w:r>
              <w:rPr>
                <w:rFonts w:ascii="Calibri" w:hAnsi="Calibri" w:eastAsia="仿宋_GB2312"/>
                <w:bCs/>
                <w:color w:val="000000" w:themeColor="text1"/>
                <w:szCs w:val="21"/>
                <w14:textFill>
                  <w14:solidFill>
                    <w14:schemeClr w14:val="tx1"/>
                  </w14:solidFill>
                </w14:textFill>
              </w:rPr>
              <w:t xml:space="preserve">   </w:t>
            </w:r>
            <w:r>
              <w:rPr>
                <w:rFonts w:hint="eastAsia" w:ascii="Calibri" w:hAnsi="Calibri" w:eastAsia="仿宋_GB2312"/>
                <w:bCs/>
                <w:color w:val="000000" w:themeColor="text1"/>
                <w:szCs w:val="21"/>
                <w14:textFill>
                  <w14:solidFill>
                    <w14:schemeClr w14:val="tx1"/>
                  </w14:solidFill>
                </w14:textFill>
              </w:rPr>
              <w:t>）</w:t>
            </w:r>
            <w:r>
              <w:rPr>
                <w:rFonts w:ascii="Calibri" w:hAnsi="Calibri" w:eastAsia="仿宋_GB2312"/>
                <w:bCs/>
                <w:color w:val="000000" w:themeColor="text1"/>
                <w:szCs w:val="21"/>
                <w14:textFill>
                  <w14:solidFill>
                    <w14:schemeClr w14:val="tx1"/>
                  </w14:solidFill>
                </w14:textFill>
              </w:rPr>
              <w:t xml:space="preserve">” </w:t>
            </w:r>
            <w:r>
              <w:rPr>
                <w:rFonts w:hint="eastAsia" w:ascii="Calibri" w:hAnsi="Calibri" w:eastAsia="仿宋_GB2312"/>
                <w:bCs/>
                <w:color w:val="000000" w:themeColor="text1"/>
                <w:szCs w:val="21"/>
                <w14:textFill>
                  <w14:solidFill>
                    <w14:schemeClr w14:val="tx1"/>
                  </w14:solidFill>
                </w14:textFill>
              </w:rPr>
              <w:t>为内容填写项</w:t>
            </w:r>
          </w:p>
        </w:tc>
      </w:tr>
    </w:tbl>
    <w:p>
      <w:pPr>
        <w:spacing w:line="360" w:lineRule="auto"/>
        <w:jc w:val="center"/>
        <w:rPr>
          <w:color w:val="000000" w:themeColor="text1"/>
          <w:sz w:val="24"/>
          <w14:textFill>
            <w14:solidFill>
              <w14:schemeClr w14:val="tx1"/>
            </w14:solidFill>
          </w14:textFill>
        </w:rPr>
      </w:pPr>
    </w:p>
    <w:p>
      <w:pPr>
        <w:ind w:firstLine="241" w:firstLineChars="100"/>
        <w:rPr>
          <w:b/>
          <w:sz w:val="24"/>
        </w:rPr>
      </w:pPr>
    </w:p>
    <w:sectPr>
      <w:pgSz w:w="11907" w:h="16839"/>
      <w:pgMar w:top="720" w:right="720" w:bottom="720" w:left="720"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Verdana">
    <w:panose1 w:val="020B0604030504040204"/>
    <w:charset w:val="00"/>
    <w:family w:val="swiss"/>
    <w:pitch w:val="default"/>
    <w:sig w:usb0="A10006FF" w:usb1="4000205B" w:usb2="00000010" w:usb3="00000000" w:csb0="2000019F" w:csb1="00000000"/>
  </w:font>
  <w:font w:name="仿宋体">
    <w:altName w:val="宋体"/>
    <w:panose1 w:val="00000000000000000000"/>
    <w:charset w:val="86"/>
    <w:family w:val="roman"/>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Impact">
    <w:panose1 w:val="020B0806030902050204"/>
    <w:charset w:val="00"/>
    <w:family w:val="swiss"/>
    <w:pitch w:val="default"/>
    <w:sig w:usb0="00000287" w:usb1="00000000" w:usb2="00000000" w:usb3="00000000" w:csb0="2000009F" w:csb1="DFD70000"/>
  </w:font>
  <w:font w:name="楷体_GB2312">
    <w:altName w:val="楷体"/>
    <w:panose1 w:val="00000000000000000000"/>
    <w:charset w:val="86"/>
    <w:family w:val="modern"/>
    <w:pitch w:val="default"/>
    <w:sig w:usb0="00000000" w:usb1="00000000" w:usb2="00000010" w:usb3="00000000" w:csb0="00040000" w:csb1="00000000"/>
  </w:font>
  <w:font w:name="TimesNewRomanPSMT">
    <w:altName w:val="MS Gothic"/>
    <w:panose1 w:val="00000000000000000000"/>
    <w:charset w:val="00"/>
    <w:family w:val="roman"/>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font>
  <w:font w:name="等线">
    <w:altName w:val="宋体"/>
    <w:panose1 w:val="02010600030101010101"/>
    <w:charset w:val="86"/>
    <w:family w:val="auto"/>
    <w:pitch w:val="default"/>
    <w:sig w:usb0="00000000" w:usb1="00000000" w:usb2="00000016" w:usb3="00000000" w:csb0="0004000F" w:csb1="00000000"/>
  </w:font>
  <w:font w:name="Cambria Math">
    <w:panose1 w:val="02040503050406030204"/>
    <w:charset w:val="00"/>
    <w:family w:val="roman"/>
    <w:pitch w:val="default"/>
    <w:sig w:usb0="E00002FF" w:usb1="420024FF" w:usb2="00000000" w:usb3="00000000" w:csb0="2000019F" w:csb1="00000000"/>
  </w:font>
  <w:font w:name="Times New Roman,Bold">
    <w:altName w:val="宋体"/>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MS Gothic">
    <w:panose1 w:val="020B0609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sz w:val="21"/>
        <w:szCs w:val="21"/>
      </w:rPr>
    </w:pPr>
    <w:r>
      <w:rPr>
        <w:sz w:val="21"/>
        <w:szCs w:val="21"/>
      </w:rPr>
      <w:fldChar w:fldCharType="begin"/>
    </w:r>
    <w:r>
      <w:rPr>
        <w:rStyle w:val="28"/>
        <w:sz w:val="21"/>
        <w:szCs w:val="21"/>
      </w:rPr>
      <w:instrText xml:space="preserve"> PAGE </w:instrText>
    </w:r>
    <w:r>
      <w:rPr>
        <w:sz w:val="21"/>
        <w:szCs w:val="21"/>
      </w:rPr>
      <w:fldChar w:fldCharType="separate"/>
    </w:r>
    <w:r>
      <w:rPr>
        <w:rStyle w:val="28"/>
        <w:sz w:val="21"/>
        <w:szCs w:val="21"/>
      </w:rPr>
      <w:t>20</w:t>
    </w:r>
    <w:r>
      <w:rPr>
        <w:sz w:val="21"/>
        <w:szCs w:val="2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8"/>
      </w:rPr>
    </w:pPr>
    <w:r>
      <w:fldChar w:fldCharType="begin"/>
    </w:r>
    <w:r>
      <w:rPr>
        <w:rStyle w:val="28"/>
      </w:rPr>
      <w:instrText xml:space="preserve">PAGE  </w:instrText>
    </w:r>
    <w:r>
      <w:fldChar w:fldCharType="separate"/>
    </w:r>
    <w:r>
      <w:rPr>
        <w:rStyle w:val="28"/>
      </w:rPr>
      <w:t>1</w:t>
    </w:r>
    <w:r>
      <w:fldChar w:fldCharType="end"/>
    </w:r>
  </w:p>
  <w:p>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3602F"/>
    <w:multiLevelType w:val="multilevel"/>
    <w:tmpl w:val="07D3602F"/>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1A641262"/>
    <w:multiLevelType w:val="singleLevel"/>
    <w:tmpl w:val="1A641262"/>
    <w:lvl w:ilvl="0" w:tentative="0">
      <w:start w:val="1"/>
      <w:numFmt w:val="decimal"/>
      <w:lvlText w:val="%1."/>
      <w:lvlJc w:val="left"/>
      <w:pPr>
        <w:tabs>
          <w:tab w:val="left" w:pos="735"/>
        </w:tabs>
        <w:ind w:left="735" w:hanging="210"/>
      </w:pPr>
      <w:rPr>
        <w:rFonts w:hint="eastAsia"/>
        <w:color w:val="auto"/>
        <w:sz w:val="28"/>
        <w:szCs w:val="28"/>
      </w:rPr>
    </w:lvl>
  </w:abstractNum>
  <w:abstractNum w:abstractNumId="2">
    <w:nsid w:val="205C2CC4"/>
    <w:multiLevelType w:val="multilevel"/>
    <w:tmpl w:val="205C2CC4"/>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2B2A1D6A"/>
    <w:multiLevelType w:val="multilevel"/>
    <w:tmpl w:val="2B2A1D6A"/>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4ACE0803"/>
    <w:multiLevelType w:val="multilevel"/>
    <w:tmpl w:val="4ACE0803"/>
    <w:lvl w:ilvl="0" w:tentative="0">
      <w:start w:val="1"/>
      <w:numFmt w:val="decimalEnclosedCircle"/>
      <w:lvlText w:val="%1"/>
      <w:lvlJc w:val="left"/>
      <w:pPr>
        <w:ind w:left="840" w:hanging="360"/>
      </w:pPr>
      <w:rPr>
        <w:rFonts w:hint="default" w:ascii="宋体" w:hAnsi="宋体"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659C572A"/>
    <w:multiLevelType w:val="multilevel"/>
    <w:tmpl w:val="659C572A"/>
    <w:lvl w:ilvl="0" w:tentative="0">
      <w:start w:val="1"/>
      <w:numFmt w:val="decimal"/>
      <w:lvlText w:val="%1、"/>
      <w:lvlJc w:val="left"/>
      <w:pPr>
        <w:ind w:left="372" w:hanging="372"/>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8EB207E"/>
    <w:multiLevelType w:val="multilevel"/>
    <w:tmpl w:val="78EB207E"/>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
  </w:num>
  <w:num w:numId="2">
    <w:abstractNumId w:val="5"/>
  </w:num>
  <w:num w:numId="3">
    <w:abstractNumId w:val="6"/>
  </w:num>
  <w:num w:numId="4">
    <w:abstractNumId w:val="0"/>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9FC"/>
    <w:rsid w:val="0000068D"/>
    <w:rsid w:val="000006DC"/>
    <w:rsid w:val="0000077C"/>
    <w:rsid w:val="000007D0"/>
    <w:rsid w:val="00001198"/>
    <w:rsid w:val="00001B62"/>
    <w:rsid w:val="00001BCE"/>
    <w:rsid w:val="00001EDF"/>
    <w:rsid w:val="00001EED"/>
    <w:rsid w:val="0000234D"/>
    <w:rsid w:val="00002460"/>
    <w:rsid w:val="00002594"/>
    <w:rsid w:val="00003218"/>
    <w:rsid w:val="000033E2"/>
    <w:rsid w:val="00003AA3"/>
    <w:rsid w:val="00004159"/>
    <w:rsid w:val="0000486E"/>
    <w:rsid w:val="00004AA3"/>
    <w:rsid w:val="00004F96"/>
    <w:rsid w:val="000053F1"/>
    <w:rsid w:val="0000581E"/>
    <w:rsid w:val="00005A67"/>
    <w:rsid w:val="00005B5B"/>
    <w:rsid w:val="0000602A"/>
    <w:rsid w:val="000060CE"/>
    <w:rsid w:val="00006AB6"/>
    <w:rsid w:val="00007FE0"/>
    <w:rsid w:val="00010E72"/>
    <w:rsid w:val="0001158B"/>
    <w:rsid w:val="00011724"/>
    <w:rsid w:val="000120F7"/>
    <w:rsid w:val="000122E2"/>
    <w:rsid w:val="000123C8"/>
    <w:rsid w:val="00012696"/>
    <w:rsid w:val="00012C54"/>
    <w:rsid w:val="00012DC1"/>
    <w:rsid w:val="00013173"/>
    <w:rsid w:val="00013781"/>
    <w:rsid w:val="0001382E"/>
    <w:rsid w:val="00014BCC"/>
    <w:rsid w:val="000151BF"/>
    <w:rsid w:val="0001520B"/>
    <w:rsid w:val="00016985"/>
    <w:rsid w:val="000174E2"/>
    <w:rsid w:val="00017568"/>
    <w:rsid w:val="00017770"/>
    <w:rsid w:val="000177E3"/>
    <w:rsid w:val="00017937"/>
    <w:rsid w:val="0002041C"/>
    <w:rsid w:val="00020643"/>
    <w:rsid w:val="00020F25"/>
    <w:rsid w:val="00021449"/>
    <w:rsid w:val="000214AC"/>
    <w:rsid w:val="00021E9A"/>
    <w:rsid w:val="000221BD"/>
    <w:rsid w:val="00022E6C"/>
    <w:rsid w:val="00023CCC"/>
    <w:rsid w:val="00023EA2"/>
    <w:rsid w:val="00024102"/>
    <w:rsid w:val="00024602"/>
    <w:rsid w:val="00024662"/>
    <w:rsid w:val="00024B79"/>
    <w:rsid w:val="00024EEB"/>
    <w:rsid w:val="000250FE"/>
    <w:rsid w:val="00025B77"/>
    <w:rsid w:val="00025F6A"/>
    <w:rsid w:val="0002609B"/>
    <w:rsid w:val="00026159"/>
    <w:rsid w:val="0002619B"/>
    <w:rsid w:val="00026436"/>
    <w:rsid w:val="00026545"/>
    <w:rsid w:val="000268AE"/>
    <w:rsid w:val="00026D7E"/>
    <w:rsid w:val="00026ED9"/>
    <w:rsid w:val="00026F08"/>
    <w:rsid w:val="00026FF7"/>
    <w:rsid w:val="000273D2"/>
    <w:rsid w:val="00027483"/>
    <w:rsid w:val="000274EF"/>
    <w:rsid w:val="00027C30"/>
    <w:rsid w:val="0003149B"/>
    <w:rsid w:val="000320B8"/>
    <w:rsid w:val="00032A90"/>
    <w:rsid w:val="000331B3"/>
    <w:rsid w:val="00033318"/>
    <w:rsid w:val="00033AEA"/>
    <w:rsid w:val="00033ECA"/>
    <w:rsid w:val="00036201"/>
    <w:rsid w:val="00037321"/>
    <w:rsid w:val="0003776D"/>
    <w:rsid w:val="000377DB"/>
    <w:rsid w:val="00037E7F"/>
    <w:rsid w:val="00037EE7"/>
    <w:rsid w:val="00040066"/>
    <w:rsid w:val="00040185"/>
    <w:rsid w:val="000402B0"/>
    <w:rsid w:val="000402C5"/>
    <w:rsid w:val="0004033B"/>
    <w:rsid w:val="000409E3"/>
    <w:rsid w:val="00040B29"/>
    <w:rsid w:val="00041CD1"/>
    <w:rsid w:val="00041DF2"/>
    <w:rsid w:val="000425ED"/>
    <w:rsid w:val="0004267B"/>
    <w:rsid w:val="00042811"/>
    <w:rsid w:val="00042875"/>
    <w:rsid w:val="00042AC2"/>
    <w:rsid w:val="00042BAB"/>
    <w:rsid w:val="00042FEC"/>
    <w:rsid w:val="0004379C"/>
    <w:rsid w:val="0004434E"/>
    <w:rsid w:val="000444C1"/>
    <w:rsid w:val="00044EA3"/>
    <w:rsid w:val="00046192"/>
    <w:rsid w:val="0004659B"/>
    <w:rsid w:val="00046A37"/>
    <w:rsid w:val="00046B66"/>
    <w:rsid w:val="00046DE6"/>
    <w:rsid w:val="00047175"/>
    <w:rsid w:val="00047A56"/>
    <w:rsid w:val="000502CF"/>
    <w:rsid w:val="00050310"/>
    <w:rsid w:val="00050F8B"/>
    <w:rsid w:val="0005108A"/>
    <w:rsid w:val="0005197A"/>
    <w:rsid w:val="00052148"/>
    <w:rsid w:val="000521FA"/>
    <w:rsid w:val="000522FF"/>
    <w:rsid w:val="000531E0"/>
    <w:rsid w:val="00053D3C"/>
    <w:rsid w:val="00053F8B"/>
    <w:rsid w:val="00054103"/>
    <w:rsid w:val="00054145"/>
    <w:rsid w:val="00054B90"/>
    <w:rsid w:val="00054CE3"/>
    <w:rsid w:val="0005521E"/>
    <w:rsid w:val="000564DB"/>
    <w:rsid w:val="000566C8"/>
    <w:rsid w:val="000566E6"/>
    <w:rsid w:val="000571BC"/>
    <w:rsid w:val="00057490"/>
    <w:rsid w:val="000576F7"/>
    <w:rsid w:val="00057B8D"/>
    <w:rsid w:val="00060002"/>
    <w:rsid w:val="0006021F"/>
    <w:rsid w:val="000607D9"/>
    <w:rsid w:val="00060ECD"/>
    <w:rsid w:val="00061962"/>
    <w:rsid w:val="000624DC"/>
    <w:rsid w:val="00062958"/>
    <w:rsid w:val="00062D86"/>
    <w:rsid w:val="00063BAB"/>
    <w:rsid w:val="00064860"/>
    <w:rsid w:val="0006578F"/>
    <w:rsid w:val="00065966"/>
    <w:rsid w:val="0006686F"/>
    <w:rsid w:val="00066918"/>
    <w:rsid w:val="00066D62"/>
    <w:rsid w:val="00067170"/>
    <w:rsid w:val="00067A6A"/>
    <w:rsid w:val="00070013"/>
    <w:rsid w:val="000704A8"/>
    <w:rsid w:val="000706CE"/>
    <w:rsid w:val="00070E21"/>
    <w:rsid w:val="00071B29"/>
    <w:rsid w:val="00071B2A"/>
    <w:rsid w:val="00071F1C"/>
    <w:rsid w:val="000721E4"/>
    <w:rsid w:val="000729E0"/>
    <w:rsid w:val="00072E5F"/>
    <w:rsid w:val="00073DF6"/>
    <w:rsid w:val="000740B0"/>
    <w:rsid w:val="00074361"/>
    <w:rsid w:val="00074BD9"/>
    <w:rsid w:val="00074CEB"/>
    <w:rsid w:val="000754A7"/>
    <w:rsid w:val="000756F6"/>
    <w:rsid w:val="000757AB"/>
    <w:rsid w:val="00075857"/>
    <w:rsid w:val="00075A00"/>
    <w:rsid w:val="000766BF"/>
    <w:rsid w:val="0007691D"/>
    <w:rsid w:val="00076B1B"/>
    <w:rsid w:val="00076D82"/>
    <w:rsid w:val="00076E43"/>
    <w:rsid w:val="00076FA1"/>
    <w:rsid w:val="000771E0"/>
    <w:rsid w:val="00077693"/>
    <w:rsid w:val="0007776D"/>
    <w:rsid w:val="00077A90"/>
    <w:rsid w:val="00077DB8"/>
    <w:rsid w:val="00080854"/>
    <w:rsid w:val="000808A3"/>
    <w:rsid w:val="00080B41"/>
    <w:rsid w:val="00080E15"/>
    <w:rsid w:val="00081F58"/>
    <w:rsid w:val="00082233"/>
    <w:rsid w:val="00082608"/>
    <w:rsid w:val="00082F59"/>
    <w:rsid w:val="00082FA6"/>
    <w:rsid w:val="00083066"/>
    <w:rsid w:val="000831BF"/>
    <w:rsid w:val="00083A26"/>
    <w:rsid w:val="00083F77"/>
    <w:rsid w:val="000840B9"/>
    <w:rsid w:val="0008417F"/>
    <w:rsid w:val="000842FE"/>
    <w:rsid w:val="000845E7"/>
    <w:rsid w:val="00084A7C"/>
    <w:rsid w:val="00084F04"/>
    <w:rsid w:val="000854AA"/>
    <w:rsid w:val="00085761"/>
    <w:rsid w:val="00085863"/>
    <w:rsid w:val="000863D3"/>
    <w:rsid w:val="000864F5"/>
    <w:rsid w:val="00086C30"/>
    <w:rsid w:val="00086D9A"/>
    <w:rsid w:val="00087212"/>
    <w:rsid w:val="00087277"/>
    <w:rsid w:val="00087758"/>
    <w:rsid w:val="000901AF"/>
    <w:rsid w:val="00090BD6"/>
    <w:rsid w:val="00090D6B"/>
    <w:rsid w:val="00090DB8"/>
    <w:rsid w:val="00090FFE"/>
    <w:rsid w:val="00091ABA"/>
    <w:rsid w:val="00091B5B"/>
    <w:rsid w:val="0009226D"/>
    <w:rsid w:val="000925DD"/>
    <w:rsid w:val="0009291A"/>
    <w:rsid w:val="000933F9"/>
    <w:rsid w:val="0009408F"/>
    <w:rsid w:val="00094366"/>
    <w:rsid w:val="000944AF"/>
    <w:rsid w:val="0009488E"/>
    <w:rsid w:val="00094F0C"/>
    <w:rsid w:val="00095018"/>
    <w:rsid w:val="000952D7"/>
    <w:rsid w:val="000963FC"/>
    <w:rsid w:val="00096BC9"/>
    <w:rsid w:val="000973A1"/>
    <w:rsid w:val="00097695"/>
    <w:rsid w:val="0009781D"/>
    <w:rsid w:val="00097C0F"/>
    <w:rsid w:val="000A00C9"/>
    <w:rsid w:val="000A064E"/>
    <w:rsid w:val="000A08E3"/>
    <w:rsid w:val="000A0F28"/>
    <w:rsid w:val="000A0FEB"/>
    <w:rsid w:val="000A10F8"/>
    <w:rsid w:val="000A1383"/>
    <w:rsid w:val="000A181A"/>
    <w:rsid w:val="000A19C5"/>
    <w:rsid w:val="000A1C80"/>
    <w:rsid w:val="000A2B91"/>
    <w:rsid w:val="000A2F27"/>
    <w:rsid w:val="000A3100"/>
    <w:rsid w:val="000A3ED6"/>
    <w:rsid w:val="000A43F3"/>
    <w:rsid w:val="000A47E5"/>
    <w:rsid w:val="000A4B50"/>
    <w:rsid w:val="000A4C02"/>
    <w:rsid w:val="000A552F"/>
    <w:rsid w:val="000A6983"/>
    <w:rsid w:val="000A6D3F"/>
    <w:rsid w:val="000A730F"/>
    <w:rsid w:val="000A7329"/>
    <w:rsid w:val="000A7A78"/>
    <w:rsid w:val="000B0039"/>
    <w:rsid w:val="000B016B"/>
    <w:rsid w:val="000B03B9"/>
    <w:rsid w:val="000B04F3"/>
    <w:rsid w:val="000B0A30"/>
    <w:rsid w:val="000B0BBF"/>
    <w:rsid w:val="000B0BF4"/>
    <w:rsid w:val="000B0E34"/>
    <w:rsid w:val="000B15C8"/>
    <w:rsid w:val="000B1E28"/>
    <w:rsid w:val="000B2CB9"/>
    <w:rsid w:val="000B2E65"/>
    <w:rsid w:val="000B2ED1"/>
    <w:rsid w:val="000B32B4"/>
    <w:rsid w:val="000B3A94"/>
    <w:rsid w:val="000B3BE1"/>
    <w:rsid w:val="000B454D"/>
    <w:rsid w:val="000B4757"/>
    <w:rsid w:val="000B48EF"/>
    <w:rsid w:val="000B51BB"/>
    <w:rsid w:val="000B52CC"/>
    <w:rsid w:val="000B5682"/>
    <w:rsid w:val="000B5953"/>
    <w:rsid w:val="000B5DA9"/>
    <w:rsid w:val="000B66E6"/>
    <w:rsid w:val="000B7297"/>
    <w:rsid w:val="000B72D3"/>
    <w:rsid w:val="000B7E7D"/>
    <w:rsid w:val="000C049C"/>
    <w:rsid w:val="000C087D"/>
    <w:rsid w:val="000C10C7"/>
    <w:rsid w:val="000C14B4"/>
    <w:rsid w:val="000C1A35"/>
    <w:rsid w:val="000C1AF7"/>
    <w:rsid w:val="000C1F08"/>
    <w:rsid w:val="000C262D"/>
    <w:rsid w:val="000C303A"/>
    <w:rsid w:val="000C34AB"/>
    <w:rsid w:val="000C34EB"/>
    <w:rsid w:val="000C355F"/>
    <w:rsid w:val="000C4167"/>
    <w:rsid w:val="000C442F"/>
    <w:rsid w:val="000C4537"/>
    <w:rsid w:val="000C4EC2"/>
    <w:rsid w:val="000C52C6"/>
    <w:rsid w:val="000C5309"/>
    <w:rsid w:val="000C5566"/>
    <w:rsid w:val="000C60CF"/>
    <w:rsid w:val="000C6FF3"/>
    <w:rsid w:val="000C74A0"/>
    <w:rsid w:val="000C7CA3"/>
    <w:rsid w:val="000C7EC4"/>
    <w:rsid w:val="000D0020"/>
    <w:rsid w:val="000D1646"/>
    <w:rsid w:val="000D1987"/>
    <w:rsid w:val="000D1AF3"/>
    <w:rsid w:val="000D1B07"/>
    <w:rsid w:val="000D1DCC"/>
    <w:rsid w:val="000D21E1"/>
    <w:rsid w:val="000D2519"/>
    <w:rsid w:val="000D26DE"/>
    <w:rsid w:val="000D26F5"/>
    <w:rsid w:val="000D2B56"/>
    <w:rsid w:val="000D34D2"/>
    <w:rsid w:val="000D3A34"/>
    <w:rsid w:val="000D3E2A"/>
    <w:rsid w:val="000D3FC9"/>
    <w:rsid w:val="000D4351"/>
    <w:rsid w:val="000D443A"/>
    <w:rsid w:val="000D4583"/>
    <w:rsid w:val="000D45DD"/>
    <w:rsid w:val="000D4E28"/>
    <w:rsid w:val="000D54DB"/>
    <w:rsid w:val="000D55ED"/>
    <w:rsid w:val="000D626E"/>
    <w:rsid w:val="000D69C7"/>
    <w:rsid w:val="000D6AE7"/>
    <w:rsid w:val="000D6C81"/>
    <w:rsid w:val="000D6CE6"/>
    <w:rsid w:val="000D71F8"/>
    <w:rsid w:val="000D7712"/>
    <w:rsid w:val="000E02FB"/>
    <w:rsid w:val="000E1080"/>
    <w:rsid w:val="000E126D"/>
    <w:rsid w:val="000E15BA"/>
    <w:rsid w:val="000E165B"/>
    <w:rsid w:val="000E173A"/>
    <w:rsid w:val="000E1DDD"/>
    <w:rsid w:val="000E21E7"/>
    <w:rsid w:val="000E2B65"/>
    <w:rsid w:val="000E3123"/>
    <w:rsid w:val="000E3161"/>
    <w:rsid w:val="000E3309"/>
    <w:rsid w:val="000E36AD"/>
    <w:rsid w:val="000E4637"/>
    <w:rsid w:val="000E477D"/>
    <w:rsid w:val="000E52D8"/>
    <w:rsid w:val="000E539D"/>
    <w:rsid w:val="000E595F"/>
    <w:rsid w:val="000E5A72"/>
    <w:rsid w:val="000E603C"/>
    <w:rsid w:val="000E605A"/>
    <w:rsid w:val="000E6342"/>
    <w:rsid w:val="000E6C0A"/>
    <w:rsid w:val="000F0CC8"/>
    <w:rsid w:val="000F0F27"/>
    <w:rsid w:val="000F100E"/>
    <w:rsid w:val="000F18B7"/>
    <w:rsid w:val="000F1A72"/>
    <w:rsid w:val="000F1A82"/>
    <w:rsid w:val="000F1C56"/>
    <w:rsid w:val="000F1DD5"/>
    <w:rsid w:val="000F1E27"/>
    <w:rsid w:val="000F1E60"/>
    <w:rsid w:val="000F2245"/>
    <w:rsid w:val="000F2282"/>
    <w:rsid w:val="000F2681"/>
    <w:rsid w:val="000F27E6"/>
    <w:rsid w:val="000F285F"/>
    <w:rsid w:val="000F2D41"/>
    <w:rsid w:val="000F324B"/>
    <w:rsid w:val="000F3481"/>
    <w:rsid w:val="000F34C1"/>
    <w:rsid w:val="000F3571"/>
    <w:rsid w:val="000F369F"/>
    <w:rsid w:val="000F3A0D"/>
    <w:rsid w:val="000F3A84"/>
    <w:rsid w:val="000F3AA3"/>
    <w:rsid w:val="000F415C"/>
    <w:rsid w:val="000F43A5"/>
    <w:rsid w:val="000F4528"/>
    <w:rsid w:val="000F4BAA"/>
    <w:rsid w:val="000F5826"/>
    <w:rsid w:val="000F596F"/>
    <w:rsid w:val="000F59A7"/>
    <w:rsid w:val="000F59C2"/>
    <w:rsid w:val="000F5A1D"/>
    <w:rsid w:val="000F5D28"/>
    <w:rsid w:val="000F5EDB"/>
    <w:rsid w:val="000F6034"/>
    <w:rsid w:val="000F607E"/>
    <w:rsid w:val="000F62D6"/>
    <w:rsid w:val="000F656C"/>
    <w:rsid w:val="000F694D"/>
    <w:rsid w:val="000F6B33"/>
    <w:rsid w:val="000F6B9D"/>
    <w:rsid w:val="000F6DFC"/>
    <w:rsid w:val="000F6F23"/>
    <w:rsid w:val="000F70B9"/>
    <w:rsid w:val="000F7DAA"/>
    <w:rsid w:val="0010003B"/>
    <w:rsid w:val="00100230"/>
    <w:rsid w:val="001003F7"/>
    <w:rsid w:val="00100517"/>
    <w:rsid w:val="00100599"/>
    <w:rsid w:val="001006EC"/>
    <w:rsid w:val="00100F94"/>
    <w:rsid w:val="001018FB"/>
    <w:rsid w:val="00101D66"/>
    <w:rsid w:val="001026B6"/>
    <w:rsid w:val="001027B2"/>
    <w:rsid w:val="0010292A"/>
    <w:rsid w:val="00102967"/>
    <w:rsid w:val="001029D9"/>
    <w:rsid w:val="00102E74"/>
    <w:rsid w:val="00102F92"/>
    <w:rsid w:val="00103275"/>
    <w:rsid w:val="001035F5"/>
    <w:rsid w:val="00103F32"/>
    <w:rsid w:val="00104052"/>
    <w:rsid w:val="00104164"/>
    <w:rsid w:val="001045ED"/>
    <w:rsid w:val="00104AAF"/>
    <w:rsid w:val="00105755"/>
    <w:rsid w:val="00105841"/>
    <w:rsid w:val="00105E70"/>
    <w:rsid w:val="001065D4"/>
    <w:rsid w:val="00107190"/>
    <w:rsid w:val="0010767D"/>
    <w:rsid w:val="00107E70"/>
    <w:rsid w:val="00110645"/>
    <w:rsid w:val="001107EB"/>
    <w:rsid w:val="001110E2"/>
    <w:rsid w:val="0011199E"/>
    <w:rsid w:val="00111A4F"/>
    <w:rsid w:val="00111C3F"/>
    <w:rsid w:val="0011208A"/>
    <w:rsid w:val="00112337"/>
    <w:rsid w:val="00112DAF"/>
    <w:rsid w:val="00112F70"/>
    <w:rsid w:val="00113281"/>
    <w:rsid w:val="00113A5B"/>
    <w:rsid w:val="00114651"/>
    <w:rsid w:val="00114897"/>
    <w:rsid w:val="00114BBF"/>
    <w:rsid w:val="00114E3E"/>
    <w:rsid w:val="001151D1"/>
    <w:rsid w:val="001156B7"/>
    <w:rsid w:val="0011622A"/>
    <w:rsid w:val="00116B42"/>
    <w:rsid w:val="00120709"/>
    <w:rsid w:val="0012085E"/>
    <w:rsid w:val="00120871"/>
    <w:rsid w:val="00120E8A"/>
    <w:rsid w:val="00121226"/>
    <w:rsid w:val="001214CB"/>
    <w:rsid w:val="00121A48"/>
    <w:rsid w:val="00121E21"/>
    <w:rsid w:val="00122809"/>
    <w:rsid w:val="00122EF4"/>
    <w:rsid w:val="0012389B"/>
    <w:rsid w:val="00123A7E"/>
    <w:rsid w:val="00123B01"/>
    <w:rsid w:val="00123EC0"/>
    <w:rsid w:val="0012430A"/>
    <w:rsid w:val="00124945"/>
    <w:rsid w:val="00124967"/>
    <w:rsid w:val="00124DAF"/>
    <w:rsid w:val="00124E55"/>
    <w:rsid w:val="00124EA9"/>
    <w:rsid w:val="00125017"/>
    <w:rsid w:val="0012559A"/>
    <w:rsid w:val="001257E2"/>
    <w:rsid w:val="00126254"/>
    <w:rsid w:val="00126C53"/>
    <w:rsid w:val="00127ED1"/>
    <w:rsid w:val="0013000E"/>
    <w:rsid w:val="0013058F"/>
    <w:rsid w:val="0013077F"/>
    <w:rsid w:val="00130AFD"/>
    <w:rsid w:val="00132376"/>
    <w:rsid w:val="0013314B"/>
    <w:rsid w:val="00133885"/>
    <w:rsid w:val="00133A39"/>
    <w:rsid w:val="00133D79"/>
    <w:rsid w:val="001349F3"/>
    <w:rsid w:val="00134C36"/>
    <w:rsid w:val="0013531D"/>
    <w:rsid w:val="001356DA"/>
    <w:rsid w:val="0013593F"/>
    <w:rsid w:val="00135C97"/>
    <w:rsid w:val="00135E29"/>
    <w:rsid w:val="001363AD"/>
    <w:rsid w:val="001365F9"/>
    <w:rsid w:val="00136E35"/>
    <w:rsid w:val="0013706A"/>
    <w:rsid w:val="00137512"/>
    <w:rsid w:val="00137736"/>
    <w:rsid w:val="00137BAE"/>
    <w:rsid w:val="00137D64"/>
    <w:rsid w:val="00140457"/>
    <w:rsid w:val="0014053F"/>
    <w:rsid w:val="00140B2D"/>
    <w:rsid w:val="001410CB"/>
    <w:rsid w:val="00141685"/>
    <w:rsid w:val="00142481"/>
    <w:rsid w:val="00142608"/>
    <w:rsid w:val="00142812"/>
    <w:rsid w:val="00142BD2"/>
    <w:rsid w:val="00143279"/>
    <w:rsid w:val="001436EC"/>
    <w:rsid w:val="00144495"/>
    <w:rsid w:val="0014628E"/>
    <w:rsid w:val="001467CA"/>
    <w:rsid w:val="00146E90"/>
    <w:rsid w:val="00147301"/>
    <w:rsid w:val="00147502"/>
    <w:rsid w:val="00150178"/>
    <w:rsid w:val="001503A0"/>
    <w:rsid w:val="00150438"/>
    <w:rsid w:val="00150585"/>
    <w:rsid w:val="00150590"/>
    <w:rsid w:val="00150BA1"/>
    <w:rsid w:val="00151073"/>
    <w:rsid w:val="0015168B"/>
    <w:rsid w:val="00151821"/>
    <w:rsid w:val="00151CCC"/>
    <w:rsid w:val="001520A3"/>
    <w:rsid w:val="00152456"/>
    <w:rsid w:val="00152B9C"/>
    <w:rsid w:val="00152C33"/>
    <w:rsid w:val="001532A0"/>
    <w:rsid w:val="001535CA"/>
    <w:rsid w:val="00153CF9"/>
    <w:rsid w:val="00154170"/>
    <w:rsid w:val="001543B2"/>
    <w:rsid w:val="00155147"/>
    <w:rsid w:val="0015525B"/>
    <w:rsid w:val="001567A3"/>
    <w:rsid w:val="00156AA0"/>
    <w:rsid w:val="00156F8A"/>
    <w:rsid w:val="001570E3"/>
    <w:rsid w:val="0015744F"/>
    <w:rsid w:val="001576AB"/>
    <w:rsid w:val="00157B46"/>
    <w:rsid w:val="0016022E"/>
    <w:rsid w:val="00160C6B"/>
    <w:rsid w:val="00161023"/>
    <w:rsid w:val="00161100"/>
    <w:rsid w:val="001612D0"/>
    <w:rsid w:val="001613F3"/>
    <w:rsid w:val="00161A38"/>
    <w:rsid w:val="00161AA5"/>
    <w:rsid w:val="0016235C"/>
    <w:rsid w:val="00162861"/>
    <w:rsid w:val="00162DD1"/>
    <w:rsid w:val="00163681"/>
    <w:rsid w:val="00163F9A"/>
    <w:rsid w:val="0016476E"/>
    <w:rsid w:val="00164CCC"/>
    <w:rsid w:val="001650DB"/>
    <w:rsid w:val="00165247"/>
    <w:rsid w:val="0016556D"/>
    <w:rsid w:val="00165BB7"/>
    <w:rsid w:val="001663A5"/>
    <w:rsid w:val="00166B3E"/>
    <w:rsid w:val="001675CE"/>
    <w:rsid w:val="001679B7"/>
    <w:rsid w:val="00167EB7"/>
    <w:rsid w:val="0017016A"/>
    <w:rsid w:val="001708B8"/>
    <w:rsid w:val="00170B27"/>
    <w:rsid w:val="00170C92"/>
    <w:rsid w:val="001711CC"/>
    <w:rsid w:val="001711D6"/>
    <w:rsid w:val="0017151D"/>
    <w:rsid w:val="001715BD"/>
    <w:rsid w:val="00171C16"/>
    <w:rsid w:val="00172569"/>
    <w:rsid w:val="00172ECA"/>
    <w:rsid w:val="00173236"/>
    <w:rsid w:val="00173779"/>
    <w:rsid w:val="00173D43"/>
    <w:rsid w:val="00173E2C"/>
    <w:rsid w:val="001741D1"/>
    <w:rsid w:val="00174A4E"/>
    <w:rsid w:val="00175E2F"/>
    <w:rsid w:val="00175F3B"/>
    <w:rsid w:val="001765B1"/>
    <w:rsid w:val="00176B81"/>
    <w:rsid w:val="00177C5E"/>
    <w:rsid w:val="00180126"/>
    <w:rsid w:val="001806C3"/>
    <w:rsid w:val="00180F33"/>
    <w:rsid w:val="00181556"/>
    <w:rsid w:val="00181656"/>
    <w:rsid w:val="00181895"/>
    <w:rsid w:val="001818AE"/>
    <w:rsid w:val="001819F2"/>
    <w:rsid w:val="00181A1B"/>
    <w:rsid w:val="00183397"/>
    <w:rsid w:val="001833DE"/>
    <w:rsid w:val="0018346C"/>
    <w:rsid w:val="001836EE"/>
    <w:rsid w:val="001839BD"/>
    <w:rsid w:val="0018451C"/>
    <w:rsid w:val="00184730"/>
    <w:rsid w:val="001847A3"/>
    <w:rsid w:val="00184862"/>
    <w:rsid w:val="00184A33"/>
    <w:rsid w:val="00184EB3"/>
    <w:rsid w:val="0018507B"/>
    <w:rsid w:val="0018533A"/>
    <w:rsid w:val="00185466"/>
    <w:rsid w:val="00185536"/>
    <w:rsid w:val="00185F78"/>
    <w:rsid w:val="001865CB"/>
    <w:rsid w:val="0018678C"/>
    <w:rsid w:val="00186A7E"/>
    <w:rsid w:val="00186F4A"/>
    <w:rsid w:val="0018751D"/>
    <w:rsid w:val="00187765"/>
    <w:rsid w:val="00187878"/>
    <w:rsid w:val="00187A6F"/>
    <w:rsid w:val="001900FE"/>
    <w:rsid w:val="001903AC"/>
    <w:rsid w:val="00190D19"/>
    <w:rsid w:val="00190D29"/>
    <w:rsid w:val="00190DC3"/>
    <w:rsid w:val="00190E0A"/>
    <w:rsid w:val="00190FE9"/>
    <w:rsid w:val="001912DB"/>
    <w:rsid w:val="00192028"/>
    <w:rsid w:val="00192A73"/>
    <w:rsid w:val="0019304B"/>
    <w:rsid w:val="001930A3"/>
    <w:rsid w:val="001933F0"/>
    <w:rsid w:val="00193EBC"/>
    <w:rsid w:val="00195206"/>
    <w:rsid w:val="0019525B"/>
    <w:rsid w:val="001954A8"/>
    <w:rsid w:val="00195835"/>
    <w:rsid w:val="00195DBA"/>
    <w:rsid w:val="00196301"/>
    <w:rsid w:val="00196810"/>
    <w:rsid w:val="001969CE"/>
    <w:rsid w:val="00196BAB"/>
    <w:rsid w:val="00196DE9"/>
    <w:rsid w:val="00196FB0"/>
    <w:rsid w:val="0019701D"/>
    <w:rsid w:val="00197673"/>
    <w:rsid w:val="00197696"/>
    <w:rsid w:val="00197E5C"/>
    <w:rsid w:val="001A0286"/>
    <w:rsid w:val="001A08B8"/>
    <w:rsid w:val="001A09BD"/>
    <w:rsid w:val="001A0F6A"/>
    <w:rsid w:val="001A135B"/>
    <w:rsid w:val="001A1386"/>
    <w:rsid w:val="001A2136"/>
    <w:rsid w:val="001A259E"/>
    <w:rsid w:val="001A2BE1"/>
    <w:rsid w:val="001A317C"/>
    <w:rsid w:val="001A33D4"/>
    <w:rsid w:val="001A354C"/>
    <w:rsid w:val="001A36AE"/>
    <w:rsid w:val="001A3BA8"/>
    <w:rsid w:val="001A3FBA"/>
    <w:rsid w:val="001A423C"/>
    <w:rsid w:val="001A45C3"/>
    <w:rsid w:val="001A4879"/>
    <w:rsid w:val="001A4B0E"/>
    <w:rsid w:val="001A4C04"/>
    <w:rsid w:val="001A5140"/>
    <w:rsid w:val="001A539B"/>
    <w:rsid w:val="001A5CEB"/>
    <w:rsid w:val="001A628F"/>
    <w:rsid w:val="001A6AE4"/>
    <w:rsid w:val="001A6B2E"/>
    <w:rsid w:val="001A7196"/>
    <w:rsid w:val="001A72E1"/>
    <w:rsid w:val="001A7689"/>
    <w:rsid w:val="001B0086"/>
    <w:rsid w:val="001B0B1F"/>
    <w:rsid w:val="001B0FF0"/>
    <w:rsid w:val="001B1021"/>
    <w:rsid w:val="001B1F4C"/>
    <w:rsid w:val="001B2494"/>
    <w:rsid w:val="001B25F4"/>
    <w:rsid w:val="001B2741"/>
    <w:rsid w:val="001B2B2E"/>
    <w:rsid w:val="001B315B"/>
    <w:rsid w:val="001B3DE0"/>
    <w:rsid w:val="001B4149"/>
    <w:rsid w:val="001B4699"/>
    <w:rsid w:val="001B4D88"/>
    <w:rsid w:val="001B5217"/>
    <w:rsid w:val="001B552B"/>
    <w:rsid w:val="001B55AB"/>
    <w:rsid w:val="001B562B"/>
    <w:rsid w:val="001B5AFE"/>
    <w:rsid w:val="001B62D2"/>
    <w:rsid w:val="001B6AFA"/>
    <w:rsid w:val="001B6BCF"/>
    <w:rsid w:val="001B7451"/>
    <w:rsid w:val="001B75C6"/>
    <w:rsid w:val="001B7784"/>
    <w:rsid w:val="001B7C78"/>
    <w:rsid w:val="001C036C"/>
    <w:rsid w:val="001C04C2"/>
    <w:rsid w:val="001C0D85"/>
    <w:rsid w:val="001C19B0"/>
    <w:rsid w:val="001C1A85"/>
    <w:rsid w:val="001C1E97"/>
    <w:rsid w:val="001C2143"/>
    <w:rsid w:val="001C2800"/>
    <w:rsid w:val="001C2A95"/>
    <w:rsid w:val="001C2CC1"/>
    <w:rsid w:val="001C2EF0"/>
    <w:rsid w:val="001C3B52"/>
    <w:rsid w:val="001C3BCA"/>
    <w:rsid w:val="001C411B"/>
    <w:rsid w:val="001C411D"/>
    <w:rsid w:val="001C51FE"/>
    <w:rsid w:val="001C589D"/>
    <w:rsid w:val="001C5B1C"/>
    <w:rsid w:val="001C5B2D"/>
    <w:rsid w:val="001C5C51"/>
    <w:rsid w:val="001C5CAF"/>
    <w:rsid w:val="001C60FA"/>
    <w:rsid w:val="001C6984"/>
    <w:rsid w:val="001C6BB3"/>
    <w:rsid w:val="001C6ED4"/>
    <w:rsid w:val="001C70EE"/>
    <w:rsid w:val="001C773F"/>
    <w:rsid w:val="001C77DE"/>
    <w:rsid w:val="001C7A1D"/>
    <w:rsid w:val="001D05D8"/>
    <w:rsid w:val="001D07EC"/>
    <w:rsid w:val="001D0AF0"/>
    <w:rsid w:val="001D1494"/>
    <w:rsid w:val="001D1829"/>
    <w:rsid w:val="001D1914"/>
    <w:rsid w:val="001D197F"/>
    <w:rsid w:val="001D2234"/>
    <w:rsid w:val="001D2584"/>
    <w:rsid w:val="001D25DD"/>
    <w:rsid w:val="001D2817"/>
    <w:rsid w:val="001D3B7C"/>
    <w:rsid w:val="001D3ECA"/>
    <w:rsid w:val="001D4486"/>
    <w:rsid w:val="001D4602"/>
    <w:rsid w:val="001D4A57"/>
    <w:rsid w:val="001D50F6"/>
    <w:rsid w:val="001D513D"/>
    <w:rsid w:val="001D5418"/>
    <w:rsid w:val="001D60B9"/>
    <w:rsid w:val="001D6582"/>
    <w:rsid w:val="001D7436"/>
    <w:rsid w:val="001D7DDF"/>
    <w:rsid w:val="001E06DB"/>
    <w:rsid w:val="001E0737"/>
    <w:rsid w:val="001E16D1"/>
    <w:rsid w:val="001E2625"/>
    <w:rsid w:val="001E31B4"/>
    <w:rsid w:val="001E3358"/>
    <w:rsid w:val="001E37FB"/>
    <w:rsid w:val="001E3E36"/>
    <w:rsid w:val="001E3FB6"/>
    <w:rsid w:val="001E417D"/>
    <w:rsid w:val="001E4182"/>
    <w:rsid w:val="001E42D2"/>
    <w:rsid w:val="001E492D"/>
    <w:rsid w:val="001E49AE"/>
    <w:rsid w:val="001E4E42"/>
    <w:rsid w:val="001E4E78"/>
    <w:rsid w:val="001E518B"/>
    <w:rsid w:val="001E5587"/>
    <w:rsid w:val="001E5597"/>
    <w:rsid w:val="001E5874"/>
    <w:rsid w:val="001E5D01"/>
    <w:rsid w:val="001E657D"/>
    <w:rsid w:val="001E68B0"/>
    <w:rsid w:val="001E6AF0"/>
    <w:rsid w:val="001E6CAD"/>
    <w:rsid w:val="001E7760"/>
    <w:rsid w:val="001F04B8"/>
    <w:rsid w:val="001F077F"/>
    <w:rsid w:val="001F09D4"/>
    <w:rsid w:val="001F14BB"/>
    <w:rsid w:val="001F14F0"/>
    <w:rsid w:val="001F1A93"/>
    <w:rsid w:val="001F2887"/>
    <w:rsid w:val="001F2A7B"/>
    <w:rsid w:val="001F3196"/>
    <w:rsid w:val="001F373B"/>
    <w:rsid w:val="001F3A99"/>
    <w:rsid w:val="001F3FBE"/>
    <w:rsid w:val="001F4C1A"/>
    <w:rsid w:val="001F4FBE"/>
    <w:rsid w:val="001F54AA"/>
    <w:rsid w:val="001F55FB"/>
    <w:rsid w:val="001F61BA"/>
    <w:rsid w:val="001F6689"/>
    <w:rsid w:val="001F698B"/>
    <w:rsid w:val="001F6DE8"/>
    <w:rsid w:val="001F7124"/>
    <w:rsid w:val="001F716A"/>
    <w:rsid w:val="001F75D1"/>
    <w:rsid w:val="001F765A"/>
    <w:rsid w:val="001F7EC2"/>
    <w:rsid w:val="00200CD2"/>
    <w:rsid w:val="00200DC1"/>
    <w:rsid w:val="002012E7"/>
    <w:rsid w:val="00201993"/>
    <w:rsid w:val="00201C99"/>
    <w:rsid w:val="00201D12"/>
    <w:rsid w:val="00202284"/>
    <w:rsid w:val="002030E1"/>
    <w:rsid w:val="002038D4"/>
    <w:rsid w:val="00204012"/>
    <w:rsid w:val="00204B9F"/>
    <w:rsid w:val="00204BFB"/>
    <w:rsid w:val="00204D78"/>
    <w:rsid w:val="00205273"/>
    <w:rsid w:val="00205B75"/>
    <w:rsid w:val="002065DE"/>
    <w:rsid w:val="00207B2F"/>
    <w:rsid w:val="0021037D"/>
    <w:rsid w:val="00210BBB"/>
    <w:rsid w:val="00211265"/>
    <w:rsid w:val="002112E7"/>
    <w:rsid w:val="0021192E"/>
    <w:rsid w:val="00211B76"/>
    <w:rsid w:val="0021269E"/>
    <w:rsid w:val="002128CD"/>
    <w:rsid w:val="00213290"/>
    <w:rsid w:val="002133DF"/>
    <w:rsid w:val="002137EC"/>
    <w:rsid w:val="00213A27"/>
    <w:rsid w:val="00213F5E"/>
    <w:rsid w:val="002140EF"/>
    <w:rsid w:val="0021416E"/>
    <w:rsid w:val="0021423C"/>
    <w:rsid w:val="002149AB"/>
    <w:rsid w:val="00214E77"/>
    <w:rsid w:val="00215E2D"/>
    <w:rsid w:val="00216326"/>
    <w:rsid w:val="0021643A"/>
    <w:rsid w:val="00216631"/>
    <w:rsid w:val="00216F01"/>
    <w:rsid w:val="00216FEB"/>
    <w:rsid w:val="00217404"/>
    <w:rsid w:val="002174EF"/>
    <w:rsid w:val="0021768B"/>
    <w:rsid w:val="00220F8F"/>
    <w:rsid w:val="00221194"/>
    <w:rsid w:val="00221570"/>
    <w:rsid w:val="002215AA"/>
    <w:rsid w:val="00221A31"/>
    <w:rsid w:val="00221CD6"/>
    <w:rsid w:val="0022248A"/>
    <w:rsid w:val="002230C2"/>
    <w:rsid w:val="0022316E"/>
    <w:rsid w:val="0022326B"/>
    <w:rsid w:val="00223527"/>
    <w:rsid w:val="00223B6A"/>
    <w:rsid w:val="00223CC2"/>
    <w:rsid w:val="00223E91"/>
    <w:rsid w:val="00224760"/>
    <w:rsid w:val="002247B0"/>
    <w:rsid w:val="00225D04"/>
    <w:rsid w:val="002265D1"/>
    <w:rsid w:val="002266F8"/>
    <w:rsid w:val="002269D1"/>
    <w:rsid w:val="00227030"/>
    <w:rsid w:val="00227291"/>
    <w:rsid w:val="00227448"/>
    <w:rsid w:val="00227694"/>
    <w:rsid w:val="002276CA"/>
    <w:rsid w:val="002277CA"/>
    <w:rsid w:val="00230BAF"/>
    <w:rsid w:val="00230E4C"/>
    <w:rsid w:val="00230F77"/>
    <w:rsid w:val="00231175"/>
    <w:rsid w:val="002313D1"/>
    <w:rsid w:val="002314E7"/>
    <w:rsid w:val="0023191A"/>
    <w:rsid w:val="002325B3"/>
    <w:rsid w:val="00232D08"/>
    <w:rsid w:val="00233419"/>
    <w:rsid w:val="002339B9"/>
    <w:rsid w:val="00233DEE"/>
    <w:rsid w:val="0023415F"/>
    <w:rsid w:val="002343C2"/>
    <w:rsid w:val="002353B0"/>
    <w:rsid w:val="002353DE"/>
    <w:rsid w:val="00235846"/>
    <w:rsid w:val="00235AE9"/>
    <w:rsid w:val="00235FA7"/>
    <w:rsid w:val="002363C1"/>
    <w:rsid w:val="00236552"/>
    <w:rsid w:val="002365DF"/>
    <w:rsid w:val="00236A45"/>
    <w:rsid w:val="00236B48"/>
    <w:rsid w:val="00236F2D"/>
    <w:rsid w:val="00236F54"/>
    <w:rsid w:val="00236FC0"/>
    <w:rsid w:val="00237117"/>
    <w:rsid w:val="002374E4"/>
    <w:rsid w:val="0023751D"/>
    <w:rsid w:val="0024017C"/>
    <w:rsid w:val="002407BF"/>
    <w:rsid w:val="00241A9F"/>
    <w:rsid w:val="00242B25"/>
    <w:rsid w:val="00243170"/>
    <w:rsid w:val="00243318"/>
    <w:rsid w:val="00243328"/>
    <w:rsid w:val="00243B90"/>
    <w:rsid w:val="00243E92"/>
    <w:rsid w:val="0024406C"/>
    <w:rsid w:val="00244596"/>
    <w:rsid w:val="00244742"/>
    <w:rsid w:val="00244913"/>
    <w:rsid w:val="00244A38"/>
    <w:rsid w:val="00244F50"/>
    <w:rsid w:val="002457A1"/>
    <w:rsid w:val="002463C7"/>
    <w:rsid w:val="0024660F"/>
    <w:rsid w:val="00246D12"/>
    <w:rsid w:val="002472A1"/>
    <w:rsid w:val="00247477"/>
    <w:rsid w:val="00247A4B"/>
    <w:rsid w:val="00247A5E"/>
    <w:rsid w:val="00250E54"/>
    <w:rsid w:val="0025129C"/>
    <w:rsid w:val="00251384"/>
    <w:rsid w:val="00251C8E"/>
    <w:rsid w:val="002528CD"/>
    <w:rsid w:val="00252F5C"/>
    <w:rsid w:val="002535E4"/>
    <w:rsid w:val="0025366A"/>
    <w:rsid w:val="002537C1"/>
    <w:rsid w:val="00253D6B"/>
    <w:rsid w:val="00253F63"/>
    <w:rsid w:val="00253F75"/>
    <w:rsid w:val="00254AC2"/>
    <w:rsid w:val="00254C73"/>
    <w:rsid w:val="00254D02"/>
    <w:rsid w:val="0025540D"/>
    <w:rsid w:val="002554A6"/>
    <w:rsid w:val="002555B7"/>
    <w:rsid w:val="00255703"/>
    <w:rsid w:val="00256555"/>
    <w:rsid w:val="00256B2A"/>
    <w:rsid w:val="00256EE3"/>
    <w:rsid w:val="002575E1"/>
    <w:rsid w:val="002576FD"/>
    <w:rsid w:val="00257BFD"/>
    <w:rsid w:val="002601CC"/>
    <w:rsid w:val="00260407"/>
    <w:rsid w:val="00260AF4"/>
    <w:rsid w:val="00260C96"/>
    <w:rsid w:val="00260ED5"/>
    <w:rsid w:val="00261096"/>
    <w:rsid w:val="00261595"/>
    <w:rsid w:val="00261C0D"/>
    <w:rsid w:val="0026205F"/>
    <w:rsid w:val="00262247"/>
    <w:rsid w:val="00262939"/>
    <w:rsid w:val="00262E7D"/>
    <w:rsid w:val="0026358B"/>
    <w:rsid w:val="0026393D"/>
    <w:rsid w:val="00263D45"/>
    <w:rsid w:val="00264453"/>
    <w:rsid w:val="002644CD"/>
    <w:rsid w:val="002645D8"/>
    <w:rsid w:val="00264674"/>
    <w:rsid w:val="002655EC"/>
    <w:rsid w:val="00265A49"/>
    <w:rsid w:val="00265AAB"/>
    <w:rsid w:val="00265BBC"/>
    <w:rsid w:val="00266986"/>
    <w:rsid w:val="00266F9F"/>
    <w:rsid w:val="0026793D"/>
    <w:rsid w:val="0027001F"/>
    <w:rsid w:val="002703BD"/>
    <w:rsid w:val="002707A6"/>
    <w:rsid w:val="0027096E"/>
    <w:rsid w:val="00270AE1"/>
    <w:rsid w:val="00271DEE"/>
    <w:rsid w:val="00271E2B"/>
    <w:rsid w:val="0027231D"/>
    <w:rsid w:val="00272759"/>
    <w:rsid w:val="00272839"/>
    <w:rsid w:val="00272CFE"/>
    <w:rsid w:val="00273147"/>
    <w:rsid w:val="002733F5"/>
    <w:rsid w:val="0027396B"/>
    <w:rsid w:val="00273C46"/>
    <w:rsid w:val="00273F77"/>
    <w:rsid w:val="002740D6"/>
    <w:rsid w:val="002741AD"/>
    <w:rsid w:val="00274290"/>
    <w:rsid w:val="00274F56"/>
    <w:rsid w:val="00274F74"/>
    <w:rsid w:val="00275712"/>
    <w:rsid w:val="00275A07"/>
    <w:rsid w:val="00275F8C"/>
    <w:rsid w:val="00276A4B"/>
    <w:rsid w:val="002772A2"/>
    <w:rsid w:val="00277562"/>
    <w:rsid w:val="00277612"/>
    <w:rsid w:val="002804DE"/>
    <w:rsid w:val="002809EF"/>
    <w:rsid w:val="00281926"/>
    <w:rsid w:val="00281A46"/>
    <w:rsid w:val="00281BEC"/>
    <w:rsid w:val="00281D39"/>
    <w:rsid w:val="00281F88"/>
    <w:rsid w:val="00282481"/>
    <w:rsid w:val="0028261C"/>
    <w:rsid w:val="002826AF"/>
    <w:rsid w:val="0028284F"/>
    <w:rsid w:val="00283250"/>
    <w:rsid w:val="00283515"/>
    <w:rsid w:val="0028355E"/>
    <w:rsid w:val="0028365E"/>
    <w:rsid w:val="002836C7"/>
    <w:rsid w:val="0028396F"/>
    <w:rsid w:val="00283F9F"/>
    <w:rsid w:val="00285451"/>
    <w:rsid w:val="0028594C"/>
    <w:rsid w:val="00285D6D"/>
    <w:rsid w:val="00286859"/>
    <w:rsid w:val="002868B5"/>
    <w:rsid w:val="00286FEF"/>
    <w:rsid w:val="002870D6"/>
    <w:rsid w:val="002875B0"/>
    <w:rsid w:val="00290445"/>
    <w:rsid w:val="00290B67"/>
    <w:rsid w:val="00291235"/>
    <w:rsid w:val="0029164E"/>
    <w:rsid w:val="00291F89"/>
    <w:rsid w:val="00292178"/>
    <w:rsid w:val="00292475"/>
    <w:rsid w:val="00292DAE"/>
    <w:rsid w:val="00292DBF"/>
    <w:rsid w:val="00292F18"/>
    <w:rsid w:val="002930A2"/>
    <w:rsid w:val="00293727"/>
    <w:rsid w:val="00293EC4"/>
    <w:rsid w:val="002940AA"/>
    <w:rsid w:val="0029421B"/>
    <w:rsid w:val="002942CC"/>
    <w:rsid w:val="00294376"/>
    <w:rsid w:val="0029448A"/>
    <w:rsid w:val="00294629"/>
    <w:rsid w:val="002947C7"/>
    <w:rsid w:val="00294857"/>
    <w:rsid w:val="00294A9C"/>
    <w:rsid w:val="00294C4A"/>
    <w:rsid w:val="002958A5"/>
    <w:rsid w:val="00295B77"/>
    <w:rsid w:val="00295CEF"/>
    <w:rsid w:val="00296327"/>
    <w:rsid w:val="00296808"/>
    <w:rsid w:val="00296841"/>
    <w:rsid w:val="00296D9E"/>
    <w:rsid w:val="00297025"/>
    <w:rsid w:val="00297549"/>
    <w:rsid w:val="00297810"/>
    <w:rsid w:val="0029796B"/>
    <w:rsid w:val="00297D59"/>
    <w:rsid w:val="002A069F"/>
    <w:rsid w:val="002A0784"/>
    <w:rsid w:val="002A0986"/>
    <w:rsid w:val="002A10D5"/>
    <w:rsid w:val="002A10E8"/>
    <w:rsid w:val="002A11FB"/>
    <w:rsid w:val="002A1688"/>
    <w:rsid w:val="002A1938"/>
    <w:rsid w:val="002A3039"/>
    <w:rsid w:val="002A3B62"/>
    <w:rsid w:val="002A3E07"/>
    <w:rsid w:val="002A445F"/>
    <w:rsid w:val="002A56CA"/>
    <w:rsid w:val="002A5982"/>
    <w:rsid w:val="002A5E02"/>
    <w:rsid w:val="002A675A"/>
    <w:rsid w:val="002A7564"/>
    <w:rsid w:val="002A7654"/>
    <w:rsid w:val="002A77B7"/>
    <w:rsid w:val="002A7BF1"/>
    <w:rsid w:val="002B06DE"/>
    <w:rsid w:val="002B0BFF"/>
    <w:rsid w:val="002B0DF2"/>
    <w:rsid w:val="002B11D6"/>
    <w:rsid w:val="002B160E"/>
    <w:rsid w:val="002B1B22"/>
    <w:rsid w:val="002B2426"/>
    <w:rsid w:val="002B2E7B"/>
    <w:rsid w:val="002B31E6"/>
    <w:rsid w:val="002B34FC"/>
    <w:rsid w:val="002B36FD"/>
    <w:rsid w:val="002B3D90"/>
    <w:rsid w:val="002B45FC"/>
    <w:rsid w:val="002B4724"/>
    <w:rsid w:val="002B5346"/>
    <w:rsid w:val="002B5FF2"/>
    <w:rsid w:val="002B6426"/>
    <w:rsid w:val="002B6980"/>
    <w:rsid w:val="002B6E00"/>
    <w:rsid w:val="002B6F93"/>
    <w:rsid w:val="002B7340"/>
    <w:rsid w:val="002B7403"/>
    <w:rsid w:val="002B7440"/>
    <w:rsid w:val="002B7637"/>
    <w:rsid w:val="002B7645"/>
    <w:rsid w:val="002C09CA"/>
    <w:rsid w:val="002C0AD6"/>
    <w:rsid w:val="002C0ECD"/>
    <w:rsid w:val="002C0F7A"/>
    <w:rsid w:val="002C11AE"/>
    <w:rsid w:val="002C17BA"/>
    <w:rsid w:val="002C1AE3"/>
    <w:rsid w:val="002C2663"/>
    <w:rsid w:val="002C2836"/>
    <w:rsid w:val="002C295C"/>
    <w:rsid w:val="002C35C6"/>
    <w:rsid w:val="002C3A6F"/>
    <w:rsid w:val="002C3F3A"/>
    <w:rsid w:val="002C470B"/>
    <w:rsid w:val="002C4717"/>
    <w:rsid w:val="002C4857"/>
    <w:rsid w:val="002C4CBC"/>
    <w:rsid w:val="002C5416"/>
    <w:rsid w:val="002C5873"/>
    <w:rsid w:val="002C58A0"/>
    <w:rsid w:val="002C6F9B"/>
    <w:rsid w:val="002C7D00"/>
    <w:rsid w:val="002C7EAF"/>
    <w:rsid w:val="002C7F22"/>
    <w:rsid w:val="002D09B3"/>
    <w:rsid w:val="002D0D81"/>
    <w:rsid w:val="002D0FDF"/>
    <w:rsid w:val="002D1090"/>
    <w:rsid w:val="002D1731"/>
    <w:rsid w:val="002D2373"/>
    <w:rsid w:val="002D2486"/>
    <w:rsid w:val="002D2A0B"/>
    <w:rsid w:val="002D2AF7"/>
    <w:rsid w:val="002D39AB"/>
    <w:rsid w:val="002D3B64"/>
    <w:rsid w:val="002D418D"/>
    <w:rsid w:val="002D41FE"/>
    <w:rsid w:val="002D4371"/>
    <w:rsid w:val="002D4D70"/>
    <w:rsid w:val="002D5135"/>
    <w:rsid w:val="002D5412"/>
    <w:rsid w:val="002D5E12"/>
    <w:rsid w:val="002D60CD"/>
    <w:rsid w:val="002D698F"/>
    <w:rsid w:val="002D6C8A"/>
    <w:rsid w:val="002D6CF9"/>
    <w:rsid w:val="002D6F9C"/>
    <w:rsid w:val="002D7116"/>
    <w:rsid w:val="002D71E7"/>
    <w:rsid w:val="002D79DE"/>
    <w:rsid w:val="002D7DF9"/>
    <w:rsid w:val="002E0D73"/>
    <w:rsid w:val="002E148B"/>
    <w:rsid w:val="002E1F64"/>
    <w:rsid w:val="002E2ABC"/>
    <w:rsid w:val="002E2FEA"/>
    <w:rsid w:val="002E35C4"/>
    <w:rsid w:val="002E3D05"/>
    <w:rsid w:val="002E3F5B"/>
    <w:rsid w:val="002E46ED"/>
    <w:rsid w:val="002E4876"/>
    <w:rsid w:val="002E5584"/>
    <w:rsid w:val="002E59BC"/>
    <w:rsid w:val="002E5CFC"/>
    <w:rsid w:val="002E62BD"/>
    <w:rsid w:val="002E6738"/>
    <w:rsid w:val="002E6BC8"/>
    <w:rsid w:val="002E6F2D"/>
    <w:rsid w:val="002E7877"/>
    <w:rsid w:val="002E7A13"/>
    <w:rsid w:val="002E7E1D"/>
    <w:rsid w:val="002F0096"/>
    <w:rsid w:val="002F00F4"/>
    <w:rsid w:val="002F0472"/>
    <w:rsid w:val="002F0637"/>
    <w:rsid w:val="002F1166"/>
    <w:rsid w:val="002F1B26"/>
    <w:rsid w:val="002F279F"/>
    <w:rsid w:val="002F2BA7"/>
    <w:rsid w:val="002F3779"/>
    <w:rsid w:val="002F37D1"/>
    <w:rsid w:val="002F3F48"/>
    <w:rsid w:val="002F41B1"/>
    <w:rsid w:val="002F4215"/>
    <w:rsid w:val="002F4219"/>
    <w:rsid w:val="002F4B9C"/>
    <w:rsid w:val="002F4BF4"/>
    <w:rsid w:val="002F52A8"/>
    <w:rsid w:val="002F531B"/>
    <w:rsid w:val="002F5345"/>
    <w:rsid w:val="002F53E7"/>
    <w:rsid w:val="002F5638"/>
    <w:rsid w:val="002F5BE7"/>
    <w:rsid w:val="002F652A"/>
    <w:rsid w:val="002F6616"/>
    <w:rsid w:val="002F6631"/>
    <w:rsid w:val="002F6B95"/>
    <w:rsid w:val="002F700F"/>
    <w:rsid w:val="002F7A1C"/>
    <w:rsid w:val="002F7ED7"/>
    <w:rsid w:val="00300551"/>
    <w:rsid w:val="00300655"/>
    <w:rsid w:val="003007ED"/>
    <w:rsid w:val="00300AAD"/>
    <w:rsid w:val="00301055"/>
    <w:rsid w:val="00301242"/>
    <w:rsid w:val="00301729"/>
    <w:rsid w:val="003019A5"/>
    <w:rsid w:val="00302027"/>
    <w:rsid w:val="00302034"/>
    <w:rsid w:val="00302335"/>
    <w:rsid w:val="0030242A"/>
    <w:rsid w:val="0030246A"/>
    <w:rsid w:val="00302487"/>
    <w:rsid w:val="0030292C"/>
    <w:rsid w:val="003034A9"/>
    <w:rsid w:val="003034DA"/>
    <w:rsid w:val="00303702"/>
    <w:rsid w:val="0030377E"/>
    <w:rsid w:val="0030390C"/>
    <w:rsid w:val="00304B8C"/>
    <w:rsid w:val="003054DE"/>
    <w:rsid w:val="0030558B"/>
    <w:rsid w:val="00306016"/>
    <w:rsid w:val="0030644B"/>
    <w:rsid w:val="003065EE"/>
    <w:rsid w:val="0030708A"/>
    <w:rsid w:val="00307A17"/>
    <w:rsid w:val="00307B8E"/>
    <w:rsid w:val="00307BFA"/>
    <w:rsid w:val="00310447"/>
    <w:rsid w:val="00310DBD"/>
    <w:rsid w:val="003115A9"/>
    <w:rsid w:val="0031268F"/>
    <w:rsid w:val="003131A6"/>
    <w:rsid w:val="0031376E"/>
    <w:rsid w:val="00313DE6"/>
    <w:rsid w:val="00315124"/>
    <w:rsid w:val="00315582"/>
    <w:rsid w:val="00316B60"/>
    <w:rsid w:val="00317005"/>
    <w:rsid w:val="003178E3"/>
    <w:rsid w:val="003202CC"/>
    <w:rsid w:val="003203C0"/>
    <w:rsid w:val="003204DD"/>
    <w:rsid w:val="00320727"/>
    <w:rsid w:val="00320E93"/>
    <w:rsid w:val="00320F06"/>
    <w:rsid w:val="003211BF"/>
    <w:rsid w:val="0032137B"/>
    <w:rsid w:val="00321A47"/>
    <w:rsid w:val="00321B9A"/>
    <w:rsid w:val="00321F4E"/>
    <w:rsid w:val="00322801"/>
    <w:rsid w:val="00323507"/>
    <w:rsid w:val="0032357D"/>
    <w:rsid w:val="003238C9"/>
    <w:rsid w:val="00323D2E"/>
    <w:rsid w:val="00323F22"/>
    <w:rsid w:val="003242AD"/>
    <w:rsid w:val="0032455B"/>
    <w:rsid w:val="003263C4"/>
    <w:rsid w:val="00326668"/>
    <w:rsid w:val="003267EB"/>
    <w:rsid w:val="00326848"/>
    <w:rsid w:val="00326CD1"/>
    <w:rsid w:val="003278CD"/>
    <w:rsid w:val="00327C88"/>
    <w:rsid w:val="00327F30"/>
    <w:rsid w:val="003305C0"/>
    <w:rsid w:val="00330D2D"/>
    <w:rsid w:val="00330EEB"/>
    <w:rsid w:val="0033186B"/>
    <w:rsid w:val="00332225"/>
    <w:rsid w:val="00332B8C"/>
    <w:rsid w:val="003332A7"/>
    <w:rsid w:val="0033344B"/>
    <w:rsid w:val="003337C8"/>
    <w:rsid w:val="00333A06"/>
    <w:rsid w:val="00333D9B"/>
    <w:rsid w:val="003342B8"/>
    <w:rsid w:val="00334967"/>
    <w:rsid w:val="003351A1"/>
    <w:rsid w:val="003361E6"/>
    <w:rsid w:val="003363C3"/>
    <w:rsid w:val="0033654A"/>
    <w:rsid w:val="00340326"/>
    <w:rsid w:val="00340411"/>
    <w:rsid w:val="003404E3"/>
    <w:rsid w:val="0034055A"/>
    <w:rsid w:val="0034065F"/>
    <w:rsid w:val="003414AB"/>
    <w:rsid w:val="003416F5"/>
    <w:rsid w:val="00341E80"/>
    <w:rsid w:val="00341F61"/>
    <w:rsid w:val="00341F72"/>
    <w:rsid w:val="0034209B"/>
    <w:rsid w:val="00342678"/>
    <w:rsid w:val="003429B6"/>
    <w:rsid w:val="00342DEE"/>
    <w:rsid w:val="00343257"/>
    <w:rsid w:val="00343A1C"/>
    <w:rsid w:val="00343C22"/>
    <w:rsid w:val="00343CA4"/>
    <w:rsid w:val="00344758"/>
    <w:rsid w:val="003450DD"/>
    <w:rsid w:val="003454D4"/>
    <w:rsid w:val="00345CBE"/>
    <w:rsid w:val="003463D2"/>
    <w:rsid w:val="003465C4"/>
    <w:rsid w:val="00346CCC"/>
    <w:rsid w:val="00346F32"/>
    <w:rsid w:val="00346FEA"/>
    <w:rsid w:val="00347745"/>
    <w:rsid w:val="00350998"/>
    <w:rsid w:val="00350A8C"/>
    <w:rsid w:val="003517D0"/>
    <w:rsid w:val="00351AA0"/>
    <w:rsid w:val="00351ABD"/>
    <w:rsid w:val="00351C2A"/>
    <w:rsid w:val="00351C5E"/>
    <w:rsid w:val="00351E26"/>
    <w:rsid w:val="00352674"/>
    <w:rsid w:val="003529E8"/>
    <w:rsid w:val="00353072"/>
    <w:rsid w:val="0035343E"/>
    <w:rsid w:val="00353635"/>
    <w:rsid w:val="00353F76"/>
    <w:rsid w:val="00353F80"/>
    <w:rsid w:val="00354146"/>
    <w:rsid w:val="00354148"/>
    <w:rsid w:val="003545F2"/>
    <w:rsid w:val="003546B1"/>
    <w:rsid w:val="00354D0B"/>
    <w:rsid w:val="003551B7"/>
    <w:rsid w:val="00355593"/>
    <w:rsid w:val="0035567A"/>
    <w:rsid w:val="00355689"/>
    <w:rsid w:val="003557EC"/>
    <w:rsid w:val="00355918"/>
    <w:rsid w:val="00355D2E"/>
    <w:rsid w:val="00356102"/>
    <w:rsid w:val="003564E3"/>
    <w:rsid w:val="003569CB"/>
    <w:rsid w:val="00357A0B"/>
    <w:rsid w:val="00357CC1"/>
    <w:rsid w:val="00357F6B"/>
    <w:rsid w:val="00360B46"/>
    <w:rsid w:val="00360E7B"/>
    <w:rsid w:val="00360FE1"/>
    <w:rsid w:val="00362825"/>
    <w:rsid w:val="0036283A"/>
    <w:rsid w:val="00362DBF"/>
    <w:rsid w:val="00362DE6"/>
    <w:rsid w:val="00363102"/>
    <w:rsid w:val="0036311C"/>
    <w:rsid w:val="00363770"/>
    <w:rsid w:val="003639F3"/>
    <w:rsid w:val="00363CEC"/>
    <w:rsid w:val="0036460A"/>
    <w:rsid w:val="00365488"/>
    <w:rsid w:val="003658CB"/>
    <w:rsid w:val="00366149"/>
    <w:rsid w:val="003663F5"/>
    <w:rsid w:val="003703CB"/>
    <w:rsid w:val="00370A10"/>
    <w:rsid w:val="00370E77"/>
    <w:rsid w:val="00371161"/>
    <w:rsid w:val="00371270"/>
    <w:rsid w:val="003719F4"/>
    <w:rsid w:val="00371B28"/>
    <w:rsid w:val="00371C34"/>
    <w:rsid w:val="00372391"/>
    <w:rsid w:val="0037256F"/>
    <w:rsid w:val="003728EC"/>
    <w:rsid w:val="00373E9E"/>
    <w:rsid w:val="00374D94"/>
    <w:rsid w:val="00374F7D"/>
    <w:rsid w:val="00375647"/>
    <w:rsid w:val="00375B91"/>
    <w:rsid w:val="00376403"/>
    <w:rsid w:val="00376455"/>
    <w:rsid w:val="00376FDF"/>
    <w:rsid w:val="00377117"/>
    <w:rsid w:val="00377885"/>
    <w:rsid w:val="003802C1"/>
    <w:rsid w:val="00380D9F"/>
    <w:rsid w:val="00380DA5"/>
    <w:rsid w:val="00381788"/>
    <w:rsid w:val="003817F3"/>
    <w:rsid w:val="00381C0B"/>
    <w:rsid w:val="00381CBE"/>
    <w:rsid w:val="00381E87"/>
    <w:rsid w:val="0038243B"/>
    <w:rsid w:val="003824A5"/>
    <w:rsid w:val="003825F7"/>
    <w:rsid w:val="003826CD"/>
    <w:rsid w:val="00382765"/>
    <w:rsid w:val="003827A9"/>
    <w:rsid w:val="003830CE"/>
    <w:rsid w:val="003835AF"/>
    <w:rsid w:val="00383EBA"/>
    <w:rsid w:val="00384458"/>
    <w:rsid w:val="00385657"/>
    <w:rsid w:val="003860AD"/>
    <w:rsid w:val="0038637A"/>
    <w:rsid w:val="0038780E"/>
    <w:rsid w:val="00387BFD"/>
    <w:rsid w:val="00387C58"/>
    <w:rsid w:val="0039031A"/>
    <w:rsid w:val="003908C5"/>
    <w:rsid w:val="00390C17"/>
    <w:rsid w:val="00390F7D"/>
    <w:rsid w:val="00391A69"/>
    <w:rsid w:val="00391AE8"/>
    <w:rsid w:val="00391C26"/>
    <w:rsid w:val="00391D55"/>
    <w:rsid w:val="00392775"/>
    <w:rsid w:val="00392A11"/>
    <w:rsid w:val="00393022"/>
    <w:rsid w:val="003934BE"/>
    <w:rsid w:val="00393593"/>
    <w:rsid w:val="00393680"/>
    <w:rsid w:val="00393A8A"/>
    <w:rsid w:val="00393D8F"/>
    <w:rsid w:val="00394060"/>
    <w:rsid w:val="00394500"/>
    <w:rsid w:val="003945F4"/>
    <w:rsid w:val="00394ADA"/>
    <w:rsid w:val="0039521E"/>
    <w:rsid w:val="00395DEB"/>
    <w:rsid w:val="00395F75"/>
    <w:rsid w:val="00396188"/>
    <w:rsid w:val="003966AB"/>
    <w:rsid w:val="00396836"/>
    <w:rsid w:val="00396BBA"/>
    <w:rsid w:val="00396D08"/>
    <w:rsid w:val="00397305"/>
    <w:rsid w:val="003A021D"/>
    <w:rsid w:val="003A0452"/>
    <w:rsid w:val="003A0E3A"/>
    <w:rsid w:val="003A1135"/>
    <w:rsid w:val="003A115E"/>
    <w:rsid w:val="003A13B4"/>
    <w:rsid w:val="003A1422"/>
    <w:rsid w:val="003A195F"/>
    <w:rsid w:val="003A1AA4"/>
    <w:rsid w:val="003A214B"/>
    <w:rsid w:val="003A2559"/>
    <w:rsid w:val="003A260E"/>
    <w:rsid w:val="003A29B1"/>
    <w:rsid w:val="003A31AA"/>
    <w:rsid w:val="003A35C3"/>
    <w:rsid w:val="003A3A20"/>
    <w:rsid w:val="003A3AB4"/>
    <w:rsid w:val="003A3D9E"/>
    <w:rsid w:val="003A41E6"/>
    <w:rsid w:val="003A4221"/>
    <w:rsid w:val="003A4B33"/>
    <w:rsid w:val="003A4F22"/>
    <w:rsid w:val="003A5A7A"/>
    <w:rsid w:val="003A5F7B"/>
    <w:rsid w:val="003A6DFC"/>
    <w:rsid w:val="003A7BF3"/>
    <w:rsid w:val="003A7C03"/>
    <w:rsid w:val="003B0197"/>
    <w:rsid w:val="003B0497"/>
    <w:rsid w:val="003B053B"/>
    <w:rsid w:val="003B08F8"/>
    <w:rsid w:val="003B0989"/>
    <w:rsid w:val="003B098C"/>
    <w:rsid w:val="003B14B2"/>
    <w:rsid w:val="003B199C"/>
    <w:rsid w:val="003B1F1D"/>
    <w:rsid w:val="003B2994"/>
    <w:rsid w:val="003B32C5"/>
    <w:rsid w:val="003B415A"/>
    <w:rsid w:val="003B4359"/>
    <w:rsid w:val="003B43AD"/>
    <w:rsid w:val="003B4447"/>
    <w:rsid w:val="003B46E0"/>
    <w:rsid w:val="003B4A11"/>
    <w:rsid w:val="003B5092"/>
    <w:rsid w:val="003B5171"/>
    <w:rsid w:val="003B5470"/>
    <w:rsid w:val="003B5D26"/>
    <w:rsid w:val="003B5D45"/>
    <w:rsid w:val="003B5E10"/>
    <w:rsid w:val="003B628A"/>
    <w:rsid w:val="003B682C"/>
    <w:rsid w:val="003B68B2"/>
    <w:rsid w:val="003B711C"/>
    <w:rsid w:val="003B7465"/>
    <w:rsid w:val="003C056C"/>
    <w:rsid w:val="003C0D98"/>
    <w:rsid w:val="003C1399"/>
    <w:rsid w:val="003C168A"/>
    <w:rsid w:val="003C1888"/>
    <w:rsid w:val="003C1DE7"/>
    <w:rsid w:val="003C23C0"/>
    <w:rsid w:val="003C24A7"/>
    <w:rsid w:val="003C29E3"/>
    <w:rsid w:val="003C2A41"/>
    <w:rsid w:val="003C2E24"/>
    <w:rsid w:val="003C31B3"/>
    <w:rsid w:val="003C36E3"/>
    <w:rsid w:val="003C3725"/>
    <w:rsid w:val="003C3A4E"/>
    <w:rsid w:val="003C47E9"/>
    <w:rsid w:val="003C47FB"/>
    <w:rsid w:val="003C4987"/>
    <w:rsid w:val="003C4DFB"/>
    <w:rsid w:val="003C4E84"/>
    <w:rsid w:val="003C4EA9"/>
    <w:rsid w:val="003C4F11"/>
    <w:rsid w:val="003C50AD"/>
    <w:rsid w:val="003C5DCE"/>
    <w:rsid w:val="003C5FC5"/>
    <w:rsid w:val="003C6244"/>
    <w:rsid w:val="003C64A1"/>
    <w:rsid w:val="003C7050"/>
    <w:rsid w:val="003C7A60"/>
    <w:rsid w:val="003C7DB4"/>
    <w:rsid w:val="003D0161"/>
    <w:rsid w:val="003D0C10"/>
    <w:rsid w:val="003D11BE"/>
    <w:rsid w:val="003D1E75"/>
    <w:rsid w:val="003D2079"/>
    <w:rsid w:val="003D2CAD"/>
    <w:rsid w:val="003D2FA1"/>
    <w:rsid w:val="003D3241"/>
    <w:rsid w:val="003D3B83"/>
    <w:rsid w:val="003D3F42"/>
    <w:rsid w:val="003D4519"/>
    <w:rsid w:val="003D462C"/>
    <w:rsid w:val="003D492B"/>
    <w:rsid w:val="003D56ED"/>
    <w:rsid w:val="003D5E4D"/>
    <w:rsid w:val="003D714D"/>
    <w:rsid w:val="003D719E"/>
    <w:rsid w:val="003D7DC6"/>
    <w:rsid w:val="003D7E1B"/>
    <w:rsid w:val="003D7F97"/>
    <w:rsid w:val="003E0B42"/>
    <w:rsid w:val="003E10C4"/>
    <w:rsid w:val="003E1508"/>
    <w:rsid w:val="003E1EB9"/>
    <w:rsid w:val="003E290F"/>
    <w:rsid w:val="003E2A55"/>
    <w:rsid w:val="003E2B62"/>
    <w:rsid w:val="003E2F96"/>
    <w:rsid w:val="003E3047"/>
    <w:rsid w:val="003E31A9"/>
    <w:rsid w:val="003E31BE"/>
    <w:rsid w:val="003E35F8"/>
    <w:rsid w:val="003E3ED9"/>
    <w:rsid w:val="003E4921"/>
    <w:rsid w:val="003E4AA7"/>
    <w:rsid w:val="003E509D"/>
    <w:rsid w:val="003E5449"/>
    <w:rsid w:val="003E5848"/>
    <w:rsid w:val="003E59B7"/>
    <w:rsid w:val="003E5CFD"/>
    <w:rsid w:val="003E6D9A"/>
    <w:rsid w:val="003E70BC"/>
    <w:rsid w:val="003F1F45"/>
    <w:rsid w:val="003F2049"/>
    <w:rsid w:val="003F24BB"/>
    <w:rsid w:val="003F282F"/>
    <w:rsid w:val="003F286E"/>
    <w:rsid w:val="003F2CB7"/>
    <w:rsid w:val="003F3433"/>
    <w:rsid w:val="003F3DAB"/>
    <w:rsid w:val="003F3DFF"/>
    <w:rsid w:val="003F4272"/>
    <w:rsid w:val="003F50D6"/>
    <w:rsid w:val="003F53E2"/>
    <w:rsid w:val="003F57F3"/>
    <w:rsid w:val="003F5A14"/>
    <w:rsid w:val="003F5B1C"/>
    <w:rsid w:val="003F5E02"/>
    <w:rsid w:val="003F5F64"/>
    <w:rsid w:val="003F616F"/>
    <w:rsid w:val="003F646F"/>
    <w:rsid w:val="003F734C"/>
    <w:rsid w:val="003F764D"/>
    <w:rsid w:val="003F7FB4"/>
    <w:rsid w:val="0040051B"/>
    <w:rsid w:val="004008B4"/>
    <w:rsid w:val="00400E09"/>
    <w:rsid w:val="00401195"/>
    <w:rsid w:val="00402253"/>
    <w:rsid w:val="00402361"/>
    <w:rsid w:val="00402535"/>
    <w:rsid w:val="00402E44"/>
    <w:rsid w:val="0040378F"/>
    <w:rsid w:val="0040395A"/>
    <w:rsid w:val="00403E39"/>
    <w:rsid w:val="00403F19"/>
    <w:rsid w:val="00404475"/>
    <w:rsid w:val="00404768"/>
    <w:rsid w:val="004047A0"/>
    <w:rsid w:val="004069FA"/>
    <w:rsid w:val="00406CDF"/>
    <w:rsid w:val="00406EA9"/>
    <w:rsid w:val="00407440"/>
    <w:rsid w:val="00407B4D"/>
    <w:rsid w:val="00407C4C"/>
    <w:rsid w:val="00410498"/>
    <w:rsid w:val="004106AC"/>
    <w:rsid w:val="00411BEB"/>
    <w:rsid w:val="00412200"/>
    <w:rsid w:val="00412232"/>
    <w:rsid w:val="00412794"/>
    <w:rsid w:val="00412B07"/>
    <w:rsid w:val="004134A5"/>
    <w:rsid w:val="004137D3"/>
    <w:rsid w:val="00413B98"/>
    <w:rsid w:val="00413C82"/>
    <w:rsid w:val="004146C4"/>
    <w:rsid w:val="004146D4"/>
    <w:rsid w:val="00415286"/>
    <w:rsid w:val="00416759"/>
    <w:rsid w:val="00416C6A"/>
    <w:rsid w:val="00416F9E"/>
    <w:rsid w:val="004170EF"/>
    <w:rsid w:val="004175D8"/>
    <w:rsid w:val="00420B84"/>
    <w:rsid w:val="00420E9F"/>
    <w:rsid w:val="00420EE4"/>
    <w:rsid w:val="0042181D"/>
    <w:rsid w:val="00421F04"/>
    <w:rsid w:val="00422048"/>
    <w:rsid w:val="0042235F"/>
    <w:rsid w:val="0042255C"/>
    <w:rsid w:val="004226D6"/>
    <w:rsid w:val="00422D8D"/>
    <w:rsid w:val="00423A91"/>
    <w:rsid w:val="00423C94"/>
    <w:rsid w:val="00423EC5"/>
    <w:rsid w:val="00424B38"/>
    <w:rsid w:val="00425149"/>
    <w:rsid w:val="00425289"/>
    <w:rsid w:val="00425BC1"/>
    <w:rsid w:val="00425F79"/>
    <w:rsid w:val="00427970"/>
    <w:rsid w:val="00430040"/>
    <w:rsid w:val="004302C9"/>
    <w:rsid w:val="0043072C"/>
    <w:rsid w:val="0043074D"/>
    <w:rsid w:val="004309F2"/>
    <w:rsid w:val="00430E5E"/>
    <w:rsid w:val="0043117C"/>
    <w:rsid w:val="004312A8"/>
    <w:rsid w:val="004319F5"/>
    <w:rsid w:val="0043253B"/>
    <w:rsid w:val="004327FB"/>
    <w:rsid w:val="004328B3"/>
    <w:rsid w:val="00433779"/>
    <w:rsid w:val="004338C0"/>
    <w:rsid w:val="00433B98"/>
    <w:rsid w:val="00436270"/>
    <w:rsid w:val="00436ECC"/>
    <w:rsid w:val="00437E4B"/>
    <w:rsid w:val="004408C7"/>
    <w:rsid w:val="004410E9"/>
    <w:rsid w:val="004413F2"/>
    <w:rsid w:val="00441434"/>
    <w:rsid w:val="00441D5A"/>
    <w:rsid w:val="00441F20"/>
    <w:rsid w:val="00442561"/>
    <w:rsid w:val="004427F7"/>
    <w:rsid w:val="0044285B"/>
    <w:rsid w:val="00442EF6"/>
    <w:rsid w:val="004436CE"/>
    <w:rsid w:val="004436F3"/>
    <w:rsid w:val="00443E15"/>
    <w:rsid w:val="004443E9"/>
    <w:rsid w:val="00444793"/>
    <w:rsid w:val="00444960"/>
    <w:rsid w:val="00444965"/>
    <w:rsid w:val="00444A29"/>
    <w:rsid w:val="00444EBF"/>
    <w:rsid w:val="00445292"/>
    <w:rsid w:val="00445D51"/>
    <w:rsid w:val="00446310"/>
    <w:rsid w:val="0044698B"/>
    <w:rsid w:val="00446D29"/>
    <w:rsid w:val="00447485"/>
    <w:rsid w:val="00447A7C"/>
    <w:rsid w:val="004506E3"/>
    <w:rsid w:val="00450833"/>
    <w:rsid w:val="004514C1"/>
    <w:rsid w:val="004514FD"/>
    <w:rsid w:val="00451F47"/>
    <w:rsid w:val="0045204B"/>
    <w:rsid w:val="00452C31"/>
    <w:rsid w:val="0045310A"/>
    <w:rsid w:val="00453340"/>
    <w:rsid w:val="00453B9C"/>
    <w:rsid w:val="00454924"/>
    <w:rsid w:val="004550FB"/>
    <w:rsid w:val="00455244"/>
    <w:rsid w:val="004553F9"/>
    <w:rsid w:val="00456349"/>
    <w:rsid w:val="004565D5"/>
    <w:rsid w:val="00456F46"/>
    <w:rsid w:val="00457475"/>
    <w:rsid w:val="004579F5"/>
    <w:rsid w:val="00457FF6"/>
    <w:rsid w:val="0046016C"/>
    <w:rsid w:val="0046034E"/>
    <w:rsid w:val="00460A79"/>
    <w:rsid w:val="00460B23"/>
    <w:rsid w:val="00460EF6"/>
    <w:rsid w:val="00461197"/>
    <w:rsid w:val="0046135A"/>
    <w:rsid w:val="00461B4B"/>
    <w:rsid w:val="00462297"/>
    <w:rsid w:val="004633C8"/>
    <w:rsid w:val="004635E5"/>
    <w:rsid w:val="00463BF7"/>
    <w:rsid w:val="004646F1"/>
    <w:rsid w:val="00464EA3"/>
    <w:rsid w:val="004651D9"/>
    <w:rsid w:val="0046522D"/>
    <w:rsid w:val="004654B8"/>
    <w:rsid w:val="00466483"/>
    <w:rsid w:val="004665E8"/>
    <w:rsid w:val="004679BA"/>
    <w:rsid w:val="00467D8F"/>
    <w:rsid w:val="004700A8"/>
    <w:rsid w:val="00470C5B"/>
    <w:rsid w:val="00470EAF"/>
    <w:rsid w:val="00471610"/>
    <w:rsid w:val="00471840"/>
    <w:rsid w:val="00471F52"/>
    <w:rsid w:val="004721B9"/>
    <w:rsid w:val="0047277E"/>
    <w:rsid w:val="00472EE5"/>
    <w:rsid w:val="00473070"/>
    <w:rsid w:val="00473345"/>
    <w:rsid w:val="0047399A"/>
    <w:rsid w:val="00473A87"/>
    <w:rsid w:val="00473E5C"/>
    <w:rsid w:val="00474074"/>
    <w:rsid w:val="0047462D"/>
    <w:rsid w:val="0047481B"/>
    <w:rsid w:val="0047482B"/>
    <w:rsid w:val="00474D48"/>
    <w:rsid w:val="00475070"/>
    <w:rsid w:val="0047574C"/>
    <w:rsid w:val="0047643E"/>
    <w:rsid w:val="004765D3"/>
    <w:rsid w:val="00477CB1"/>
    <w:rsid w:val="00477CB2"/>
    <w:rsid w:val="00480524"/>
    <w:rsid w:val="004805CD"/>
    <w:rsid w:val="00480F44"/>
    <w:rsid w:val="00481546"/>
    <w:rsid w:val="00481E6B"/>
    <w:rsid w:val="00482638"/>
    <w:rsid w:val="00482710"/>
    <w:rsid w:val="00483179"/>
    <w:rsid w:val="0048353F"/>
    <w:rsid w:val="00483BAB"/>
    <w:rsid w:val="00484285"/>
    <w:rsid w:val="004842FD"/>
    <w:rsid w:val="00484524"/>
    <w:rsid w:val="00484B62"/>
    <w:rsid w:val="0048632D"/>
    <w:rsid w:val="004865AE"/>
    <w:rsid w:val="00486714"/>
    <w:rsid w:val="00490579"/>
    <w:rsid w:val="004908A1"/>
    <w:rsid w:val="00490BDC"/>
    <w:rsid w:val="00490CC4"/>
    <w:rsid w:val="00491435"/>
    <w:rsid w:val="00491698"/>
    <w:rsid w:val="00491714"/>
    <w:rsid w:val="0049222E"/>
    <w:rsid w:val="00492859"/>
    <w:rsid w:val="00492FC1"/>
    <w:rsid w:val="004934EF"/>
    <w:rsid w:val="004937BA"/>
    <w:rsid w:val="0049483C"/>
    <w:rsid w:val="00495712"/>
    <w:rsid w:val="00495C1E"/>
    <w:rsid w:val="004961E7"/>
    <w:rsid w:val="004966B9"/>
    <w:rsid w:val="00496B4D"/>
    <w:rsid w:val="00496BFC"/>
    <w:rsid w:val="00496E0C"/>
    <w:rsid w:val="004975AF"/>
    <w:rsid w:val="00497FC8"/>
    <w:rsid w:val="004A015E"/>
    <w:rsid w:val="004A0737"/>
    <w:rsid w:val="004A0D7C"/>
    <w:rsid w:val="004A13E3"/>
    <w:rsid w:val="004A14B7"/>
    <w:rsid w:val="004A1D59"/>
    <w:rsid w:val="004A1E95"/>
    <w:rsid w:val="004A26A3"/>
    <w:rsid w:val="004A2864"/>
    <w:rsid w:val="004A286D"/>
    <w:rsid w:val="004A49F2"/>
    <w:rsid w:val="004A4CEA"/>
    <w:rsid w:val="004A65B7"/>
    <w:rsid w:val="004A704C"/>
    <w:rsid w:val="004A7159"/>
    <w:rsid w:val="004A762F"/>
    <w:rsid w:val="004A7849"/>
    <w:rsid w:val="004A7CF8"/>
    <w:rsid w:val="004A7DFE"/>
    <w:rsid w:val="004A7F74"/>
    <w:rsid w:val="004B0401"/>
    <w:rsid w:val="004B0C20"/>
    <w:rsid w:val="004B0E33"/>
    <w:rsid w:val="004B0F1C"/>
    <w:rsid w:val="004B227C"/>
    <w:rsid w:val="004B238E"/>
    <w:rsid w:val="004B23AD"/>
    <w:rsid w:val="004B2519"/>
    <w:rsid w:val="004B28BC"/>
    <w:rsid w:val="004B2B1C"/>
    <w:rsid w:val="004B2B31"/>
    <w:rsid w:val="004B3905"/>
    <w:rsid w:val="004B40E0"/>
    <w:rsid w:val="004B4AFB"/>
    <w:rsid w:val="004B53AB"/>
    <w:rsid w:val="004B58CE"/>
    <w:rsid w:val="004B5955"/>
    <w:rsid w:val="004B5B86"/>
    <w:rsid w:val="004B63F6"/>
    <w:rsid w:val="004B6A49"/>
    <w:rsid w:val="004B6AC2"/>
    <w:rsid w:val="004C0210"/>
    <w:rsid w:val="004C03BC"/>
    <w:rsid w:val="004C0453"/>
    <w:rsid w:val="004C065A"/>
    <w:rsid w:val="004C0F27"/>
    <w:rsid w:val="004C19AA"/>
    <w:rsid w:val="004C1AA7"/>
    <w:rsid w:val="004C22BD"/>
    <w:rsid w:val="004C3342"/>
    <w:rsid w:val="004C336F"/>
    <w:rsid w:val="004C38BA"/>
    <w:rsid w:val="004C404C"/>
    <w:rsid w:val="004C413B"/>
    <w:rsid w:val="004C43C4"/>
    <w:rsid w:val="004C442D"/>
    <w:rsid w:val="004C4430"/>
    <w:rsid w:val="004C480A"/>
    <w:rsid w:val="004C4932"/>
    <w:rsid w:val="004C4EA4"/>
    <w:rsid w:val="004C5600"/>
    <w:rsid w:val="004C5845"/>
    <w:rsid w:val="004C5ACF"/>
    <w:rsid w:val="004C5EE9"/>
    <w:rsid w:val="004C6B65"/>
    <w:rsid w:val="004C6DB9"/>
    <w:rsid w:val="004C7100"/>
    <w:rsid w:val="004C730A"/>
    <w:rsid w:val="004D046E"/>
    <w:rsid w:val="004D0696"/>
    <w:rsid w:val="004D0C63"/>
    <w:rsid w:val="004D129E"/>
    <w:rsid w:val="004D1A0F"/>
    <w:rsid w:val="004D1A3B"/>
    <w:rsid w:val="004D1DB3"/>
    <w:rsid w:val="004D20CB"/>
    <w:rsid w:val="004D21AF"/>
    <w:rsid w:val="004D3233"/>
    <w:rsid w:val="004D4225"/>
    <w:rsid w:val="004D42B6"/>
    <w:rsid w:val="004D42FB"/>
    <w:rsid w:val="004D4417"/>
    <w:rsid w:val="004D448C"/>
    <w:rsid w:val="004D4CA9"/>
    <w:rsid w:val="004D553B"/>
    <w:rsid w:val="004D5756"/>
    <w:rsid w:val="004D6434"/>
    <w:rsid w:val="004D6672"/>
    <w:rsid w:val="004D695C"/>
    <w:rsid w:val="004D6A01"/>
    <w:rsid w:val="004D6D97"/>
    <w:rsid w:val="004D7937"/>
    <w:rsid w:val="004D7A40"/>
    <w:rsid w:val="004E0689"/>
    <w:rsid w:val="004E06FF"/>
    <w:rsid w:val="004E07A7"/>
    <w:rsid w:val="004E0C68"/>
    <w:rsid w:val="004E0CB0"/>
    <w:rsid w:val="004E12AA"/>
    <w:rsid w:val="004E1630"/>
    <w:rsid w:val="004E19EF"/>
    <w:rsid w:val="004E1F96"/>
    <w:rsid w:val="004E20CB"/>
    <w:rsid w:val="004E25E9"/>
    <w:rsid w:val="004E2E2D"/>
    <w:rsid w:val="004E3C99"/>
    <w:rsid w:val="004E530A"/>
    <w:rsid w:val="004E55E7"/>
    <w:rsid w:val="004E5793"/>
    <w:rsid w:val="004E5BC1"/>
    <w:rsid w:val="004E623A"/>
    <w:rsid w:val="004E696C"/>
    <w:rsid w:val="004E6AE2"/>
    <w:rsid w:val="004E7605"/>
    <w:rsid w:val="004E77D5"/>
    <w:rsid w:val="004E7D65"/>
    <w:rsid w:val="004F0CAF"/>
    <w:rsid w:val="004F1110"/>
    <w:rsid w:val="004F1279"/>
    <w:rsid w:val="004F14C1"/>
    <w:rsid w:val="004F1931"/>
    <w:rsid w:val="004F2EF8"/>
    <w:rsid w:val="004F3528"/>
    <w:rsid w:val="004F356A"/>
    <w:rsid w:val="004F3D8D"/>
    <w:rsid w:val="004F41C7"/>
    <w:rsid w:val="004F4AB6"/>
    <w:rsid w:val="004F5769"/>
    <w:rsid w:val="004F5E03"/>
    <w:rsid w:val="004F5FAE"/>
    <w:rsid w:val="004F5FD5"/>
    <w:rsid w:val="004F633A"/>
    <w:rsid w:val="004F6CC1"/>
    <w:rsid w:val="005002B1"/>
    <w:rsid w:val="00500944"/>
    <w:rsid w:val="00500C43"/>
    <w:rsid w:val="00500E52"/>
    <w:rsid w:val="0050110A"/>
    <w:rsid w:val="0050140E"/>
    <w:rsid w:val="00501A46"/>
    <w:rsid w:val="00501B61"/>
    <w:rsid w:val="00501D58"/>
    <w:rsid w:val="00501D64"/>
    <w:rsid w:val="005021B5"/>
    <w:rsid w:val="00502265"/>
    <w:rsid w:val="00502446"/>
    <w:rsid w:val="005024C8"/>
    <w:rsid w:val="005028AF"/>
    <w:rsid w:val="00504C06"/>
    <w:rsid w:val="00504C46"/>
    <w:rsid w:val="0050541F"/>
    <w:rsid w:val="00505917"/>
    <w:rsid w:val="00505A8A"/>
    <w:rsid w:val="00505CBE"/>
    <w:rsid w:val="0050679F"/>
    <w:rsid w:val="00506BBA"/>
    <w:rsid w:val="00506C65"/>
    <w:rsid w:val="00506DB6"/>
    <w:rsid w:val="005071CF"/>
    <w:rsid w:val="00507C2F"/>
    <w:rsid w:val="00507ED5"/>
    <w:rsid w:val="00510189"/>
    <w:rsid w:val="0051061C"/>
    <w:rsid w:val="005108C3"/>
    <w:rsid w:val="00510A58"/>
    <w:rsid w:val="0051162C"/>
    <w:rsid w:val="00511880"/>
    <w:rsid w:val="00511DD7"/>
    <w:rsid w:val="00511FD4"/>
    <w:rsid w:val="00512509"/>
    <w:rsid w:val="00512C1B"/>
    <w:rsid w:val="00513499"/>
    <w:rsid w:val="00513E24"/>
    <w:rsid w:val="00513F5F"/>
    <w:rsid w:val="00513FB9"/>
    <w:rsid w:val="005141E3"/>
    <w:rsid w:val="005147A2"/>
    <w:rsid w:val="00514A6A"/>
    <w:rsid w:val="00514E64"/>
    <w:rsid w:val="00514F38"/>
    <w:rsid w:val="0051579D"/>
    <w:rsid w:val="005157DD"/>
    <w:rsid w:val="005159D6"/>
    <w:rsid w:val="00515C6F"/>
    <w:rsid w:val="00515E3F"/>
    <w:rsid w:val="00516365"/>
    <w:rsid w:val="0051693E"/>
    <w:rsid w:val="00516E85"/>
    <w:rsid w:val="0051735A"/>
    <w:rsid w:val="005176E8"/>
    <w:rsid w:val="00517B30"/>
    <w:rsid w:val="00517B80"/>
    <w:rsid w:val="00520586"/>
    <w:rsid w:val="0052099F"/>
    <w:rsid w:val="00520DD1"/>
    <w:rsid w:val="00521504"/>
    <w:rsid w:val="00521AA6"/>
    <w:rsid w:val="0052220E"/>
    <w:rsid w:val="00522717"/>
    <w:rsid w:val="00522AC8"/>
    <w:rsid w:val="00522DF0"/>
    <w:rsid w:val="00523BE7"/>
    <w:rsid w:val="00523F49"/>
    <w:rsid w:val="0052404C"/>
    <w:rsid w:val="005241A9"/>
    <w:rsid w:val="005248F4"/>
    <w:rsid w:val="00525360"/>
    <w:rsid w:val="00525678"/>
    <w:rsid w:val="00525A99"/>
    <w:rsid w:val="00525C73"/>
    <w:rsid w:val="00525DEF"/>
    <w:rsid w:val="005260DD"/>
    <w:rsid w:val="00526FC0"/>
    <w:rsid w:val="00527607"/>
    <w:rsid w:val="00527A98"/>
    <w:rsid w:val="00527D4C"/>
    <w:rsid w:val="00530288"/>
    <w:rsid w:val="00530817"/>
    <w:rsid w:val="00531280"/>
    <w:rsid w:val="005319A5"/>
    <w:rsid w:val="00531B7C"/>
    <w:rsid w:val="005321E2"/>
    <w:rsid w:val="005328CE"/>
    <w:rsid w:val="00533212"/>
    <w:rsid w:val="0053344E"/>
    <w:rsid w:val="0053385E"/>
    <w:rsid w:val="00533B03"/>
    <w:rsid w:val="00534101"/>
    <w:rsid w:val="00534429"/>
    <w:rsid w:val="0053464D"/>
    <w:rsid w:val="00534718"/>
    <w:rsid w:val="00534851"/>
    <w:rsid w:val="00535262"/>
    <w:rsid w:val="00535526"/>
    <w:rsid w:val="00535A5B"/>
    <w:rsid w:val="00535E73"/>
    <w:rsid w:val="00536C7E"/>
    <w:rsid w:val="005371A1"/>
    <w:rsid w:val="00537697"/>
    <w:rsid w:val="005378A2"/>
    <w:rsid w:val="00537D68"/>
    <w:rsid w:val="00537E24"/>
    <w:rsid w:val="005407E1"/>
    <w:rsid w:val="00540873"/>
    <w:rsid w:val="005408AE"/>
    <w:rsid w:val="005409B3"/>
    <w:rsid w:val="00540B09"/>
    <w:rsid w:val="00541A5B"/>
    <w:rsid w:val="00541B80"/>
    <w:rsid w:val="00541B8F"/>
    <w:rsid w:val="00541F8A"/>
    <w:rsid w:val="005424A0"/>
    <w:rsid w:val="00542AE8"/>
    <w:rsid w:val="00542B22"/>
    <w:rsid w:val="00543CA7"/>
    <w:rsid w:val="00544753"/>
    <w:rsid w:val="005449C6"/>
    <w:rsid w:val="0054502F"/>
    <w:rsid w:val="005457C8"/>
    <w:rsid w:val="005467C6"/>
    <w:rsid w:val="005467FB"/>
    <w:rsid w:val="0054695D"/>
    <w:rsid w:val="00546B33"/>
    <w:rsid w:val="00546E89"/>
    <w:rsid w:val="00547888"/>
    <w:rsid w:val="00550551"/>
    <w:rsid w:val="0055141C"/>
    <w:rsid w:val="0055242A"/>
    <w:rsid w:val="00552A02"/>
    <w:rsid w:val="0055309A"/>
    <w:rsid w:val="00553FFB"/>
    <w:rsid w:val="00554262"/>
    <w:rsid w:val="00554438"/>
    <w:rsid w:val="0055544C"/>
    <w:rsid w:val="00555517"/>
    <w:rsid w:val="00555879"/>
    <w:rsid w:val="005558C3"/>
    <w:rsid w:val="00555DED"/>
    <w:rsid w:val="0055642B"/>
    <w:rsid w:val="00556EC7"/>
    <w:rsid w:val="00557392"/>
    <w:rsid w:val="00557685"/>
    <w:rsid w:val="00557755"/>
    <w:rsid w:val="0055794C"/>
    <w:rsid w:val="00557BCF"/>
    <w:rsid w:val="00557F2D"/>
    <w:rsid w:val="00560232"/>
    <w:rsid w:val="00560305"/>
    <w:rsid w:val="005603C9"/>
    <w:rsid w:val="005606CB"/>
    <w:rsid w:val="00560B33"/>
    <w:rsid w:val="00560BD1"/>
    <w:rsid w:val="00560D5F"/>
    <w:rsid w:val="00561366"/>
    <w:rsid w:val="00561616"/>
    <w:rsid w:val="005617AB"/>
    <w:rsid w:val="00561B01"/>
    <w:rsid w:val="00561D63"/>
    <w:rsid w:val="00561FCE"/>
    <w:rsid w:val="005620AB"/>
    <w:rsid w:val="005622EF"/>
    <w:rsid w:val="00562885"/>
    <w:rsid w:val="005629C3"/>
    <w:rsid w:val="0056307C"/>
    <w:rsid w:val="00563902"/>
    <w:rsid w:val="0056398C"/>
    <w:rsid w:val="00563E55"/>
    <w:rsid w:val="00563F42"/>
    <w:rsid w:val="00564AB0"/>
    <w:rsid w:val="00564E70"/>
    <w:rsid w:val="005654A7"/>
    <w:rsid w:val="005655A0"/>
    <w:rsid w:val="005655DF"/>
    <w:rsid w:val="005664FA"/>
    <w:rsid w:val="005665A0"/>
    <w:rsid w:val="00566834"/>
    <w:rsid w:val="0056792F"/>
    <w:rsid w:val="0057007A"/>
    <w:rsid w:val="00570160"/>
    <w:rsid w:val="005701B2"/>
    <w:rsid w:val="005701C5"/>
    <w:rsid w:val="00571791"/>
    <w:rsid w:val="0057218B"/>
    <w:rsid w:val="0057222D"/>
    <w:rsid w:val="00572608"/>
    <w:rsid w:val="00573029"/>
    <w:rsid w:val="005730E5"/>
    <w:rsid w:val="00573336"/>
    <w:rsid w:val="0057389F"/>
    <w:rsid w:val="00573A11"/>
    <w:rsid w:val="00573DEA"/>
    <w:rsid w:val="00573E05"/>
    <w:rsid w:val="00574329"/>
    <w:rsid w:val="005749CC"/>
    <w:rsid w:val="00575A4E"/>
    <w:rsid w:val="00575B06"/>
    <w:rsid w:val="00576900"/>
    <w:rsid w:val="00576AF0"/>
    <w:rsid w:val="00580081"/>
    <w:rsid w:val="005800D3"/>
    <w:rsid w:val="00580669"/>
    <w:rsid w:val="0058066B"/>
    <w:rsid w:val="00580E9F"/>
    <w:rsid w:val="00581283"/>
    <w:rsid w:val="00581403"/>
    <w:rsid w:val="00581937"/>
    <w:rsid w:val="00581A58"/>
    <w:rsid w:val="00582498"/>
    <w:rsid w:val="005826BA"/>
    <w:rsid w:val="00583419"/>
    <w:rsid w:val="00583863"/>
    <w:rsid w:val="00583FE5"/>
    <w:rsid w:val="005844D1"/>
    <w:rsid w:val="00584534"/>
    <w:rsid w:val="0058467B"/>
    <w:rsid w:val="005846DC"/>
    <w:rsid w:val="005847CA"/>
    <w:rsid w:val="00584845"/>
    <w:rsid w:val="005848FB"/>
    <w:rsid w:val="00584AD0"/>
    <w:rsid w:val="00584E52"/>
    <w:rsid w:val="00584EF9"/>
    <w:rsid w:val="00585AA4"/>
    <w:rsid w:val="0058687A"/>
    <w:rsid w:val="005869AA"/>
    <w:rsid w:val="00586CFA"/>
    <w:rsid w:val="00586FC3"/>
    <w:rsid w:val="005879C2"/>
    <w:rsid w:val="00587EEF"/>
    <w:rsid w:val="00587FB7"/>
    <w:rsid w:val="005900C4"/>
    <w:rsid w:val="0059029D"/>
    <w:rsid w:val="00590C97"/>
    <w:rsid w:val="0059107B"/>
    <w:rsid w:val="005911CE"/>
    <w:rsid w:val="00591B61"/>
    <w:rsid w:val="00591C77"/>
    <w:rsid w:val="00591D99"/>
    <w:rsid w:val="00592360"/>
    <w:rsid w:val="00592494"/>
    <w:rsid w:val="0059279B"/>
    <w:rsid w:val="00592863"/>
    <w:rsid w:val="00592ADE"/>
    <w:rsid w:val="00592DC7"/>
    <w:rsid w:val="005930D9"/>
    <w:rsid w:val="0059333A"/>
    <w:rsid w:val="00593FB5"/>
    <w:rsid w:val="00594260"/>
    <w:rsid w:val="0059695F"/>
    <w:rsid w:val="00596DEA"/>
    <w:rsid w:val="005970D3"/>
    <w:rsid w:val="00597319"/>
    <w:rsid w:val="005A0255"/>
    <w:rsid w:val="005A07EA"/>
    <w:rsid w:val="005A0DE8"/>
    <w:rsid w:val="005A12EF"/>
    <w:rsid w:val="005A1730"/>
    <w:rsid w:val="005A1737"/>
    <w:rsid w:val="005A17AD"/>
    <w:rsid w:val="005A1C9F"/>
    <w:rsid w:val="005A1E25"/>
    <w:rsid w:val="005A2132"/>
    <w:rsid w:val="005A22DB"/>
    <w:rsid w:val="005A2467"/>
    <w:rsid w:val="005A2489"/>
    <w:rsid w:val="005A2BB2"/>
    <w:rsid w:val="005A2F73"/>
    <w:rsid w:val="005A2FC1"/>
    <w:rsid w:val="005A3631"/>
    <w:rsid w:val="005A3D52"/>
    <w:rsid w:val="005A4D0A"/>
    <w:rsid w:val="005A52DD"/>
    <w:rsid w:val="005A55F8"/>
    <w:rsid w:val="005A56A2"/>
    <w:rsid w:val="005A6520"/>
    <w:rsid w:val="005A66AA"/>
    <w:rsid w:val="005A71C7"/>
    <w:rsid w:val="005A7407"/>
    <w:rsid w:val="005A76F2"/>
    <w:rsid w:val="005B024D"/>
    <w:rsid w:val="005B153B"/>
    <w:rsid w:val="005B17D4"/>
    <w:rsid w:val="005B17F4"/>
    <w:rsid w:val="005B20E1"/>
    <w:rsid w:val="005B24FA"/>
    <w:rsid w:val="005B2547"/>
    <w:rsid w:val="005B29B5"/>
    <w:rsid w:val="005B2B61"/>
    <w:rsid w:val="005B2EFB"/>
    <w:rsid w:val="005B322F"/>
    <w:rsid w:val="005B339F"/>
    <w:rsid w:val="005B384F"/>
    <w:rsid w:val="005B3B03"/>
    <w:rsid w:val="005B3E65"/>
    <w:rsid w:val="005B3EA3"/>
    <w:rsid w:val="005B404A"/>
    <w:rsid w:val="005B4C39"/>
    <w:rsid w:val="005B4C88"/>
    <w:rsid w:val="005B5516"/>
    <w:rsid w:val="005B556A"/>
    <w:rsid w:val="005B5B3C"/>
    <w:rsid w:val="005B5E93"/>
    <w:rsid w:val="005B6014"/>
    <w:rsid w:val="005B6197"/>
    <w:rsid w:val="005B62DE"/>
    <w:rsid w:val="005B63BA"/>
    <w:rsid w:val="005B663F"/>
    <w:rsid w:val="005B6ED7"/>
    <w:rsid w:val="005B6EF6"/>
    <w:rsid w:val="005B7852"/>
    <w:rsid w:val="005B7DE2"/>
    <w:rsid w:val="005C0317"/>
    <w:rsid w:val="005C099C"/>
    <w:rsid w:val="005C0B69"/>
    <w:rsid w:val="005C115D"/>
    <w:rsid w:val="005C1800"/>
    <w:rsid w:val="005C20CE"/>
    <w:rsid w:val="005C22C9"/>
    <w:rsid w:val="005C23DA"/>
    <w:rsid w:val="005C2610"/>
    <w:rsid w:val="005C38CA"/>
    <w:rsid w:val="005C3D41"/>
    <w:rsid w:val="005C42CE"/>
    <w:rsid w:val="005C44CD"/>
    <w:rsid w:val="005C4513"/>
    <w:rsid w:val="005C4CE6"/>
    <w:rsid w:val="005C4FCE"/>
    <w:rsid w:val="005C523A"/>
    <w:rsid w:val="005C5D33"/>
    <w:rsid w:val="005C5EA1"/>
    <w:rsid w:val="005C5EC4"/>
    <w:rsid w:val="005C5FC0"/>
    <w:rsid w:val="005C645C"/>
    <w:rsid w:val="005C6D11"/>
    <w:rsid w:val="005C7798"/>
    <w:rsid w:val="005C79BA"/>
    <w:rsid w:val="005D03BA"/>
    <w:rsid w:val="005D05FF"/>
    <w:rsid w:val="005D081D"/>
    <w:rsid w:val="005D09D3"/>
    <w:rsid w:val="005D0CAF"/>
    <w:rsid w:val="005D1EC3"/>
    <w:rsid w:val="005D2311"/>
    <w:rsid w:val="005D34FA"/>
    <w:rsid w:val="005D3878"/>
    <w:rsid w:val="005D3AE6"/>
    <w:rsid w:val="005D3DA5"/>
    <w:rsid w:val="005D4050"/>
    <w:rsid w:val="005D477B"/>
    <w:rsid w:val="005D47A3"/>
    <w:rsid w:val="005D4B47"/>
    <w:rsid w:val="005D4D98"/>
    <w:rsid w:val="005D4FA3"/>
    <w:rsid w:val="005D57DF"/>
    <w:rsid w:val="005D5855"/>
    <w:rsid w:val="005D58D7"/>
    <w:rsid w:val="005D5FDF"/>
    <w:rsid w:val="005D7053"/>
    <w:rsid w:val="005D73B3"/>
    <w:rsid w:val="005D76C0"/>
    <w:rsid w:val="005E0107"/>
    <w:rsid w:val="005E09C9"/>
    <w:rsid w:val="005E0B9D"/>
    <w:rsid w:val="005E0F90"/>
    <w:rsid w:val="005E12B7"/>
    <w:rsid w:val="005E1977"/>
    <w:rsid w:val="005E233C"/>
    <w:rsid w:val="005E272F"/>
    <w:rsid w:val="005E2ACC"/>
    <w:rsid w:val="005E325D"/>
    <w:rsid w:val="005E439A"/>
    <w:rsid w:val="005E4719"/>
    <w:rsid w:val="005E4CBA"/>
    <w:rsid w:val="005E610D"/>
    <w:rsid w:val="005E64AB"/>
    <w:rsid w:val="005E6AA7"/>
    <w:rsid w:val="005F0025"/>
    <w:rsid w:val="005F00C2"/>
    <w:rsid w:val="005F080C"/>
    <w:rsid w:val="005F0D75"/>
    <w:rsid w:val="005F14BD"/>
    <w:rsid w:val="005F168A"/>
    <w:rsid w:val="005F1B8F"/>
    <w:rsid w:val="005F1DE6"/>
    <w:rsid w:val="005F25F2"/>
    <w:rsid w:val="005F3027"/>
    <w:rsid w:val="005F382E"/>
    <w:rsid w:val="005F389E"/>
    <w:rsid w:val="005F3BD9"/>
    <w:rsid w:val="005F467C"/>
    <w:rsid w:val="005F4849"/>
    <w:rsid w:val="005F4FC7"/>
    <w:rsid w:val="005F5083"/>
    <w:rsid w:val="005F50AF"/>
    <w:rsid w:val="005F5606"/>
    <w:rsid w:val="005F5D99"/>
    <w:rsid w:val="005F5E4E"/>
    <w:rsid w:val="005F6181"/>
    <w:rsid w:val="005F71E1"/>
    <w:rsid w:val="005F73EF"/>
    <w:rsid w:val="005F7413"/>
    <w:rsid w:val="0060000E"/>
    <w:rsid w:val="00600457"/>
    <w:rsid w:val="006004FD"/>
    <w:rsid w:val="006009F2"/>
    <w:rsid w:val="00601079"/>
    <w:rsid w:val="00601145"/>
    <w:rsid w:val="00602161"/>
    <w:rsid w:val="0060221F"/>
    <w:rsid w:val="006023F3"/>
    <w:rsid w:val="00602401"/>
    <w:rsid w:val="0060263C"/>
    <w:rsid w:val="006028A3"/>
    <w:rsid w:val="00602C05"/>
    <w:rsid w:val="006032C3"/>
    <w:rsid w:val="006039CA"/>
    <w:rsid w:val="00603A4D"/>
    <w:rsid w:val="0060408F"/>
    <w:rsid w:val="006040B9"/>
    <w:rsid w:val="006044C4"/>
    <w:rsid w:val="006045A1"/>
    <w:rsid w:val="0060499D"/>
    <w:rsid w:val="006070FF"/>
    <w:rsid w:val="006076D3"/>
    <w:rsid w:val="006077A0"/>
    <w:rsid w:val="006079AD"/>
    <w:rsid w:val="0061075B"/>
    <w:rsid w:val="00611AB1"/>
    <w:rsid w:val="006136BF"/>
    <w:rsid w:val="00613994"/>
    <w:rsid w:val="00613ADA"/>
    <w:rsid w:val="006149DF"/>
    <w:rsid w:val="00614D34"/>
    <w:rsid w:val="00615028"/>
    <w:rsid w:val="00615154"/>
    <w:rsid w:val="00615F7C"/>
    <w:rsid w:val="00616D8E"/>
    <w:rsid w:val="0061719A"/>
    <w:rsid w:val="0061735B"/>
    <w:rsid w:val="00617517"/>
    <w:rsid w:val="00617761"/>
    <w:rsid w:val="00617AF2"/>
    <w:rsid w:val="0062018F"/>
    <w:rsid w:val="00620469"/>
    <w:rsid w:val="006212C2"/>
    <w:rsid w:val="006226D5"/>
    <w:rsid w:val="00622913"/>
    <w:rsid w:val="0062299E"/>
    <w:rsid w:val="00622C73"/>
    <w:rsid w:val="006231A8"/>
    <w:rsid w:val="00623255"/>
    <w:rsid w:val="00624FBF"/>
    <w:rsid w:val="00625385"/>
    <w:rsid w:val="00625489"/>
    <w:rsid w:val="006254CD"/>
    <w:rsid w:val="00625753"/>
    <w:rsid w:val="00625B6F"/>
    <w:rsid w:val="006265C5"/>
    <w:rsid w:val="00626B7F"/>
    <w:rsid w:val="00627C87"/>
    <w:rsid w:val="00627C9A"/>
    <w:rsid w:val="006300E9"/>
    <w:rsid w:val="006305E5"/>
    <w:rsid w:val="00630DF6"/>
    <w:rsid w:val="006311B6"/>
    <w:rsid w:val="006315A5"/>
    <w:rsid w:val="00632617"/>
    <w:rsid w:val="00632DB8"/>
    <w:rsid w:val="00632DFE"/>
    <w:rsid w:val="0063328A"/>
    <w:rsid w:val="006333C6"/>
    <w:rsid w:val="006335C6"/>
    <w:rsid w:val="00633A0D"/>
    <w:rsid w:val="00633F1B"/>
    <w:rsid w:val="0063400C"/>
    <w:rsid w:val="006344A4"/>
    <w:rsid w:val="00634EEE"/>
    <w:rsid w:val="006354D5"/>
    <w:rsid w:val="00635783"/>
    <w:rsid w:val="00635BF0"/>
    <w:rsid w:val="00635D26"/>
    <w:rsid w:val="006363CF"/>
    <w:rsid w:val="006366C7"/>
    <w:rsid w:val="006371A3"/>
    <w:rsid w:val="00637E32"/>
    <w:rsid w:val="00640237"/>
    <w:rsid w:val="00640673"/>
    <w:rsid w:val="006406DC"/>
    <w:rsid w:val="0064095B"/>
    <w:rsid w:val="00641078"/>
    <w:rsid w:val="006410E7"/>
    <w:rsid w:val="00641548"/>
    <w:rsid w:val="00641830"/>
    <w:rsid w:val="00641AA9"/>
    <w:rsid w:val="00641F10"/>
    <w:rsid w:val="00641F5E"/>
    <w:rsid w:val="006432BE"/>
    <w:rsid w:val="006433B6"/>
    <w:rsid w:val="006434DD"/>
    <w:rsid w:val="00643856"/>
    <w:rsid w:val="0064394F"/>
    <w:rsid w:val="00643B73"/>
    <w:rsid w:val="00643BB1"/>
    <w:rsid w:val="00643D8E"/>
    <w:rsid w:val="006440ED"/>
    <w:rsid w:val="0064447C"/>
    <w:rsid w:val="00644A35"/>
    <w:rsid w:val="00644E77"/>
    <w:rsid w:val="006451B4"/>
    <w:rsid w:val="0064523F"/>
    <w:rsid w:val="0064530F"/>
    <w:rsid w:val="006454CB"/>
    <w:rsid w:val="00646DB0"/>
    <w:rsid w:val="00647F61"/>
    <w:rsid w:val="006502B0"/>
    <w:rsid w:val="0065081F"/>
    <w:rsid w:val="006508D9"/>
    <w:rsid w:val="00650930"/>
    <w:rsid w:val="00650D9D"/>
    <w:rsid w:val="0065143A"/>
    <w:rsid w:val="0065149F"/>
    <w:rsid w:val="00651AB4"/>
    <w:rsid w:val="00652CC9"/>
    <w:rsid w:val="006531FC"/>
    <w:rsid w:val="00653568"/>
    <w:rsid w:val="00653B17"/>
    <w:rsid w:val="00654152"/>
    <w:rsid w:val="0065453F"/>
    <w:rsid w:val="00654AD2"/>
    <w:rsid w:val="00654C12"/>
    <w:rsid w:val="00654C5D"/>
    <w:rsid w:val="0065523E"/>
    <w:rsid w:val="0065558A"/>
    <w:rsid w:val="00655694"/>
    <w:rsid w:val="006562E0"/>
    <w:rsid w:val="006564BD"/>
    <w:rsid w:val="006565E2"/>
    <w:rsid w:val="00656912"/>
    <w:rsid w:val="00656AF6"/>
    <w:rsid w:val="00656B07"/>
    <w:rsid w:val="00656BC2"/>
    <w:rsid w:val="00656C2F"/>
    <w:rsid w:val="00656C35"/>
    <w:rsid w:val="00657734"/>
    <w:rsid w:val="0065775E"/>
    <w:rsid w:val="0065788C"/>
    <w:rsid w:val="00657DAE"/>
    <w:rsid w:val="006601EB"/>
    <w:rsid w:val="00660AF6"/>
    <w:rsid w:val="00660D79"/>
    <w:rsid w:val="00660FB6"/>
    <w:rsid w:val="0066110F"/>
    <w:rsid w:val="0066130E"/>
    <w:rsid w:val="00661550"/>
    <w:rsid w:val="00661992"/>
    <w:rsid w:val="00662018"/>
    <w:rsid w:val="00662346"/>
    <w:rsid w:val="00662D5F"/>
    <w:rsid w:val="00663068"/>
    <w:rsid w:val="0066375B"/>
    <w:rsid w:val="00663F1A"/>
    <w:rsid w:val="0066417F"/>
    <w:rsid w:val="00664A43"/>
    <w:rsid w:val="00664FBD"/>
    <w:rsid w:val="00665515"/>
    <w:rsid w:val="006659B4"/>
    <w:rsid w:val="00665C94"/>
    <w:rsid w:val="00665CF4"/>
    <w:rsid w:val="0066630A"/>
    <w:rsid w:val="00666CED"/>
    <w:rsid w:val="00666ED2"/>
    <w:rsid w:val="00666F70"/>
    <w:rsid w:val="00666FCD"/>
    <w:rsid w:val="006674BC"/>
    <w:rsid w:val="0066784F"/>
    <w:rsid w:val="006679A6"/>
    <w:rsid w:val="00667D66"/>
    <w:rsid w:val="006700E4"/>
    <w:rsid w:val="00670193"/>
    <w:rsid w:val="00670208"/>
    <w:rsid w:val="006703D1"/>
    <w:rsid w:val="00670706"/>
    <w:rsid w:val="00670743"/>
    <w:rsid w:val="00671253"/>
    <w:rsid w:val="0067148F"/>
    <w:rsid w:val="00671893"/>
    <w:rsid w:val="006718F8"/>
    <w:rsid w:val="00671A19"/>
    <w:rsid w:val="00671B23"/>
    <w:rsid w:val="00672C15"/>
    <w:rsid w:val="00672D6A"/>
    <w:rsid w:val="00672F88"/>
    <w:rsid w:val="006738BC"/>
    <w:rsid w:val="0067396B"/>
    <w:rsid w:val="00673D67"/>
    <w:rsid w:val="0067473E"/>
    <w:rsid w:val="006750A9"/>
    <w:rsid w:val="00675314"/>
    <w:rsid w:val="00675882"/>
    <w:rsid w:val="00675891"/>
    <w:rsid w:val="00675E25"/>
    <w:rsid w:val="0067613E"/>
    <w:rsid w:val="0067620F"/>
    <w:rsid w:val="00676312"/>
    <w:rsid w:val="00676803"/>
    <w:rsid w:val="006768A6"/>
    <w:rsid w:val="00676B92"/>
    <w:rsid w:val="00676DCF"/>
    <w:rsid w:val="00676E40"/>
    <w:rsid w:val="00676F80"/>
    <w:rsid w:val="00677D77"/>
    <w:rsid w:val="00677DB7"/>
    <w:rsid w:val="00680584"/>
    <w:rsid w:val="00681022"/>
    <w:rsid w:val="006816CF"/>
    <w:rsid w:val="0068183B"/>
    <w:rsid w:val="00681A88"/>
    <w:rsid w:val="00681B2A"/>
    <w:rsid w:val="00683419"/>
    <w:rsid w:val="00683B3E"/>
    <w:rsid w:val="00683BF1"/>
    <w:rsid w:val="00684506"/>
    <w:rsid w:val="0068459A"/>
    <w:rsid w:val="006847D3"/>
    <w:rsid w:val="006847F4"/>
    <w:rsid w:val="00685295"/>
    <w:rsid w:val="0068533C"/>
    <w:rsid w:val="00685807"/>
    <w:rsid w:val="00685A32"/>
    <w:rsid w:val="00685AC0"/>
    <w:rsid w:val="0068636E"/>
    <w:rsid w:val="00687070"/>
    <w:rsid w:val="00687175"/>
    <w:rsid w:val="006876D9"/>
    <w:rsid w:val="00687AF3"/>
    <w:rsid w:val="00687C87"/>
    <w:rsid w:val="00690169"/>
    <w:rsid w:val="006904E9"/>
    <w:rsid w:val="0069086B"/>
    <w:rsid w:val="00690D1F"/>
    <w:rsid w:val="00690F7F"/>
    <w:rsid w:val="00691150"/>
    <w:rsid w:val="006911AC"/>
    <w:rsid w:val="00691702"/>
    <w:rsid w:val="0069187E"/>
    <w:rsid w:val="00692169"/>
    <w:rsid w:val="0069221A"/>
    <w:rsid w:val="00692C50"/>
    <w:rsid w:val="0069311F"/>
    <w:rsid w:val="00693D74"/>
    <w:rsid w:val="00694A74"/>
    <w:rsid w:val="00694BD5"/>
    <w:rsid w:val="00694C7E"/>
    <w:rsid w:val="00694FA3"/>
    <w:rsid w:val="0069555D"/>
    <w:rsid w:val="00695E35"/>
    <w:rsid w:val="00696164"/>
    <w:rsid w:val="00696346"/>
    <w:rsid w:val="006963BA"/>
    <w:rsid w:val="006966C7"/>
    <w:rsid w:val="006967EF"/>
    <w:rsid w:val="00697150"/>
    <w:rsid w:val="006972E5"/>
    <w:rsid w:val="006975A1"/>
    <w:rsid w:val="00697630"/>
    <w:rsid w:val="0069794B"/>
    <w:rsid w:val="006A0E5E"/>
    <w:rsid w:val="006A10AD"/>
    <w:rsid w:val="006A1175"/>
    <w:rsid w:val="006A1244"/>
    <w:rsid w:val="006A12C8"/>
    <w:rsid w:val="006A1ACC"/>
    <w:rsid w:val="006A1C09"/>
    <w:rsid w:val="006A247B"/>
    <w:rsid w:val="006A24B0"/>
    <w:rsid w:val="006A2550"/>
    <w:rsid w:val="006A2904"/>
    <w:rsid w:val="006A2947"/>
    <w:rsid w:val="006A2C15"/>
    <w:rsid w:val="006A2FF5"/>
    <w:rsid w:val="006A3619"/>
    <w:rsid w:val="006A3AF0"/>
    <w:rsid w:val="006A4883"/>
    <w:rsid w:val="006A563B"/>
    <w:rsid w:val="006A5EEE"/>
    <w:rsid w:val="006A6341"/>
    <w:rsid w:val="006A6A54"/>
    <w:rsid w:val="006A787F"/>
    <w:rsid w:val="006B0271"/>
    <w:rsid w:val="006B060F"/>
    <w:rsid w:val="006B18A4"/>
    <w:rsid w:val="006B1AD5"/>
    <w:rsid w:val="006B2165"/>
    <w:rsid w:val="006B2970"/>
    <w:rsid w:val="006B2B10"/>
    <w:rsid w:val="006B2BD6"/>
    <w:rsid w:val="006B3372"/>
    <w:rsid w:val="006B35E5"/>
    <w:rsid w:val="006B3795"/>
    <w:rsid w:val="006B39F5"/>
    <w:rsid w:val="006B3C80"/>
    <w:rsid w:val="006B3EDA"/>
    <w:rsid w:val="006B42C4"/>
    <w:rsid w:val="006B440A"/>
    <w:rsid w:val="006B4521"/>
    <w:rsid w:val="006B4B3E"/>
    <w:rsid w:val="006B4D52"/>
    <w:rsid w:val="006B50BF"/>
    <w:rsid w:val="006B52FA"/>
    <w:rsid w:val="006B5D3C"/>
    <w:rsid w:val="006B6568"/>
    <w:rsid w:val="006B7A3D"/>
    <w:rsid w:val="006C00CF"/>
    <w:rsid w:val="006C01E3"/>
    <w:rsid w:val="006C0ACB"/>
    <w:rsid w:val="006C1302"/>
    <w:rsid w:val="006C1857"/>
    <w:rsid w:val="006C1D82"/>
    <w:rsid w:val="006C240E"/>
    <w:rsid w:val="006C2AAE"/>
    <w:rsid w:val="006C2AEF"/>
    <w:rsid w:val="006C331D"/>
    <w:rsid w:val="006C394C"/>
    <w:rsid w:val="006C3A5C"/>
    <w:rsid w:val="006C45D2"/>
    <w:rsid w:val="006C5348"/>
    <w:rsid w:val="006C5466"/>
    <w:rsid w:val="006C5686"/>
    <w:rsid w:val="006C56DD"/>
    <w:rsid w:val="006C5BCB"/>
    <w:rsid w:val="006C5E17"/>
    <w:rsid w:val="006C5E30"/>
    <w:rsid w:val="006C6325"/>
    <w:rsid w:val="006C6873"/>
    <w:rsid w:val="006C6B7F"/>
    <w:rsid w:val="006C74C7"/>
    <w:rsid w:val="006C7584"/>
    <w:rsid w:val="006C7A64"/>
    <w:rsid w:val="006C7BCB"/>
    <w:rsid w:val="006C7F3A"/>
    <w:rsid w:val="006C7FE0"/>
    <w:rsid w:val="006C7FEB"/>
    <w:rsid w:val="006D0331"/>
    <w:rsid w:val="006D05B1"/>
    <w:rsid w:val="006D07FE"/>
    <w:rsid w:val="006D1145"/>
    <w:rsid w:val="006D1232"/>
    <w:rsid w:val="006D188A"/>
    <w:rsid w:val="006D1BA9"/>
    <w:rsid w:val="006D2232"/>
    <w:rsid w:val="006D2300"/>
    <w:rsid w:val="006D2B48"/>
    <w:rsid w:val="006D2D3A"/>
    <w:rsid w:val="006D3710"/>
    <w:rsid w:val="006D3C75"/>
    <w:rsid w:val="006D3E29"/>
    <w:rsid w:val="006D4046"/>
    <w:rsid w:val="006D43CB"/>
    <w:rsid w:val="006D44D9"/>
    <w:rsid w:val="006D5318"/>
    <w:rsid w:val="006D5F0D"/>
    <w:rsid w:val="006D634A"/>
    <w:rsid w:val="006D64BA"/>
    <w:rsid w:val="006D6571"/>
    <w:rsid w:val="006D67F5"/>
    <w:rsid w:val="006D6CAF"/>
    <w:rsid w:val="006D72AB"/>
    <w:rsid w:val="006D74A9"/>
    <w:rsid w:val="006D7AF2"/>
    <w:rsid w:val="006E045C"/>
    <w:rsid w:val="006E0860"/>
    <w:rsid w:val="006E0BB5"/>
    <w:rsid w:val="006E1C44"/>
    <w:rsid w:val="006E20DD"/>
    <w:rsid w:val="006E2623"/>
    <w:rsid w:val="006E2CB6"/>
    <w:rsid w:val="006E2E39"/>
    <w:rsid w:val="006E315F"/>
    <w:rsid w:val="006E331E"/>
    <w:rsid w:val="006E39A5"/>
    <w:rsid w:val="006E3C51"/>
    <w:rsid w:val="006E3C5F"/>
    <w:rsid w:val="006E3D59"/>
    <w:rsid w:val="006E49E3"/>
    <w:rsid w:val="006E5167"/>
    <w:rsid w:val="006E5440"/>
    <w:rsid w:val="006E58C2"/>
    <w:rsid w:val="006E6F2C"/>
    <w:rsid w:val="006E729C"/>
    <w:rsid w:val="006E74A5"/>
    <w:rsid w:val="006E79EF"/>
    <w:rsid w:val="006F059F"/>
    <w:rsid w:val="006F0802"/>
    <w:rsid w:val="006F0CD5"/>
    <w:rsid w:val="006F0CE0"/>
    <w:rsid w:val="006F0EA8"/>
    <w:rsid w:val="006F106F"/>
    <w:rsid w:val="006F11AC"/>
    <w:rsid w:val="006F1352"/>
    <w:rsid w:val="006F2313"/>
    <w:rsid w:val="006F24C8"/>
    <w:rsid w:val="006F30ED"/>
    <w:rsid w:val="006F31FB"/>
    <w:rsid w:val="006F363F"/>
    <w:rsid w:val="006F41CD"/>
    <w:rsid w:val="006F4676"/>
    <w:rsid w:val="006F4745"/>
    <w:rsid w:val="006F4920"/>
    <w:rsid w:val="006F4DAE"/>
    <w:rsid w:val="006F506B"/>
    <w:rsid w:val="006F54AB"/>
    <w:rsid w:val="006F5703"/>
    <w:rsid w:val="006F597E"/>
    <w:rsid w:val="006F5AC2"/>
    <w:rsid w:val="006F5D89"/>
    <w:rsid w:val="006F5F56"/>
    <w:rsid w:val="006F6BF6"/>
    <w:rsid w:val="006F7191"/>
    <w:rsid w:val="006F71B2"/>
    <w:rsid w:val="006F72ED"/>
    <w:rsid w:val="006F7411"/>
    <w:rsid w:val="006F74A6"/>
    <w:rsid w:val="006F7945"/>
    <w:rsid w:val="006F7977"/>
    <w:rsid w:val="007004E5"/>
    <w:rsid w:val="007014E1"/>
    <w:rsid w:val="00701D41"/>
    <w:rsid w:val="007025C9"/>
    <w:rsid w:val="00702649"/>
    <w:rsid w:val="00702BDD"/>
    <w:rsid w:val="00702FAF"/>
    <w:rsid w:val="007031FD"/>
    <w:rsid w:val="007032CB"/>
    <w:rsid w:val="007032DD"/>
    <w:rsid w:val="00703619"/>
    <w:rsid w:val="00703C4E"/>
    <w:rsid w:val="007041DB"/>
    <w:rsid w:val="0070477C"/>
    <w:rsid w:val="00704F1E"/>
    <w:rsid w:val="00705358"/>
    <w:rsid w:val="00705620"/>
    <w:rsid w:val="007062EA"/>
    <w:rsid w:val="00706319"/>
    <w:rsid w:val="007063E3"/>
    <w:rsid w:val="00706814"/>
    <w:rsid w:val="00706C0F"/>
    <w:rsid w:val="0070773C"/>
    <w:rsid w:val="007106AB"/>
    <w:rsid w:val="00710A39"/>
    <w:rsid w:val="00710BC5"/>
    <w:rsid w:val="00710D6B"/>
    <w:rsid w:val="00711289"/>
    <w:rsid w:val="00711BBE"/>
    <w:rsid w:val="00711C03"/>
    <w:rsid w:val="00711DFD"/>
    <w:rsid w:val="00711E45"/>
    <w:rsid w:val="00711FE6"/>
    <w:rsid w:val="0071275E"/>
    <w:rsid w:val="0071283D"/>
    <w:rsid w:val="00712892"/>
    <w:rsid w:val="00712E72"/>
    <w:rsid w:val="00713440"/>
    <w:rsid w:val="00713809"/>
    <w:rsid w:val="0071437C"/>
    <w:rsid w:val="007149F4"/>
    <w:rsid w:val="0071594A"/>
    <w:rsid w:val="00715A49"/>
    <w:rsid w:val="00715BF2"/>
    <w:rsid w:val="00715D14"/>
    <w:rsid w:val="00715ECF"/>
    <w:rsid w:val="0071614D"/>
    <w:rsid w:val="00716156"/>
    <w:rsid w:val="0071669E"/>
    <w:rsid w:val="00716B92"/>
    <w:rsid w:val="00716E97"/>
    <w:rsid w:val="00716EA1"/>
    <w:rsid w:val="007176DB"/>
    <w:rsid w:val="00717A44"/>
    <w:rsid w:val="00717C4E"/>
    <w:rsid w:val="00720B30"/>
    <w:rsid w:val="00720CB4"/>
    <w:rsid w:val="00720FBA"/>
    <w:rsid w:val="007214AB"/>
    <w:rsid w:val="0072180F"/>
    <w:rsid w:val="0072196C"/>
    <w:rsid w:val="00721AEC"/>
    <w:rsid w:val="00722434"/>
    <w:rsid w:val="007227A1"/>
    <w:rsid w:val="007228AF"/>
    <w:rsid w:val="00723002"/>
    <w:rsid w:val="007236DF"/>
    <w:rsid w:val="0072398B"/>
    <w:rsid w:val="00723C7E"/>
    <w:rsid w:val="00723CAC"/>
    <w:rsid w:val="00723CC5"/>
    <w:rsid w:val="00724774"/>
    <w:rsid w:val="00724AED"/>
    <w:rsid w:val="00724D8F"/>
    <w:rsid w:val="00725100"/>
    <w:rsid w:val="007254FF"/>
    <w:rsid w:val="00725789"/>
    <w:rsid w:val="007257AF"/>
    <w:rsid w:val="0072587D"/>
    <w:rsid w:val="007258A8"/>
    <w:rsid w:val="007260E5"/>
    <w:rsid w:val="00726123"/>
    <w:rsid w:val="00726AF8"/>
    <w:rsid w:val="00726B4A"/>
    <w:rsid w:val="00726EEA"/>
    <w:rsid w:val="00726F25"/>
    <w:rsid w:val="00726FBF"/>
    <w:rsid w:val="00730162"/>
    <w:rsid w:val="00730A33"/>
    <w:rsid w:val="00730A4C"/>
    <w:rsid w:val="00730CE8"/>
    <w:rsid w:val="00730DA8"/>
    <w:rsid w:val="00730E90"/>
    <w:rsid w:val="00731976"/>
    <w:rsid w:val="00732A5C"/>
    <w:rsid w:val="00732B00"/>
    <w:rsid w:val="0073300F"/>
    <w:rsid w:val="00733419"/>
    <w:rsid w:val="007351FF"/>
    <w:rsid w:val="00735251"/>
    <w:rsid w:val="00735804"/>
    <w:rsid w:val="00735DA7"/>
    <w:rsid w:val="00736D34"/>
    <w:rsid w:val="00737D5A"/>
    <w:rsid w:val="007405B9"/>
    <w:rsid w:val="00740A54"/>
    <w:rsid w:val="00740A7E"/>
    <w:rsid w:val="00740B52"/>
    <w:rsid w:val="00741033"/>
    <w:rsid w:val="00741D72"/>
    <w:rsid w:val="007423A0"/>
    <w:rsid w:val="007428F7"/>
    <w:rsid w:val="00742A53"/>
    <w:rsid w:val="00743DF2"/>
    <w:rsid w:val="007445CA"/>
    <w:rsid w:val="00745236"/>
    <w:rsid w:val="007455D6"/>
    <w:rsid w:val="0074570A"/>
    <w:rsid w:val="00746170"/>
    <w:rsid w:val="0074630C"/>
    <w:rsid w:val="00747712"/>
    <w:rsid w:val="00750CB0"/>
    <w:rsid w:val="00750CE6"/>
    <w:rsid w:val="00750D80"/>
    <w:rsid w:val="00751103"/>
    <w:rsid w:val="0075117D"/>
    <w:rsid w:val="00751900"/>
    <w:rsid w:val="00751B21"/>
    <w:rsid w:val="00751BDE"/>
    <w:rsid w:val="00751BE3"/>
    <w:rsid w:val="00752B2C"/>
    <w:rsid w:val="00752D6D"/>
    <w:rsid w:val="00753E87"/>
    <w:rsid w:val="007540FA"/>
    <w:rsid w:val="00754A64"/>
    <w:rsid w:val="0075518F"/>
    <w:rsid w:val="00755E09"/>
    <w:rsid w:val="007568BC"/>
    <w:rsid w:val="00756B33"/>
    <w:rsid w:val="00757331"/>
    <w:rsid w:val="007573A5"/>
    <w:rsid w:val="00757CC5"/>
    <w:rsid w:val="00760429"/>
    <w:rsid w:val="00760BD0"/>
    <w:rsid w:val="0076181B"/>
    <w:rsid w:val="0076282A"/>
    <w:rsid w:val="00762CA9"/>
    <w:rsid w:val="0076344B"/>
    <w:rsid w:val="0076353E"/>
    <w:rsid w:val="0076363C"/>
    <w:rsid w:val="0076396F"/>
    <w:rsid w:val="00763974"/>
    <w:rsid w:val="00764974"/>
    <w:rsid w:val="00764C80"/>
    <w:rsid w:val="00765028"/>
    <w:rsid w:val="007660B9"/>
    <w:rsid w:val="00766736"/>
    <w:rsid w:val="0076694B"/>
    <w:rsid w:val="00766D71"/>
    <w:rsid w:val="007674AE"/>
    <w:rsid w:val="007674B5"/>
    <w:rsid w:val="00767D39"/>
    <w:rsid w:val="00767E91"/>
    <w:rsid w:val="007708BF"/>
    <w:rsid w:val="007708F1"/>
    <w:rsid w:val="0077172B"/>
    <w:rsid w:val="00772BF2"/>
    <w:rsid w:val="00772EFF"/>
    <w:rsid w:val="00773051"/>
    <w:rsid w:val="0077306C"/>
    <w:rsid w:val="007732AE"/>
    <w:rsid w:val="007742C8"/>
    <w:rsid w:val="007750F4"/>
    <w:rsid w:val="007758CE"/>
    <w:rsid w:val="007758FB"/>
    <w:rsid w:val="00775EA2"/>
    <w:rsid w:val="00776065"/>
    <w:rsid w:val="0077617C"/>
    <w:rsid w:val="007764D4"/>
    <w:rsid w:val="00776568"/>
    <w:rsid w:val="00776A10"/>
    <w:rsid w:val="00777888"/>
    <w:rsid w:val="00777B8A"/>
    <w:rsid w:val="00777DDB"/>
    <w:rsid w:val="00780022"/>
    <w:rsid w:val="00780620"/>
    <w:rsid w:val="0078086C"/>
    <w:rsid w:val="00780CF7"/>
    <w:rsid w:val="007815D1"/>
    <w:rsid w:val="00781702"/>
    <w:rsid w:val="007817EE"/>
    <w:rsid w:val="007819AD"/>
    <w:rsid w:val="00782449"/>
    <w:rsid w:val="007825D8"/>
    <w:rsid w:val="00782779"/>
    <w:rsid w:val="00782D3E"/>
    <w:rsid w:val="00783414"/>
    <w:rsid w:val="00783F38"/>
    <w:rsid w:val="0078413B"/>
    <w:rsid w:val="007842D2"/>
    <w:rsid w:val="00786220"/>
    <w:rsid w:val="0078687D"/>
    <w:rsid w:val="00786B3E"/>
    <w:rsid w:val="00786E21"/>
    <w:rsid w:val="00786EA1"/>
    <w:rsid w:val="00787B5C"/>
    <w:rsid w:val="00787BD0"/>
    <w:rsid w:val="007900B4"/>
    <w:rsid w:val="007900DD"/>
    <w:rsid w:val="00790708"/>
    <w:rsid w:val="00790844"/>
    <w:rsid w:val="007908C0"/>
    <w:rsid w:val="00790B72"/>
    <w:rsid w:val="00790E57"/>
    <w:rsid w:val="00790FAB"/>
    <w:rsid w:val="00791017"/>
    <w:rsid w:val="0079136E"/>
    <w:rsid w:val="0079194A"/>
    <w:rsid w:val="00791A05"/>
    <w:rsid w:val="0079200E"/>
    <w:rsid w:val="007920EA"/>
    <w:rsid w:val="00792FB5"/>
    <w:rsid w:val="00793BF4"/>
    <w:rsid w:val="00793DA9"/>
    <w:rsid w:val="007941F8"/>
    <w:rsid w:val="00794466"/>
    <w:rsid w:val="00794B61"/>
    <w:rsid w:val="0079508B"/>
    <w:rsid w:val="00795200"/>
    <w:rsid w:val="00795265"/>
    <w:rsid w:val="0079535D"/>
    <w:rsid w:val="007953F1"/>
    <w:rsid w:val="00795999"/>
    <w:rsid w:val="00795E81"/>
    <w:rsid w:val="00795FB6"/>
    <w:rsid w:val="00796522"/>
    <w:rsid w:val="00796A0D"/>
    <w:rsid w:val="00796A50"/>
    <w:rsid w:val="00796AF6"/>
    <w:rsid w:val="007978A4"/>
    <w:rsid w:val="007A032B"/>
    <w:rsid w:val="007A03E9"/>
    <w:rsid w:val="007A0CAD"/>
    <w:rsid w:val="007A118E"/>
    <w:rsid w:val="007A11AB"/>
    <w:rsid w:val="007A21A7"/>
    <w:rsid w:val="007A2BED"/>
    <w:rsid w:val="007A2C0A"/>
    <w:rsid w:val="007A2D15"/>
    <w:rsid w:val="007A2F7B"/>
    <w:rsid w:val="007A334B"/>
    <w:rsid w:val="007A33F6"/>
    <w:rsid w:val="007A35AF"/>
    <w:rsid w:val="007A3A80"/>
    <w:rsid w:val="007A3C8E"/>
    <w:rsid w:val="007A3D3F"/>
    <w:rsid w:val="007A4348"/>
    <w:rsid w:val="007A4705"/>
    <w:rsid w:val="007A5A61"/>
    <w:rsid w:val="007A5DEC"/>
    <w:rsid w:val="007A5F33"/>
    <w:rsid w:val="007A60B0"/>
    <w:rsid w:val="007A69CA"/>
    <w:rsid w:val="007A6DAC"/>
    <w:rsid w:val="007A70CC"/>
    <w:rsid w:val="007A74E0"/>
    <w:rsid w:val="007A7904"/>
    <w:rsid w:val="007A7D55"/>
    <w:rsid w:val="007A7E0B"/>
    <w:rsid w:val="007A7E49"/>
    <w:rsid w:val="007B0A26"/>
    <w:rsid w:val="007B0A37"/>
    <w:rsid w:val="007B0BE7"/>
    <w:rsid w:val="007B0E6A"/>
    <w:rsid w:val="007B1094"/>
    <w:rsid w:val="007B119D"/>
    <w:rsid w:val="007B1A72"/>
    <w:rsid w:val="007B1ECF"/>
    <w:rsid w:val="007B2347"/>
    <w:rsid w:val="007B2669"/>
    <w:rsid w:val="007B281C"/>
    <w:rsid w:val="007B284C"/>
    <w:rsid w:val="007B28E4"/>
    <w:rsid w:val="007B29DB"/>
    <w:rsid w:val="007B2CA3"/>
    <w:rsid w:val="007B30EF"/>
    <w:rsid w:val="007B3583"/>
    <w:rsid w:val="007B35C6"/>
    <w:rsid w:val="007B4647"/>
    <w:rsid w:val="007B4688"/>
    <w:rsid w:val="007B4916"/>
    <w:rsid w:val="007B4B13"/>
    <w:rsid w:val="007B5A84"/>
    <w:rsid w:val="007B60C2"/>
    <w:rsid w:val="007B6316"/>
    <w:rsid w:val="007B6FE8"/>
    <w:rsid w:val="007B705C"/>
    <w:rsid w:val="007C05E9"/>
    <w:rsid w:val="007C0831"/>
    <w:rsid w:val="007C0B23"/>
    <w:rsid w:val="007C10C0"/>
    <w:rsid w:val="007C1382"/>
    <w:rsid w:val="007C1F39"/>
    <w:rsid w:val="007C245D"/>
    <w:rsid w:val="007C28E8"/>
    <w:rsid w:val="007C3B3D"/>
    <w:rsid w:val="007C3D3F"/>
    <w:rsid w:val="007C43E9"/>
    <w:rsid w:val="007C46D3"/>
    <w:rsid w:val="007C49B8"/>
    <w:rsid w:val="007C4DA8"/>
    <w:rsid w:val="007C5607"/>
    <w:rsid w:val="007C5B5E"/>
    <w:rsid w:val="007C64AF"/>
    <w:rsid w:val="007C6A96"/>
    <w:rsid w:val="007C71C3"/>
    <w:rsid w:val="007C7428"/>
    <w:rsid w:val="007C77DB"/>
    <w:rsid w:val="007C7C61"/>
    <w:rsid w:val="007D09FA"/>
    <w:rsid w:val="007D164C"/>
    <w:rsid w:val="007D1C1E"/>
    <w:rsid w:val="007D1CB6"/>
    <w:rsid w:val="007D2E51"/>
    <w:rsid w:val="007D31E7"/>
    <w:rsid w:val="007D372E"/>
    <w:rsid w:val="007D3A8E"/>
    <w:rsid w:val="007D3E0F"/>
    <w:rsid w:val="007D49C0"/>
    <w:rsid w:val="007D4B46"/>
    <w:rsid w:val="007D4F3C"/>
    <w:rsid w:val="007D56C5"/>
    <w:rsid w:val="007D593B"/>
    <w:rsid w:val="007D5C3B"/>
    <w:rsid w:val="007D5DDA"/>
    <w:rsid w:val="007D6648"/>
    <w:rsid w:val="007D67E4"/>
    <w:rsid w:val="007E3395"/>
    <w:rsid w:val="007E3450"/>
    <w:rsid w:val="007E3D39"/>
    <w:rsid w:val="007E3D47"/>
    <w:rsid w:val="007E3E5D"/>
    <w:rsid w:val="007E45C1"/>
    <w:rsid w:val="007E4C51"/>
    <w:rsid w:val="007E510D"/>
    <w:rsid w:val="007E52C5"/>
    <w:rsid w:val="007E55B9"/>
    <w:rsid w:val="007E5A73"/>
    <w:rsid w:val="007E5B1B"/>
    <w:rsid w:val="007E5F6B"/>
    <w:rsid w:val="007E611D"/>
    <w:rsid w:val="007E6788"/>
    <w:rsid w:val="007E7233"/>
    <w:rsid w:val="007E73A1"/>
    <w:rsid w:val="007E73C6"/>
    <w:rsid w:val="007E73EB"/>
    <w:rsid w:val="007E7731"/>
    <w:rsid w:val="007F02C6"/>
    <w:rsid w:val="007F0698"/>
    <w:rsid w:val="007F0C7B"/>
    <w:rsid w:val="007F0E1D"/>
    <w:rsid w:val="007F0F96"/>
    <w:rsid w:val="007F1581"/>
    <w:rsid w:val="007F18D1"/>
    <w:rsid w:val="007F1B1D"/>
    <w:rsid w:val="007F2523"/>
    <w:rsid w:val="007F2536"/>
    <w:rsid w:val="007F3B07"/>
    <w:rsid w:val="007F3E7A"/>
    <w:rsid w:val="007F4269"/>
    <w:rsid w:val="007F4AA3"/>
    <w:rsid w:val="007F514D"/>
    <w:rsid w:val="007F52C7"/>
    <w:rsid w:val="007F5637"/>
    <w:rsid w:val="007F576A"/>
    <w:rsid w:val="007F657A"/>
    <w:rsid w:val="007F6BE7"/>
    <w:rsid w:val="007F6DB5"/>
    <w:rsid w:val="007F7247"/>
    <w:rsid w:val="007F75EA"/>
    <w:rsid w:val="007F772F"/>
    <w:rsid w:val="008003F5"/>
    <w:rsid w:val="00800EF7"/>
    <w:rsid w:val="00802C9F"/>
    <w:rsid w:val="00802E1B"/>
    <w:rsid w:val="00804042"/>
    <w:rsid w:val="00804A45"/>
    <w:rsid w:val="008058D4"/>
    <w:rsid w:val="00805CEB"/>
    <w:rsid w:val="00805FBC"/>
    <w:rsid w:val="00806292"/>
    <w:rsid w:val="0080640C"/>
    <w:rsid w:val="00806967"/>
    <w:rsid w:val="00806DCA"/>
    <w:rsid w:val="00806E0E"/>
    <w:rsid w:val="00806EF0"/>
    <w:rsid w:val="00806F42"/>
    <w:rsid w:val="00807E3B"/>
    <w:rsid w:val="00810045"/>
    <w:rsid w:val="00810310"/>
    <w:rsid w:val="008105D0"/>
    <w:rsid w:val="00810AD3"/>
    <w:rsid w:val="00811527"/>
    <w:rsid w:val="008115C7"/>
    <w:rsid w:val="00812101"/>
    <w:rsid w:val="0081210D"/>
    <w:rsid w:val="008128D9"/>
    <w:rsid w:val="00812FBF"/>
    <w:rsid w:val="008131B4"/>
    <w:rsid w:val="0081370A"/>
    <w:rsid w:val="00813912"/>
    <w:rsid w:val="00814413"/>
    <w:rsid w:val="008149F1"/>
    <w:rsid w:val="00814EBF"/>
    <w:rsid w:val="00814FF4"/>
    <w:rsid w:val="008151E4"/>
    <w:rsid w:val="00815506"/>
    <w:rsid w:val="00815708"/>
    <w:rsid w:val="008161F1"/>
    <w:rsid w:val="008162B4"/>
    <w:rsid w:val="00816DB8"/>
    <w:rsid w:val="008172B5"/>
    <w:rsid w:val="00817779"/>
    <w:rsid w:val="00817A2E"/>
    <w:rsid w:val="0082082C"/>
    <w:rsid w:val="008209FA"/>
    <w:rsid w:val="00820F01"/>
    <w:rsid w:val="00820F2B"/>
    <w:rsid w:val="00821332"/>
    <w:rsid w:val="00821932"/>
    <w:rsid w:val="00821D5C"/>
    <w:rsid w:val="00821EB3"/>
    <w:rsid w:val="00822936"/>
    <w:rsid w:val="00822A4D"/>
    <w:rsid w:val="00822CE9"/>
    <w:rsid w:val="0082314F"/>
    <w:rsid w:val="008237C3"/>
    <w:rsid w:val="008237D2"/>
    <w:rsid w:val="00823AD1"/>
    <w:rsid w:val="00823E0F"/>
    <w:rsid w:val="0082411A"/>
    <w:rsid w:val="00824128"/>
    <w:rsid w:val="0082427F"/>
    <w:rsid w:val="00824801"/>
    <w:rsid w:val="008249DA"/>
    <w:rsid w:val="00824F18"/>
    <w:rsid w:val="00824FC7"/>
    <w:rsid w:val="0082536B"/>
    <w:rsid w:val="008255EE"/>
    <w:rsid w:val="00825748"/>
    <w:rsid w:val="0082579E"/>
    <w:rsid w:val="00826622"/>
    <w:rsid w:val="008272F8"/>
    <w:rsid w:val="00827662"/>
    <w:rsid w:val="008277E6"/>
    <w:rsid w:val="00827DEF"/>
    <w:rsid w:val="00827FCA"/>
    <w:rsid w:val="0083040C"/>
    <w:rsid w:val="008307C9"/>
    <w:rsid w:val="00830867"/>
    <w:rsid w:val="00830CB7"/>
    <w:rsid w:val="00830E3B"/>
    <w:rsid w:val="0083136C"/>
    <w:rsid w:val="00831638"/>
    <w:rsid w:val="008316F7"/>
    <w:rsid w:val="00831DE7"/>
    <w:rsid w:val="0083274D"/>
    <w:rsid w:val="00832AF3"/>
    <w:rsid w:val="00832C18"/>
    <w:rsid w:val="00832C70"/>
    <w:rsid w:val="00832CA7"/>
    <w:rsid w:val="00833A1A"/>
    <w:rsid w:val="00834001"/>
    <w:rsid w:val="00834ADF"/>
    <w:rsid w:val="00834C28"/>
    <w:rsid w:val="00835E4A"/>
    <w:rsid w:val="008368C6"/>
    <w:rsid w:val="00836A97"/>
    <w:rsid w:val="00837487"/>
    <w:rsid w:val="00837A26"/>
    <w:rsid w:val="00837DDF"/>
    <w:rsid w:val="00840028"/>
    <w:rsid w:val="0084002C"/>
    <w:rsid w:val="0084049A"/>
    <w:rsid w:val="008408D3"/>
    <w:rsid w:val="008415C4"/>
    <w:rsid w:val="00841B92"/>
    <w:rsid w:val="00842922"/>
    <w:rsid w:val="00842AD0"/>
    <w:rsid w:val="0084457C"/>
    <w:rsid w:val="0084476E"/>
    <w:rsid w:val="00844BC6"/>
    <w:rsid w:val="00845357"/>
    <w:rsid w:val="00845639"/>
    <w:rsid w:val="00845B69"/>
    <w:rsid w:val="00845DD3"/>
    <w:rsid w:val="008479E0"/>
    <w:rsid w:val="00847B0C"/>
    <w:rsid w:val="00847DFC"/>
    <w:rsid w:val="00847F5A"/>
    <w:rsid w:val="00850144"/>
    <w:rsid w:val="00851D93"/>
    <w:rsid w:val="00852133"/>
    <w:rsid w:val="00852328"/>
    <w:rsid w:val="00852F73"/>
    <w:rsid w:val="00853081"/>
    <w:rsid w:val="00853553"/>
    <w:rsid w:val="008539A1"/>
    <w:rsid w:val="00853D7E"/>
    <w:rsid w:val="00854472"/>
    <w:rsid w:val="0085483F"/>
    <w:rsid w:val="00854C1C"/>
    <w:rsid w:val="00854FF6"/>
    <w:rsid w:val="008555B1"/>
    <w:rsid w:val="008555D2"/>
    <w:rsid w:val="00855619"/>
    <w:rsid w:val="00855973"/>
    <w:rsid w:val="00855E1A"/>
    <w:rsid w:val="00856239"/>
    <w:rsid w:val="0085686F"/>
    <w:rsid w:val="00856E0D"/>
    <w:rsid w:val="008571B6"/>
    <w:rsid w:val="00860015"/>
    <w:rsid w:val="008603A7"/>
    <w:rsid w:val="008614EC"/>
    <w:rsid w:val="00861C8F"/>
    <w:rsid w:val="008624AF"/>
    <w:rsid w:val="008629DA"/>
    <w:rsid w:val="00862DF3"/>
    <w:rsid w:val="008630DC"/>
    <w:rsid w:val="008637C1"/>
    <w:rsid w:val="00863B99"/>
    <w:rsid w:val="00864F66"/>
    <w:rsid w:val="00865433"/>
    <w:rsid w:val="00865610"/>
    <w:rsid w:val="00865BA7"/>
    <w:rsid w:val="00866325"/>
    <w:rsid w:val="0086663D"/>
    <w:rsid w:val="008669A8"/>
    <w:rsid w:val="00866BB3"/>
    <w:rsid w:val="008670C1"/>
    <w:rsid w:val="008673E7"/>
    <w:rsid w:val="00867D69"/>
    <w:rsid w:val="0087053E"/>
    <w:rsid w:val="00870A98"/>
    <w:rsid w:val="00870B36"/>
    <w:rsid w:val="0087132F"/>
    <w:rsid w:val="008713A8"/>
    <w:rsid w:val="00871841"/>
    <w:rsid w:val="00871E58"/>
    <w:rsid w:val="00872499"/>
    <w:rsid w:val="00872A62"/>
    <w:rsid w:val="00872AB2"/>
    <w:rsid w:val="008742DF"/>
    <w:rsid w:val="008746B0"/>
    <w:rsid w:val="008746C8"/>
    <w:rsid w:val="00874B7E"/>
    <w:rsid w:val="00875835"/>
    <w:rsid w:val="0087672C"/>
    <w:rsid w:val="00876DA4"/>
    <w:rsid w:val="00876EC3"/>
    <w:rsid w:val="008772EC"/>
    <w:rsid w:val="00877FD1"/>
    <w:rsid w:val="00880699"/>
    <w:rsid w:val="00881977"/>
    <w:rsid w:val="00881AA4"/>
    <w:rsid w:val="00881C36"/>
    <w:rsid w:val="00881E2A"/>
    <w:rsid w:val="00882B30"/>
    <w:rsid w:val="00882D26"/>
    <w:rsid w:val="008831AB"/>
    <w:rsid w:val="008831E0"/>
    <w:rsid w:val="00883B9E"/>
    <w:rsid w:val="00883E78"/>
    <w:rsid w:val="0088406F"/>
    <w:rsid w:val="00884084"/>
    <w:rsid w:val="0088429F"/>
    <w:rsid w:val="00884593"/>
    <w:rsid w:val="00884917"/>
    <w:rsid w:val="008850D0"/>
    <w:rsid w:val="008850D7"/>
    <w:rsid w:val="008856E7"/>
    <w:rsid w:val="00885AE9"/>
    <w:rsid w:val="00885D38"/>
    <w:rsid w:val="0088689B"/>
    <w:rsid w:val="00886A2B"/>
    <w:rsid w:val="00886A36"/>
    <w:rsid w:val="008876A9"/>
    <w:rsid w:val="00887BA0"/>
    <w:rsid w:val="00890699"/>
    <w:rsid w:val="00890A09"/>
    <w:rsid w:val="0089126A"/>
    <w:rsid w:val="008913FA"/>
    <w:rsid w:val="008917F8"/>
    <w:rsid w:val="0089192F"/>
    <w:rsid w:val="00891D97"/>
    <w:rsid w:val="00891E10"/>
    <w:rsid w:val="008934F9"/>
    <w:rsid w:val="00893A66"/>
    <w:rsid w:val="00893C02"/>
    <w:rsid w:val="00893E15"/>
    <w:rsid w:val="00893E87"/>
    <w:rsid w:val="0089483F"/>
    <w:rsid w:val="00894B47"/>
    <w:rsid w:val="00894E58"/>
    <w:rsid w:val="008951BD"/>
    <w:rsid w:val="008955CF"/>
    <w:rsid w:val="0089581E"/>
    <w:rsid w:val="0089643E"/>
    <w:rsid w:val="008966B8"/>
    <w:rsid w:val="00896B16"/>
    <w:rsid w:val="008A0192"/>
    <w:rsid w:val="008A120A"/>
    <w:rsid w:val="008A17DC"/>
    <w:rsid w:val="008A1EC9"/>
    <w:rsid w:val="008A2158"/>
    <w:rsid w:val="008A2273"/>
    <w:rsid w:val="008A2417"/>
    <w:rsid w:val="008A26A9"/>
    <w:rsid w:val="008A29AD"/>
    <w:rsid w:val="008A37FA"/>
    <w:rsid w:val="008A3DF0"/>
    <w:rsid w:val="008A4244"/>
    <w:rsid w:val="008A4F04"/>
    <w:rsid w:val="008A5258"/>
    <w:rsid w:val="008A540B"/>
    <w:rsid w:val="008A5875"/>
    <w:rsid w:val="008A5E13"/>
    <w:rsid w:val="008A5EFA"/>
    <w:rsid w:val="008A6020"/>
    <w:rsid w:val="008A6332"/>
    <w:rsid w:val="008A6509"/>
    <w:rsid w:val="008A69F3"/>
    <w:rsid w:val="008A7FF7"/>
    <w:rsid w:val="008B0082"/>
    <w:rsid w:val="008B0EEC"/>
    <w:rsid w:val="008B126A"/>
    <w:rsid w:val="008B179F"/>
    <w:rsid w:val="008B1D81"/>
    <w:rsid w:val="008B1DA0"/>
    <w:rsid w:val="008B290A"/>
    <w:rsid w:val="008B2E00"/>
    <w:rsid w:val="008B3504"/>
    <w:rsid w:val="008B375C"/>
    <w:rsid w:val="008B3BE2"/>
    <w:rsid w:val="008B3EB6"/>
    <w:rsid w:val="008B3EBF"/>
    <w:rsid w:val="008B3FCB"/>
    <w:rsid w:val="008B409E"/>
    <w:rsid w:val="008B4186"/>
    <w:rsid w:val="008B46E2"/>
    <w:rsid w:val="008B49A4"/>
    <w:rsid w:val="008B5232"/>
    <w:rsid w:val="008B54D8"/>
    <w:rsid w:val="008B5F80"/>
    <w:rsid w:val="008B6DAE"/>
    <w:rsid w:val="008B7063"/>
    <w:rsid w:val="008B714F"/>
    <w:rsid w:val="008B715A"/>
    <w:rsid w:val="008B72DA"/>
    <w:rsid w:val="008B7764"/>
    <w:rsid w:val="008B77AE"/>
    <w:rsid w:val="008B7A75"/>
    <w:rsid w:val="008C067E"/>
    <w:rsid w:val="008C06A1"/>
    <w:rsid w:val="008C070B"/>
    <w:rsid w:val="008C12CD"/>
    <w:rsid w:val="008C1762"/>
    <w:rsid w:val="008C1D66"/>
    <w:rsid w:val="008C2904"/>
    <w:rsid w:val="008C29BA"/>
    <w:rsid w:val="008C2D06"/>
    <w:rsid w:val="008C2F60"/>
    <w:rsid w:val="008C360C"/>
    <w:rsid w:val="008C3E47"/>
    <w:rsid w:val="008C5204"/>
    <w:rsid w:val="008C5704"/>
    <w:rsid w:val="008C68A2"/>
    <w:rsid w:val="008C6D1C"/>
    <w:rsid w:val="008C6DEA"/>
    <w:rsid w:val="008C7806"/>
    <w:rsid w:val="008C79F5"/>
    <w:rsid w:val="008D0066"/>
    <w:rsid w:val="008D0761"/>
    <w:rsid w:val="008D1B85"/>
    <w:rsid w:val="008D20B5"/>
    <w:rsid w:val="008D3BE0"/>
    <w:rsid w:val="008D3ED2"/>
    <w:rsid w:val="008D405E"/>
    <w:rsid w:val="008D408B"/>
    <w:rsid w:val="008D4965"/>
    <w:rsid w:val="008D49E6"/>
    <w:rsid w:val="008D5677"/>
    <w:rsid w:val="008D5D63"/>
    <w:rsid w:val="008D5D84"/>
    <w:rsid w:val="008D619F"/>
    <w:rsid w:val="008D64F8"/>
    <w:rsid w:val="008D6AEA"/>
    <w:rsid w:val="008D713B"/>
    <w:rsid w:val="008D72AD"/>
    <w:rsid w:val="008D739F"/>
    <w:rsid w:val="008D7534"/>
    <w:rsid w:val="008D76D2"/>
    <w:rsid w:val="008D7E81"/>
    <w:rsid w:val="008D7F19"/>
    <w:rsid w:val="008E01AC"/>
    <w:rsid w:val="008E02B8"/>
    <w:rsid w:val="008E1228"/>
    <w:rsid w:val="008E14F0"/>
    <w:rsid w:val="008E1597"/>
    <w:rsid w:val="008E1D87"/>
    <w:rsid w:val="008E20A8"/>
    <w:rsid w:val="008E2668"/>
    <w:rsid w:val="008E268F"/>
    <w:rsid w:val="008E29FB"/>
    <w:rsid w:val="008E2A5C"/>
    <w:rsid w:val="008E351F"/>
    <w:rsid w:val="008E3C45"/>
    <w:rsid w:val="008E4337"/>
    <w:rsid w:val="008E4DD4"/>
    <w:rsid w:val="008E4E57"/>
    <w:rsid w:val="008E4EB4"/>
    <w:rsid w:val="008E4F8B"/>
    <w:rsid w:val="008E54F8"/>
    <w:rsid w:val="008E6298"/>
    <w:rsid w:val="008E6A41"/>
    <w:rsid w:val="008E715E"/>
    <w:rsid w:val="008E7751"/>
    <w:rsid w:val="008E7A8A"/>
    <w:rsid w:val="008F0041"/>
    <w:rsid w:val="008F09D2"/>
    <w:rsid w:val="008F0A6D"/>
    <w:rsid w:val="008F1384"/>
    <w:rsid w:val="008F2142"/>
    <w:rsid w:val="008F256D"/>
    <w:rsid w:val="008F2821"/>
    <w:rsid w:val="008F28F2"/>
    <w:rsid w:val="008F2D62"/>
    <w:rsid w:val="008F2F06"/>
    <w:rsid w:val="008F2F41"/>
    <w:rsid w:val="008F35D9"/>
    <w:rsid w:val="008F3683"/>
    <w:rsid w:val="008F3B8B"/>
    <w:rsid w:val="008F47D6"/>
    <w:rsid w:val="008F48ED"/>
    <w:rsid w:val="008F49F9"/>
    <w:rsid w:val="008F4C29"/>
    <w:rsid w:val="008F4C51"/>
    <w:rsid w:val="008F4F00"/>
    <w:rsid w:val="008F5719"/>
    <w:rsid w:val="008F5A79"/>
    <w:rsid w:val="008F5AF9"/>
    <w:rsid w:val="008F6831"/>
    <w:rsid w:val="008F6832"/>
    <w:rsid w:val="008F6CCD"/>
    <w:rsid w:val="008F72A6"/>
    <w:rsid w:val="008F7E62"/>
    <w:rsid w:val="009002B6"/>
    <w:rsid w:val="009002D3"/>
    <w:rsid w:val="009009EE"/>
    <w:rsid w:val="00900B47"/>
    <w:rsid w:val="00900FC8"/>
    <w:rsid w:val="009010DD"/>
    <w:rsid w:val="00901A70"/>
    <w:rsid w:val="009021AC"/>
    <w:rsid w:val="0090255F"/>
    <w:rsid w:val="0090276D"/>
    <w:rsid w:val="00902A0C"/>
    <w:rsid w:val="00902D13"/>
    <w:rsid w:val="00902E1D"/>
    <w:rsid w:val="0090314D"/>
    <w:rsid w:val="009035DC"/>
    <w:rsid w:val="00903C61"/>
    <w:rsid w:val="00903CC5"/>
    <w:rsid w:val="009043C5"/>
    <w:rsid w:val="00904B62"/>
    <w:rsid w:val="00904DE9"/>
    <w:rsid w:val="0090585E"/>
    <w:rsid w:val="00905EFD"/>
    <w:rsid w:val="00906110"/>
    <w:rsid w:val="009061E7"/>
    <w:rsid w:val="0090643A"/>
    <w:rsid w:val="009069BF"/>
    <w:rsid w:val="00906B99"/>
    <w:rsid w:val="0090719D"/>
    <w:rsid w:val="00907AA6"/>
    <w:rsid w:val="00911C43"/>
    <w:rsid w:val="00911EAD"/>
    <w:rsid w:val="00911F92"/>
    <w:rsid w:val="0091247F"/>
    <w:rsid w:val="0091282E"/>
    <w:rsid w:val="00912AAB"/>
    <w:rsid w:val="0091326B"/>
    <w:rsid w:val="009134A6"/>
    <w:rsid w:val="0091376E"/>
    <w:rsid w:val="0091379A"/>
    <w:rsid w:val="009138D1"/>
    <w:rsid w:val="00913A88"/>
    <w:rsid w:val="0091437A"/>
    <w:rsid w:val="009143DB"/>
    <w:rsid w:val="0091459B"/>
    <w:rsid w:val="009146A7"/>
    <w:rsid w:val="009149B3"/>
    <w:rsid w:val="00914CE7"/>
    <w:rsid w:val="00915624"/>
    <w:rsid w:val="0091578A"/>
    <w:rsid w:val="00915954"/>
    <w:rsid w:val="0091611B"/>
    <w:rsid w:val="00916CE6"/>
    <w:rsid w:val="00916DD5"/>
    <w:rsid w:val="0091727D"/>
    <w:rsid w:val="009174EA"/>
    <w:rsid w:val="00917E6A"/>
    <w:rsid w:val="00917FE9"/>
    <w:rsid w:val="009209AE"/>
    <w:rsid w:val="00922461"/>
    <w:rsid w:val="009227F1"/>
    <w:rsid w:val="00922C26"/>
    <w:rsid w:val="009236AF"/>
    <w:rsid w:val="009239C7"/>
    <w:rsid w:val="00923BB9"/>
    <w:rsid w:val="009246DA"/>
    <w:rsid w:val="00924F36"/>
    <w:rsid w:val="0092507B"/>
    <w:rsid w:val="00925854"/>
    <w:rsid w:val="00925B2D"/>
    <w:rsid w:val="00925DBF"/>
    <w:rsid w:val="00925E7D"/>
    <w:rsid w:val="00926152"/>
    <w:rsid w:val="009261F1"/>
    <w:rsid w:val="00926390"/>
    <w:rsid w:val="009276D6"/>
    <w:rsid w:val="00927F66"/>
    <w:rsid w:val="009305AA"/>
    <w:rsid w:val="009306B1"/>
    <w:rsid w:val="00930C3C"/>
    <w:rsid w:val="00930DF9"/>
    <w:rsid w:val="009310F5"/>
    <w:rsid w:val="0093129F"/>
    <w:rsid w:val="009313A6"/>
    <w:rsid w:val="0093152B"/>
    <w:rsid w:val="009319CC"/>
    <w:rsid w:val="00931E57"/>
    <w:rsid w:val="00932471"/>
    <w:rsid w:val="0093277D"/>
    <w:rsid w:val="009329B8"/>
    <w:rsid w:val="009329CA"/>
    <w:rsid w:val="00932ADE"/>
    <w:rsid w:val="00932D87"/>
    <w:rsid w:val="00932E3A"/>
    <w:rsid w:val="00932F22"/>
    <w:rsid w:val="00932F3F"/>
    <w:rsid w:val="00933B7C"/>
    <w:rsid w:val="009342AF"/>
    <w:rsid w:val="00935AC3"/>
    <w:rsid w:val="0093600C"/>
    <w:rsid w:val="00936112"/>
    <w:rsid w:val="00936503"/>
    <w:rsid w:val="00936A7D"/>
    <w:rsid w:val="00936B64"/>
    <w:rsid w:val="00936B6E"/>
    <w:rsid w:val="00936BC4"/>
    <w:rsid w:val="00936F50"/>
    <w:rsid w:val="00937829"/>
    <w:rsid w:val="00937887"/>
    <w:rsid w:val="00937A22"/>
    <w:rsid w:val="00940A79"/>
    <w:rsid w:val="00940BB0"/>
    <w:rsid w:val="00940EE2"/>
    <w:rsid w:val="009416EF"/>
    <w:rsid w:val="0094197E"/>
    <w:rsid w:val="00941999"/>
    <w:rsid w:val="0094244E"/>
    <w:rsid w:val="0094256A"/>
    <w:rsid w:val="00942D6B"/>
    <w:rsid w:val="00943308"/>
    <w:rsid w:val="00943549"/>
    <w:rsid w:val="009438CB"/>
    <w:rsid w:val="00943AF2"/>
    <w:rsid w:val="00943B4D"/>
    <w:rsid w:val="00944D5C"/>
    <w:rsid w:val="00944D8F"/>
    <w:rsid w:val="0094501B"/>
    <w:rsid w:val="009459BC"/>
    <w:rsid w:val="00945E94"/>
    <w:rsid w:val="0094632A"/>
    <w:rsid w:val="009472EA"/>
    <w:rsid w:val="00947977"/>
    <w:rsid w:val="00947BA1"/>
    <w:rsid w:val="00947FE6"/>
    <w:rsid w:val="00950047"/>
    <w:rsid w:val="009503E4"/>
    <w:rsid w:val="0095098D"/>
    <w:rsid w:val="00950F7F"/>
    <w:rsid w:val="00950FDB"/>
    <w:rsid w:val="00951A6C"/>
    <w:rsid w:val="00951BB5"/>
    <w:rsid w:val="00951CF1"/>
    <w:rsid w:val="00951DBF"/>
    <w:rsid w:val="00952493"/>
    <w:rsid w:val="0095270C"/>
    <w:rsid w:val="009527A7"/>
    <w:rsid w:val="00952CA1"/>
    <w:rsid w:val="0095315A"/>
    <w:rsid w:val="00955B42"/>
    <w:rsid w:val="00955DAE"/>
    <w:rsid w:val="009563DD"/>
    <w:rsid w:val="009566E3"/>
    <w:rsid w:val="00957ABD"/>
    <w:rsid w:val="00957BB3"/>
    <w:rsid w:val="00957E86"/>
    <w:rsid w:val="0096034C"/>
    <w:rsid w:val="0096186A"/>
    <w:rsid w:val="00961C0E"/>
    <w:rsid w:val="0096255A"/>
    <w:rsid w:val="00962693"/>
    <w:rsid w:val="00962A55"/>
    <w:rsid w:val="00963822"/>
    <w:rsid w:val="00963D6E"/>
    <w:rsid w:val="00963E28"/>
    <w:rsid w:val="00964142"/>
    <w:rsid w:val="009642F3"/>
    <w:rsid w:val="0096543F"/>
    <w:rsid w:val="00965529"/>
    <w:rsid w:val="009657E1"/>
    <w:rsid w:val="00966008"/>
    <w:rsid w:val="009663F2"/>
    <w:rsid w:val="0096651E"/>
    <w:rsid w:val="00966CF1"/>
    <w:rsid w:val="00966D60"/>
    <w:rsid w:val="0096744E"/>
    <w:rsid w:val="0096773C"/>
    <w:rsid w:val="00967CB1"/>
    <w:rsid w:val="0097097C"/>
    <w:rsid w:val="00970D3D"/>
    <w:rsid w:val="00971459"/>
    <w:rsid w:val="0097156D"/>
    <w:rsid w:val="0097171B"/>
    <w:rsid w:val="00971984"/>
    <w:rsid w:val="00971E43"/>
    <w:rsid w:val="00972210"/>
    <w:rsid w:val="0097238C"/>
    <w:rsid w:val="00972831"/>
    <w:rsid w:val="009737AC"/>
    <w:rsid w:val="00973D28"/>
    <w:rsid w:val="00974010"/>
    <w:rsid w:val="0097411D"/>
    <w:rsid w:val="009753A8"/>
    <w:rsid w:val="009754DC"/>
    <w:rsid w:val="009756C1"/>
    <w:rsid w:val="00975C69"/>
    <w:rsid w:val="00976935"/>
    <w:rsid w:val="00977136"/>
    <w:rsid w:val="00977E69"/>
    <w:rsid w:val="00980054"/>
    <w:rsid w:val="009806A4"/>
    <w:rsid w:val="00980726"/>
    <w:rsid w:val="0098096E"/>
    <w:rsid w:val="00980D74"/>
    <w:rsid w:val="009818EE"/>
    <w:rsid w:val="00981B4B"/>
    <w:rsid w:val="00981C30"/>
    <w:rsid w:val="00981E00"/>
    <w:rsid w:val="009827EB"/>
    <w:rsid w:val="00982C6A"/>
    <w:rsid w:val="00982FEE"/>
    <w:rsid w:val="009839AC"/>
    <w:rsid w:val="00983BFD"/>
    <w:rsid w:val="0098426D"/>
    <w:rsid w:val="009842A6"/>
    <w:rsid w:val="00984414"/>
    <w:rsid w:val="009846EA"/>
    <w:rsid w:val="0098495A"/>
    <w:rsid w:val="00984A77"/>
    <w:rsid w:val="00984C1C"/>
    <w:rsid w:val="00985422"/>
    <w:rsid w:val="00985829"/>
    <w:rsid w:val="00985C49"/>
    <w:rsid w:val="0098656E"/>
    <w:rsid w:val="009865CB"/>
    <w:rsid w:val="0098691D"/>
    <w:rsid w:val="0098709B"/>
    <w:rsid w:val="00987925"/>
    <w:rsid w:val="009904F3"/>
    <w:rsid w:val="00990D6B"/>
    <w:rsid w:val="00990DBD"/>
    <w:rsid w:val="009916A7"/>
    <w:rsid w:val="00992715"/>
    <w:rsid w:val="00992957"/>
    <w:rsid w:val="00993089"/>
    <w:rsid w:val="00993327"/>
    <w:rsid w:val="009937FC"/>
    <w:rsid w:val="009939B4"/>
    <w:rsid w:val="009943D9"/>
    <w:rsid w:val="0099451F"/>
    <w:rsid w:val="00995F51"/>
    <w:rsid w:val="0099635B"/>
    <w:rsid w:val="00996616"/>
    <w:rsid w:val="00996869"/>
    <w:rsid w:val="00996947"/>
    <w:rsid w:val="00996BA1"/>
    <w:rsid w:val="00997C87"/>
    <w:rsid w:val="00997E67"/>
    <w:rsid w:val="009A0065"/>
    <w:rsid w:val="009A00E8"/>
    <w:rsid w:val="009A0471"/>
    <w:rsid w:val="009A07E8"/>
    <w:rsid w:val="009A0CF6"/>
    <w:rsid w:val="009A1A4E"/>
    <w:rsid w:val="009A2625"/>
    <w:rsid w:val="009A28E7"/>
    <w:rsid w:val="009A2A57"/>
    <w:rsid w:val="009A3678"/>
    <w:rsid w:val="009A376B"/>
    <w:rsid w:val="009A3BB1"/>
    <w:rsid w:val="009A3C63"/>
    <w:rsid w:val="009A47B5"/>
    <w:rsid w:val="009A5515"/>
    <w:rsid w:val="009A5649"/>
    <w:rsid w:val="009A61BF"/>
    <w:rsid w:val="009A64D4"/>
    <w:rsid w:val="009A6654"/>
    <w:rsid w:val="009A677C"/>
    <w:rsid w:val="009A6829"/>
    <w:rsid w:val="009A7071"/>
    <w:rsid w:val="009A74B3"/>
    <w:rsid w:val="009A74DC"/>
    <w:rsid w:val="009A76D3"/>
    <w:rsid w:val="009B0169"/>
    <w:rsid w:val="009B01DE"/>
    <w:rsid w:val="009B01FF"/>
    <w:rsid w:val="009B04C3"/>
    <w:rsid w:val="009B0BBB"/>
    <w:rsid w:val="009B1133"/>
    <w:rsid w:val="009B11BF"/>
    <w:rsid w:val="009B125E"/>
    <w:rsid w:val="009B13ED"/>
    <w:rsid w:val="009B20DB"/>
    <w:rsid w:val="009B25AA"/>
    <w:rsid w:val="009B2832"/>
    <w:rsid w:val="009B28DC"/>
    <w:rsid w:val="009B386A"/>
    <w:rsid w:val="009B3B50"/>
    <w:rsid w:val="009B4610"/>
    <w:rsid w:val="009B4653"/>
    <w:rsid w:val="009B477F"/>
    <w:rsid w:val="009B4800"/>
    <w:rsid w:val="009B4B92"/>
    <w:rsid w:val="009B4E3D"/>
    <w:rsid w:val="009B557E"/>
    <w:rsid w:val="009B56B2"/>
    <w:rsid w:val="009B5BAF"/>
    <w:rsid w:val="009B5CBE"/>
    <w:rsid w:val="009B653C"/>
    <w:rsid w:val="009B66D6"/>
    <w:rsid w:val="009B6E1A"/>
    <w:rsid w:val="009B7272"/>
    <w:rsid w:val="009B730F"/>
    <w:rsid w:val="009B7453"/>
    <w:rsid w:val="009B7565"/>
    <w:rsid w:val="009B7B91"/>
    <w:rsid w:val="009B7E76"/>
    <w:rsid w:val="009C00C2"/>
    <w:rsid w:val="009C1798"/>
    <w:rsid w:val="009C21C4"/>
    <w:rsid w:val="009C2222"/>
    <w:rsid w:val="009C233D"/>
    <w:rsid w:val="009C29F1"/>
    <w:rsid w:val="009C328D"/>
    <w:rsid w:val="009C370D"/>
    <w:rsid w:val="009C3820"/>
    <w:rsid w:val="009C3D2F"/>
    <w:rsid w:val="009C49BF"/>
    <w:rsid w:val="009C4C50"/>
    <w:rsid w:val="009C4E63"/>
    <w:rsid w:val="009C531A"/>
    <w:rsid w:val="009C54E3"/>
    <w:rsid w:val="009C5632"/>
    <w:rsid w:val="009C5B37"/>
    <w:rsid w:val="009C63A6"/>
    <w:rsid w:val="009C6745"/>
    <w:rsid w:val="009C68E8"/>
    <w:rsid w:val="009C6BC9"/>
    <w:rsid w:val="009C6D6F"/>
    <w:rsid w:val="009C6F91"/>
    <w:rsid w:val="009C6F94"/>
    <w:rsid w:val="009C74FE"/>
    <w:rsid w:val="009C7CC2"/>
    <w:rsid w:val="009C7D80"/>
    <w:rsid w:val="009C7DC9"/>
    <w:rsid w:val="009D00F7"/>
    <w:rsid w:val="009D0891"/>
    <w:rsid w:val="009D09DE"/>
    <w:rsid w:val="009D0BDA"/>
    <w:rsid w:val="009D0CB6"/>
    <w:rsid w:val="009D0E5C"/>
    <w:rsid w:val="009D0E5F"/>
    <w:rsid w:val="009D2169"/>
    <w:rsid w:val="009D2906"/>
    <w:rsid w:val="009D2A31"/>
    <w:rsid w:val="009D2B7D"/>
    <w:rsid w:val="009D2DB7"/>
    <w:rsid w:val="009D2FDC"/>
    <w:rsid w:val="009D34F2"/>
    <w:rsid w:val="009D3ABF"/>
    <w:rsid w:val="009D40A7"/>
    <w:rsid w:val="009D4244"/>
    <w:rsid w:val="009D43B8"/>
    <w:rsid w:val="009D5023"/>
    <w:rsid w:val="009D5D1D"/>
    <w:rsid w:val="009D6A3A"/>
    <w:rsid w:val="009D6D02"/>
    <w:rsid w:val="009D72AE"/>
    <w:rsid w:val="009D749F"/>
    <w:rsid w:val="009D75F7"/>
    <w:rsid w:val="009E018A"/>
    <w:rsid w:val="009E0872"/>
    <w:rsid w:val="009E140F"/>
    <w:rsid w:val="009E1BEF"/>
    <w:rsid w:val="009E1F22"/>
    <w:rsid w:val="009E1F90"/>
    <w:rsid w:val="009E20F1"/>
    <w:rsid w:val="009E223A"/>
    <w:rsid w:val="009E23C1"/>
    <w:rsid w:val="009E23D0"/>
    <w:rsid w:val="009E28C4"/>
    <w:rsid w:val="009E3964"/>
    <w:rsid w:val="009E47BC"/>
    <w:rsid w:val="009E5576"/>
    <w:rsid w:val="009E58AF"/>
    <w:rsid w:val="009E5B65"/>
    <w:rsid w:val="009E5B6B"/>
    <w:rsid w:val="009E5F0B"/>
    <w:rsid w:val="009E674B"/>
    <w:rsid w:val="009E77DA"/>
    <w:rsid w:val="009E78BA"/>
    <w:rsid w:val="009E7D84"/>
    <w:rsid w:val="009F0593"/>
    <w:rsid w:val="009F0A5A"/>
    <w:rsid w:val="009F0E9D"/>
    <w:rsid w:val="009F13A9"/>
    <w:rsid w:val="009F16B7"/>
    <w:rsid w:val="009F2430"/>
    <w:rsid w:val="009F2537"/>
    <w:rsid w:val="009F3024"/>
    <w:rsid w:val="009F3063"/>
    <w:rsid w:val="009F3334"/>
    <w:rsid w:val="009F3587"/>
    <w:rsid w:val="009F3724"/>
    <w:rsid w:val="009F3780"/>
    <w:rsid w:val="009F4153"/>
    <w:rsid w:val="009F484E"/>
    <w:rsid w:val="009F492C"/>
    <w:rsid w:val="009F4F69"/>
    <w:rsid w:val="009F566F"/>
    <w:rsid w:val="009F5E56"/>
    <w:rsid w:val="009F6054"/>
    <w:rsid w:val="009F61FD"/>
    <w:rsid w:val="009F69D7"/>
    <w:rsid w:val="009F6AE6"/>
    <w:rsid w:val="009F6BE3"/>
    <w:rsid w:val="009F6E87"/>
    <w:rsid w:val="009F6FAD"/>
    <w:rsid w:val="009F745F"/>
    <w:rsid w:val="009F7599"/>
    <w:rsid w:val="009F76F0"/>
    <w:rsid w:val="00A003EC"/>
    <w:rsid w:val="00A00D3F"/>
    <w:rsid w:val="00A00D4B"/>
    <w:rsid w:val="00A00E04"/>
    <w:rsid w:val="00A00EBC"/>
    <w:rsid w:val="00A0102F"/>
    <w:rsid w:val="00A016E9"/>
    <w:rsid w:val="00A017CA"/>
    <w:rsid w:val="00A0186B"/>
    <w:rsid w:val="00A01A1B"/>
    <w:rsid w:val="00A01B8C"/>
    <w:rsid w:val="00A0204D"/>
    <w:rsid w:val="00A02D62"/>
    <w:rsid w:val="00A0358F"/>
    <w:rsid w:val="00A03859"/>
    <w:rsid w:val="00A03E27"/>
    <w:rsid w:val="00A0458E"/>
    <w:rsid w:val="00A04A1C"/>
    <w:rsid w:val="00A04C75"/>
    <w:rsid w:val="00A0563E"/>
    <w:rsid w:val="00A05AA2"/>
    <w:rsid w:val="00A05AAB"/>
    <w:rsid w:val="00A0716A"/>
    <w:rsid w:val="00A07288"/>
    <w:rsid w:val="00A072E0"/>
    <w:rsid w:val="00A07392"/>
    <w:rsid w:val="00A0745B"/>
    <w:rsid w:val="00A07491"/>
    <w:rsid w:val="00A1000E"/>
    <w:rsid w:val="00A1164E"/>
    <w:rsid w:val="00A1178E"/>
    <w:rsid w:val="00A11E2A"/>
    <w:rsid w:val="00A12002"/>
    <w:rsid w:val="00A12033"/>
    <w:rsid w:val="00A1212A"/>
    <w:rsid w:val="00A1255F"/>
    <w:rsid w:val="00A12587"/>
    <w:rsid w:val="00A1287C"/>
    <w:rsid w:val="00A12CDC"/>
    <w:rsid w:val="00A12FC7"/>
    <w:rsid w:val="00A130C3"/>
    <w:rsid w:val="00A1357F"/>
    <w:rsid w:val="00A13C63"/>
    <w:rsid w:val="00A1454C"/>
    <w:rsid w:val="00A149F8"/>
    <w:rsid w:val="00A14CB6"/>
    <w:rsid w:val="00A156A7"/>
    <w:rsid w:val="00A15D7B"/>
    <w:rsid w:val="00A15F3D"/>
    <w:rsid w:val="00A16B37"/>
    <w:rsid w:val="00A16CCB"/>
    <w:rsid w:val="00A16E5C"/>
    <w:rsid w:val="00A202A0"/>
    <w:rsid w:val="00A209A0"/>
    <w:rsid w:val="00A20A20"/>
    <w:rsid w:val="00A20A8D"/>
    <w:rsid w:val="00A20B35"/>
    <w:rsid w:val="00A20D45"/>
    <w:rsid w:val="00A21487"/>
    <w:rsid w:val="00A21D9F"/>
    <w:rsid w:val="00A21FF7"/>
    <w:rsid w:val="00A22292"/>
    <w:rsid w:val="00A22341"/>
    <w:rsid w:val="00A227F5"/>
    <w:rsid w:val="00A22F64"/>
    <w:rsid w:val="00A23267"/>
    <w:rsid w:val="00A23298"/>
    <w:rsid w:val="00A233FC"/>
    <w:rsid w:val="00A2396A"/>
    <w:rsid w:val="00A23CC9"/>
    <w:rsid w:val="00A23E4A"/>
    <w:rsid w:val="00A24257"/>
    <w:rsid w:val="00A24837"/>
    <w:rsid w:val="00A252D5"/>
    <w:rsid w:val="00A25BD9"/>
    <w:rsid w:val="00A268C4"/>
    <w:rsid w:val="00A277F9"/>
    <w:rsid w:val="00A27BC9"/>
    <w:rsid w:val="00A30917"/>
    <w:rsid w:val="00A30B0B"/>
    <w:rsid w:val="00A3141D"/>
    <w:rsid w:val="00A31B18"/>
    <w:rsid w:val="00A31B7D"/>
    <w:rsid w:val="00A32016"/>
    <w:rsid w:val="00A32019"/>
    <w:rsid w:val="00A32D56"/>
    <w:rsid w:val="00A32F4A"/>
    <w:rsid w:val="00A3323C"/>
    <w:rsid w:val="00A33341"/>
    <w:rsid w:val="00A33A63"/>
    <w:rsid w:val="00A33B83"/>
    <w:rsid w:val="00A33F14"/>
    <w:rsid w:val="00A342CB"/>
    <w:rsid w:val="00A34F26"/>
    <w:rsid w:val="00A350AA"/>
    <w:rsid w:val="00A3567B"/>
    <w:rsid w:val="00A35DAB"/>
    <w:rsid w:val="00A3617D"/>
    <w:rsid w:val="00A363B6"/>
    <w:rsid w:val="00A3656B"/>
    <w:rsid w:val="00A3747A"/>
    <w:rsid w:val="00A377F7"/>
    <w:rsid w:val="00A37BA3"/>
    <w:rsid w:val="00A4139C"/>
    <w:rsid w:val="00A41AE1"/>
    <w:rsid w:val="00A41CA3"/>
    <w:rsid w:val="00A41DE2"/>
    <w:rsid w:val="00A41E9A"/>
    <w:rsid w:val="00A41FFC"/>
    <w:rsid w:val="00A43051"/>
    <w:rsid w:val="00A43AA7"/>
    <w:rsid w:val="00A43B6C"/>
    <w:rsid w:val="00A43CC5"/>
    <w:rsid w:val="00A44461"/>
    <w:rsid w:val="00A445F5"/>
    <w:rsid w:val="00A44E25"/>
    <w:rsid w:val="00A44E44"/>
    <w:rsid w:val="00A4511C"/>
    <w:rsid w:val="00A45129"/>
    <w:rsid w:val="00A45546"/>
    <w:rsid w:val="00A45798"/>
    <w:rsid w:val="00A45B62"/>
    <w:rsid w:val="00A45C70"/>
    <w:rsid w:val="00A45FCB"/>
    <w:rsid w:val="00A46329"/>
    <w:rsid w:val="00A4672E"/>
    <w:rsid w:val="00A46E76"/>
    <w:rsid w:val="00A46E84"/>
    <w:rsid w:val="00A473E1"/>
    <w:rsid w:val="00A478F4"/>
    <w:rsid w:val="00A47940"/>
    <w:rsid w:val="00A47C7D"/>
    <w:rsid w:val="00A50133"/>
    <w:rsid w:val="00A508BE"/>
    <w:rsid w:val="00A50A72"/>
    <w:rsid w:val="00A51E5E"/>
    <w:rsid w:val="00A523CE"/>
    <w:rsid w:val="00A524B3"/>
    <w:rsid w:val="00A52557"/>
    <w:rsid w:val="00A52A58"/>
    <w:rsid w:val="00A5349E"/>
    <w:rsid w:val="00A534E4"/>
    <w:rsid w:val="00A5353B"/>
    <w:rsid w:val="00A53A84"/>
    <w:rsid w:val="00A53E76"/>
    <w:rsid w:val="00A54D9A"/>
    <w:rsid w:val="00A553A5"/>
    <w:rsid w:val="00A55AE2"/>
    <w:rsid w:val="00A56980"/>
    <w:rsid w:val="00A56EFF"/>
    <w:rsid w:val="00A57797"/>
    <w:rsid w:val="00A61023"/>
    <w:rsid w:val="00A61485"/>
    <w:rsid w:val="00A6166D"/>
    <w:rsid w:val="00A61ED0"/>
    <w:rsid w:val="00A624EC"/>
    <w:rsid w:val="00A62BB4"/>
    <w:rsid w:val="00A62D5E"/>
    <w:rsid w:val="00A62E58"/>
    <w:rsid w:val="00A63467"/>
    <w:rsid w:val="00A636DF"/>
    <w:rsid w:val="00A6377C"/>
    <w:rsid w:val="00A63B0C"/>
    <w:rsid w:val="00A64501"/>
    <w:rsid w:val="00A65F44"/>
    <w:rsid w:val="00A6683B"/>
    <w:rsid w:val="00A6693E"/>
    <w:rsid w:val="00A66A25"/>
    <w:rsid w:val="00A66A53"/>
    <w:rsid w:val="00A67582"/>
    <w:rsid w:val="00A67875"/>
    <w:rsid w:val="00A67E1E"/>
    <w:rsid w:val="00A703FF"/>
    <w:rsid w:val="00A70580"/>
    <w:rsid w:val="00A70F52"/>
    <w:rsid w:val="00A712EF"/>
    <w:rsid w:val="00A71E71"/>
    <w:rsid w:val="00A722A1"/>
    <w:rsid w:val="00A72A59"/>
    <w:rsid w:val="00A72B23"/>
    <w:rsid w:val="00A72BD0"/>
    <w:rsid w:val="00A7397C"/>
    <w:rsid w:val="00A748C5"/>
    <w:rsid w:val="00A74E37"/>
    <w:rsid w:val="00A75510"/>
    <w:rsid w:val="00A756C9"/>
    <w:rsid w:val="00A75A0B"/>
    <w:rsid w:val="00A75D53"/>
    <w:rsid w:val="00A76AC2"/>
    <w:rsid w:val="00A76E8B"/>
    <w:rsid w:val="00A76F58"/>
    <w:rsid w:val="00A7723E"/>
    <w:rsid w:val="00A77430"/>
    <w:rsid w:val="00A7743D"/>
    <w:rsid w:val="00A77843"/>
    <w:rsid w:val="00A80064"/>
    <w:rsid w:val="00A8021F"/>
    <w:rsid w:val="00A80220"/>
    <w:rsid w:val="00A804A9"/>
    <w:rsid w:val="00A81146"/>
    <w:rsid w:val="00A81A13"/>
    <w:rsid w:val="00A81D1A"/>
    <w:rsid w:val="00A81E3B"/>
    <w:rsid w:val="00A830B9"/>
    <w:rsid w:val="00A84618"/>
    <w:rsid w:val="00A8482C"/>
    <w:rsid w:val="00A84B11"/>
    <w:rsid w:val="00A85899"/>
    <w:rsid w:val="00A85A7E"/>
    <w:rsid w:val="00A85E49"/>
    <w:rsid w:val="00A861C1"/>
    <w:rsid w:val="00A867DC"/>
    <w:rsid w:val="00A87079"/>
    <w:rsid w:val="00A87354"/>
    <w:rsid w:val="00A8761C"/>
    <w:rsid w:val="00A879B9"/>
    <w:rsid w:val="00A87B2D"/>
    <w:rsid w:val="00A909A3"/>
    <w:rsid w:val="00A90D40"/>
    <w:rsid w:val="00A90F8E"/>
    <w:rsid w:val="00A910B4"/>
    <w:rsid w:val="00A91852"/>
    <w:rsid w:val="00A91F13"/>
    <w:rsid w:val="00A934B8"/>
    <w:rsid w:val="00A9377D"/>
    <w:rsid w:val="00A937A9"/>
    <w:rsid w:val="00A93D2D"/>
    <w:rsid w:val="00A93F2A"/>
    <w:rsid w:val="00A944DD"/>
    <w:rsid w:val="00A94918"/>
    <w:rsid w:val="00A94EB9"/>
    <w:rsid w:val="00A951CE"/>
    <w:rsid w:val="00A959AD"/>
    <w:rsid w:val="00A961F5"/>
    <w:rsid w:val="00A964EE"/>
    <w:rsid w:val="00A96559"/>
    <w:rsid w:val="00AA01CE"/>
    <w:rsid w:val="00AA0237"/>
    <w:rsid w:val="00AA027B"/>
    <w:rsid w:val="00AA029C"/>
    <w:rsid w:val="00AA0447"/>
    <w:rsid w:val="00AA0C4E"/>
    <w:rsid w:val="00AA0D1D"/>
    <w:rsid w:val="00AA1918"/>
    <w:rsid w:val="00AA1ED6"/>
    <w:rsid w:val="00AA2288"/>
    <w:rsid w:val="00AA270E"/>
    <w:rsid w:val="00AA29C5"/>
    <w:rsid w:val="00AA2AD2"/>
    <w:rsid w:val="00AA2AF3"/>
    <w:rsid w:val="00AA2CCC"/>
    <w:rsid w:val="00AA2FF5"/>
    <w:rsid w:val="00AA4D15"/>
    <w:rsid w:val="00AA5572"/>
    <w:rsid w:val="00AA69E3"/>
    <w:rsid w:val="00AA70C6"/>
    <w:rsid w:val="00AA7A18"/>
    <w:rsid w:val="00AB0054"/>
    <w:rsid w:val="00AB10E5"/>
    <w:rsid w:val="00AB14E9"/>
    <w:rsid w:val="00AB16BB"/>
    <w:rsid w:val="00AB1CA1"/>
    <w:rsid w:val="00AB2250"/>
    <w:rsid w:val="00AB263C"/>
    <w:rsid w:val="00AB2959"/>
    <w:rsid w:val="00AB2E95"/>
    <w:rsid w:val="00AB385E"/>
    <w:rsid w:val="00AB39C7"/>
    <w:rsid w:val="00AB3C30"/>
    <w:rsid w:val="00AB3C88"/>
    <w:rsid w:val="00AB3F0B"/>
    <w:rsid w:val="00AB4904"/>
    <w:rsid w:val="00AB4AB4"/>
    <w:rsid w:val="00AB4C0C"/>
    <w:rsid w:val="00AB4CA9"/>
    <w:rsid w:val="00AB55B0"/>
    <w:rsid w:val="00AB594A"/>
    <w:rsid w:val="00AB5A70"/>
    <w:rsid w:val="00AB6379"/>
    <w:rsid w:val="00AB65CE"/>
    <w:rsid w:val="00AB6607"/>
    <w:rsid w:val="00AB7058"/>
    <w:rsid w:val="00AB717E"/>
    <w:rsid w:val="00AB71F1"/>
    <w:rsid w:val="00AB720B"/>
    <w:rsid w:val="00AB75A6"/>
    <w:rsid w:val="00AB78FE"/>
    <w:rsid w:val="00AB79D2"/>
    <w:rsid w:val="00AC00CA"/>
    <w:rsid w:val="00AC0709"/>
    <w:rsid w:val="00AC17CD"/>
    <w:rsid w:val="00AC1C22"/>
    <w:rsid w:val="00AC1ED9"/>
    <w:rsid w:val="00AC23BC"/>
    <w:rsid w:val="00AC2612"/>
    <w:rsid w:val="00AC26F3"/>
    <w:rsid w:val="00AC32AA"/>
    <w:rsid w:val="00AC3469"/>
    <w:rsid w:val="00AC387B"/>
    <w:rsid w:val="00AC3A6A"/>
    <w:rsid w:val="00AC3F4B"/>
    <w:rsid w:val="00AC4937"/>
    <w:rsid w:val="00AC4F1A"/>
    <w:rsid w:val="00AC5949"/>
    <w:rsid w:val="00AC5D8B"/>
    <w:rsid w:val="00AC7BC6"/>
    <w:rsid w:val="00AC7F24"/>
    <w:rsid w:val="00AD0183"/>
    <w:rsid w:val="00AD01BD"/>
    <w:rsid w:val="00AD0E6D"/>
    <w:rsid w:val="00AD0F41"/>
    <w:rsid w:val="00AD1025"/>
    <w:rsid w:val="00AD15F9"/>
    <w:rsid w:val="00AD175A"/>
    <w:rsid w:val="00AD180C"/>
    <w:rsid w:val="00AD193B"/>
    <w:rsid w:val="00AD1ABC"/>
    <w:rsid w:val="00AD21B5"/>
    <w:rsid w:val="00AD2C97"/>
    <w:rsid w:val="00AD44D9"/>
    <w:rsid w:val="00AD4B61"/>
    <w:rsid w:val="00AD50B6"/>
    <w:rsid w:val="00AD5A19"/>
    <w:rsid w:val="00AD5E68"/>
    <w:rsid w:val="00AD61A7"/>
    <w:rsid w:val="00AD620D"/>
    <w:rsid w:val="00AD6CA4"/>
    <w:rsid w:val="00AD7044"/>
    <w:rsid w:val="00AD7E2F"/>
    <w:rsid w:val="00AE00A2"/>
    <w:rsid w:val="00AE1143"/>
    <w:rsid w:val="00AE1E96"/>
    <w:rsid w:val="00AE2316"/>
    <w:rsid w:val="00AE270C"/>
    <w:rsid w:val="00AE2A0E"/>
    <w:rsid w:val="00AE2AA6"/>
    <w:rsid w:val="00AE2F02"/>
    <w:rsid w:val="00AE333D"/>
    <w:rsid w:val="00AE37AD"/>
    <w:rsid w:val="00AE3CB0"/>
    <w:rsid w:val="00AE487D"/>
    <w:rsid w:val="00AE4DE5"/>
    <w:rsid w:val="00AE50B3"/>
    <w:rsid w:val="00AE50C7"/>
    <w:rsid w:val="00AE513D"/>
    <w:rsid w:val="00AE585A"/>
    <w:rsid w:val="00AE5C75"/>
    <w:rsid w:val="00AE5F45"/>
    <w:rsid w:val="00AE5F97"/>
    <w:rsid w:val="00AE62BA"/>
    <w:rsid w:val="00AE64DC"/>
    <w:rsid w:val="00AE6E95"/>
    <w:rsid w:val="00AE78D7"/>
    <w:rsid w:val="00AE7A73"/>
    <w:rsid w:val="00AE7F93"/>
    <w:rsid w:val="00AF0A82"/>
    <w:rsid w:val="00AF0B48"/>
    <w:rsid w:val="00AF0E59"/>
    <w:rsid w:val="00AF10FA"/>
    <w:rsid w:val="00AF214E"/>
    <w:rsid w:val="00AF231C"/>
    <w:rsid w:val="00AF25C7"/>
    <w:rsid w:val="00AF3578"/>
    <w:rsid w:val="00AF3628"/>
    <w:rsid w:val="00AF39C2"/>
    <w:rsid w:val="00AF4A49"/>
    <w:rsid w:val="00AF4AF6"/>
    <w:rsid w:val="00AF5F90"/>
    <w:rsid w:val="00AF60BD"/>
    <w:rsid w:val="00AF66F6"/>
    <w:rsid w:val="00AF7765"/>
    <w:rsid w:val="00AF788F"/>
    <w:rsid w:val="00AF794A"/>
    <w:rsid w:val="00AF7BC3"/>
    <w:rsid w:val="00B0005A"/>
    <w:rsid w:val="00B00224"/>
    <w:rsid w:val="00B00785"/>
    <w:rsid w:val="00B01052"/>
    <w:rsid w:val="00B0119B"/>
    <w:rsid w:val="00B01A99"/>
    <w:rsid w:val="00B0297C"/>
    <w:rsid w:val="00B02C31"/>
    <w:rsid w:val="00B02C6E"/>
    <w:rsid w:val="00B03A0E"/>
    <w:rsid w:val="00B03C5C"/>
    <w:rsid w:val="00B04345"/>
    <w:rsid w:val="00B04691"/>
    <w:rsid w:val="00B04698"/>
    <w:rsid w:val="00B04BE7"/>
    <w:rsid w:val="00B057D0"/>
    <w:rsid w:val="00B05C17"/>
    <w:rsid w:val="00B05D95"/>
    <w:rsid w:val="00B065BA"/>
    <w:rsid w:val="00B067D9"/>
    <w:rsid w:val="00B06875"/>
    <w:rsid w:val="00B069B3"/>
    <w:rsid w:val="00B069BA"/>
    <w:rsid w:val="00B07298"/>
    <w:rsid w:val="00B073A7"/>
    <w:rsid w:val="00B076B1"/>
    <w:rsid w:val="00B07F21"/>
    <w:rsid w:val="00B100C0"/>
    <w:rsid w:val="00B10382"/>
    <w:rsid w:val="00B104BE"/>
    <w:rsid w:val="00B10661"/>
    <w:rsid w:val="00B11D01"/>
    <w:rsid w:val="00B120A4"/>
    <w:rsid w:val="00B12725"/>
    <w:rsid w:val="00B12F3C"/>
    <w:rsid w:val="00B12FFE"/>
    <w:rsid w:val="00B13BDB"/>
    <w:rsid w:val="00B14B1E"/>
    <w:rsid w:val="00B14C89"/>
    <w:rsid w:val="00B14DBA"/>
    <w:rsid w:val="00B155E7"/>
    <w:rsid w:val="00B15668"/>
    <w:rsid w:val="00B15806"/>
    <w:rsid w:val="00B15C11"/>
    <w:rsid w:val="00B161EA"/>
    <w:rsid w:val="00B165A0"/>
    <w:rsid w:val="00B16FEE"/>
    <w:rsid w:val="00B1715C"/>
    <w:rsid w:val="00B17B8C"/>
    <w:rsid w:val="00B17FBA"/>
    <w:rsid w:val="00B205ED"/>
    <w:rsid w:val="00B20D3B"/>
    <w:rsid w:val="00B20DC7"/>
    <w:rsid w:val="00B21AC6"/>
    <w:rsid w:val="00B22453"/>
    <w:rsid w:val="00B2250A"/>
    <w:rsid w:val="00B22683"/>
    <w:rsid w:val="00B228FD"/>
    <w:rsid w:val="00B23037"/>
    <w:rsid w:val="00B23A97"/>
    <w:rsid w:val="00B2434E"/>
    <w:rsid w:val="00B2469F"/>
    <w:rsid w:val="00B24A26"/>
    <w:rsid w:val="00B250FC"/>
    <w:rsid w:val="00B25759"/>
    <w:rsid w:val="00B25C4B"/>
    <w:rsid w:val="00B25D29"/>
    <w:rsid w:val="00B25EE5"/>
    <w:rsid w:val="00B25FE4"/>
    <w:rsid w:val="00B262CF"/>
    <w:rsid w:val="00B263A7"/>
    <w:rsid w:val="00B26CD9"/>
    <w:rsid w:val="00B26CF5"/>
    <w:rsid w:val="00B271B3"/>
    <w:rsid w:val="00B27D1E"/>
    <w:rsid w:val="00B30A7E"/>
    <w:rsid w:val="00B30CC9"/>
    <w:rsid w:val="00B3111A"/>
    <w:rsid w:val="00B3141B"/>
    <w:rsid w:val="00B31F53"/>
    <w:rsid w:val="00B326DF"/>
    <w:rsid w:val="00B33629"/>
    <w:rsid w:val="00B336AA"/>
    <w:rsid w:val="00B33BDE"/>
    <w:rsid w:val="00B3498E"/>
    <w:rsid w:val="00B3516A"/>
    <w:rsid w:val="00B35352"/>
    <w:rsid w:val="00B3572C"/>
    <w:rsid w:val="00B359C8"/>
    <w:rsid w:val="00B35AEE"/>
    <w:rsid w:val="00B35BC6"/>
    <w:rsid w:val="00B35F20"/>
    <w:rsid w:val="00B35F67"/>
    <w:rsid w:val="00B35FE2"/>
    <w:rsid w:val="00B360B6"/>
    <w:rsid w:val="00B365BF"/>
    <w:rsid w:val="00B36775"/>
    <w:rsid w:val="00B3691E"/>
    <w:rsid w:val="00B40C72"/>
    <w:rsid w:val="00B40F74"/>
    <w:rsid w:val="00B40F83"/>
    <w:rsid w:val="00B41019"/>
    <w:rsid w:val="00B412F5"/>
    <w:rsid w:val="00B41531"/>
    <w:rsid w:val="00B4177C"/>
    <w:rsid w:val="00B418FA"/>
    <w:rsid w:val="00B41BE4"/>
    <w:rsid w:val="00B41C8A"/>
    <w:rsid w:val="00B4213D"/>
    <w:rsid w:val="00B42267"/>
    <w:rsid w:val="00B42545"/>
    <w:rsid w:val="00B42B9A"/>
    <w:rsid w:val="00B42C8C"/>
    <w:rsid w:val="00B440B1"/>
    <w:rsid w:val="00B45379"/>
    <w:rsid w:val="00B4544C"/>
    <w:rsid w:val="00B45C29"/>
    <w:rsid w:val="00B467BC"/>
    <w:rsid w:val="00B474BC"/>
    <w:rsid w:val="00B4766E"/>
    <w:rsid w:val="00B477CF"/>
    <w:rsid w:val="00B4791B"/>
    <w:rsid w:val="00B47B18"/>
    <w:rsid w:val="00B50B77"/>
    <w:rsid w:val="00B50FE8"/>
    <w:rsid w:val="00B511E2"/>
    <w:rsid w:val="00B51500"/>
    <w:rsid w:val="00B5174B"/>
    <w:rsid w:val="00B519B3"/>
    <w:rsid w:val="00B51A35"/>
    <w:rsid w:val="00B51CAA"/>
    <w:rsid w:val="00B51CDF"/>
    <w:rsid w:val="00B5215B"/>
    <w:rsid w:val="00B5219F"/>
    <w:rsid w:val="00B524BD"/>
    <w:rsid w:val="00B52587"/>
    <w:rsid w:val="00B525B6"/>
    <w:rsid w:val="00B525DA"/>
    <w:rsid w:val="00B52E54"/>
    <w:rsid w:val="00B534E9"/>
    <w:rsid w:val="00B535D6"/>
    <w:rsid w:val="00B53AF6"/>
    <w:rsid w:val="00B53BDA"/>
    <w:rsid w:val="00B53DA7"/>
    <w:rsid w:val="00B54314"/>
    <w:rsid w:val="00B54730"/>
    <w:rsid w:val="00B5474F"/>
    <w:rsid w:val="00B54783"/>
    <w:rsid w:val="00B54B6C"/>
    <w:rsid w:val="00B54D3F"/>
    <w:rsid w:val="00B552AE"/>
    <w:rsid w:val="00B5567A"/>
    <w:rsid w:val="00B556AF"/>
    <w:rsid w:val="00B5604D"/>
    <w:rsid w:val="00B56562"/>
    <w:rsid w:val="00B569A6"/>
    <w:rsid w:val="00B574A3"/>
    <w:rsid w:val="00B575FD"/>
    <w:rsid w:val="00B57D5B"/>
    <w:rsid w:val="00B57E22"/>
    <w:rsid w:val="00B57FCB"/>
    <w:rsid w:val="00B60030"/>
    <w:rsid w:val="00B60195"/>
    <w:rsid w:val="00B6026C"/>
    <w:rsid w:val="00B603CD"/>
    <w:rsid w:val="00B603F7"/>
    <w:rsid w:val="00B60887"/>
    <w:rsid w:val="00B611B4"/>
    <w:rsid w:val="00B61586"/>
    <w:rsid w:val="00B615A4"/>
    <w:rsid w:val="00B615EF"/>
    <w:rsid w:val="00B61A9C"/>
    <w:rsid w:val="00B61F2B"/>
    <w:rsid w:val="00B622CD"/>
    <w:rsid w:val="00B62537"/>
    <w:rsid w:val="00B62F87"/>
    <w:rsid w:val="00B63BF4"/>
    <w:rsid w:val="00B63DE3"/>
    <w:rsid w:val="00B64338"/>
    <w:rsid w:val="00B64BB5"/>
    <w:rsid w:val="00B64D68"/>
    <w:rsid w:val="00B65510"/>
    <w:rsid w:val="00B6553B"/>
    <w:rsid w:val="00B65B24"/>
    <w:rsid w:val="00B66272"/>
    <w:rsid w:val="00B66359"/>
    <w:rsid w:val="00B66D70"/>
    <w:rsid w:val="00B67F78"/>
    <w:rsid w:val="00B70138"/>
    <w:rsid w:val="00B70401"/>
    <w:rsid w:val="00B70497"/>
    <w:rsid w:val="00B70E09"/>
    <w:rsid w:val="00B70EB5"/>
    <w:rsid w:val="00B70EBF"/>
    <w:rsid w:val="00B7131C"/>
    <w:rsid w:val="00B714F8"/>
    <w:rsid w:val="00B721B0"/>
    <w:rsid w:val="00B725BD"/>
    <w:rsid w:val="00B7270B"/>
    <w:rsid w:val="00B72C0E"/>
    <w:rsid w:val="00B72C2C"/>
    <w:rsid w:val="00B7309B"/>
    <w:rsid w:val="00B73152"/>
    <w:rsid w:val="00B73CD7"/>
    <w:rsid w:val="00B743A1"/>
    <w:rsid w:val="00B74944"/>
    <w:rsid w:val="00B74CED"/>
    <w:rsid w:val="00B75685"/>
    <w:rsid w:val="00B76376"/>
    <w:rsid w:val="00B76448"/>
    <w:rsid w:val="00B76A59"/>
    <w:rsid w:val="00B76D69"/>
    <w:rsid w:val="00B77374"/>
    <w:rsid w:val="00B77F3C"/>
    <w:rsid w:val="00B80147"/>
    <w:rsid w:val="00B803BF"/>
    <w:rsid w:val="00B803FD"/>
    <w:rsid w:val="00B804F6"/>
    <w:rsid w:val="00B80811"/>
    <w:rsid w:val="00B80B46"/>
    <w:rsid w:val="00B80BAC"/>
    <w:rsid w:val="00B80CA2"/>
    <w:rsid w:val="00B810EF"/>
    <w:rsid w:val="00B81262"/>
    <w:rsid w:val="00B81EAE"/>
    <w:rsid w:val="00B82BDE"/>
    <w:rsid w:val="00B83A0F"/>
    <w:rsid w:val="00B83D30"/>
    <w:rsid w:val="00B84217"/>
    <w:rsid w:val="00B842E5"/>
    <w:rsid w:val="00B84691"/>
    <w:rsid w:val="00B84732"/>
    <w:rsid w:val="00B849CA"/>
    <w:rsid w:val="00B84A90"/>
    <w:rsid w:val="00B84D56"/>
    <w:rsid w:val="00B84EAB"/>
    <w:rsid w:val="00B858D1"/>
    <w:rsid w:val="00B85922"/>
    <w:rsid w:val="00B86AF1"/>
    <w:rsid w:val="00B86B4E"/>
    <w:rsid w:val="00B86B50"/>
    <w:rsid w:val="00B8728E"/>
    <w:rsid w:val="00B87548"/>
    <w:rsid w:val="00B87A57"/>
    <w:rsid w:val="00B87CDF"/>
    <w:rsid w:val="00B9041A"/>
    <w:rsid w:val="00B9049C"/>
    <w:rsid w:val="00B90524"/>
    <w:rsid w:val="00B90564"/>
    <w:rsid w:val="00B90839"/>
    <w:rsid w:val="00B90E4D"/>
    <w:rsid w:val="00B91485"/>
    <w:rsid w:val="00B91569"/>
    <w:rsid w:val="00B915EC"/>
    <w:rsid w:val="00B92041"/>
    <w:rsid w:val="00B924BA"/>
    <w:rsid w:val="00B9253D"/>
    <w:rsid w:val="00B92BCF"/>
    <w:rsid w:val="00B92E16"/>
    <w:rsid w:val="00B93519"/>
    <w:rsid w:val="00B937CD"/>
    <w:rsid w:val="00B93AE4"/>
    <w:rsid w:val="00B93BED"/>
    <w:rsid w:val="00B9419A"/>
    <w:rsid w:val="00B9458D"/>
    <w:rsid w:val="00B9468A"/>
    <w:rsid w:val="00B94BBB"/>
    <w:rsid w:val="00B94F61"/>
    <w:rsid w:val="00B953E9"/>
    <w:rsid w:val="00B9599A"/>
    <w:rsid w:val="00B95C24"/>
    <w:rsid w:val="00B95F34"/>
    <w:rsid w:val="00B965E1"/>
    <w:rsid w:val="00B9672F"/>
    <w:rsid w:val="00BA08CB"/>
    <w:rsid w:val="00BA0B5F"/>
    <w:rsid w:val="00BA1446"/>
    <w:rsid w:val="00BA15C8"/>
    <w:rsid w:val="00BA20AC"/>
    <w:rsid w:val="00BA229C"/>
    <w:rsid w:val="00BA2641"/>
    <w:rsid w:val="00BA2AC6"/>
    <w:rsid w:val="00BA2AD6"/>
    <w:rsid w:val="00BA2DA8"/>
    <w:rsid w:val="00BA3E6F"/>
    <w:rsid w:val="00BA42E5"/>
    <w:rsid w:val="00BA4EE2"/>
    <w:rsid w:val="00BA4F56"/>
    <w:rsid w:val="00BA4F64"/>
    <w:rsid w:val="00BA5038"/>
    <w:rsid w:val="00BA50F2"/>
    <w:rsid w:val="00BA5BB5"/>
    <w:rsid w:val="00BA69B1"/>
    <w:rsid w:val="00BA6B2C"/>
    <w:rsid w:val="00BA7492"/>
    <w:rsid w:val="00BA78AC"/>
    <w:rsid w:val="00BB0360"/>
    <w:rsid w:val="00BB05A5"/>
    <w:rsid w:val="00BB11A1"/>
    <w:rsid w:val="00BB22BE"/>
    <w:rsid w:val="00BB2364"/>
    <w:rsid w:val="00BB2687"/>
    <w:rsid w:val="00BB26E2"/>
    <w:rsid w:val="00BB27C6"/>
    <w:rsid w:val="00BB2A65"/>
    <w:rsid w:val="00BB34AE"/>
    <w:rsid w:val="00BB3CF6"/>
    <w:rsid w:val="00BB3EAE"/>
    <w:rsid w:val="00BB42BF"/>
    <w:rsid w:val="00BB4338"/>
    <w:rsid w:val="00BB4ACA"/>
    <w:rsid w:val="00BB4D14"/>
    <w:rsid w:val="00BB4F0A"/>
    <w:rsid w:val="00BB547F"/>
    <w:rsid w:val="00BB56B5"/>
    <w:rsid w:val="00BB644E"/>
    <w:rsid w:val="00BB6708"/>
    <w:rsid w:val="00BB6F31"/>
    <w:rsid w:val="00BB761E"/>
    <w:rsid w:val="00BB7AA6"/>
    <w:rsid w:val="00BB7C1A"/>
    <w:rsid w:val="00BB7C70"/>
    <w:rsid w:val="00BB7EF9"/>
    <w:rsid w:val="00BC10C3"/>
    <w:rsid w:val="00BC14F4"/>
    <w:rsid w:val="00BC1598"/>
    <w:rsid w:val="00BC15DB"/>
    <w:rsid w:val="00BC164C"/>
    <w:rsid w:val="00BC18B1"/>
    <w:rsid w:val="00BC1B7F"/>
    <w:rsid w:val="00BC1E64"/>
    <w:rsid w:val="00BC2037"/>
    <w:rsid w:val="00BC20B6"/>
    <w:rsid w:val="00BC24E0"/>
    <w:rsid w:val="00BC24E5"/>
    <w:rsid w:val="00BC2BF3"/>
    <w:rsid w:val="00BC2CB8"/>
    <w:rsid w:val="00BC3270"/>
    <w:rsid w:val="00BC3CF8"/>
    <w:rsid w:val="00BC5040"/>
    <w:rsid w:val="00BC50DA"/>
    <w:rsid w:val="00BC5930"/>
    <w:rsid w:val="00BC6A7E"/>
    <w:rsid w:val="00BC6EA7"/>
    <w:rsid w:val="00BC7F91"/>
    <w:rsid w:val="00BD069E"/>
    <w:rsid w:val="00BD076A"/>
    <w:rsid w:val="00BD0A51"/>
    <w:rsid w:val="00BD0D1E"/>
    <w:rsid w:val="00BD13F0"/>
    <w:rsid w:val="00BD207B"/>
    <w:rsid w:val="00BD22BA"/>
    <w:rsid w:val="00BD2713"/>
    <w:rsid w:val="00BD2D8E"/>
    <w:rsid w:val="00BD2D94"/>
    <w:rsid w:val="00BD3136"/>
    <w:rsid w:val="00BD3376"/>
    <w:rsid w:val="00BD342D"/>
    <w:rsid w:val="00BD36D0"/>
    <w:rsid w:val="00BD3D90"/>
    <w:rsid w:val="00BD4012"/>
    <w:rsid w:val="00BD45D5"/>
    <w:rsid w:val="00BD45ED"/>
    <w:rsid w:val="00BD4A8A"/>
    <w:rsid w:val="00BD4C48"/>
    <w:rsid w:val="00BD4EA8"/>
    <w:rsid w:val="00BD5AC8"/>
    <w:rsid w:val="00BD5E13"/>
    <w:rsid w:val="00BD76FC"/>
    <w:rsid w:val="00BD7E5B"/>
    <w:rsid w:val="00BE04CD"/>
    <w:rsid w:val="00BE066C"/>
    <w:rsid w:val="00BE0AAA"/>
    <w:rsid w:val="00BE0F43"/>
    <w:rsid w:val="00BE1184"/>
    <w:rsid w:val="00BE154A"/>
    <w:rsid w:val="00BE1555"/>
    <w:rsid w:val="00BE15A9"/>
    <w:rsid w:val="00BE1C3A"/>
    <w:rsid w:val="00BE1CBE"/>
    <w:rsid w:val="00BE244D"/>
    <w:rsid w:val="00BE303A"/>
    <w:rsid w:val="00BE3A45"/>
    <w:rsid w:val="00BE3B37"/>
    <w:rsid w:val="00BE3EC8"/>
    <w:rsid w:val="00BE3F28"/>
    <w:rsid w:val="00BE3F37"/>
    <w:rsid w:val="00BE40CE"/>
    <w:rsid w:val="00BE415F"/>
    <w:rsid w:val="00BE465E"/>
    <w:rsid w:val="00BE5216"/>
    <w:rsid w:val="00BE52A5"/>
    <w:rsid w:val="00BE5306"/>
    <w:rsid w:val="00BE583C"/>
    <w:rsid w:val="00BE5FD8"/>
    <w:rsid w:val="00BE61C6"/>
    <w:rsid w:val="00BE6278"/>
    <w:rsid w:val="00BE6801"/>
    <w:rsid w:val="00BE6D89"/>
    <w:rsid w:val="00BE7383"/>
    <w:rsid w:val="00BE7419"/>
    <w:rsid w:val="00BE7A70"/>
    <w:rsid w:val="00BE7AA1"/>
    <w:rsid w:val="00BF0260"/>
    <w:rsid w:val="00BF02B7"/>
    <w:rsid w:val="00BF03CE"/>
    <w:rsid w:val="00BF0FD0"/>
    <w:rsid w:val="00BF1201"/>
    <w:rsid w:val="00BF128B"/>
    <w:rsid w:val="00BF16A2"/>
    <w:rsid w:val="00BF1DA1"/>
    <w:rsid w:val="00BF1E5E"/>
    <w:rsid w:val="00BF1FD2"/>
    <w:rsid w:val="00BF243B"/>
    <w:rsid w:val="00BF243E"/>
    <w:rsid w:val="00BF2BBA"/>
    <w:rsid w:val="00BF2BD9"/>
    <w:rsid w:val="00BF2CE5"/>
    <w:rsid w:val="00BF2E60"/>
    <w:rsid w:val="00BF3908"/>
    <w:rsid w:val="00BF3BC8"/>
    <w:rsid w:val="00BF4D9A"/>
    <w:rsid w:val="00BF4E07"/>
    <w:rsid w:val="00BF50B9"/>
    <w:rsid w:val="00BF522E"/>
    <w:rsid w:val="00BF655C"/>
    <w:rsid w:val="00BF6AAE"/>
    <w:rsid w:val="00BF6DFE"/>
    <w:rsid w:val="00BF6E00"/>
    <w:rsid w:val="00BF7BFB"/>
    <w:rsid w:val="00BF7DD0"/>
    <w:rsid w:val="00C012F0"/>
    <w:rsid w:val="00C02074"/>
    <w:rsid w:val="00C02EA7"/>
    <w:rsid w:val="00C03170"/>
    <w:rsid w:val="00C039BF"/>
    <w:rsid w:val="00C03D95"/>
    <w:rsid w:val="00C03F04"/>
    <w:rsid w:val="00C04572"/>
    <w:rsid w:val="00C0481B"/>
    <w:rsid w:val="00C04D67"/>
    <w:rsid w:val="00C04EAE"/>
    <w:rsid w:val="00C0557B"/>
    <w:rsid w:val="00C05945"/>
    <w:rsid w:val="00C062D5"/>
    <w:rsid w:val="00C063BB"/>
    <w:rsid w:val="00C074A5"/>
    <w:rsid w:val="00C100F5"/>
    <w:rsid w:val="00C10195"/>
    <w:rsid w:val="00C1062B"/>
    <w:rsid w:val="00C106A6"/>
    <w:rsid w:val="00C10F3D"/>
    <w:rsid w:val="00C112F4"/>
    <w:rsid w:val="00C11568"/>
    <w:rsid w:val="00C11677"/>
    <w:rsid w:val="00C11CDC"/>
    <w:rsid w:val="00C11D8D"/>
    <w:rsid w:val="00C11ED5"/>
    <w:rsid w:val="00C12155"/>
    <w:rsid w:val="00C122BC"/>
    <w:rsid w:val="00C12DCE"/>
    <w:rsid w:val="00C13619"/>
    <w:rsid w:val="00C13AA4"/>
    <w:rsid w:val="00C14502"/>
    <w:rsid w:val="00C146B6"/>
    <w:rsid w:val="00C1578A"/>
    <w:rsid w:val="00C15EFE"/>
    <w:rsid w:val="00C162EC"/>
    <w:rsid w:val="00C16C56"/>
    <w:rsid w:val="00C179D8"/>
    <w:rsid w:val="00C17A86"/>
    <w:rsid w:val="00C17BF7"/>
    <w:rsid w:val="00C20289"/>
    <w:rsid w:val="00C21324"/>
    <w:rsid w:val="00C21357"/>
    <w:rsid w:val="00C2171D"/>
    <w:rsid w:val="00C21EA1"/>
    <w:rsid w:val="00C21EA3"/>
    <w:rsid w:val="00C2204E"/>
    <w:rsid w:val="00C22285"/>
    <w:rsid w:val="00C2284E"/>
    <w:rsid w:val="00C22B73"/>
    <w:rsid w:val="00C22BB6"/>
    <w:rsid w:val="00C22C5F"/>
    <w:rsid w:val="00C2378A"/>
    <w:rsid w:val="00C23F32"/>
    <w:rsid w:val="00C23F46"/>
    <w:rsid w:val="00C240E1"/>
    <w:rsid w:val="00C24FC6"/>
    <w:rsid w:val="00C254CD"/>
    <w:rsid w:val="00C25769"/>
    <w:rsid w:val="00C25B7F"/>
    <w:rsid w:val="00C25DBC"/>
    <w:rsid w:val="00C26FD2"/>
    <w:rsid w:val="00C27207"/>
    <w:rsid w:val="00C27466"/>
    <w:rsid w:val="00C27680"/>
    <w:rsid w:val="00C27ABE"/>
    <w:rsid w:val="00C27CF5"/>
    <w:rsid w:val="00C27DE3"/>
    <w:rsid w:val="00C302C9"/>
    <w:rsid w:val="00C307B3"/>
    <w:rsid w:val="00C30A1A"/>
    <w:rsid w:val="00C30D71"/>
    <w:rsid w:val="00C30FE1"/>
    <w:rsid w:val="00C31B99"/>
    <w:rsid w:val="00C31C02"/>
    <w:rsid w:val="00C32899"/>
    <w:rsid w:val="00C32E9A"/>
    <w:rsid w:val="00C32F8B"/>
    <w:rsid w:val="00C33F29"/>
    <w:rsid w:val="00C34266"/>
    <w:rsid w:val="00C342A6"/>
    <w:rsid w:val="00C343C8"/>
    <w:rsid w:val="00C3455C"/>
    <w:rsid w:val="00C346CE"/>
    <w:rsid w:val="00C34991"/>
    <w:rsid w:val="00C34F82"/>
    <w:rsid w:val="00C352A6"/>
    <w:rsid w:val="00C357BA"/>
    <w:rsid w:val="00C357E7"/>
    <w:rsid w:val="00C359BE"/>
    <w:rsid w:val="00C35E4A"/>
    <w:rsid w:val="00C35ED4"/>
    <w:rsid w:val="00C35FEB"/>
    <w:rsid w:val="00C36A48"/>
    <w:rsid w:val="00C36DD8"/>
    <w:rsid w:val="00C37737"/>
    <w:rsid w:val="00C37BF4"/>
    <w:rsid w:val="00C37FD1"/>
    <w:rsid w:val="00C40520"/>
    <w:rsid w:val="00C40720"/>
    <w:rsid w:val="00C40BD5"/>
    <w:rsid w:val="00C41CB9"/>
    <w:rsid w:val="00C42062"/>
    <w:rsid w:val="00C421A2"/>
    <w:rsid w:val="00C421D9"/>
    <w:rsid w:val="00C4341E"/>
    <w:rsid w:val="00C43509"/>
    <w:rsid w:val="00C438CB"/>
    <w:rsid w:val="00C439B3"/>
    <w:rsid w:val="00C443DC"/>
    <w:rsid w:val="00C44D3A"/>
    <w:rsid w:val="00C45417"/>
    <w:rsid w:val="00C45617"/>
    <w:rsid w:val="00C45822"/>
    <w:rsid w:val="00C45C69"/>
    <w:rsid w:val="00C45E90"/>
    <w:rsid w:val="00C45F77"/>
    <w:rsid w:val="00C46268"/>
    <w:rsid w:val="00C46400"/>
    <w:rsid w:val="00C46653"/>
    <w:rsid w:val="00C47FA7"/>
    <w:rsid w:val="00C50266"/>
    <w:rsid w:val="00C50477"/>
    <w:rsid w:val="00C5052B"/>
    <w:rsid w:val="00C50A0D"/>
    <w:rsid w:val="00C512CA"/>
    <w:rsid w:val="00C51440"/>
    <w:rsid w:val="00C5171B"/>
    <w:rsid w:val="00C51756"/>
    <w:rsid w:val="00C51BA9"/>
    <w:rsid w:val="00C51C76"/>
    <w:rsid w:val="00C521C3"/>
    <w:rsid w:val="00C52256"/>
    <w:rsid w:val="00C528C3"/>
    <w:rsid w:val="00C52992"/>
    <w:rsid w:val="00C52F5B"/>
    <w:rsid w:val="00C5377A"/>
    <w:rsid w:val="00C539C9"/>
    <w:rsid w:val="00C53BFC"/>
    <w:rsid w:val="00C53C4E"/>
    <w:rsid w:val="00C53E2C"/>
    <w:rsid w:val="00C542E8"/>
    <w:rsid w:val="00C54409"/>
    <w:rsid w:val="00C54DED"/>
    <w:rsid w:val="00C5517D"/>
    <w:rsid w:val="00C55947"/>
    <w:rsid w:val="00C5597E"/>
    <w:rsid w:val="00C56AB0"/>
    <w:rsid w:val="00C56BD2"/>
    <w:rsid w:val="00C56F7C"/>
    <w:rsid w:val="00C56FA0"/>
    <w:rsid w:val="00C578BD"/>
    <w:rsid w:val="00C57BE0"/>
    <w:rsid w:val="00C57F9A"/>
    <w:rsid w:val="00C604B6"/>
    <w:rsid w:val="00C6095D"/>
    <w:rsid w:val="00C61518"/>
    <w:rsid w:val="00C6200A"/>
    <w:rsid w:val="00C62343"/>
    <w:rsid w:val="00C62E00"/>
    <w:rsid w:val="00C64082"/>
    <w:rsid w:val="00C64279"/>
    <w:rsid w:val="00C64485"/>
    <w:rsid w:val="00C645C5"/>
    <w:rsid w:val="00C64641"/>
    <w:rsid w:val="00C64968"/>
    <w:rsid w:val="00C65140"/>
    <w:rsid w:val="00C657DF"/>
    <w:rsid w:val="00C65C24"/>
    <w:rsid w:val="00C65CF9"/>
    <w:rsid w:val="00C65DD4"/>
    <w:rsid w:val="00C6626B"/>
    <w:rsid w:val="00C667B7"/>
    <w:rsid w:val="00C66821"/>
    <w:rsid w:val="00C66FB6"/>
    <w:rsid w:val="00C67430"/>
    <w:rsid w:val="00C67BF4"/>
    <w:rsid w:val="00C70CF2"/>
    <w:rsid w:val="00C71089"/>
    <w:rsid w:val="00C71496"/>
    <w:rsid w:val="00C71EA3"/>
    <w:rsid w:val="00C7209F"/>
    <w:rsid w:val="00C729C8"/>
    <w:rsid w:val="00C7329C"/>
    <w:rsid w:val="00C7355A"/>
    <w:rsid w:val="00C73836"/>
    <w:rsid w:val="00C73941"/>
    <w:rsid w:val="00C74261"/>
    <w:rsid w:val="00C74492"/>
    <w:rsid w:val="00C747C7"/>
    <w:rsid w:val="00C74DA3"/>
    <w:rsid w:val="00C75274"/>
    <w:rsid w:val="00C75666"/>
    <w:rsid w:val="00C759FC"/>
    <w:rsid w:val="00C75DE8"/>
    <w:rsid w:val="00C75F9E"/>
    <w:rsid w:val="00C76003"/>
    <w:rsid w:val="00C762C8"/>
    <w:rsid w:val="00C762FE"/>
    <w:rsid w:val="00C770A7"/>
    <w:rsid w:val="00C777F4"/>
    <w:rsid w:val="00C77AD4"/>
    <w:rsid w:val="00C77B73"/>
    <w:rsid w:val="00C77BE0"/>
    <w:rsid w:val="00C77D05"/>
    <w:rsid w:val="00C77DA6"/>
    <w:rsid w:val="00C8061A"/>
    <w:rsid w:val="00C80B30"/>
    <w:rsid w:val="00C80B8D"/>
    <w:rsid w:val="00C81265"/>
    <w:rsid w:val="00C8179F"/>
    <w:rsid w:val="00C828AA"/>
    <w:rsid w:val="00C82940"/>
    <w:rsid w:val="00C82E6B"/>
    <w:rsid w:val="00C8361A"/>
    <w:rsid w:val="00C836C7"/>
    <w:rsid w:val="00C83728"/>
    <w:rsid w:val="00C83B74"/>
    <w:rsid w:val="00C84467"/>
    <w:rsid w:val="00C84CDB"/>
    <w:rsid w:val="00C851BC"/>
    <w:rsid w:val="00C85708"/>
    <w:rsid w:val="00C85AD3"/>
    <w:rsid w:val="00C85B24"/>
    <w:rsid w:val="00C861C4"/>
    <w:rsid w:val="00C87142"/>
    <w:rsid w:val="00C874A7"/>
    <w:rsid w:val="00C874DF"/>
    <w:rsid w:val="00C87645"/>
    <w:rsid w:val="00C8781A"/>
    <w:rsid w:val="00C90168"/>
    <w:rsid w:val="00C9068A"/>
    <w:rsid w:val="00C90A21"/>
    <w:rsid w:val="00C91526"/>
    <w:rsid w:val="00C919C1"/>
    <w:rsid w:val="00C91E3D"/>
    <w:rsid w:val="00C92C5E"/>
    <w:rsid w:val="00C92E84"/>
    <w:rsid w:val="00C933EC"/>
    <w:rsid w:val="00C93491"/>
    <w:rsid w:val="00C94120"/>
    <w:rsid w:val="00C941B3"/>
    <w:rsid w:val="00C9468F"/>
    <w:rsid w:val="00C9522B"/>
    <w:rsid w:val="00C95520"/>
    <w:rsid w:val="00C961B8"/>
    <w:rsid w:val="00C963D4"/>
    <w:rsid w:val="00CA0339"/>
    <w:rsid w:val="00CA0B36"/>
    <w:rsid w:val="00CA1026"/>
    <w:rsid w:val="00CA14AC"/>
    <w:rsid w:val="00CA168E"/>
    <w:rsid w:val="00CA18DB"/>
    <w:rsid w:val="00CA1F71"/>
    <w:rsid w:val="00CA1FE7"/>
    <w:rsid w:val="00CA27B7"/>
    <w:rsid w:val="00CA28E6"/>
    <w:rsid w:val="00CA30B9"/>
    <w:rsid w:val="00CA30FA"/>
    <w:rsid w:val="00CA32FA"/>
    <w:rsid w:val="00CA3B1F"/>
    <w:rsid w:val="00CA3D6E"/>
    <w:rsid w:val="00CA3F42"/>
    <w:rsid w:val="00CA4BB4"/>
    <w:rsid w:val="00CA4E37"/>
    <w:rsid w:val="00CA4FB5"/>
    <w:rsid w:val="00CA53A3"/>
    <w:rsid w:val="00CA55FE"/>
    <w:rsid w:val="00CA5F01"/>
    <w:rsid w:val="00CA6071"/>
    <w:rsid w:val="00CA6392"/>
    <w:rsid w:val="00CA65D8"/>
    <w:rsid w:val="00CA675D"/>
    <w:rsid w:val="00CA6D39"/>
    <w:rsid w:val="00CA708C"/>
    <w:rsid w:val="00CA793A"/>
    <w:rsid w:val="00CA7DFF"/>
    <w:rsid w:val="00CB0041"/>
    <w:rsid w:val="00CB0C5C"/>
    <w:rsid w:val="00CB11AD"/>
    <w:rsid w:val="00CB134C"/>
    <w:rsid w:val="00CB1945"/>
    <w:rsid w:val="00CB2215"/>
    <w:rsid w:val="00CB282C"/>
    <w:rsid w:val="00CB2C81"/>
    <w:rsid w:val="00CB30BF"/>
    <w:rsid w:val="00CB4066"/>
    <w:rsid w:val="00CB44ED"/>
    <w:rsid w:val="00CB4664"/>
    <w:rsid w:val="00CB512D"/>
    <w:rsid w:val="00CB5420"/>
    <w:rsid w:val="00CB5519"/>
    <w:rsid w:val="00CB619A"/>
    <w:rsid w:val="00CB67FB"/>
    <w:rsid w:val="00CB6D7D"/>
    <w:rsid w:val="00CB78A2"/>
    <w:rsid w:val="00CC083F"/>
    <w:rsid w:val="00CC09DD"/>
    <w:rsid w:val="00CC15A2"/>
    <w:rsid w:val="00CC1D2F"/>
    <w:rsid w:val="00CC208C"/>
    <w:rsid w:val="00CC26E9"/>
    <w:rsid w:val="00CC3004"/>
    <w:rsid w:val="00CC301F"/>
    <w:rsid w:val="00CC3043"/>
    <w:rsid w:val="00CC381D"/>
    <w:rsid w:val="00CC3AC9"/>
    <w:rsid w:val="00CC415C"/>
    <w:rsid w:val="00CC425F"/>
    <w:rsid w:val="00CC4A39"/>
    <w:rsid w:val="00CC51EC"/>
    <w:rsid w:val="00CC5462"/>
    <w:rsid w:val="00CC65AC"/>
    <w:rsid w:val="00CC6EEE"/>
    <w:rsid w:val="00CC734A"/>
    <w:rsid w:val="00CD0ACC"/>
    <w:rsid w:val="00CD0B29"/>
    <w:rsid w:val="00CD0E14"/>
    <w:rsid w:val="00CD0F3E"/>
    <w:rsid w:val="00CD1017"/>
    <w:rsid w:val="00CD1043"/>
    <w:rsid w:val="00CD158B"/>
    <w:rsid w:val="00CD19BA"/>
    <w:rsid w:val="00CD1B52"/>
    <w:rsid w:val="00CD216F"/>
    <w:rsid w:val="00CD2B03"/>
    <w:rsid w:val="00CD2E48"/>
    <w:rsid w:val="00CD2E65"/>
    <w:rsid w:val="00CD3145"/>
    <w:rsid w:val="00CD35DA"/>
    <w:rsid w:val="00CD3938"/>
    <w:rsid w:val="00CD3D12"/>
    <w:rsid w:val="00CD3FAF"/>
    <w:rsid w:val="00CD4ADB"/>
    <w:rsid w:val="00CD5125"/>
    <w:rsid w:val="00CD572F"/>
    <w:rsid w:val="00CD6DEC"/>
    <w:rsid w:val="00CD6FAC"/>
    <w:rsid w:val="00CD72B9"/>
    <w:rsid w:val="00CD7C76"/>
    <w:rsid w:val="00CE0172"/>
    <w:rsid w:val="00CE06F0"/>
    <w:rsid w:val="00CE0AB1"/>
    <w:rsid w:val="00CE0B20"/>
    <w:rsid w:val="00CE0C25"/>
    <w:rsid w:val="00CE0C99"/>
    <w:rsid w:val="00CE0D9B"/>
    <w:rsid w:val="00CE16C9"/>
    <w:rsid w:val="00CE16FD"/>
    <w:rsid w:val="00CE175D"/>
    <w:rsid w:val="00CE1C84"/>
    <w:rsid w:val="00CE1EA7"/>
    <w:rsid w:val="00CE22DE"/>
    <w:rsid w:val="00CE2C8E"/>
    <w:rsid w:val="00CE2CFC"/>
    <w:rsid w:val="00CE2F98"/>
    <w:rsid w:val="00CE33CE"/>
    <w:rsid w:val="00CE39BF"/>
    <w:rsid w:val="00CE3F3C"/>
    <w:rsid w:val="00CE45B3"/>
    <w:rsid w:val="00CE477B"/>
    <w:rsid w:val="00CE4E1C"/>
    <w:rsid w:val="00CE6E4C"/>
    <w:rsid w:val="00CE70CB"/>
    <w:rsid w:val="00CE78F9"/>
    <w:rsid w:val="00CF006E"/>
    <w:rsid w:val="00CF0695"/>
    <w:rsid w:val="00CF0712"/>
    <w:rsid w:val="00CF0814"/>
    <w:rsid w:val="00CF0A37"/>
    <w:rsid w:val="00CF116E"/>
    <w:rsid w:val="00CF1526"/>
    <w:rsid w:val="00CF1AF8"/>
    <w:rsid w:val="00CF1B07"/>
    <w:rsid w:val="00CF1BD4"/>
    <w:rsid w:val="00CF286E"/>
    <w:rsid w:val="00CF2AA9"/>
    <w:rsid w:val="00CF2CE1"/>
    <w:rsid w:val="00CF3161"/>
    <w:rsid w:val="00CF365C"/>
    <w:rsid w:val="00CF52B7"/>
    <w:rsid w:val="00CF53E6"/>
    <w:rsid w:val="00CF6007"/>
    <w:rsid w:val="00CF6573"/>
    <w:rsid w:val="00CF71A2"/>
    <w:rsid w:val="00CF7646"/>
    <w:rsid w:val="00CF7CBA"/>
    <w:rsid w:val="00CF7E15"/>
    <w:rsid w:val="00D0026B"/>
    <w:rsid w:val="00D003A6"/>
    <w:rsid w:val="00D00B83"/>
    <w:rsid w:val="00D012A1"/>
    <w:rsid w:val="00D013CD"/>
    <w:rsid w:val="00D01D60"/>
    <w:rsid w:val="00D01DA0"/>
    <w:rsid w:val="00D01FD7"/>
    <w:rsid w:val="00D02C8A"/>
    <w:rsid w:val="00D03CB6"/>
    <w:rsid w:val="00D044A2"/>
    <w:rsid w:val="00D04A6A"/>
    <w:rsid w:val="00D04F61"/>
    <w:rsid w:val="00D06827"/>
    <w:rsid w:val="00D068C7"/>
    <w:rsid w:val="00D06A43"/>
    <w:rsid w:val="00D06CFB"/>
    <w:rsid w:val="00D06F9E"/>
    <w:rsid w:val="00D072F4"/>
    <w:rsid w:val="00D0748B"/>
    <w:rsid w:val="00D1011E"/>
    <w:rsid w:val="00D10367"/>
    <w:rsid w:val="00D10F2F"/>
    <w:rsid w:val="00D1101C"/>
    <w:rsid w:val="00D11533"/>
    <w:rsid w:val="00D11542"/>
    <w:rsid w:val="00D11C5F"/>
    <w:rsid w:val="00D123E8"/>
    <w:rsid w:val="00D1242C"/>
    <w:rsid w:val="00D13306"/>
    <w:rsid w:val="00D13506"/>
    <w:rsid w:val="00D14BEF"/>
    <w:rsid w:val="00D14C7E"/>
    <w:rsid w:val="00D1514F"/>
    <w:rsid w:val="00D15B26"/>
    <w:rsid w:val="00D16294"/>
    <w:rsid w:val="00D16F40"/>
    <w:rsid w:val="00D172AD"/>
    <w:rsid w:val="00D17394"/>
    <w:rsid w:val="00D176AD"/>
    <w:rsid w:val="00D17744"/>
    <w:rsid w:val="00D17C72"/>
    <w:rsid w:val="00D2022E"/>
    <w:rsid w:val="00D209EF"/>
    <w:rsid w:val="00D20B35"/>
    <w:rsid w:val="00D20C9A"/>
    <w:rsid w:val="00D20EAB"/>
    <w:rsid w:val="00D21190"/>
    <w:rsid w:val="00D212E4"/>
    <w:rsid w:val="00D22565"/>
    <w:rsid w:val="00D227AC"/>
    <w:rsid w:val="00D22EB1"/>
    <w:rsid w:val="00D22F91"/>
    <w:rsid w:val="00D236ED"/>
    <w:rsid w:val="00D23ECE"/>
    <w:rsid w:val="00D243F2"/>
    <w:rsid w:val="00D2480F"/>
    <w:rsid w:val="00D25229"/>
    <w:rsid w:val="00D25897"/>
    <w:rsid w:val="00D26370"/>
    <w:rsid w:val="00D266D9"/>
    <w:rsid w:val="00D27088"/>
    <w:rsid w:val="00D27427"/>
    <w:rsid w:val="00D2773B"/>
    <w:rsid w:val="00D278A6"/>
    <w:rsid w:val="00D27F3D"/>
    <w:rsid w:val="00D3046A"/>
    <w:rsid w:val="00D30A13"/>
    <w:rsid w:val="00D311FC"/>
    <w:rsid w:val="00D31650"/>
    <w:rsid w:val="00D31C1B"/>
    <w:rsid w:val="00D320E4"/>
    <w:rsid w:val="00D32DA8"/>
    <w:rsid w:val="00D34102"/>
    <w:rsid w:val="00D343CE"/>
    <w:rsid w:val="00D345DC"/>
    <w:rsid w:val="00D358A1"/>
    <w:rsid w:val="00D35CD8"/>
    <w:rsid w:val="00D365A8"/>
    <w:rsid w:val="00D3707C"/>
    <w:rsid w:val="00D3792C"/>
    <w:rsid w:val="00D379DB"/>
    <w:rsid w:val="00D4173A"/>
    <w:rsid w:val="00D41F27"/>
    <w:rsid w:val="00D41F8C"/>
    <w:rsid w:val="00D421D2"/>
    <w:rsid w:val="00D429AC"/>
    <w:rsid w:val="00D42A44"/>
    <w:rsid w:val="00D42D2D"/>
    <w:rsid w:val="00D42E9A"/>
    <w:rsid w:val="00D43260"/>
    <w:rsid w:val="00D4329F"/>
    <w:rsid w:val="00D43324"/>
    <w:rsid w:val="00D44284"/>
    <w:rsid w:val="00D44C8F"/>
    <w:rsid w:val="00D44D7B"/>
    <w:rsid w:val="00D45075"/>
    <w:rsid w:val="00D45437"/>
    <w:rsid w:val="00D459AA"/>
    <w:rsid w:val="00D45AE6"/>
    <w:rsid w:val="00D46BE2"/>
    <w:rsid w:val="00D47094"/>
    <w:rsid w:val="00D4733E"/>
    <w:rsid w:val="00D502F1"/>
    <w:rsid w:val="00D506FA"/>
    <w:rsid w:val="00D50EEF"/>
    <w:rsid w:val="00D5116D"/>
    <w:rsid w:val="00D51672"/>
    <w:rsid w:val="00D51728"/>
    <w:rsid w:val="00D517D5"/>
    <w:rsid w:val="00D52047"/>
    <w:rsid w:val="00D52267"/>
    <w:rsid w:val="00D52D3F"/>
    <w:rsid w:val="00D52FD7"/>
    <w:rsid w:val="00D5344E"/>
    <w:rsid w:val="00D538A1"/>
    <w:rsid w:val="00D53CB9"/>
    <w:rsid w:val="00D556CE"/>
    <w:rsid w:val="00D55E48"/>
    <w:rsid w:val="00D55ED7"/>
    <w:rsid w:val="00D55EE6"/>
    <w:rsid w:val="00D56526"/>
    <w:rsid w:val="00D5672B"/>
    <w:rsid w:val="00D56FC8"/>
    <w:rsid w:val="00D609F1"/>
    <w:rsid w:val="00D60A1C"/>
    <w:rsid w:val="00D60F83"/>
    <w:rsid w:val="00D610E6"/>
    <w:rsid w:val="00D61268"/>
    <w:rsid w:val="00D61651"/>
    <w:rsid w:val="00D618C1"/>
    <w:rsid w:val="00D61AB9"/>
    <w:rsid w:val="00D61BBB"/>
    <w:rsid w:val="00D61FD5"/>
    <w:rsid w:val="00D62531"/>
    <w:rsid w:val="00D62899"/>
    <w:rsid w:val="00D6336D"/>
    <w:rsid w:val="00D63735"/>
    <w:rsid w:val="00D63C81"/>
    <w:rsid w:val="00D64165"/>
    <w:rsid w:val="00D6417E"/>
    <w:rsid w:val="00D641EC"/>
    <w:rsid w:val="00D64853"/>
    <w:rsid w:val="00D64943"/>
    <w:rsid w:val="00D64E14"/>
    <w:rsid w:val="00D654EF"/>
    <w:rsid w:val="00D65634"/>
    <w:rsid w:val="00D65997"/>
    <w:rsid w:val="00D65CE3"/>
    <w:rsid w:val="00D663B4"/>
    <w:rsid w:val="00D663DB"/>
    <w:rsid w:val="00D674EC"/>
    <w:rsid w:val="00D674F4"/>
    <w:rsid w:val="00D679AF"/>
    <w:rsid w:val="00D67DF3"/>
    <w:rsid w:val="00D701F2"/>
    <w:rsid w:val="00D70969"/>
    <w:rsid w:val="00D71B33"/>
    <w:rsid w:val="00D71E5F"/>
    <w:rsid w:val="00D72139"/>
    <w:rsid w:val="00D724F7"/>
    <w:rsid w:val="00D72B1A"/>
    <w:rsid w:val="00D72CCF"/>
    <w:rsid w:val="00D72D99"/>
    <w:rsid w:val="00D73A6D"/>
    <w:rsid w:val="00D74194"/>
    <w:rsid w:val="00D7492B"/>
    <w:rsid w:val="00D74D9A"/>
    <w:rsid w:val="00D74DED"/>
    <w:rsid w:val="00D74EC4"/>
    <w:rsid w:val="00D75EE2"/>
    <w:rsid w:val="00D76368"/>
    <w:rsid w:val="00D80113"/>
    <w:rsid w:val="00D818EA"/>
    <w:rsid w:val="00D822DB"/>
    <w:rsid w:val="00D8243A"/>
    <w:rsid w:val="00D824B2"/>
    <w:rsid w:val="00D82538"/>
    <w:rsid w:val="00D82BB2"/>
    <w:rsid w:val="00D83830"/>
    <w:rsid w:val="00D839BB"/>
    <w:rsid w:val="00D83CCA"/>
    <w:rsid w:val="00D83DA8"/>
    <w:rsid w:val="00D83EB9"/>
    <w:rsid w:val="00D84103"/>
    <w:rsid w:val="00D84268"/>
    <w:rsid w:val="00D84759"/>
    <w:rsid w:val="00D84C76"/>
    <w:rsid w:val="00D854A3"/>
    <w:rsid w:val="00D854C1"/>
    <w:rsid w:val="00D857B8"/>
    <w:rsid w:val="00D858E1"/>
    <w:rsid w:val="00D865B3"/>
    <w:rsid w:val="00D867E2"/>
    <w:rsid w:val="00D86C3F"/>
    <w:rsid w:val="00D8707A"/>
    <w:rsid w:val="00D87DD5"/>
    <w:rsid w:val="00D9006D"/>
    <w:rsid w:val="00D90830"/>
    <w:rsid w:val="00D91330"/>
    <w:rsid w:val="00D914A3"/>
    <w:rsid w:val="00D9160B"/>
    <w:rsid w:val="00D91651"/>
    <w:rsid w:val="00D918A1"/>
    <w:rsid w:val="00D919CD"/>
    <w:rsid w:val="00D91DE4"/>
    <w:rsid w:val="00D92004"/>
    <w:rsid w:val="00D922EF"/>
    <w:rsid w:val="00D94F35"/>
    <w:rsid w:val="00D95AF1"/>
    <w:rsid w:val="00D968E3"/>
    <w:rsid w:val="00D97127"/>
    <w:rsid w:val="00D973EC"/>
    <w:rsid w:val="00DA07B3"/>
    <w:rsid w:val="00DA0A4B"/>
    <w:rsid w:val="00DA15C7"/>
    <w:rsid w:val="00DA1C57"/>
    <w:rsid w:val="00DA2E0B"/>
    <w:rsid w:val="00DA3001"/>
    <w:rsid w:val="00DA3A4C"/>
    <w:rsid w:val="00DA44C5"/>
    <w:rsid w:val="00DA4634"/>
    <w:rsid w:val="00DA46D0"/>
    <w:rsid w:val="00DA47DC"/>
    <w:rsid w:val="00DA5600"/>
    <w:rsid w:val="00DA5BE6"/>
    <w:rsid w:val="00DA63F8"/>
    <w:rsid w:val="00DA64FD"/>
    <w:rsid w:val="00DA68BC"/>
    <w:rsid w:val="00DA68E1"/>
    <w:rsid w:val="00DA6FB3"/>
    <w:rsid w:val="00DA7CE5"/>
    <w:rsid w:val="00DA7F4F"/>
    <w:rsid w:val="00DB0C7A"/>
    <w:rsid w:val="00DB1EA8"/>
    <w:rsid w:val="00DB219D"/>
    <w:rsid w:val="00DB230E"/>
    <w:rsid w:val="00DB2354"/>
    <w:rsid w:val="00DB25A3"/>
    <w:rsid w:val="00DB2BB2"/>
    <w:rsid w:val="00DB33FB"/>
    <w:rsid w:val="00DB45CE"/>
    <w:rsid w:val="00DB4AB4"/>
    <w:rsid w:val="00DB5044"/>
    <w:rsid w:val="00DB5186"/>
    <w:rsid w:val="00DB5CCE"/>
    <w:rsid w:val="00DB5CD8"/>
    <w:rsid w:val="00DB6D10"/>
    <w:rsid w:val="00DB6F2E"/>
    <w:rsid w:val="00DB72A1"/>
    <w:rsid w:val="00DB7DF4"/>
    <w:rsid w:val="00DC0972"/>
    <w:rsid w:val="00DC0D48"/>
    <w:rsid w:val="00DC0E46"/>
    <w:rsid w:val="00DC17F7"/>
    <w:rsid w:val="00DC1AD8"/>
    <w:rsid w:val="00DC1CCC"/>
    <w:rsid w:val="00DC20EA"/>
    <w:rsid w:val="00DC29E1"/>
    <w:rsid w:val="00DC2D69"/>
    <w:rsid w:val="00DC2F59"/>
    <w:rsid w:val="00DC3140"/>
    <w:rsid w:val="00DC3A69"/>
    <w:rsid w:val="00DC4784"/>
    <w:rsid w:val="00DC4C15"/>
    <w:rsid w:val="00DC4E9F"/>
    <w:rsid w:val="00DC5127"/>
    <w:rsid w:val="00DC55EA"/>
    <w:rsid w:val="00DC59AE"/>
    <w:rsid w:val="00DC63E6"/>
    <w:rsid w:val="00DC673F"/>
    <w:rsid w:val="00DC7543"/>
    <w:rsid w:val="00DD059C"/>
    <w:rsid w:val="00DD0C2B"/>
    <w:rsid w:val="00DD0C7F"/>
    <w:rsid w:val="00DD1217"/>
    <w:rsid w:val="00DD1554"/>
    <w:rsid w:val="00DD1D40"/>
    <w:rsid w:val="00DD1D9C"/>
    <w:rsid w:val="00DD20F1"/>
    <w:rsid w:val="00DD25A8"/>
    <w:rsid w:val="00DD2FCC"/>
    <w:rsid w:val="00DD37A9"/>
    <w:rsid w:val="00DD385C"/>
    <w:rsid w:val="00DD396D"/>
    <w:rsid w:val="00DD3E93"/>
    <w:rsid w:val="00DD4C6E"/>
    <w:rsid w:val="00DD4D6D"/>
    <w:rsid w:val="00DD4E4A"/>
    <w:rsid w:val="00DD513E"/>
    <w:rsid w:val="00DD5A98"/>
    <w:rsid w:val="00DD5B09"/>
    <w:rsid w:val="00DD5BD9"/>
    <w:rsid w:val="00DD5BEA"/>
    <w:rsid w:val="00DD5F5E"/>
    <w:rsid w:val="00DD6DB1"/>
    <w:rsid w:val="00DD6F78"/>
    <w:rsid w:val="00DD70EB"/>
    <w:rsid w:val="00DD7655"/>
    <w:rsid w:val="00DD79B9"/>
    <w:rsid w:val="00DE148B"/>
    <w:rsid w:val="00DE148C"/>
    <w:rsid w:val="00DE1703"/>
    <w:rsid w:val="00DE21FC"/>
    <w:rsid w:val="00DE25E6"/>
    <w:rsid w:val="00DE2988"/>
    <w:rsid w:val="00DE2B0A"/>
    <w:rsid w:val="00DE33B3"/>
    <w:rsid w:val="00DE3A38"/>
    <w:rsid w:val="00DE4171"/>
    <w:rsid w:val="00DE43B6"/>
    <w:rsid w:val="00DE477A"/>
    <w:rsid w:val="00DE4C91"/>
    <w:rsid w:val="00DE5341"/>
    <w:rsid w:val="00DE5792"/>
    <w:rsid w:val="00DE679D"/>
    <w:rsid w:val="00DE6B96"/>
    <w:rsid w:val="00DE7009"/>
    <w:rsid w:val="00DE7373"/>
    <w:rsid w:val="00DE7F35"/>
    <w:rsid w:val="00DF0AD9"/>
    <w:rsid w:val="00DF0D1E"/>
    <w:rsid w:val="00DF18F3"/>
    <w:rsid w:val="00DF1BFA"/>
    <w:rsid w:val="00DF1CBC"/>
    <w:rsid w:val="00DF1ECF"/>
    <w:rsid w:val="00DF20BB"/>
    <w:rsid w:val="00DF2365"/>
    <w:rsid w:val="00DF23CB"/>
    <w:rsid w:val="00DF2AED"/>
    <w:rsid w:val="00DF3071"/>
    <w:rsid w:val="00DF44D1"/>
    <w:rsid w:val="00DF4C5A"/>
    <w:rsid w:val="00DF5111"/>
    <w:rsid w:val="00DF5365"/>
    <w:rsid w:val="00DF5613"/>
    <w:rsid w:val="00DF5B7F"/>
    <w:rsid w:val="00DF6EF5"/>
    <w:rsid w:val="00DF6F34"/>
    <w:rsid w:val="00DF7601"/>
    <w:rsid w:val="00DF771A"/>
    <w:rsid w:val="00DF7B40"/>
    <w:rsid w:val="00DF7DDF"/>
    <w:rsid w:val="00DF7F5B"/>
    <w:rsid w:val="00E008B9"/>
    <w:rsid w:val="00E008D8"/>
    <w:rsid w:val="00E00A49"/>
    <w:rsid w:val="00E00CE1"/>
    <w:rsid w:val="00E0127E"/>
    <w:rsid w:val="00E0130D"/>
    <w:rsid w:val="00E01410"/>
    <w:rsid w:val="00E01A47"/>
    <w:rsid w:val="00E01E38"/>
    <w:rsid w:val="00E01EF7"/>
    <w:rsid w:val="00E02561"/>
    <w:rsid w:val="00E028AC"/>
    <w:rsid w:val="00E02A8C"/>
    <w:rsid w:val="00E03110"/>
    <w:rsid w:val="00E03170"/>
    <w:rsid w:val="00E033B7"/>
    <w:rsid w:val="00E03480"/>
    <w:rsid w:val="00E03BE2"/>
    <w:rsid w:val="00E03DAA"/>
    <w:rsid w:val="00E0554B"/>
    <w:rsid w:val="00E05797"/>
    <w:rsid w:val="00E05ADB"/>
    <w:rsid w:val="00E05CC2"/>
    <w:rsid w:val="00E05D4E"/>
    <w:rsid w:val="00E05EDD"/>
    <w:rsid w:val="00E06238"/>
    <w:rsid w:val="00E07958"/>
    <w:rsid w:val="00E10C9A"/>
    <w:rsid w:val="00E10DCE"/>
    <w:rsid w:val="00E112D8"/>
    <w:rsid w:val="00E11393"/>
    <w:rsid w:val="00E11701"/>
    <w:rsid w:val="00E120B7"/>
    <w:rsid w:val="00E12619"/>
    <w:rsid w:val="00E129D4"/>
    <w:rsid w:val="00E12F0D"/>
    <w:rsid w:val="00E138BC"/>
    <w:rsid w:val="00E13920"/>
    <w:rsid w:val="00E1445A"/>
    <w:rsid w:val="00E14D45"/>
    <w:rsid w:val="00E15042"/>
    <w:rsid w:val="00E1616D"/>
    <w:rsid w:val="00E16213"/>
    <w:rsid w:val="00E16D29"/>
    <w:rsid w:val="00E16FB7"/>
    <w:rsid w:val="00E174FF"/>
    <w:rsid w:val="00E2053F"/>
    <w:rsid w:val="00E20EB9"/>
    <w:rsid w:val="00E2186F"/>
    <w:rsid w:val="00E220A3"/>
    <w:rsid w:val="00E2291B"/>
    <w:rsid w:val="00E22CCD"/>
    <w:rsid w:val="00E22E44"/>
    <w:rsid w:val="00E232AB"/>
    <w:rsid w:val="00E232F2"/>
    <w:rsid w:val="00E2358A"/>
    <w:rsid w:val="00E2379A"/>
    <w:rsid w:val="00E23B8F"/>
    <w:rsid w:val="00E23C85"/>
    <w:rsid w:val="00E23CE4"/>
    <w:rsid w:val="00E2404D"/>
    <w:rsid w:val="00E245E8"/>
    <w:rsid w:val="00E24EE1"/>
    <w:rsid w:val="00E25E3F"/>
    <w:rsid w:val="00E26239"/>
    <w:rsid w:val="00E267CC"/>
    <w:rsid w:val="00E269BB"/>
    <w:rsid w:val="00E275C9"/>
    <w:rsid w:val="00E27C4C"/>
    <w:rsid w:val="00E27D77"/>
    <w:rsid w:val="00E300CC"/>
    <w:rsid w:val="00E305C0"/>
    <w:rsid w:val="00E307B6"/>
    <w:rsid w:val="00E309BA"/>
    <w:rsid w:val="00E30EA3"/>
    <w:rsid w:val="00E319A7"/>
    <w:rsid w:val="00E31D93"/>
    <w:rsid w:val="00E31F09"/>
    <w:rsid w:val="00E332FD"/>
    <w:rsid w:val="00E33969"/>
    <w:rsid w:val="00E34186"/>
    <w:rsid w:val="00E342CD"/>
    <w:rsid w:val="00E34702"/>
    <w:rsid w:val="00E35331"/>
    <w:rsid w:val="00E35A68"/>
    <w:rsid w:val="00E35B95"/>
    <w:rsid w:val="00E360CF"/>
    <w:rsid w:val="00E36216"/>
    <w:rsid w:val="00E36610"/>
    <w:rsid w:val="00E367BA"/>
    <w:rsid w:val="00E369A1"/>
    <w:rsid w:val="00E36C61"/>
    <w:rsid w:val="00E37460"/>
    <w:rsid w:val="00E377EA"/>
    <w:rsid w:val="00E37DDC"/>
    <w:rsid w:val="00E40884"/>
    <w:rsid w:val="00E408FC"/>
    <w:rsid w:val="00E40F04"/>
    <w:rsid w:val="00E41916"/>
    <w:rsid w:val="00E41921"/>
    <w:rsid w:val="00E41954"/>
    <w:rsid w:val="00E41B2D"/>
    <w:rsid w:val="00E41EAF"/>
    <w:rsid w:val="00E42242"/>
    <w:rsid w:val="00E431D2"/>
    <w:rsid w:val="00E435E0"/>
    <w:rsid w:val="00E436E9"/>
    <w:rsid w:val="00E43DA2"/>
    <w:rsid w:val="00E44007"/>
    <w:rsid w:val="00E4404A"/>
    <w:rsid w:val="00E44065"/>
    <w:rsid w:val="00E44455"/>
    <w:rsid w:val="00E4469F"/>
    <w:rsid w:val="00E4475C"/>
    <w:rsid w:val="00E44DCA"/>
    <w:rsid w:val="00E44FFF"/>
    <w:rsid w:val="00E45241"/>
    <w:rsid w:val="00E45CDD"/>
    <w:rsid w:val="00E45F95"/>
    <w:rsid w:val="00E460BF"/>
    <w:rsid w:val="00E466CD"/>
    <w:rsid w:val="00E46A8E"/>
    <w:rsid w:val="00E47122"/>
    <w:rsid w:val="00E47728"/>
    <w:rsid w:val="00E47A3E"/>
    <w:rsid w:val="00E500D4"/>
    <w:rsid w:val="00E509C2"/>
    <w:rsid w:val="00E50FD9"/>
    <w:rsid w:val="00E516EB"/>
    <w:rsid w:val="00E52175"/>
    <w:rsid w:val="00E53303"/>
    <w:rsid w:val="00E53723"/>
    <w:rsid w:val="00E5446D"/>
    <w:rsid w:val="00E54A49"/>
    <w:rsid w:val="00E552ED"/>
    <w:rsid w:val="00E5571F"/>
    <w:rsid w:val="00E55BCA"/>
    <w:rsid w:val="00E55FC7"/>
    <w:rsid w:val="00E575FE"/>
    <w:rsid w:val="00E57B6F"/>
    <w:rsid w:val="00E57B77"/>
    <w:rsid w:val="00E60053"/>
    <w:rsid w:val="00E60D4C"/>
    <w:rsid w:val="00E6118E"/>
    <w:rsid w:val="00E6129C"/>
    <w:rsid w:val="00E61991"/>
    <w:rsid w:val="00E61C9D"/>
    <w:rsid w:val="00E61FEE"/>
    <w:rsid w:val="00E6313C"/>
    <w:rsid w:val="00E639B4"/>
    <w:rsid w:val="00E64B56"/>
    <w:rsid w:val="00E64D7F"/>
    <w:rsid w:val="00E65762"/>
    <w:rsid w:val="00E65A0C"/>
    <w:rsid w:val="00E65AD8"/>
    <w:rsid w:val="00E65C2F"/>
    <w:rsid w:val="00E661BF"/>
    <w:rsid w:val="00E66AE3"/>
    <w:rsid w:val="00E66F69"/>
    <w:rsid w:val="00E67033"/>
    <w:rsid w:val="00E67148"/>
    <w:rsid w:val="00E675E2"/>
    <w:rsid w:val="00E67EBE"/>
    <w:rsid w:val="00E70D87"/>
    <w:rsid w:val="00E7102A"/>
    <w:rsid w:val="00E7105A"/>
    <w:rsid w:val="00E71397"/>
    <w:rsid w:val="00E715D5"/>
    <w:rsid w:val="00E71B7A"/>
    <w:rsid w:val="00E71CDC"/>
    <w:rsid w:val="00E720E9"/>
    <w:rsid w:val="00E72144"/>
    <w:rsid w:val="00E724A6"/>
    <w:rsid w:val="00E73AD5"/>
    <w:rsid w:val="00E73EF8"/>
    <w:rsid w:val="00E744D0"/>
    <w:rsid w:val="00E74CBD"/>
    <w:rsid w:val="00E74FA1"/>
    <w:rsid w:val="00E751C2"/>
    <w:rsid w:val="00E75A7E"/>
    <w:rsid w:val="00E75CA9"/>
    <w:rsid w:val="00E75F20"/>
    <w:rsid w:val="00E7629B"/>
    <w:rsid w:val="00E76A5A"/>
    <w:rsid w:val="00E771A6"/>
    <w:rsid w:val="00E772FF"/>
    <w:rsid w:val="00E77A99"/>
    <w:rsid w:val="00E77E0E"/>
    <w:rsid w:val="00E80C89"/>
    <w:rsid w:val="00E81FF2"/>
    <w:rsid w:val="00E82003"/>
    <w:rsid w:val="00E822BD"/>
    <w:rsid w:val="00E822FB"/>
    <w:rsid w:val="00E8270E"/>
    <w:rsid w:val="00E82D66"/>
    <w:rsid w:val="00E82EAB"/>
    <w:rsid w:val="00E831A6"/>
    <w:rsid w:val="00E8341D"/>
    <w:rsid w:val="00E8367E"/>
    <w:rsid w:val="00E83856"/>
    <w:rsid w:val="00E83BD8"/>
    <w:rsid w:val="00E83F4A"/>
    <w:rsid w:val="00E8478D"/>
    <w:rsid w:val="00E84F2A"/>
    <w:rsid w:val="00E85392"/>
    <w:rsid w:val="00E85908"/>
    <w:rsid w:val="00E85F8D"/>
    <w:rsid w:val="00E86108"/>
    <w:rsid w:val="00E869D2"/>
    <w:rsid w:val="00E86BB2"/>
    <w:rsid w:val="00E86D2D"/>
    <w:rsid w:val="00E9019A"/>
    <w:rsid w:val="00E905EE"/>
    <w:rsid w:val="00E91057"/>
    <w:rsid w:val="00E910B8"/>
    <w:rsid w:val="00E92068"/>
    <w:rsid w:val="00E920D7"/>
    <w:rsid w:val="00E925DB"/>
    <w:rsid w:val="00E92B19"/>
    <w:rsid w:val="00E934B8"/>
    <w:rsid w:val="00E93975"/>
    <w:rsid w:val="00E93E62"/>
    <w:rsid w:val="00E948D4"/>
    <w:rsid w:val="00E948F2"/>
    <w:rsid w:val="00E94B50"/>
    <w:rsid w:val="00E9551A"/>
    <w:rsid w:val="00E955CB"/>
    <w:rsid w:val="00E960E5"/>
    <w:rsid w:val="00E96272"/>
    <w:rsid w:val="00E965AB"/>
    <w:rsid w:val="00E96698"/>
    <w:rsid w:val="00E9678B"/>
    <w:rsid w:val="00E96B1D"/>
    <w:rsid w:val="00E96C1E"/>
    <w:rsid w:val="00E96D0D"/>
    <w:rsid w:val="00E970DF"/>
    <w:rsid w:val="00EA0015"/>
    <w:rsid w:val="00EA04BC"/>
    <w:rsid w:val="00EA0565"/>
    <w:rsid w:val="00EA07A4"/>
    <w:rsid w:val="00EA096E"/>
    <w:rsid w:val="00EA0D76"/>
    <w:rsid w:val="00EA17C8"/>
    <w:rsid w:val="00EA18C0"/>
    <w:rsid w:val="00EA1C73"/>
    <w:rsid w:val="00EA2E11"/>
    <w:rsid w:val="00EA3833"/>
    <w:rsid w:val="00EA3B9D"/>
    <w:rsid w:val="00EA3BF1"/>
    <w:rsid w:val="00EA4B8D"/>
    <w:rsid w:val="00EA4D27"/>
    <w:rsid w:val="00EA5011"/>
    <w:rsid w:val="00EA50A7"/>
    <w:rsid w:val="00EA5246"/>
    <w:rsid w:val="00EA5C16"/>
    <w:rsid w:val="00EA5EC7"/>
    <w:rsid w:val="00EA65AD"/>
    <w:rsid w:val="00EA70DE"/>
    <w:rsid w:val="00EA772A"/>
    <w:rsid w:val="00EA77E5"/>
    <w:rsid w:val="00EB0720"/>
    <w:rsid w:val="00EB0C14"/>
    <w:rsid w:val="00EB0D04"/>
    <w:rsid w:val="00EB1366"/>
    <w:rsid w:val="00EB1EE7"/>
    <w:rsid w:val="00EB21E8"/>
    <w:rsid w:val="00EB3AF1"/>
    <w:rsid w:val="00EB3D31"/>
    <w:rsid w:val="00EB3EC2"/>
    <w:rsid w:val="00EB5139"/>
    <w:rsid w:val="00EB5787"/>
    <w:rsid w:val="00EB662B"/>
    <w:rsid w:val="00EB6BC7"/>
    <w:rsid w:val="00EB6DD5"/>
    <w:rsid w:val="00EB6E27"/>
    <w:rsid w:val="00EB717A"/>
    <w:rsid w:val="00EB718F"/>
    <w:rsid w:val="00EB75E1"/>
    <w:rsid w:val="00EB760B"/>
    <w:rsid w:val="00EB76AE"/>
    <w:rsid w:val="00EB7AAC"/>
    <w:rsid w:val="00EB7CE3"/>
    <w:rsid w:val="00EC0D72"/>
    <w:rsid w:val="00EC0FA9"/>
    <w:rsid w:val="00EC122B"/>
    <w:rsid w:val="00EC1279"/>
    <w:rsid w:val="00EC186D"/>
    <w:rsid w:val="00EC18B8"/>
    <w:rsid w:val="00EC19ED"/>
    <w:rsid w:val="00EC1E3F"/>
    <w:rsid w:val="00EC1EE0"/>
    <w:rsid w:val="00EC207D"/>
    <w:rsid w:val="00EC2492"/>
    <w:rsid w:val="00EC295B"/>
    <w:rsid w:val="00EC2BEB"/>
    <w:rsid w:val="00EC3210"/>
    <w:rsid w:val="00EC3435"/>
    <w:rsid w:val="00EC34C4"/>
    <w:rsid w:val="00EC3C31"/>
    <w:rsid w:val="00EC4488"/>
    <w:rsid w:val="00EC4FA4"/>
    <w:rsid w:val="00EC50F2"/>
    <w:rsid w:val="00EC5291"/>
    <w:rsid w:val="00EC5930"/>
    <w:rsid w:val="00EC5C4B"/>
    <w:rsid w:val="00EC5CB5"/>
    <w:rsid w:val="00EC6460"/>
    <w:rsid w:val="00EC65EB"/>
    <w:rsid w:val="00EC66CC"/>
    <w:rsid w:val="00EC66D5"/>
    <w:rsid w:val="00EC7169"/>
    <w:rsid w:val="00EC7341"/>
    <w:rsid w:val="00EC7ACF"/>
    <w:rsid w:val="00EC7FD2"/>
    <w:rsid w:val="00ED0321"/>
    <w:rsid w:val="00ED113F"/>
    <w:rsid w:val="00ED17FF"/>
    <w:rsid w:val="00ED2031"/>
    <w:rsid w:val="00ED313A"/>
    <w:rsid w:val="00ED324C"/>
    <w:rsid w:val="00ED33DF"/>
    <w:rsid w:val="00ED359E"/>
    <w:rsid w:val="00ED3CE7"/>
    <w:rsid w:val="00ED401C"/>
    <w:rsid w:val="00ED42F6"/>
    <w:rsid w:val="00ED44A6"/>
    <w:rsid w:val="00ED4C00"/>
    <w:rsid w:val="00ED4D36"/>
    <w:rsid w:val="00ED4DD6"/>
    <w:rsid w:val="00ED5223"/>
    <w:rsid w:val="00ED5C56"/>
    <w:rsid w:val="00ED5EA5"/>
    <w:rsid w:val="00ED5EFF"/>
    <w:rsid w:val="00ED5FD4"/>
    <w:rsid w:val="00ED619E"/>
    <w:rsid w:val="00ED654D"/>
    <w:rsid w:val="00ED675C"/>
    <w:rsid w:val="00ED6763"/>
    <w:rsid w:val="00ED733B"/>
    <w:rsid w:val="00ED769F"/>
    <w:rsid w:val="00EE11FD"/>
    <w:rsid w:val="00EE143D"/>
    <w:rsid w:val="00EE20DD"/>
    <w:rsid w:val="00EE23EE"/>
    <w:rsid w:val="00EE25AA"/>
    <w:rsid w:val="00EE389F"/>
    <w:rsid w:val="00EE3A8A"/>
    <w:rsid w:val="00EE3DD7"/>
    <w:rsid w:val="00EE43BE"/>
    <w:rsid w:val="00EE4640"/>
    <w:rsid w:val="00EE46B6"/>
    <w:rsid w:val="00EE4DE5"/>
    <w:rsid w:val="00EE55F7"/>
    <w:rsid w:val="00EE5B9C"/>
    <w:rsid w:val="00EE5F8B"/>
    <w:rsid w:val="00EE650B"/>
    <w:rsid w:val="00EE707E"/>
    <w:rsid w:val="00EE7790"/>
    <w:rsid w:val="00EE7D5A"/>
    <w:rsid w:val="00EF01E6"/>
    <w:rsid w:val="00EF05BF"/>
    <w:rsid w:val="00EF10A6"/>
    <w:rsid w:val="00EF20B4"/>
    <w:rsid w:val="00EF23F0"/>
    <w:rsid w:val="00EF2C46"/>
    <w:rsid w:val="00EF35F2"/>
    <w:rsid w:val="00EF36D1"/>
    <w:rsid w:val="00EF47B6"/>
    <w:rsid w:val="00EF4937"/>
    <w:rsid w:val="00EF4973"/>
    <w:rsid w:val="00EF4B47"/>
    <w:rsid w:val="00EF4BC0"/>
    <w:rsid w:val="00EF53E2"/>
    <w:rsid w:val="00EF700F"/>
    <w:rsid w:val="00EF74B6"/>
    <w:rsid w:val="00EF784F"/>
    <w:rsid w:val="00EF7B6B"/>
    <w:rsid w:val="00F000AE"/>
    <w:rsid w:val="00F00725"/>
    <w:rsid w:val="00F00867"/>
    <w:rsid w:val="00F00BEA"/>
    <w:rsid w:val="00F012B1"/>
    <w:rsid w:val="00F016AC"/>
    <w:rsid w:val="00F01959"/>
    <w:rsid w:val="00F01C9A"/>
    <w:rsid w:val="00F01D21"/>
    <w:rsid w:val="00F023A0"/>
    <w:rsid w:val="00F02909"/>
    <w:rsid w:val="00F02A9B"/>
    <w:rsid w:val="00F03066"/>
    <w:rsid w:val="00F03088"/>
    <w:rsid w:val="00F03652"/>
    <w:rsid w:val="00F036BA"/>
    <w:rsid w:val="00F03849"/>
    <w:rsid w:val="00F03CE3"/>
    <w:rsid w:val="00F0443B"/>
    <w:rsid w:val="00F04691"/>
    <w:rsid w:val="00F04911"/>
    <w:rsid w:val="00F049FE"/>
    <w:rsid w:val="00F04F11"/>
    <w:rsid w:val="00F04F63"/>
    <w:rsid w:val="00F050FE"/>
    <w:rsid w:val="00F05108"/>
    <w:rsid w:val="00F06735"/>
    <w:rsid w:val="00F06E01"/>
    <w:rsid w:val="00F070AC"/>
    <w:rsid w:val="00F072DD"/>
    <w:rsid w:val="00F0783C"/>
    <w:rsid w:val="00F07917"/>
    <w:rsid w:val="00F0799A"/>
    <w:rsid w:val="00F07A96"/>
    <w:rsid w:val="00F1019F"/>
    <w:rsid w:val="00F10594"/>
    <w:rsid w:val="00F10E29"/>
    <w:rsid w:val="00F1185C"/>
    <w:rsid w:val="00F1194B"/>
    <w:rsid w:val="00F11CD3"/>
    <w:rsid w:val="00F123AD"/>
    <w:rsid w:val="00F12551"/>
    <w:rsid w:val="00F127EC"/>
    <w:rsid w:val="00F1289E"/>
    <w:rsid w:val="00F13161"/>
    <w:rsid w:val="00F13BDA"/>
    <w:rsid w:val="00F140EF"/>
    <w:rsid w:val="00F14BE3"/>
    <w:rsid w:val="00F1500C"/>
    <w:rsid w:val="00F15497"/>
    <w:rsid w:val="00F1564F"/>
    <w:rsid w:val="00F15AE8"/>
    <w:rsid w:val="00F16507"/>
    <w:rsid w:val="00F16BA2"/>
    <w:rsid w:val="00F16C98"/>
    <w:rsid w:val="00F176CE"/>
    <w:rsid w:val="00F17A7B"/>
    <w:rsid w:val="00F20154"/>
    <w:rsid w:val="00F2069D"/>
    <w:rsid w:val="00F20B63"/>
    <w:rsid w:val="00F20E1E"/>
    <w:rsid w:val="00F217E1"/>
    <w:rsid w:val="00F21E89"/>
    <w:rsid w:val="00F220BF"/>
    <w:rsid w:val="00F2297A"/>
    <w:rsid w:val="00F22A4E"/>
    <w:rsid w:val="00F22AC5"/>
    <w:rsid w:val="00F22DFA"/>
    <w:rsid w:val="00F22FAB"/>
    <w:rsid w:val="00F231C3"/>
    <w:rsid w:val="00F233C2"/>
    <w:rsid w:val="00F23479"/>
    <w:rsid w:val="00F235E3"/>
    <w:rsid w:val="00F2370C"/>
    <w:rsid w:val="00F238A2"/>
    <w:rsid w:val="00F244E4"/>
    <w:rsid w:val="00F24945"/>
    <w:rsid w:val="00F24C06"/>
    <w:rsid w:val="00F24FD8"/>
    <w:rsid w:val="00F252CE"/>
    <w:rsid w:val="00F25593"/>
    <w:rsid w:val="00F27125"/>
    <w:rsid w:val="00F27F52"/>
    <w:rsid w:val="00F300D5"/>
    <w:rsid w:val="00F30176"/>
    <w:rsid w:val="00F305DB"/>
    <w:rsid w:val="00F306B4"/>
    <w:rsid w:val="00F312BD"/>
    <w:rsid w:val="00F3152B"/>
    <w:rsid w:val="00F31C6C"/>
    <w:rsid w:val="00F32365"/>
    <w:rsid w:val="00F32583"/>
    <w:rsid w:val="00F325A5"/>
    <w:rsid w:val="00F32612"/>
    <w:rsid w:val="00F32A86"/>
    <w:rsid w:val="00F331F7"/>
    <w:rsid w:val="00F33616"/>
    <w:rsid w:val="00F338D9"/>
    <w:rsid w:val="00F339F0"/>
    <w:rsid w:val="00F33F9D"/>
    <w:rsid w:val="00F3406E"/>
    <w:rsid w:val="00F343C1"/>
    <w:rsid w:val="00F344EC"/>
    <w:rsid w:val="00F34C96"/>
    <w:rsid w:val="00F35320"/>
    <w:rsid w:val="00F35762"/>
    <w:rsid w:val="00F35836"/>
    <w:rsid w:val="00F359B6"/>
    <w:rsid w:val="00F35AE6"/>
    <w:rsid w:val="00F35F61"/>
    <w:rsid w:val="00F36697"/>
    <w:rsid w:val="00F36A53"/>
    <w:rsid w:val="00F36AA5"/>
    <w:rsid w:val="00F3791E"/>
    <w:rsid w:val="00F40118"/>
    <w:rsid w:val="00F40248"/>
    <w:rsid w:val="00F4039A"/>
    <w:rsid w:val="00F404C5"/>
    <w:rsid w:val="00F40B8C"/>
    <w:rsid w:val="00F41250"/>
    <w:rsid w:val="00F41762"/>
    <w:rsid w:val="00F41B99"/>
    <w:rsid w:val="00F423BE"/>
    <w:rsid w:val="00F42A37"/>
    <w:rsid w:val="00F42A80"/>
    <w:rsid w:val="00F42B26"/>
    <w:rsid w:val="00F4302E"/>
    <w:rsid w:val="00F432C1"/>
    <w:rsid w:val="00F44150"/>
    <w:rsid w:val="00F442EB"/>
    <w:rsid w:val="00F444B9"/>
    <w:rsid w:val="00F4539A"/>
    <w:rsid w:val="00F453A4"/>
    <w:rsid w:val="00F458C9"/>
    <w:rsid w:val="00F4601A"/>
    <w:rsid w:val="00F46C65"/>
    <w:rsid w:val="00F471F1"/>
    <w:rsid w:val="00F47635"/>
    <w:rsid w:val="00F476A8"/>
    <w:rsid w:val="00F50092"/>
    <w:rsid w:val="00F50FE2"/>
    <w:rsid w:val="00F51917"/>
    <w:rsid w:val="00F5201D"/>
    <w:rsid w:val="00F527F7"/>
    <w:rsid w:val="00F52BAB"/>
    <w:rsid w:val="00F52C67"/>
    <w:rsid w:val="00F52F3D"/>
    <w:rsid w:val="00F53A6E"/>
    <w:rsid w:val="00F54736"/>
    <w:rsid w:val="00F54827"/>
    <w:rsid w:val="00F54932"/>
    <w:rsid w:val="00F54C2E"/>
    <w:rsid w:val="00F54DBF"/>
    <w:rsid w:val="00F55112"/>
    <w:rsid w:val="00F5512D"/>
    <w:rsid w:val="00F5570A"/>
    <w:rsid w:val="00F55B1F"/>
    <w:rsid w:val="00F5615E"/>
    <w:rsid w:val="00F563BE"/>
    <w:rsid w:val="00F564E2"/>
    <w:rsid w:val="00F56D69"/>
    <w:rsid w:val="00F5708D"/>
    <w:rsid w:val="00F57963"/>
    <w:rsid w:val="00F57A8E"/>
    <w:rsid w:val="00F57D24"/>
    <w:rsid w:val="00F606B6"/>
    <w:rsid w:val="00F608B9"/>
    <w:rsid w:val="00F60DB6"/>
    <w:rsid w:val="00F6109C"/>
    <w:rsid w:val="00F61AF7"/>
    <w:rsid w:val="00F6286A"/>
    <w:rsid w:val="00F63EEB"/>
    <w:rsid w:val="00F64EB4"/>
    <w:rsid w:val="00F653DD"/>
    <w:rsid w:val="00F65689"/>
    <w:rsid w:val="00F65748"/>
    <w:rsid w:val="00F65879"/>
    <w:rsid w:val="00F65B8D"/>
    <w:rsid w:val="00F65C08"/>
    <w:rsid w:val="00F65E53"/>
    <w:rsid w:val="00F66488"/>
    <w:rsid w:val="00F6649C"/>
    <w:rsid w:val="00F67E38"/>
    <w:rsid w:val="00F67ED4"/>
    <w:rsid w:val="00F67FB4"/>
    <w:rsid w:val="00F700A1"/>
    <w:rsid w:val="00F70205"/>
    <w:rsid w:val="00F702F7"/>
    <w:rsid w:val="00F7083D"/>
    <w:rsid w:val="00F70860"/>
    <w:rsid w:val="00F7128B"/>
    <w:rsid w:val="00F7192D"/>
    <w:rsid w:val="00F71F6E"/>
    <w:rsid w:val="00F72948"/>
    <w:rsid w:val="00F72F29"/>
    <w:rsid w:val="00F735E7"/>
    <w:rsid w:val="00F737AC"/>
    <w:rsid w:val="00F737C3"/>
    <w:rsid w:val="00F73957"/>
    <w:rsid w:val="00F7395A"/>
    <w:rsid w:val="00F73A34"/>
    <w:rsid w:val="00F741A1"/>
    <w:rsid w:val="00F742F5"/>
    <w:rsid w:val="00F744C2"/>
    <w:rsid w:val="00F74F36"/>
    <w:rsid w:val="00F75016"/>
    <w:rsid w:val="00F7536B"/>
    <w:rsid w:val="00F7689F"/>
    <w:rsid w:val="00F76DBB"/>
    <w:rsid w:val="00F80632"/>
    <w:rsid w:val="00F81401"/>
    <w:rsid w:val="00F8155E"/>
    <w:rsid w:val="00F81635"/>
    <w:rsid w:val="00F81D5C"/>
    <w:rsid w:val="00F822AF"/>
    <w:rsid w:val="00F823E0"/>
    <w:rsid w:val="00F82631"/>
    <w:rsid w:val="00F8275C"/>
    <w:rsid w:val="00F828B4"/>
    <w:rsid w:val="00F82922"/>
    <w:rsid w:val="00F82CAD"/>
    <w:rsid w:val="00F82DCF"/>
    <w:rsid w:val="00F83662"/>
    <w:rsid w:val="00F8455A"/>
    <w:rsid w:val="00F84C58"/>
    <w:rsid w:val="00F8538D"/>
    <w:rsid w:val="00F85CFD"/>
    <w:rsid w:val="00F8620A"/>
    <w:rsid w:val="00F863B8"/>
    <w:rsid w:val="00F864D8"/>
    <w:rsid w:val="00F868B4"/>
    <w:rsid w:val="00F87230"/>
    <w:rsid w:val="00F8734F"/>
    <w:rsid w:val="00F876F9"/>
    <w:rsid w:val="00F8799A"/>
    <w:rsid w:val="00F9045A"/>
    <w:rsid w:val="00F905D8"/>
    <w:rsid w:val="00F908AE"/>
    <w:rsid w:val="00F90F0C"/>
    <w:rsid w:val="00F911C6"/>
    <w:rsid w:val="00F91930"/>
    <w:rsid w:val="00F91AB2"/>
    <w:rsid w:val="00F91BF2"/>
    <w:rsid w:val="00F9272F"/>
    <w:rsid w:val="00F927F1"/>
    <w:rsid w:val="00F92A48"/>
    <w:rsid w:val="00F92C2B"/>
    <w:rsid w:val="00F92E0E"/>
    <w:rsid w:val="00F92F89"/>
    <w:rsid w:val="00F9375B"/>
    <w:rsid w:val="00F94BEF"/>
    <w:rsid w:val="00F95299"/>
    <w:rsid w:val="00F95946"/>
    <w:rsid w:val="00F96124"/>
    <w:rsid w:val="00F96530"/>
    <w:rsid w:val="00F9725F"/>
    <w:rsid w:val="00F976B3"/>
    <w:rsid w:val="00F97A27"/>
    <w:rsid w:val="00FA02E6"/>
    <w:rsid w:val="00FA048F"/>
    <w:rsid w:val="00FA06F4"/>
    <w:rsid w:val="00FA0ADE"/>
    <w:rsid w:val="00FA13D4"/>
    <w:rsid w:val="00FA17F8"/>
    <w:rsid w:val="00FA1BA1"/>
    <w:rsid w:val="00FA221F"/>
    <w:rsid w:val="00FA2B80"/>
    <w:rsid w:val="00FA370D"/>
    <w:rsid w:val="00FA3AAF"/>
    <w:rsid w:val="00FA41E8"/>
    <w:rsid w:val="00FA4403"/>
    <w:rsid w:val="00FA4675"/>
    <w:rsid w:val="00FA4964"/>
    <w:rsid w:val="00FA4A8A"/>
    <w:rsid w:val="00FA4C3D"/>
    <w:rsid w:val="00FA5263"/>
    <w:rsid w:val="00FA567B"/>
    <w:rsid w:val="00FA5F40"/>
    <w:rsid w:val="00FA5FC6"/>
    <w:rsid w:val="00FA6315"/>
    <w:rsid w:val="00FA68AF"/>
    <w:rsid w:val="00FA78A2"/>
    <w:rsid w:val="00FA7EF1"/>
    <w:rsid w:val="00FB10F5"/>
    <w:rsid w:val="00FB1171"/>
    <w:rsid w:val="00FB1E06"/>
    <w:rsid w:val="00FB1FF3"/>
    <w:rsid w:val="00FB2B31"/>
    <w:rsid w:val="00FB2B32"/>
    <w:rsid w:val="00FB2E9F"/>
    <w:rsid w:val="00FB2FAF"/>
    <w:rsid w:val="00FB31A1"/>
    <w:rsid w:val="00FB3396"/>
    <w:rsid w:val="00FB3DAB"/>
    <w:rsid w:val="00FB4152"/>
    <w:rsid w:val="00FB4651"/>
    <w:rsid w:val="00FB4B0D"/>
    <w:rsid w:val="00FB4C67"/>
    <w:rsid w:val="00FB50B0"/>
    <w:rsid w:val="00FB5575"/>
    <w:rsid w:val="00FB58F3"/>
    <w:rsid w:val="00FB59CD"/>
    <w:rsid w:val="00FB5B7E"/>
    <w:rsid w:val="00FB6D37"/>
    <w:rsid w:val="00FB7B71"/>
    <w:rsid w:val="00FB7C71"/>
    <w:rsid w:val="00FC0BC3"/>
    <w:rsid w:val="00FC0CA4"/>
    <w:rsid w:val="00FC119E"/>
    <w:rsid w:val="00FC11CA"/>
    <w:rsid w:val="00FC13B1"/>
    <w:rsid w:val="00FC159B"/>
    <w:rsid w:val="00FC19B4"/>
    <w:rsid w:val="00FC296C"/>
    <w:rsid w:val="00FC2C79"/>
    <w:rsid w:val="00FC3116"/>
    <w:rsid w:val="00FC3135"/>
    <w:rsid w:val="00FC36F6"/>
    <w:rsid w:val="00FC3803"/>
    <w:rsid w:val="00FC3A3A"/>
    <w:rsid w:val="00FC3C71"/>
    <w:rsid w:val="00FC3F59"/>
    <w:rsid w:val="00FC53EA"/>
    <w:rsid w:val="00FC6326"/>
    <w:rsid w:val="00FC6EBF"/>
    <w:rsid w:val="00FC7241"/>
    <w:rsid w:val="00FC7658"/>
    <w:rsid w:val="00FD0009"/>
    <w:rsid w:val="00FD0126"/>
    <w:rsid w:val="00FD019C"/>
    <w:rsid w:val="00FD04EB"/>
    <w:rsid w:val="00FD06B0"/>
    <w:rsid w:val="00FD080E"/>
    <w:rsid w:val="00FD0841"/>
    <w:rsid w:val="00FD1504"/>
    <w:rsid w:val="00FD18B7"/>
    <w:rsid w:val="00FD1B09"/>
    <w:rsid w:val="00FD2157"/>
    <w:rsid w:val="00FD2511"/>
    <w:rsid w:val="00FD282C"/>
    <w:rsid w:val="00FD2B08"/>
    <w:rsid w:val="00FD3670"/>
    <w:rsid w:val="00FD37AB"/>
    <w:rsid w:val="00FD3D3D"/>
    <w:rsid w:val="00FD4020"/>
    <w:rsid w:val="00FD40B9"/>
    <w:rsid w:val="00FD4887"/>
    <w:rsid w:val="00FD4B0E"/>
    <w:rsid w:val="00FD4C3D"/>
    <w:rsid w:val="00FD4EC9"/>
    <w:rsid w:val="00FD5752"/>
    <w:rsid w:val="00FD5774"/>
    <w:rsid w:val="00FD5FA3"/>
    <w:rsid w:val="00FD6587"/>
    <w:rsid w:val="00FD6EFC"/>
    <w:rsid w:val="00FD708A"/>
    <w:rsid w:val="00FD712D"/>
    <w:rsid w:val="00FD73A4"/>
    <w:rsid w:val="00FE03B4"/>
    <w:rsid w:val="00FE0837"/>
    <w:rsid w:val="00FE0B6C"/>
    <w:rsid w:val="00FE0C5B"/>
    <w:rsid w:val="00FE10CA"/>
    <w:rsid w:val="00FE18FB"/>
    <w:rsid w:val="00FE2955"/>
    <w:rsid w:val="00FE29C5"/>
    <w:rsid w:val="00FE2D8D"/>
    <w:rsid w:val="00FE2EA1"/>
    <w:rsid w:val="00FE3148"/>
    <w:rsid w:val="00FE3C8C"/>
    <w:rsid w:val="00FE3D52"/>
    <w:rsid w:val="00FE4897"/>
    <w:rsid w:val="00FE4BC4"/>
    <w:rsid w:val="00FE5642"/>
    <w:rsid w:val="00FE5EF0"/>
    <w:rsid w:val="00FE5EF9"/>
    <w:rsid w:val="00FE67A9"/>
    <w:rsid w:val="00FE68F6"/>
    <w:rsid w:val="00FE6A08"/>
    <w:rsid w:val="00FE6FE4"/>
    <w:rsid w:val="00FE7348"/>
    <w:rsid w:val="00FE7615"/>
    <w:rsid w:val="00FE7706"/>
    <w:rsid w:val="00FF025D"/>
    <w:rsid w:val="00FF0385"/>
    <w:rsid w:val="00FF05D8"/>
    <w:rsid w:val="00FF09FC"/>
    <w:rsid w:val="00FF0A0B"/>
    <w:rsid w:val="00FF0CD9"/>
    <w:rsid w:val="00FF0E18"/>
    <w:rsid w:val="00FF162C"/>
    <w:rsid w:val="00FF1AA5"/>
    <w:rsid w:val="00FF2AB3"/>
    <w:rsid w:val="00FF2C32"/>
    <w:rsid w:val="00FF2DE1"/>
    <w:rsid w:val="00FF2EAD"/>
    <w:rsid w:val="00FF2EC1"/>
    <w:rsid w:val="00FF39C1"/>
    <w:rsid w:val="00FF4276"/>
    <w:rsid w:val="00FF43D4"/>
    <w:rsid w:val="00FF47F4"/>
    <w:rsid w:val="00FF49C9"/>
    <w:rsid w:val="00FF4FC1"/>
    <w:rsid w:val="00FF513F"/>
    <w:rsid w:val="00FF60FD"/>
    <w:rsid w:val="00FF641F"/>
    <w:rsid w:val="00FF65C9"/>
    <w:rsid w:val="00FF6ECA"/>
    <w:rsid w:val="00FF753B"/>
    <w:rsid w:val="00FF7893"/>
    <w:rsid w:val="03075A64"/>
    <w:rsid w:val="03AD5615"/>
    <w:rsid w:val="041A5C49"/>
    <w:rsid w:val="04B17441"/>
    <w:rsid w:val="04F2372E"/>
    <w:rsid w:val="08EF2F88"/>
    <w:rsid w:val="08F1731C"/>
    <w:rsid w:val="0A2A393B"/>
    <w:rsid w:val="0AA7609D"/>
    <w:rsid w:val="0AC861FE"/>
    <w:rsid w:val="0C13125D"/>
    <w:rsid w:val="0C9F46C4"/>
    <w:rsid w:val="0E7035FC"/>
    <w:rsid w:val="13D1743E"/>
    <w:rsid w:val="14AE4079"/>
    <w:rsid w:val="14B95C8D"/>
    <w:rsid w:val="16815279"/>
    <w:rsid w:val="1AF75570"/>
    <w:rsid w:val="21D2510C"/>
    <w:rsid w:val="23D16DD0"/>
    <w:rsid w:val="24214DC1"/>
    <w:rsid w:val="25BC36AC"/>
    <w:rsid w:val="25C361A9"/>
    <w:rsid w:val="26261822"/>
    <w:rsid w:val="273F35F4"/>
    <w:rsid w:val="29527671"/>
    <w:rsid w:val="2C5A4613"/>
    <w:rsid w:val="2D3F2762"/>
    <w:rsid w:val="2E5F3ACB"/>
    <w:rsid w:val="2EB61B31"/>
    <w:rsid w:val="2ECB6253"/>
    <w:rsid w:val="334A28B5"/>
    <w:rsid w:val="34432ACD"/>
    <w:rsid w:val="34EC735D"/>
    <w:rsid w:val="37B94B27"/>
    <w:rsid w:val="3D724EB5"/>
    <w:rsid w:val="3DA53183"/>
    <w:rsid w:val="404E1D8E"/>
    <w:rsid w:val="44C147DB"/>
    <w:rsid w:val="4EB95335"/>
    <w:rsid w:val="50523E01"/>
    <w:rsid w:val="55ED318A"/>
    <w:rsid w:val="5D2778CA"/>
    <w:rsid w:val="60F4061E"/>
    <w:rsid w:val="62D93716"/>
    <w:rsid w:val="67A7139C"/>
    <w:rsid w:val="69A73A70"/>
    <w:rsid w:val="6A8B338F"/>
    <w:rsid w:val="6F3E5C10"/>
    <w:rsid w:val="70931DCE"/>
    <w:rsid w:val="715C50EA"/>
    <w:rsid w:val="734E20D4"/>
    <w:rsid w:val="7408106C"/>
    <w:rsid w:val="75303A5C"/>
    <w:rsid w:val="78663B14"/>
    <w:rsid w:val="7955121E"/>
    <w:rsid w:val="7BEB7F5D"/>
    <w:rsid w:val="7CEF1D89"/>
    <w:rsid w:val="7D621621"/>
    <w:rsid w:val="7EB85AF2"/>
    <w:rsid w:val="7F9C15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nhideWhenUsed="0"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iPriority="99" w:name="List"/>
    <w:lsdException w:uiPriority="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qFormat="1" w:uiPriority="0" w:semiHidden="0" w:name="Body Text 2"/>
    <w:lsdException w:uiPriority="0" w:name="Body Text 3"/>
    <w:lsdException w:qFormat="1" w:unhideWhenUsed="0" w:uiPriority="99"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99" w:semiHidden="0" w:name="HTML Preformatted"/>
    <w:lsdException w:uiPriority="0" w:name="HTML Sample"/>
    <w:lsdException w:uiPriority="0" w:name="HTML Typewriter"/>
    <w:lsdException w:uiPriority="0" w:name="HTML Variable"/>
    <w:lsdException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99"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2"/>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01"/>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27">
    <w:name w:val="Default Paragraph Font"/>
    <w:semiHidden/>
    <w:unhideWhenUsed/>
    <w:uiPriority w:val="1"/>
  </w:style>
  <w:style w:type="table" w:default="1" w:styleId="25">
    <w:name w:val="Normal Table"/>
    <w:semiHidden/>
    <w:unhideWhenUsed/>
    <w:uiPriority w:val="99"/>
    <w:tblPr>
      <w:tblLayout w:type="fixed"/>
      <w:tblCellMar>
        <w:top w:w="0" w:type="dxa"/>
        <w:left w:w="108" w:type="dxa"/>
        <w:bottom w:w="0" w:type="dxa"/>
        <w:right w:w="108" w:type="dxa"/>
      </w:tblCellMar>
    </w:tblPr>
  </w:style>
  <w:style w:type="paragraph" w:styleId="4">
    <w:name w:val="Normal Indent"/>
    <w:basedOn w:val="1"/>
    <w:link w:val="46"/>
    <w:qFormat/>
    <w:uiPriority w:val="0"/>
    <w:pPr>
      <w:ind w:firstLine="420"/>
    </w:pPr>
  </w:style>
  <w:style w:type="paragraph" w:styleId="5">
    <w:name w:val="Document Map"/>
    <w:basedOn w:val="1"/>
    <w:link w:val="93"/>
    <w:qFormat/>
    <w:uiPriority w:val="99"/>
    <w:pPr>
      <w:shd w:val="clear" w:color="auto" w:fill="000080"/>
    </w:pPr>
  </w:style>
  <w:style w:type="paragraph" w:styleId="6">
    <w:name w:val="annotation text"/>
    <w:basedOn w:val="1"/>
    <w:link w:val="45"/>
    <w:qFormat/>
    <w:uiPriority w:val="99"/>
    <w:pPr>
      <w:jc w:val="left"/>
    </w:pPr>
  </w:style>
  <w:style w:type="paragraph" w:styleId="7">
    <w:name w:val="Body Text"/>
    <w:basedOn w:val="1"/>
    <w:link w:val="36"/>
    <w:qFormat/>
    <w:uiPriority w:val="0"/>
    <w:pPr>
      <w:spacing w:after="120"/>
    </w:pPr>
  </w:style>
  <w:style w:type="paragraph" w:styleId="8">
    <w:name w:val="Body Text Indent"/>
    <w:basedOn w:val="1"/>
    <w:link w:val="42"/>
    <w:qFormat/>
    <w:uiPriority w:val="0"/>
    <w:pPr>
      <w:tabs>
        <w:tab w:val="left" w:pos="5180"/>
      </w:tabs>
      <w:spacing w:line="460" w:lineRule="atLeast"/>
      <w:ind w:right="87" w:firstLine="526"/>
    </w:pPr>
    <w:rPr>
      <w:sz w:val="28"/>
      <w:szCs w:val="20"/>
    </w:rPr>
  </w:style>
  <w:style w:type="paragraph" w:styleId="9">
    <w:name w:val="Block Text"/>
    <w:basedOn w:val="1"/>
    <w:qFormat/>
    <w:uiPriority w:val="0"/>
    <w:pPr>
      <w:snapToGrid w:val="0"/>
      <w:spacing w:before="180" w:line="380" w:lineRule="atLeast"/>
      <w:ind w:left="142" w:right="170" w:firstLine="476"/>
    </w:pPr>
    <w:rPr>
      <w:sz w:val="24"/>
      <w:szCs w:val="20"/>
    </w:rPr>
  </w:style>
  <w:style w:type="paragraph" w:styleId="10">
    <w:name w:val="Plain Text"/>
    <w:basedOn w:val="1"/>
    <w:link w:val="33"/>
    <w:qFormat/>
    <w:uiPriority w:val="0"/>
    <w:rPr>
      <w:rFonts w:ascii="宋体" w:hAnsi="Courier New"/>
      <w:kern w:val="0"/>
      <w:sz w:val="20"/>
      <w:szCs w:val="20"/>
    </w:rPr>
  </w:style>
  <w:style w:type="paragraph" w:styleId="11">
    <w:name w:val="Date"/>
    <w:basedOn w:val="1"/>
    <w:next w:val="1"/>
    <w:link w:val="65"/>
    <w:qFormat/>
    <w:uiPriority w:val="0"/>
    <w:pPr>
      <w:ind w:left="100" w:leftChars="2500"/>
    </w:pPr>
  </w:style>
  <w:style w:type="paragraph" w:styleId="12">
    <w:name w:val="Body Text Indent 2"/>
    <w:basedOn w:val="1"/>
    <w:link w:val="112"/>
    <w:qFormat/>
    <w:uiPriority w:val="99"/>
    <w:pPr>
      <w:spacing w:after="120" w:line="480" w:lineRule="auto"/>
      <w:ind w:left="420" w:leftChars="200"/>
    </w:pPr>
  </w:style>
  <w:style w:type="paragraph" w:styleId="13">
    <w:name w:val="Balloon Text"/>
    <w:basedOn w:val="1"/>
    <w:link w:val="39"/>
    <w:qFormat/>
    <w:uiPriority w:val="99"/>
    <w:rPr>
      <w:sz w:val="18"/>
      <w:szCs w:val="18"/>
    </w:rPr>
  </w:style>
  <w:style w:type="paragraph" w:styleId="14">
    <w:name w:val="footer"/>
    <w:basedOn w:val="1"/>
    <w:link w:val="49"/>
    <w:qFormat/>
    <w:uiPriority w:val="99"/>
    <w:pPr>
      <w:tabs>
        <w:tab w:val="center" w:pos="4153"/>
        <w:tab w:val="right" w:pos="8306"/>
      </w:tabs>
      <w:snapToGrid w:val="0"/>
      <w:jc w:val="left"/>
    </w:pPr>
    <w:rPr>
      <w:sz w:val="18"/>
      <w:szCs w:val="20"/>
    </w:rPr>
  </w:style>
  <w:style w:type="paragraph" w:styleId="15">
    <w:name w:val="header"/>
    <w:basedOn w:val="1"/>
    <w:link w:val="31"/>
    <w:qFormat/>
    <w:uiPriority w:val="99"/>
    <w:pPr>
      <w:pBdr>
        <w:bottom w:val="single" w:color="auto" w:sz="6" w:space="1"/>
      </w:pBdr>
      <w:tabs>
        <w:tab w:val="center" w:pos="4153"/>
        <w:tab w:val="right" w:pos="8306"/>
      </w:tabs>
      <w:snapToGrid w:val="0"/>
      <w:jc w:val="center"/>
    </w:pPr>
    <w:rPr>
      <w:sz w:val="18"/>
      <w:szCs w:val="18"/>
    </w:rPr>
  </w:style>
  <w:style w:type="paragraph" w:styleId="16">
    <w:name w:val="List"/>
    <w:basedOn w:val="1"/>
    <w:semiHidden/>
    <w:unhideWhenUsed/>
    <w:qFormat/>
    <w:uiPriority w:val="99"/>
    <w:pPr>
      <w:ind w:left="200" w:hanging="200" w:hangingChars="200"/>
      <w:contextualSpacing/>
    </w:pPr>
  </w:style>
  <w:style w:type="paragraph" w:styleId="17">
    <w:name w:val="footnote text"/>
    <w:basedOn w:val="1"/>
    <w:link w:val="111"/>
    <w:semiHidden/>
    <w:uiPriority w:val="0"/>
    <w:pPr>
      <w:snapToGrid w:val="0"/>
      <w:ind w:firstLine="425"/>
      <w:jc w:val="left"/>
    </w:pPr>
    <w:rPr>
      <w:sz w:val="18"/>
      <w:szCs w:val="18"/>
    </w:rPr>
  </w:style>
  <w:style w:type="paragraph" w:styleId="18">
    <w:name w:val="Body Text Indent 3"/>
    <w:basedOn w:val="1"/>
    <w:link w:val="44"/>
    <w:qFormat/>
    <w:uiPriority w:val="0"/>
    <w:pPr>
      <w:spacing w:after="120"/>
      <w:ind w:left="420" w:leftChars="200"/>
    </w:pPr>
    <w:rPr>
      <w:sz w:val="16"/>
      <w:szCs w:val="16"/>
    </w:rPr>
  </w:style>
  <w:style w:type="paragraph" w:styleId="19">
    <w:name w:val="Body Text 2"/>
    <w:basedOn w:val="1"/>
    <w:link w:val="71"/>
    <w:unhideWhenUsed/>
    <w:qFormat/>
    <w:uiPriority w:val="0"/>
    <w:pPr>
      <w:spacing w:after="120" w:line="480" w:lineRule="auto"/>
      <w:ind w:firstLine="425"/>
    </w:pPr>
    <w:rPr>
      <w:sz w:val="24"/>
      <w:szCs w:val="20"/>
    </w:rPr>
  </w:style>
  <w:style w:type="paragraph" w:styleId="20">
    <w:name w:val="HTML Preformatted"/>
    <w:basedOn w:val="1"/>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1">
    <w:name w:val="Normal (Web)"/>
    <w:basedOn w:val="1"/>
    <w:unhideWhenUsed/>
    <w:qFormat/>
    <w:uiPriority w:val="99"/>
    <w:pPr>
      <w:widowControl/>
      <w:jc w:val="left"/>
    </w:pPr>
    <w:rPr>
      <w:rFonts w:ascii="Verdana" w:hAnsi="Verdana" w:cs="宋体"/>
      <w:kern w:val="0"/>
      <w:sz w:val="16"/>
      <w:szCs w:val="16"/>
    </w:rPr>
  </w:style>
  <w:style w:type="paragraph" w:styleId="22">
    <w:name w:val="Title"/>
    <w:basedOn w:val="1"/>
    <w:next w:val="1"/>
    <w:link w:val="119"/>
    <w:qFormat/>
    <w:uiPriority w:val="0"/>
    <w:pPr>
      <w:spacing w:line="360" w:lineRule="auto"/>
    </w:pPr>
    <w:rPr>
      <w:bCs/>
      <w:sz w:val="24"/>
      <w:szCs w:val="32"/>
    </w:rPr>
  </w:style>
  <w:style w:type="paragraph" w:styleId="23">
    <w:name w:val="annotation subject"/>
    <w:basedOn w:val="6"/>
    <w:next w:val="6"/>
    <w:link w:val="76"/>
    <w:unhideWhenUsed/>
    <w:qFormat/>
    <w:uiPriority w:val="99"/>
    <w:rPr>
      <w:b/>
      <w:bCs/>
    </w:rPr>
  </w:style>
  <w:style w:type="paragraph" w:styleId="24">
    <w:name w:val="Body Text First Indent"/>
    <w:basedOn w:val="7"/>
    <w:link w:val="70"/>
    <w:qFormat/>
    <w:uiPriority w:val="0"/>
    <w:pPr>
      <w:ind w:firstLine="420" w:firstLineChars="100"/>
    </w:pPr>
  </w:style>
  <w:style w:type="table" w:styleId="26">
    <w:name w:val="Table Grid"/>
    <w:basedOn w:val="25"/>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8">
    <w:name w:val="page number"/>
    <w:basedOn w:val="27"/>
    <w:qFormat/>
    <w:uiPriority w:val="0"/>
  </w:style>
  <w:style w:type="character" w:styleId="29">
    <w:name w:val="Hyperlink"/>
    <w:basedOn w:val="27"/>
    <w:unhideWhenUsed/>
    <w:qFormat/>
    <w:uiPriority w:val="99"/>
    <w:rPr>
      <w:color w:val="0000FF"/>
      <w:u w:val="single"/>
    </w:rPr>
  </w:style>
  <w:style w:type="character" w:styleId="30">
    <w:name w:val="annotation reference"/>
    <w:basedOn w:val="27"/>
    <w:unhideWhenUsed/>
    <w:qFormat/>
    <w:uiPriority w:val="0"/>
    <w:rPr>
      <w:sz w:val="21"/>
      <w:szCs w:val="21"/>
    </w:rPr>
  </w:style>
  <w:style w:type="character" w:customStyle="1" w:styleId="31">
    <w:name w:val="页眉 字符"/>
    <w:link w:val="15"/>
    <w:qFormat/>
    <w:uiPriority w:val="99"/>
    <w:rPr>
      <w:rFonts w:eastAsia="宋体"/>
      <w:kern w:val="2"/>
      <w:sz w:val="18"/>
      <w:szCs w:val="18"/>
      <w:lang w:val="en-US" w:eastAsia="zh-CN" w:bidi="ar-SA"/>
    </w:rPr>
  </w:style>
  <w:style w:type="character" w:customStyle="1" w:styleId="32">
    <w:name w:val="样式1 Char Char"/>
    <w:qFormat/>
    <w:uiPriority w:val="0"/>
    <w:rPr>
      <w:rFonts w:eastAsia="宋体"/>
      <w:kern w:val="2"/>
      <w:sz w:val="28"/>
      <w:lang w:val="en-US" w:eastAsia="zh-CN" w:bidi="ar-SA"/>
    </w:rPr>
  </w:style>
  <w:style w:type="character" w:customStyle="1" w:styleId="33">
    <w:name w:val="纯文本 字符"/>
    <w:link w:val="10"/>
    <w:qFormat/>
    <w:uiPriority w:val="99"/>
    <w:rPr>
      <w:rFonts w:ascii="宋体" w:hAnsi="Courier New"/>
    </w:rPr>
  </w:style>
  <w:style w:type="character" w:customStyle="1" w:styleId="34">
    <w:name w:val="样式1 Char"/>
    <w:link w:val="35"/>
    <w:qFormat/>
    <w:uiPriority w:val="0"/>
    <w:rPr>
      <w:rFonts w:eastAsia="宋体"/>
      <w:kern w:val="2"/>
      <w:sz w:val="28"/>
      <w:lang w:val="en-US" w:eastAsia="zh-CN" w:bidi="ar-SA"/>
    </w:rPr>
  </w:style>
  <w:style w:type="paragraph" w:customStyle="1" w:styleId="35">
    <w:name w:val="样式1"/>
    <w:basedOn w:val="1"/>
    <w:link w:val="34"/>
    <w:qFormat/>
    <w:uiPriority w:val="0"/>
    <w:rPr>
      <w:sz w:val="28"/>
      <w:szCs w:val="20"/>
    </w:rPr>
  </w:style>
  <w:style w:type="character" w:customStyle="1" w:styleId="36">
    <w:name w:val="正文文本 字符"/>
    <w:link w:val="7"/>
    <w:qFormat/>
    <w:uiPriority w:val="0"/>
    <w:rPr>
      <w:rFonts w:eastAsia="宋体"/>
      <w:kern w:val="2"/>
      <w:sz w:val="21"/>
      <w:szCs w:val="24"/>
      <w:lang w:val="en-US" w:eastAsia="zh-CN" w:bidi="ar-SA"/>
    </w:rPr>
  </w:style>
  <w:style w:type="character" w:customStyle="1" w:styleId="37">
    <w:name w:val="表格、图表名称 Char"/>
    <w:link w:val="38"/>
    <w:qFormat/>
    <w:uiPriority w:val="0"/>
    <w:rPr>
      <w:rFonts w:eastAsia="宋体"/>
      <w:b/>
      <w:kern w:val="2"/>
      <w:sz w:val="24"/>
      <w:szCs w:val="22"/>
      <w:lang w:val="en-US" w:eastAsia="zh-CN" w:bidi="ar-SA"/>
    </w:rPr>
  </w:style>
  <w:style w:type="paragraph" w:customStyle="1" w:styleId="38">
    <w:name w:val="表格、图表名称"/>
    <w:basedOn w:val="1"/>
    <w:link w:val="37"/>
    <w:qFormat/>
    <w:uiPriority w:val="0"/>
    <w:pPr>
      <w:spacing w:line="360" w:lineRule="auto"/>
      <w:jc w:val="center"/>
    </w:pPr>
    <w:rPr>
      <w:b/>
      <w:sz w:val="24"/>
      <w:szCs w:val="22"/>
    </w:rPr>
  </w:style>
  <w:style w:type="character" w:customStyle="1" w:styleId="39">
    <w:name w:val="批注框文本 字符"/>
    <w:link w:val="13"/>
    <w:qFormat/>
    <w:uiPriority w:val="99"/>
    <w:rPr>
      <w:kern w:val="2"/>
      <w:sz w:val="18"/>
      <w:szCs w:val="18"/>
    </w:rPr>
  </w:style>
  <w:style w:type="character" w:customStyle="1" w:styleId="40">
    <w:name w:val="纯文本 Char1"/>
    <w:link w:val="41"/>
    <w:qFormat/>
    <w:uiPriority w:val="0"/>
    <w:rPr>
      <w:rFonts w:ascii="宋体" w:hAnsi="Courier New" w:cs="Courier New"/>
      <w:kern w:val="2"/>
      <w:sz w:val="21"/>
      <w:szCs w:val="21"/>
    </w:rPr>
  </w:style>
  <w:style w:type="paragraph" w:customStyle="1" w:styleId="41">
    <w:name w:val="表格文字"/>
    <w:basedOn w:val="1"/>
    <w:link w:val="40"/>
    <w:qFormat/>
    <w:uiPriority w:val="0"/>
    <w:pPr>
      <w:tabs>
        <w:tab w:val="left" w:pos="-2848"/>
      </w:tabs>
      <w:spacing w:beforeLines="15" w:afterLines="15" w:line="300" w:lineRule="atLeast"/>
      <w:jc w:val="center"/>
    </w:pPr>
    <w:rPr>
      <w:rFonts w:ascii="宋体" w:hAnsi="Courier New" w:cs="Courier New"/>
      <w:szCs w:val="21"/>
    </w:rPr>
  </w:style>
  <w:style w:type="character" w:customStyle="1" w:styleId="42">
    <w:name w:val="正文文本缩进 字符"/>
    <w:link w:val="8"/>
    <w:qFormat/>
    <w:uiPriority w:val="0"/>
    <w:rPr>
      <w:rFonts w:eastAsia="宋体"/>
      <w:kern w:val="2"/>
      <w:sz w:val="28"/>
      <w:lang w:val="en-US" w:eastAsia="zh-CN" w:bidi="ar-SA"/>
    </w:rPr>
  </w:style>
  <w:style w:type="character" w:customStyle="1" w:styleId="43">
    <w:name w:val="textfont1"/>
    <w:qFormat/>
    <w:uiPriority w:val="0"/>
    <w:rPr>
      <w:rFonts w:hint="default"/>
      <w:color w:val="000000"/>
      <w:sz w:val="22"/>
      <w:szCs w:val="22"/>
    </w:rPr>
  </w:style>
  <w:style w:type="character" w:customStyle="1" w:styleId="44">
    <w:name w:val="正文文本缩进 3 字符"/>
    <w:link w:val="18"/>
    <w:qFormat/>
    <w:uiPriority w:val="0"/>
    <w:rPr>
      <w:kern w:val="2"/>
      <w:sz w:val="16"/>
      <w:szCs w:val="16"/>
    </w:rPr>
  </w:style>
  <w:style w:type="character" w:customStyle="1" w:styleId="45">
    <w:name w:val="批注文字 字符"/>
    <w:link w:val="6"/>
    <w:qFormat/>
    <w:uiPriority w:val="99"/>
    <w:rPr>
      <w:kern w:val="2"/>
      <w:sz w:val="21"/>
      <w:szCs w:val="24"/>
    </w:rPr>
  </w:style>
  <w:style w:type="character" w:customStyle="1" w:styleId="46">
    <w:name w:val="正文缩进 字符"/>
    <w:link w:val="4"/>
    <w:qFormat/>
    <w:uiPriority w:val="0"/>
    <w:rPr>
      <w:rFonts w:eastAsia="宋体"/>
      <w:kern w:val="2"/>
      <w:sz w:val="21"/>
      <w:szCs w:val="24"/>
      <w:lang w:val="en-US" w:eastAsia="zh-CN" w:bidi="ar-SA"/>
    </w:rPr>
  </w:style>
  <w:style w:type="character" w:customStyle="1" w:styleId="47">
    <w:name w:val="表格1 Char1"/>
    <w:link w:val="48"/>
    <w:qFormat/>
    <w:uiPriority w:val="0"/>
    <w:rPr>
      <w:rFonts w:ascii="宋体" w:eastAsia="宋体"/>
      <w:sz w:val="21"/>
      <w:lang w:val="en-US" w:eastAsia="zh-CN" w:bidi="ar-SA"/>
    </w:rPr>
  </w:style>
  <w:style w:type="paragraph" w:customStyle="1" w:styleId="48">
    <w:name w:val="表格1"/>
    <w:basedOn w:val="1"/>
    <w:link w:val="47"/>
    <w:qFormat/>
    <w:uiPriority w:val="0"/>
    <w:pPr>
      <w:adjustRightInd w:val="0"/>
      <w:spacing w:line="20" w:lineRule="atLeast"/>
      <w:jc w:val="center"/>
      <w:textAlignment w:val="center"/>
    </w:pPr>
    <w:rPr>
      <w:rFonts w:ascii="宋体"/>
      <w:kern w:val="0"/>
      <w:szCs w:val="20"/>
    </w:rPr>
  </w:style>
  <w:style w:type="character" w:customStyle="1" w:styleId="49">
    <w:name w:val="页脚 字符"/>
    <w:link w:val="14"/>
    <w:qFormat/>
    <w:uiPriority w:val="99"/>
    <w:rPr>
      <w:rFonts w:eastAsia="宋体"/>
      <w:kern w:val="2"/>
      <w:sz w:val="18"/>
      <w:lang w:val="en-US" w:eastAsia="zh-CN" w:bidi="ar-SA"/>
    </w:rPr>
  </w:style>
  <w:style w:type="character" w:customStyle="1" w:styleId="50">
    <w:name w:val="纯文本 Char Char"/>
    <w:qFormat/>
    <w:uiPriority w:val="0"/>
    <w:rPr>
      <w:rFonts w:ascii="宋体" w:hAnsi="Courier New" w:eastAsia="宋体"/>
      <w:kern w:val="2"/>
      <w:sz w:val="21"/>
      <w:lang w:val="en-US" w:eastAsia="zh-CN" w:bidi="ar-SA"/>
    </w:rPr>
  </w:style>
  <w:style w:type="paragraph" w:customStyle="1" w:styleId="51">
    <w:name w:val="p17"/>
    <w:basedOn w:val="1"/>
    <w:qFormat/>
    <w:uiPriority w:val="0"/>
    <w:pPr>
      <w:widowControl/>
      <w:spacing w:line="400" w:lineRule="atLeast"/>
      <w:jc w:val="center"/>
    </w:pPr>
    <w:rPr>
      <w:rFonts w:ascii="宋体" w:hAnsi="宋体" w:cs="宋体"/>
      <w:kern w:val="0"/>
      <w:sz w:val="24"/>
    </w:rPr>
  </w:style>
  <w:style w:type="paragraph" w:customStyle="1" w:styleId="52">
    <w:name w:val="表格 23"/>
    <w:basedOn w:val="1"/>
    <w:qFormat/>
    <w:uiPriority w:val="0"/>
    <w:pPr>
      <w:autoSpaceDE w:val="0"/>
      <w:autoSpaceDN w:val="0"/>
      <w:adjustRightInd w:val="0"/>
      <w:jc w:val="center"/>
      <w:textAlignment w:val="baseline"/>
    </w:pPr>
    <w:rPr>
      <w:rFonts w:eastAsia="仿宋体"/>
      <w:kern w:val="0"/>
      <w:szCs w:val="20"/>
    </w:rPr>
  </w:style>
  <w:style w:type="paragraph" w:customStyle="1" w:styleId="53">
    <w:name w:val="3 Char"/>
    <w:basedOn w:val="1"/>
    <w:qFormat/>
    <w:uiPriority w:val="0"/>
  </w:style>
  <w:style w:type="paragraph" w:customStyle="1" w:styleId="54">
    <w:name w:val="Char Char Char1 Char"/>
    <w:basedOn w:val="1"/>
    <w:qFormat/>
    <w:uiPriority w:val="0"/>
    <w:pPr>
      <w:adjustRightInd w:val="0"/>
      <w:spacing w:line="360" w:lineRule="auto"/>
    </w:pPr>
    <w:rPr>
      <w:kern w:val="0"/>
      <w:sz w:val="24"/>
      <w:szCs w:val="20"/>
    </w:rPr>
  </w:style>
  <w:style w:type="paragraph" w:customStyle="1" w:styleId="55">
    <w:name w:val="p0"/>
    <w:basedOn w:val="1"/>
    <w:qFormat/>
    <w:uiPriority w:val="0"/>
    <w:pPr>
      <w:widowControl/>
    </w:pPr>
    <w:rPr>
      <w:kern w:val="0"/>
      <w:szCs w:val="21"/>
    </w:rPr>
  </w:style>
  <w:style w:type="paragraph" w:customStyle="1" w:styleId="56">
    <w:name w:val="样式 表格 32 + 首行缩进:  2 字符"/>
    <w:basedOn w:val="1"/>
    <w:qFormat/>
    <w:uiPriority w:val="0"/>
    <w:pPr>
      <w:autoSpaceDE w:val="0"/>
      <w:autoSpaceDN w:val="0"/>
      <w:adjustRightInd w:val="0"/>
      <w:spacing w:line="0" w:lineRule="atLeast"/>
      <w:jc w:val="center"/>
      <w:textAlignment w:val="baseline"/>
    </w:pPr>
    <w:rPr>
      <w:kern w:val="0"/>
      <w:szCs w:val="21"/>
    </w:rPr>
  </w:style>
  <w:style w:type="paragraph" w:customStyle="1" w:styleId="57">
    <w:name w:val="xl3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kern w:val="0"/>
      <w:szCs w:val="21"/>
    </w:rPr>
  </w:style>
  <w:style w:type="paragraph" w:customStyle="1" w:styleId="58">
    <w:name w:val="Char Char Char Char Char Char Char Char Char Char Char Char Char"/>
    <w:basedOn w:val="5"/>
    <w:qFormat/>
    <w:uiPriority w:val="0"/>
    <w:rPr>
      <w:rFonts w:ascii="Tahoma" w:hAnsi="Tahoma"/>
      <w:sz w:val="24"/>
      <w:szCs w:val="20"/>
    </w:rPr>
  </w:style>
  <w:style w:type="paragraph" w:customStyle="1" w:styleId="59">
    <w:name w:val="列出段落1"/>
    <w:basedOn w:val="1"/>
    <w:qFormat/>
    <w:uiPriority w:val="0"/>
    <w:pPr>
      <w:ind w:firstLine="420" w:firstLineChars="200"/>
    </w:pPr>
  </w:style>
  <w:style w:type="paragraph" w:customStyle="1" w:styleId="60">
    <w:name w:val="Char Char Char Char"/>
    <w:basedOn w:val="1"/>
    <w:qFormat/>
    <w:uiPriority w:val="0"/>
    <w:pPr>
      <w:adjustRightInd w:val="0"/>
      <w:spacing w:line="360" w:lineRule="auto"/>
    </w:pPr>
    <w:rPr>
      <w:kern w:val="0"/>
      <w:sz w:val="24"/>
      <w:szCs w:val="20"/>
    </w:rPr>
  </w:style>
  <w:style w:type="paragraph" w:customStyle="1" w:styleId="61">
    <w:name w:val="正文 + 宋体"/>
    <w:basedOn w:val="1"/>
    <w:qFormat/>
    <w:uiPriority w:val="0"/>
    <w:pPr>
      <w:adjustRightInd w:val="0"/>
      <w:snapToGrid w:val="0"/>
      <w:spacing w:line="400" w:lineRule="exact"/>
      <w:ind w:firstLine="480" w:firstLineChars="200"/>
      <w:textAlignment w:val="baseline"/>
    </w:pPr>
    <w:rPr>
      <w:color w:val="000000"/>
      <w:sz w:val="24"/>
    </w:rPr>
  </w:style>
  <w:style w:type="character" w:customStyle="1" w:styleId="62">
    <w:name w:val="标题 1 字符"/>
    <w:link w:val="2"/>
    <w:qFormat/>
    <w:uiPriority w:val="0"/>
    <w:rPr>
      <w:b/>
      <w:bCs/>
      <w:kern w:val="44"/>
      <w:sz w:val="44"/>
      <w:szCs w:val="44"/>
    </w:rPr>
  </w:style>
  <w:style w:type="paragraph" w:customStyle="1" w:styleId="63">
    <w:name w:val="表格 32"/>
    <w:basedOn w:val="1"/>
    <w:link w:val="64"/>
    <w:qFormat/>
    <w:uiPriority w:val="0"/>
    <w:pPr>
      <w:autoSpaceDE w:val="0"/>
      <w:autoSpaceDN w:val="0"/>
      <w:adjustRightInd w:val="0"/>
      <w:jc w:val="center"/>
      <w:textAlignment w:val="baseline"/>
    </w:pPr>
    <w:rPr>
      <w:rFonts w:ascii="宋体" w:hAnsi="Impact"/>
      <w:kern w:val="24"/>
      <w:sz w:val="24"/>
      <w:szCs w:val="20"/>
    </w:rPr>
  </w:style>
  <w:style w:type="character" w:customStyle="1" w:styleId="64">
    <w:name w:val="表格 32 Char"/>
    <w:link w:val="63"/>
    <w:qFormat/>
    <w:uiPriority w:val="0"/>
    <w:rPr>
      <w:rFonts w:ascii="宋体" w:hAnsi="Impact"/>
      <w:kern w:val="24"/>
      <w:sz w:val="24"/>
    </w:rPr>
  </w:style>
  <w:style w:type="character" w:customStyle="1" w:styleId="65">
    <w:name w:val="日期 字符"/>
    <w:link w:val="11"/>
    <w:qFormat/>
    <w:uiPriority w:val="0"/>
    <w:rPr>
      <w:kern w:val="2"/>
      <w:sz w:val="21"/>
      <w:szCs w:val="24"/>
    </w:rPr>
  </w:style>
  <w:style w:type="paragraph" w:customStyle="1" w:styleId="66">
    <w:name w:val="简单回函地址"/>
    <w:basedOn w:val="1"/>
    <w:qFormat/>
    <w:uiPriority w:val="0"/>
    <w:rPr>
      <w:sz w:val="24"/>
      <w:szCs w:val="20"/>
    </w:rPr>
  </w:style>
  <w:style w:type="paragraph" w:customStyle="1" w:styleId="67">
    <w:name w:val="表格 1"/>
    <w:basedOn w:val="1"/>
    <w:qFormat/>
    <w:uiPriority w:val="0"/>
    <w:pPr>
      <w:autoSpaceDE w:val="0"/>
      <w:autoSpaceDN w:val="0"/>
      <w:adjustRightInd w:val="0"/>
      <w:jc w:val="center"/>
    </w:pPr>
    <w:rPr>
      <w:rFonts w:eastAsia="楷体_GB2312"/>
      <w:kern w:val="0"/>
      <w:sz w:val="28"/>
      <w:szCs w:val="20"/>
    </w:rPr>
  </w:style>
  <w:style w:type="character" w:customStyle="1" w:styleId="68">
    <w:name w:val="！正文 Char"/>
    <w:basedOn w:val="27"/>
    <w:link w:val="69"/>
    <w:qFormat/>
    <w:locked/>
    <w:uiPriority w:val="0"/>
    <w:rPr>
      <w:rFonts w:ascii="宋体" w:hAnsi="宋体" w:cs="宋体"/>
      <w:kern w:val="2"/>
      <w:sz w:val="24"/>
    </w:rPr>
  </w:style>
  <w:style w:type="paragraph" w:customStyle="1" w:styleId="69">
    <w:name w:val="！正文"/>
    <w:basedOn w:val="1"/>
    <w:link w:val="68"/>
    <w:qFormat/>
    <w:uiPriority w:val="0"/>
    <w:pPr>
      <w:spacing w:line="360" w:lineRule="auto"/>
      <w:ind w:firstLine="480" w:firstLineChars="200"/>
    </w:pPr>
    <w:rPr>
      <w:rFonts w:ascii="宋体" w:hAnsi="宋体" w:cs="宋体"/>
      <w:sz w:val="24"/>
      <w:szCs w:val="20"/>
    </w:rPr>
  </w:style>
  <w:style w:type="character" w:customStyle="1" w:styleId="70">
    <w:name w:val="正文文本首行缩进 字符"/>
    <w:basedOn w:val="36"/>
    <w:link w:val="24"/>
    <w:qFormat/>
    <w:uiPriority w:val="0"/>
    <w:rPr>
      <w:rFonts w:eastAsia="宋体"/>
      <w:kern w:val="2"/>
      <w:sz w:val="21"/>
      <w:szCs w:val="24"/>
      <w:lang w:val="en-US" w:eastAsia="zh-CN" w:bidi="ar-SA"/>
    </w:rPr>
  </w:style>
  <w:style w:type="character" w:customStyle="1" w:styleId="71">
    <w:name w:val="正文文本 2 字符"/>
    <w:basedOn w:val="27"/>
    <w:link w:val="19"/>
    <w:qFormat/>
    <w:uiPriority w:val="0"/>
    <w:rPr>
      <w:kern w:val="2"/>
      <w:sz w:val="24"/>
    </w:rPr>
  </w:style>
  <w:style w:type="paragraph" w:customStyle="1" w:styleId="72">
    <w:name w:val="表格"/>
    <w:next w:val="1"/>
    <w:qFormat/>
    <w:uiPriority w:val="0"/>
    <w:pPr>
      <w:keepNext/>
      <w:widowControl w:val="0"/>
      <w:autoSpaceDE w:val="0"/>
      <w:autoSpaceDN w:val="0"/>
      <w:adjustRightInd w:val="0"/>
      <w:jc w:val="center"/>
    </w:pPr>
    <w:rPr>
      <w:rFonts w:ascii="Times New Roman" w:hAnsi="Times New Roman" w:eastAsia="宋体" w:cs="Times New Roman"/>
      <w:sz w:val="24"/>
      <w:lang w:val="en-US" w:eastAsia="zh-CN" w:bidi="ar-SA"/>
    </w:rPr>
  </w:style>
  <w:style w:type="paragraph" w:customStyle="1" w:styleId="73">
    <w:name w:val="正文1"/>
    <w:basedOn w:val="1"/>
    <w:qFormat/>
    <w:uiPriority w:val="0"/>
    <w:pPr>
      <w:adjustRightInd w:val="0"/>
    </w:pPr>
    <w:rPr>
      <w:rFonts w:eastAsia="楷体_GB2312"/>
      <w:sz w:val="24"/>
      <w:szCs w:val="20"/>
    </w:rPr>
  </w:style>
  <w:style w:type="paragraph" w:customStyle="1" w:styleId="74">
    <w:name w:val="表格2"/>
    <w:basedOn w:val="48"/>
    <w:next w:val="1"/>
    <w:qFormat/>
    <w:uiPriority w:val="0"/>
    <w:pPr>
      <w:topLinePunct/>
      <w:autoSpaceDE w:val="0"/>
      <w:autoSpaceDN w:val="0"/>
      <w:spacing w:line="240" w:lineRule="auto"/>
      <w:textAlignment w:val="auto"/>
    </w:pPr>
    <w:rPr>
      <w:rFonts w:hAnsi="Impact"/>
      <w:kern w:val="24"/>
      <w:position w:val="-28"/>
    </w:rPr>
  </w:style>
  <w:style w:type="paragraph" w:customStyle="1" w:styleId="75">
    <w:name w:val="页面 7"/>
    <w:basedOn w:val="1"/>
    <w:qFormat/>
    <w:uiPriority w:val="0"/>
    <w:pPr>
      <w:autoSpaceDE w:val="0"/>
      <w:autoSpaceDN w:val="0"/>
      <w:adjustRightInd w:val="0"/>
      <w:spacing w:before="120" w:after="120"/>
      <w:jc w:val="center"/>
    </w:pPr>
    <w:rPr>
      <w:rFonts w:ascii="宋体" w:hAnsi="Impact"/>
      <w:kern w:val="24"/>
      <w:sz w:val="32"/>
      <w:szCs w:val="20"/>
    </w:rPr>
  </w:style>
  <w:style w:type="character" w:customStyle="1" w:styleId="76">
    <w:name w:val="批注主题 字符"/>
    <w:basedOn w:val="45"/>
    <w:link w:val="23"/>
    <w:semiHidden/>
    <w:qFormat/>
    <w:uiPriority w:val="99"/>
    <w:rPr>
      <w:b/>
      <w:bCs/>
      <w:kern w:val="2"/>
      <w:sz w:val="21"/>
      <w:szCs w:val="24"/>
    </w:rPr>
  </w:style>
  <w:style w:type="paragraph" w:customStyle="1" w:styleId="77">
    <w:name w:val="Table Paragraph"/>
    <w:basedOn w:val="1"/>
    <w:qFormat/>
    <w:uiPriority w:val="1"/>
    <w:pPr>
      <w:jc w:val="center"/>
    </w:pPr>
    <w:rPr>
      <w:rFonts w:ascii="宋体" w:hAnsi="宋体" w:cs="宋体"/>
      <w:kern w:val="0"/>
      <w:sz w:val="22"/>
      <w:szCs w:val="22"/>
      <w:lang w:eastAsia="en-US"/>
    </w:rPr>
  </w:style>
  <w:style w:type="paragraph" w:customStyle="1" w:styleId="78">
    <w:name w:val="表格内容1"/>
    <w:basedOn w:val="1"/>
    <w:qFormat/>
    <w:uiPriority w:val="0"/>
    <w:pPr>
      <w:snapToGrid w:val="0"/>
      <w:jc w:val="left"/>
    </w:pPr>
    <w:rPr>
      <w:rFonts w:ascii="宋体" w:hAnsi="Arial" w:cs="宋体"/>
      <w:b/>
      <w:bCs/>
      <w:kern w:val="0"/>
      <w:sz w:val="28"/>
      <w:szCs w:val="20"/>
      <w:lang w:eastAsia="en-US"/>
    </w:rPr>
  </w:style>
  <w:style w:type="character" w:customStyle="1" w:styleId="79">
    <w:name w:val="占位符文本1"/>
    <w:basedOn w:val="27"/>
    <w:unhideWhenUsed/>
    <w:qFormat/>
    <w:uiPriority w:val="99"/>
    <w:rPr>
      <w:color w:val="808080"/>
    </w:rPr>
  </w:style>
  <w:style w:type="paragraph" w:customStyle="1" w:styleId="80">
    <w:name w:val="列出段落2"/>
    <w:basedOn w:val="1"/>
    <w:unhideWhenUsed/>
    <w:qFormat/>
    <w:uiPriority w:val="99"/>
    <w:pPr>
      <w:ind w:firstLine="420" w:firstLineChars="200"/>
    </w:pPr>
  </w:style>
  <w:style w:type="paragraph" w:styleId="81">
    <w:name w:val="List Paragraph"/>
    <w:basedOn w:val="1"/>
    <w:unhideWhenUsed/>
    <w:qFormat/>
    <w:uiPriority w:val="99"/>
    <w:pPr>
      <w:ind w:firstLine="420" w:firstLineChars="200"/>
    </w:pPr>
  </w:style>
  <w:style w:type="character" w:customStyle="1" w:styleId="82">
    <w:name w:val="font01"/>
    <w:basedOn w:val="27"/>
    <w:qFormat/>
    <w:uiPriority w:val="0"/>
    <w:rPr>
      <w:rFonts w:hint="eastAsia" w:ascii="宋体" w:hAnsi="宋体" w:eastAsia="宋体"/>
      <w:color w:val="000000"/>
      <w:sz w:val="24"/>
      <w:szCs w:val="24"/>
      <w:u w:val="none"/>
    </w:rPr>
  </w:style>
  <w:style w:type="character" w:customStyle="1" w:styleId="83">
    <w:name w:val="表格文字 Char"/>
    <w:qFormat/>
    <w:locked/>
    <w:uiPriority w:val="0"/>
    <w:rPr>
      <w:kern w:val="2"/>
      <w:sz w:val="21"/>
      <w:szCs w:val="21"/>
      <w:lang w:val="en-IE"/>
    </w:rPr>
  </w:style>
  <w:style w:type="paragraph" w:customStyle="1" w:styleId="84">
    <w:name w:val="Char Char Char Char Char Char Char"/>
    <w:basedOn w:val="1"/>
    <w:qFormat/>
    <w:uiPriority w:val="0"/>
    <w:rPr>
      <w:rFonts w:eastAsia="Times New Roman"/>
      <w:kern w:val="0"/>
      <w:sz w:val="20"/>
    </w:rPr>
  </w:style>
  <w:style w:type="character" w:customStyle="1" w:styleId="85">
    <w:name w:val="font11"/>
    <w:basedOn w:val="27"/>
    <w:qFormat/>
    <w:uiPriority w:val="0"/>
    <w:rPr>
      <w:rFonts w:hint="default" w:ascii="Times New Roman" w:hAnsi="Times New Roman" w:cs="Times New Roman"/>
      <w:color w:val="000000"/>
      <w:sz w:val="21"/>
      <w:szCs w:val="21"/>
      <w:u w:val="none"/>
    </w:rPr>
  </w:style>
  <w:style w:type="character" w:customStyle="1" w:styleId="86">
    <w:name w:val="小四 间距1.5 缩进2 Char Char"/>
    <w:link w:val="87"/>
    <w:qFormat/>
    <w:uiPriority w:val="0"/>
    <w:rPr>
      <w:kern w:val="2"/>
      <w:sz w:val="24"/>
      <w:szCs w:val="24"/>
    </w:rPr>
  </w:style>
  <w:style w:type="paragraph" w:customStyle="1" w:styleId="87">
    <w:name w:val="小四 间距1.5 缩进2"/>
    <w:basedOn w:val="1"/>
    <w:link w:val="86"/>
    <w:qFormat/>
    <w:uiPriority w:val="0"/>
    <w:pPr>
      <w:spacing w:line="360" w:lineRule="auto"/>
      <w:ind w:firstLine="415" w:firstLineChars="173"/>
    </w:pPr>
    <w:rPr>
      <w:sz w:val="24"/>
    </w:rPr>
  </w:style>
  <w:style w:type="paragraph" w:customStyle="1" w:styleId="88">
    <w:name w:val="正文HP"/>
    <w:basedOn w:val="1"/>
    <w:qFormat/>
    <w:uiPriority w:val="2"/>
    <w:pPr>
      <w:spacing w:line="360" w:lineRule="auto"/>
      <w:ind w:firstLine="480" w:firstLineChars="200"/>
    </w:pPr>
    <w:rPr>
      <w:sz w:val="24"/>
    </w:rPr>
  </w:style>
  <w:style w:type="paragraph" w:customStyle="1" w:styleId="89">
    <w:name w:val="三级小标题 HP"/>
    <w:basedOn w:val="1"/>
    <w:qFormat/>
    <w:uiPriority w:val="0"/>
    <w:pPr>
      <w:tabs>
        <w:tab w:val="left" w:pos="0"/>
        <w:tab w:val="left" w:pos="4290"/>
        <w:tab w:val="left" w:pos="4620"/>
        <w:tab w:val="left" w:pos="5040"/>
        <w:tab w:val="left" w:pos="5460"/>
        <w:tab w:val="left" w:pos="6090"/>
      </w:tabs>
      <w:spacing w:line="360" w:lineRule="auto"/>
      <w:ind w:firstLine="200" w:firstLineChars="200"/>
    </w:pPr>
    <w:rPr>
      <w:sz w:val="24"/>
    </w:rPr>
  </w:style>
  <w:style w:type="paragraph" w:customStyle="1" w:styleId="90">
    <w:name w:val="图表标题 HP"/>
    <w:basedOn w:val="1"/>
    <w:qFormat/>
    <w:uiPriority w:val="0"/>
    <w:pPr>
      <w:ind w:firstLine="200" w:firstLineChars="200"/>
      <w:jc w:val="center"/>
    </w:pPr>
    <w:rPr>
      <w:b/>
      <w:kern w:val="0"/>
      <w:szCs w:val="21"/>
    </w:rPr>
  </w:style>
  <w:style w:type="character" w:customStyle="1" w:styleId="91">
    <w:name w:val="未处理的提及1"/>
    <w:basedOn w:val="27"/>
    <w:semiHidden/>
    <w:unhideWhenUsed/>
    <w:qFormat/>
    <w:uiPriority w:val="99"/>
    <w:rPr>
      <w:color w:val="808080"/>
      <w:shd w:val="clear" w:color="auto" w:fill="E6E6E6"/>
    </w:rPr>
  </w:style>
  <w:style w:type="character" w:customStyle="1" w:styleId="92">
    <w:name w:val="表格 32 Char Char"/>
    <w:qFormat/>
    <w:uiPriority w:val="0"/>
    <w:rPr>
      <w:rFonts w:ascii="宋体" w:hAnsi="Impact" w:eastAsia="宋体"/>
      <w:kern w:val="24"/>
      <w:sz w:val="24"/>
      <w:lang w:val="en-US" w:eastAsia="zh-CN" w:bidi="ar-SA"/>
    </w:rPr>
  </w:style>
  <w:style w:type="character" w:customStyle="1" w:styleId="93">
    <w:name w:val="文档结构图 字符"/>
    <w:link w:val="5"/>
    <w:qFormat/>
    <w:locked/>
    <w:uiPriority w:val="99"/>
    <w:rPr>
      <w:kern w:val="2"/>
      <w:sz w:val="21"/>
      <w:szCs w:val="24"/>
      <w:shd w:val="clear" w:color="auto" w:fill="000080"/>
    </w:rPr>
  </w:style>
  <w:style w:type="paragraph" w:customStyle="1" w:styleId="94">
    <w:name w:val="Default"/>
    <w:unhideWhenUsed/>
    <w:qFormat/>
    <w:uiPriority w:val="0"/>
    <w:pPr>
      <w:widowControl w:val="0"/>
      <w:autoSpaceDE w:val="0"/>
      <w:autoSpaceDN w:val="0"/>
      <w:adjustRightInd w:val="0"/>
    </w:pPr>
    <w:rPr>
      <w:rFonts w:ascii="宋体" w:hAnsi="宋体" w:eastAsia="宋体" w:cs="Times New Roman"/>
      <w:color w:val="000000"/>
      <w:sz w:val="24"/>
      <w:szCs w:val="22"/>
      <w:lang w:val="en-US" w:eastAsia="zh-CN" w:bidi="ar-SA"/>
    </w:rPr>
  </w:style>
  <w:style w:type="paragraph" w:customStyle="1" w:styleId="95">
    <w:name w:val="表格内文字 HP"/>
    <w:basedOn w:val="1"/>
    <w:qFormat/>
    <w:uiPriority w:val="4"/>
    <w:pPr>
      <w:adjustRightInd w:val="0"/>
      <w:snapToGrid w:val="0"/>
      <w:jc w:val="center"/>
    </w:pPr>
    <w:rPr>
      <w:szCs w:val="21"/>
    </w:rPr>
  </w:style>
  <w:style w:type="paragraph" w:customStyle="1" w:styleId="96">
    <w:name w:val="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97">
    <w:name w:val="表格内容居中"/>
    <w:qFormat/>
    <w:uiPriority w:val="0"/>
    <w:pPr>
      <w:adjustRightInd w:val="0"/>
      <w:snapToGrid w:val="0"/>
      <w:jc w:val="center"/>
    </w:pPr>
    <w:rPr>
      <w:rFonts w:ascii="Times New Roman" w:hAnsi="Times New Roman" w:eastAsia="宋体" w:cs="Times New Roman"/>
      <w:snapToGrid w:val="0"/>
      <w:sz w:val="21"/>
      <w:szCs w:val="21"/>
      <w:lang w:val="en-US" w:eastAsia="zh-CN" w:bidi="ar-SA"/>
    </w:rPr>
  </w:style>
  <w:style w:type="paragraph" w:customStyle="1" w:styleId="98">
    <w:name w:val="样式 列表 + 左侧:  0 厘米 悬挂缩进: 2 字符"/>
    <w:basedOn w:val="16"/>
    <w:qFormat/>
    <w:uiPriority w:val="0"/>
    <w:pPr>
      <w:tabs>
        <w:tab w:val="center" w:pos="4153"/>
        <w:tab w:val="right" w:pos="8306"/>
      </w:tabs>
      <w:snapToGrid w:val="0"/>
      <w:spacing w:line="240" w:lineRule="exact"/>
      <w:ind w:left="0" w:firstLine="0" w:firstLineChars="0"/>
      <w:contextualSpacing w:val="0"/>
      <w:jc w:val="center"/>
    </w:pPr>
    <w:rPr>
      <w:rFonts w:ascii="宋体" w:hAnsi="宋体"/>
      <w:bCs/>
      <w:szCs w:val="21"/>
    </w:rPr>
  </w:style>
  <w:style w:type="character" w:customStyle="1" w:styleId="99">
    <w:name w:val="未处理的提及2"/>
    <w:basedOn w:val="27"/>
    <w:semiHidden/>
    <w:unhideWhenUsed/>
    <w:qFormat/>
    <w:uiPriority w:val="99"/>
    <w:rPr>
      <w:color w:val="808080"/>
      <w:shd w:val="clear" w:color="auto" w:fill="E6E6E6"/>
    </w:rPr>
  </w:style>
  <w:style w:type="paragraph" w:customStyle="1" w:styleId="100">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101">
    <w:name w:val="标题 2 字符"/>
    <w:basedOn w:val="27"/>
    <w:link w:val="3"/>
    <w:semiHidden/>
    <w:qFormat/>
    <w:uiPriority w:val="0"/>
    <w:rPr>
      <w:rFonts w:asciiTheme="majorHAnsi" w:hAnsiTheme="majorHAnsi" w:eastAsiaTheme="majorEastAsia" w:cstheme="majorBidi"/>
      <w:b/>
      <w:bCs/>
      <w:kern w:val="2"/>
      <w:sz w:val="32"/>
      <w:szCs w:val="32"/>
    </w:rPr>
  </w:style>
  <w:style w:type="paragraph" w:styleId="102">
    <w:name w:val="No Spacing"/>
    <w:qFormat/>
    <w:uiPriority w:val="1"/>
    <w:pPr>
      <w:widowControl w:val="0"/>
      <w:ind w:firstLine="200" w:firstLineChars="200"/>
      <w:jc w:val="both"/>
    </w:pPr>
    <w:rPr>
      <w:rFonts w:ascii="Times New Roman" w:hAnsi="Times New Roman" w:eastAsia="宋体" w:cs="Times New Roman"/>
      <w:kern w:val="2"/>
      <w:sz w:val="24"/>
      <w:szCs w:val="24"/>
      <w:lang w:val="en-US" w:eastAsia="zh-CN" w:bidi="ar-SA"/>
    </w:rPr>
  </w:style>
  <w:style w:type="character" w:styleId="103">
    <w:name w:val="Placeholder Text"/>
    <w:basedOn w:val="27"/>
    <w:semiHidden/>
    <w:qFormat/>
    <w:uiPriority w:val="99"/>
    <w:rPr>
      <w:color w:val="808080"/>
    </w:rPr>
  </w:style>
  <w:style w:type="character" w:customStyle="1" w:styleId="104">
    <w:name w:val="国寰正文 Char Char"/>
    <w:link w:val="105"/>
    <w:qFormat/>
    <w:uiPriority w:val="0"/>
    <w:rPr>
      <w:kern w:val="2"/>
      <w:sz w:val="24"/>
      <w:szCs w:val="24"/>
    </w:rPr>
  </w:style>
  <w:style w:type="paragraph" w:customStyle="1" w:styleId="105">
    <w:name w:val="国寰正文"/>
    <w:basedOn w:val="1"/>
    <w:link w:val="104"/>
    <w:qFormat/>
    <w:uiPriority w:val="0"/>
    <w:pPr>
      <w:adjustRightInd w:val="0"/>
      <w:snapToGrid w:val="0"/>
      <w:spacing w:line="360" w:lineRule="auto"/>
      <w:ind w:firstLine="200" w:firstLineChars="200"/>
    </w:pPr>
    <w:rPr>
      <w:sz w:val="24"/>
    </w:rPr>
  </w:style>
  <w:style w:type="character" w:customStyle="1" w:styleId="106">
    <w:name w:val="正文内容 Char"/>
    <w:link w:val="107"/>
    <w:qFormat/>
    <w:uiPriority w:val="0"/>
    <w:rPr>
      <w:kern w:val="2"/>
      <w:sz w:val="24"/>
      <w:szCs w:val="24"/>
    </w:rPr>
  </w:style>
  <w:style w:type="paragraph" w:customStyle="1" w:styleId="107">
    <w:name w:val="正文内容"/>
    <w:basedOn w:val="1"/>
    <w:link w:val="106"/>
    <w:qFormat/>
    <w:uiPriority w:val="0"/>
    <w:pPr>
      <w:spacing w:line="360" w:lineRule="auto"/>
      <w:ind w:firstLine="200" w:firstLineChars="200"/>
      <w:jc w:val="left"/>
    </w:pPr>
    <w:rPr>
      <w:sz w:val="24"/>
    </w:rPr>
  </w:style>
  <w:style w:type="character" w:customStyle="1" w:styleId="108">
    <w:name w:val="表内容 Char"/>
    <w:link w:val="109"/>
    <w:qFormat/>
    <w:uiPriority w:val="0"/>
    <w:rPr>
      <w:kern w:val="2"/>
      <w:sz w:val="21"/>
      <w:szCs w:val="21"/>
    </w:rPr>
  </w:style>
  <w:style w:type="paragraph" w:customStyle="1" w:styleId="109">
    <w:name w:val="表内容"/>
    <w:basedOn w:val="1"/>
    <w:next w:val="107"/>
    <w:link w:val="108"/>
    <w:qFormat/>
    <w:uiPriority w:val="0"/>
    <w:pPr>
      <w:jc w:val="center"/>
    </w:pPr>
    <w:rPr>
      <w:szCs w:val="21"/>
    </w:rPr>
  </w:style>
  <w:style w:type="character" w:customStyle="1" w:styleId="110">
    <w:name w:val="fontstyle21"/>
    <w:qFormat/>
    <w:uiPriority w:val="0"/>
    <w:rPr>
      <w:rFonts w:hint="default" w:ascii="TimesNewRomanPSMT" w:hAnsi="TimesNewRomanPSMT"/>
      <w:color w:val="000000"/>
      <w:sz w:val="24"/>
      <w:szCs w:val="24"/>
    </w:rPr>
  </w:style>
  <w:style w:type="character" w:customStyle="1" w:styleId="111">
    <w:name w:val="脚注文本 字符"/>
    <w:link w:val="17"/>
    <w:semiHidden/>
    <w:qFormat/>
    <w:uiPriority w:val="0"/>
    <w:rPr>
      <w:kern w:val="2"/>
      <w:sz w:val="18"/>
      <w:szCs w:val="18"/>
    </w:rPr>
  </w:style>
  <w:style w:type="character" w:customStyle="1" w:styleId="112">
    <w:name w:val="正文文本缩进 2 字符"/>
    <w:link w:val="12"/>
    <w:qFormat/>
    <w:uiPriority w:val="99"/>
    <w:rPr>
      <w:kern w:val="2"/>
      <w:sz w:val="21"/>
      <w:szCs w:val="24"/>
    </w:rPr>
  </w:style>
  <w:style w:type="character" w:customStyle="1" w:styleId="113">
    <w:name w:val="报告表 段 Char Char"/>
    <w:link w:val="114"/>
    <w:qFormat/>
    <w:uiPriority w:val="0"/>
    <w:rPr>
      <w:rFonts w:ascii="宋体" w:hAnsi="宋体"/>
      <w:bCs/>
      <w:kern w:val="2"/>
      <w:sz w:val="24"/>
      <w:szCs w:val="24"/>
    </w:rPr>
  </w:style>
  <w:style w:type="paragraph" w:customStyle="1" w:styleId="114">
    <w:name w:val="报告表 段"/>
    <w:basedOn w:val="1"/>
    <w:link w:val="113"/>
    <w:qFormat/>
    <w:uiPriority w:val="0"/>
    <w:pPr>
      <w:spacing w:line="360" w:lineRule="auto"/>
      <w:ind w:firstLine="470" w:firstLineChars="196"/>
    </w:pPr>
    <w:rPr>
      <w:rFonts w:ascii="宋体" w:hAnsi="宋体"/>
      <w:bCs/>
      <w:sz w:val="24"/>
    </w:rPr>
  </w:style>
  <w:style w:type="character" w:customStyle="1" w:styleId="115">
    <w:name w:val="fontstyle01"/>
    <w:qFormat/>
    <w:uiPriority w:val="0"/>
    <w:rPr>
      <w:rFonts w:hint="eastAsia" w:ascii="宋体" w:hAnsi="宋体" w:eastAsia="宋体"/>
      <w:color w:val="000000"/>
      <w:sz w:val="24"/>
      <w:szCs w:val="24"/>
    </w:rPr>
  </w:style>
  <w:style w:type="character" w:customStyle="1" w:styleId="116">
    <w:name w:val="表标题 Char"/>
    <w:link w:val="117"/>
    <w:qFormat/>
    <w:uiPriority w:val="0"/>
    <w:rPr>
      <w:kern w:val="2"/>
      <w:sz w:val="21"/>
      <w:szCs w:val="24"/>
    </w:rPr>
  </w:style>
  <w:style w:type="paragraph" w:customStyle="1" w:styleId="117">
    <w:name w:val="表标题"/>
    <w:basedOn w:val="107"/>
    <w:next w:val="107"/>
    <w:link w:val="116"/>
    <w:qFormat/>
    <w:uiPriority w:val="0"/>
    <w:pPr>
      <w:ind w:firstLine="0" w:firstLineChars="0"/>
      <w:jc w:val="center"/>
    </w:pPr>
    <w:rPr>
      <w:sz w:val="21"/>
    </w:rPr>
  </w:style>
  <w:style w:type="character" w:customStyle="1" w:styleId="118">
    <w:name w:val="apple-converted-space"/>
    <w:basedOn w:val="27"/>
    <w:qFormat/>
    <w:uiPriority w:val="0"/>
  </w:style>
  <w:style w:type="character" w:customStyle="1" w:styleId="119">
    <w:name w:val="标题 字符"/>
    <w:link w:val="22"/>
    <w:qFormat/>
    <w:uiPriority w:val="0"/>
    <w:rPr>
      <w:bCs/>
      <w:kern w:val="2"/>
      <w:sz w:val="24"/>
      <w:szCs w:val="32"/>
    </w:rPr>
  </w:style>
  <w:style w:type="character" w:customStyle="1" w:styleId="120">
    <w:name w:val="正文文本缩进 Char1"/>
    <w:semiHidden/>
    <w:qFormat/>
    <w:uiPriority w:val="99"/>
    <w:rPr>
      <w:kern w:val="2"/>
      <w:sz w:val="21"/>
      <w:szCs w:val="24"/>
    </w:rPr>
  </w:style>
  <w:style w:type="character" w:customStyle="1" w:styleId="121">
    <w:name w:val="日期 Char1"/>
    <w:semiHidden/>
    <w:qFormat/>
    <w:uiPriority w:val="99"/>
    <w:rPr>
      <w:kern w:val="2"/>
      <w:sz w:val="21"/>
      <w:szCs w:val="24"/>
    </w:rPr>
  </w:style>
  <w:style w:type="character" w:customStyle="1" w:styleId="122">
    <w:name w:val="节3级标题 Char"/>
    <w:link w:val="123"/>
    <w:qFormat/>
    <w:uiPriority w:val="0"/>
    <w:rPr>
      <w:b/>
      <w:kern w:val="2"/>
      <w:sz w:val="24"/>
      <w:szCs w:val="24"/>
    </w:rPr>
  </w:style>
  <w:style w:type="paragraph" w:customStyle="1" w:styleId="123">
    <w:name w:val="节3级标题"/>
    <w:basedOn w:val="1"/>
    <w:next w:val="107"/>
    <w:link w:val="122"/>
    <w:qFormat/>
    <w:uiPriority w:val="0"/>
    <w:pPr>
      <w:spacing w:line="360" w:lineRule="auto"/>
      <w:jc w:val="left"/>
      <w:outlineLvl w:val="2"/>
    </w:pPr>
    <w:rPr>
      <w:b/>
      <w:sz w:val="24"/>
    </w:rPr>
  </w:style>
  <w:style w:type="character" w:customStyle="1" w:styleId="124">
    <w:name w:val="标题 Char1"/>
    <w:basedOn w:val="27"/>
    <w:qFormat/>
    <w:uiPriority w:val="0"/>
    <w:rPr>
      <w:rFonts w:asciiTheme="majorHAnsi" w:hAnsiTheme="majorHAnsi" w:cstheme="majorBidi"/>
      <w:b/>
      <w:bCs/>
      <w:kern w:val="2"/>
      <w:sz w:val="32"/>
      <w:szCs w:val="32"/>
    </w:rPr>
  </w:style>
  <w:style w:type="character" w:customStyle="1" w:styleId="125">
    <w:name w:val="脚注文本 Char1"/>
    <w:basedOn w:val="27"/>
    <w:semiHidden/>
    <w:qFormat/>
    <w:uiPriority w:val="0"/>
    <w:rPr>
      <w:kern w:val="2"/>
      <w:sz w:val="18"/>
      <w:szCs w:val="18"/>
    </w:rPr>
  </w:style>
  <w:style w:type="paragraph" w:customStyle="1" w:styleId="126">
    <w:name w:val="蓝森表格标题"/>
    <w:basedOn w:val="1"/>
    <w:qFormat/>
    <w:uiPriority w:val="0"/>
    <w:pPr>
      <w:spacing w:line="520" w:lineRule="exact"/>
      <w:ind w:firstLine="480" w:firstLineChars="200"/>
    </w:pPr>
    <w:rPr>
      <w:rFonts w:eastAsia="黑体"/>
      <w:sz w:val="24"/>
    </w:rPr>
  </w:style>
  <w:style w:type="paragraph" w:customStyle="1" w:styleId="127">
    <w:name w:val="蓝森表头"/>
    <w:basedOn w:val="1"/>
    <w:qFormat/>
    <w:uiPriority w:val="0"/>
    <w:pPr>
      <w:spacing w:line="520" w:lineRule="exact"/>
      <w:ind w:firstLine="480" w:firstLineChars="200"/>
    </w:pPr>
    <w:rPr>
      <w:rFonts w:ascii="黑体" w:eastAsia="黑体"/>
      <w:bCs/>
      <w:sz w:val="24"/>
    </w:rPr>
  </w:style>
  <w:style w:type="paragraph" w:customStyle="1" w:styleId="128">
    <w:name w:val="蓝森表格内容"/>
    <w:basedOn w:val="1"/>
    <w:qFormat/>
    <w:uiPriority w:val="0"/>
    <w:pPr>
      <w:spacing w:line="360" w:lineRule="exact"/>
      <w:jc w:val="center"/>
    </w:pPr>
    <w:rPr>
      <w:bCs/>
      <w:szCs w:val="21"/>
    </w:rPr>
  </w:style>
  <w:style w:type="paragraph" w:customStyle="1" w:styleId="129">
    <w:name w:val="蓝森正文"/>
    <w:basedOn w:val="1"/>
    <w:qFormat/>
    <w:uiPriority w:val="0"/>
    <w:pPr>
      <w:spacing w:line="520" w:lineRule="exact"/>
      <w:ind w:firstLine="200" w:firstLineChars="200"/>
    </w:pPr>
    <w:rPr>
      <w:sz w:val="24"/>
    </w:rPr>
  </w:style>
  <w:style w:type="paragraph" w:customStyle="1" w:styleId="130">
    <w:name w:val="报告"/>
    <w:basedOn w:val="1"/>
    <w:qFormat/>
    <w:uiPriority w:val="0"/>
    <w:pPr>
      <w:overflowPunct w:val="0"/>
      <w:autoSpaceDE w:val="0"/>
      <w:autoSpaceDN w:val="0"/>
      <w:adjustRightInd w:val="0"/>
      <w:spacing w:beforeLines="30" w:afterLines="30" w:line="400" w:lineRule="atLeast"/>
      <w:ind w:firstLine="200" w:firstLineChars="200"/>
      <w:textAlignment w:val="baseline"/>
    </w:pPr>
    <w:rPr>
      <w:kern w:val="0"/>
      <w:szCs w:val="20"/>
    </w:rPr>
  </w:style>
  <w:style w:type="paragraph" w:customStyle="1" w:styleId="131">
    <w:name w:val="蓝森表格文字"/>
    <w:basedOn w:val="1"/>
    <w:qFormat/>
    <w:uiPriority w:val="0"/>
    <w:pPr>
      <w:spacing w:line="360" w:lineRule="exact"/>
      <w:jc w:val="center"/>
    </w:pPr>
    <w:rPr>
      <w:rFonts w:ascii="宋体" w:hAnsi="宋体"/>
      <w:szCs w:val="21"/>
    </w:rPr>
  </w:style>
  <w:style w:type="paragraph" w:customStyle="1" w:styleId="132">
    <w:name w:val="mm正文"/>
    <w:basedOn w:val="1"/>
    <w:qFormat/>
    <w:uiPriority w:val="0"/>
    <w:pPr>
      <w:spacing w:line="480" w:lineRule="exact"/>
      <w:ind w:firstLine="200" w:firstLineChars="200"/>
    </w:pPr>
    <w:rPr>
      <w:rFonts w:cs="宋体"/>
      <w:color w:val="000000"/>
      <w:sz w:val="24"/>
      <w:szCs w:val="20"/>
    </w:rPr>
  </w:style>
  <w:style w:type="table" w:customStyle="1" w:styleId="133">
    <w:name w:val="网格型1"/>
    <w:basedOn w:val="2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34">
    <w:name w:val="表1表2"/>
    <w:basedOn w:val="1"/>
    <w:qFormat/>
    <w:uiPriority w:val="0"/>
    <w:pPr>
      <w:autoSpaceDE w:val="0"/>
      <w:autoSpaceDN w:val="0"/>
      <w:adjustRightInd w:val="0"/>
      <w:jc w:val="center"/>
      <w:textAlignment w:val="center"/>
    </w:pPr>
    <w:rPr>
      <w:rFonts w:eastAsia="仿宋体"/>
      <w:kern w:val="0"/>
      <w:sz w:val="24"/>
      <w:szCs w:val="20"/>
    </w:rPr>
  </w:style>
  <w:style w:type="paragraph" w:customStyle="1" w:styleId="135">
    <w:name w:val="文章正文样式 Char"/>
    <w:basedOn w:val="1"/>
    <w:link w:val="136"/>
    <w:qFormat/>
    <w:uiPriority w:val="0"/>
    <w:pPr>
      <w:spacing w:line="520" w:lineRule="exact"/>
      <w:ind w:firstLine="480" w:firstLineChars="200"/>
      <w:jc w:val="left"/>
    </w:pPr>
    <w:rPr>
      <w:rFonts w:ascii="宋体" w:hAnsi="宋体"/>
      <w:sz w:val="24"/>
      <w:szCs w:val="20"/>
      <w:lang w:val="zh-CN" w:eastAsia="zh-CN"/>
    </w:rPr>
  </w:style>
  <w:style w:type="character" w:customStyle="1" w:styleId="136">
    <w:name w:val="文章正文样式 Char Char"/>
    <w:link w:val="135"/>
    <w:qFormat/>
    <w:uiPriority w:val="0"/>
    <w:rPr>
      <w:rFonts w:ascii="宋体" w:hAnsi="宋体"/>
      <w:kern w:val="2"/>
      <w:sz w:val="24"/>
      <w:lang w:val="zh-CN" w:eastAsia="zh-CN"/>
    </w:rPr>
  </w:style>
  <w:style w:type="paragraph" w:customStyle="1" w:styleId="137">
    <w:name w:val="Char Char Char Char Char Char Char1"/>
    <w:basedOn w:val="1"/>
    <w:qFormat/>
    <w:uiPriority w:val="0"/>
  </w:style>
  <w:style w:type="table" w:customStyle="1" w:styleId="138">
    <w:name w:val="网格型11"/>
    <w:basedOn w:val="25"/>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39">
    <w:name w:val="_Style 182"/>
    <w:basedOn w:val="1"/>
    <w:qFormat/>
    <w:uiPriority w:val="0"/>
    <w:pPr>
      <w:keepNext/>
      <w:widowControl/>
      <w:tabs>
        <w:tab w:val="left" w:pos="425"/>
      </w:tabs>
      <w:autoSpaceDE w:val="0"/>
      <w:autoSpaceDN w:val="0"/>
      <w:adjustRightInd w:val="0"/>
      <w:spacing w:before="80" w:after="80"/>
      <w:ind w:hanging="425"/>
    </w:pPr>
    <w:rPr>
      <w:rFonts w:ascii="Arial" w:hAnsi="Arial" w:cs="Arial"/>
      <w:sz w:val="20"/>
      <w:szCs w:val="20"/>
    </w:rPr>
  </w:style>
  <w:style w:type="paragraph" w:customStyle="1" w:styleId="140">
    <w:name w:val="注释"/>
    <w:basedOn w:val="1"/>
    <w:qFormat/>
    <w:uiPriority w:val="0"/>
    <w:pPr>
      <w:snapToGrid w:val="0"/>
      <w:spacing w:line="240" w:lineRule="atLeast"/>
      <w:ind w:firstLine="88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5A59C66-B7EC-4195-A838-5A758967C490}">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66</Pages>
  <Words>5523</Words>
  <Characters>31485</Characters>
  <Lines>262</Lines>
  <Paragraphs>73</Paragraphs>
  <TotalTime>2</TotalTime>
  <ScaleCrop>false</ScaleCrop>
  <LinksUpToDate>false</LinksUpToDate>
  <CharactersWithSpaces>36935</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2017-04-19T02:11:00Z</dcterms:created>
  <dc:creator>cl</dc:creator>
  <cp:lastModifiedBy>Administrator</cp:lastModifiedBy>
  <cp:lastPrinted>2019-01-28T02:38:00Z</cp:lastPrinted>
  <dcterms:modified xsi:type="dcterms:W3CDTF">2019-09-23T01:57:20Z</dcterms:modified>
  <dc:title>建设项目环境影响报告表</dc:title>
  <cp:revision>102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