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jc w:val="center"/>
        <w:rPr>
          <w:rFonts w:ascii="宋体" w:hAnsi="宋体"/>
          <w:color w:val="CC0000"/>
          <w:kern w:val="0"/>
          <w:sz w:val="36"/>
          <w:szCs w:val="36"/>
        </w:rPr>
      </w:pPr>
    </w:p>
    <w:p>
      <w:pPr>
        <w:widowControl/>
        <w:shd w:val="clear" w:color="auto" w:fill="FFFFFF"/>
        <w:jc w:val="center"/>
        <w:rPr>
          <w:rFonts w:hint="eastAsia" w:ascii="宋体" w:hAnsi="宋体"/>
          <w:color w:val="CC0000"/>
          <w:kern w:val="0"/>
          <w:sz w:val="36"/>
          <w:szCs w:val="36"/>
        </w:rPr>
      </w:pPr>
    </w:p>
    <w:p>
      <w:pPr>
        <w:widowControl/>
        <w:shd w:val="clear" w:color="auto" w:fill="FFFFFF"/>
        <w:jc w:val="center"/>
        <w:rPr>
          <w:rFonts w:hint="eastAsia" w:ascii="宋体" w:hAnsi="宋体"/>
          <w:color w:val="CC0000"/>
          <w:kern w:val="0"/>
          <w:sz w:val="36"/>
          <w:szCs w:val="36"/>
        </w:rPr>
      </w:pPr>
    </w:p>
    <w:p>
      <w:pPr>
        <w:widowControl/>
        <w:shd w:val="clear" w:color="auto" w:fill="FFFFFF"/>
        <w:jc w:val="center"/>
        <w:rPr>
          <w:rFonts w:hint="eastAsia" w:ascii="宋体" w:hAnsi="宋体"/>
          <w:color w:val="CC0000"/>
          <w:kern w:val="0"/>
          <w:sz w:val="36"/>
          <w:szCs w:val="36"/>
        </w:rPr>
      </w:pPr>
      <w:r>
        <w:rPr>
          <w:rFonts w:hint="eastAsia" w:ascii="宋体" w:hAnsi="宋体"/>
          <w:color w:val="CC0000"/>
          <w:kern w:val="0"/>
          <w:sz w:val="36"/>
          <w:szCs w:val="36"/>
        </w:rPr>
        <w:t>陆河县环保局关于201</w:t>
      </w:r>
      <w:r>
        <w:rPr>
          <w:rFonts w:hint="eastAsia" w:ascii="宋体" w:hAnsi="宋体"/>
          <w:color w:val="CC0000"/>
          <w:kern w:val="0"/>
          <w:sz w:val="36"/>
          <w:szCs w:val="36"/>
          <w:lang w:val="en-US" w:eastAsia="zh-CN"/>
        </w:rPr>
        <w:t>9</w:t>
      </w:r>
      <w:r>
        <w:rPr>
          <w:rFonts w:hint="eastAsia" w:ascii="宋体" w:hAnsi="宋体"/>
          <w:color w:val="CC0000"/>
          <w:kern w:val="0"/>
          <w:sz w:val="36"/>
          <w:szCs w:val="36"/>
        </w:rPr>
        <w:t>年</w:t>
      </w:r>
      <w:r>
        <w:rPr>
          <w:rFonts w:hint="eastAsia" w:ascii="宋体" w:hAnsi="宋体"/>
          <w:color w:val="CC0000"/>
          <w:kern w:val="0"/>
          <w:sz w:val="36"/>
          <w:szCs w:val="36"/>
          <w:lang w:val="en-US" w:eastAsia="zh-CN"/>
        </w:rPr>
        <w:t>3</w:t>
      </w:r>
      <w:r>
        <w:rPr>
          <w:rFonts w:hint="eastAsia" w:ascii="宋体" w:hAnsi="宋体"/>
          <w:color w:val="CC0000"/>
          <w:kern w:val="0"/>
          <w:sz w:val="36"/>
          <w:szCs w:val="36"/>
        </w:rPr>
        <w:t>月份作出的环境影响评价文件批复的公告</w:t>
      </w:r>
    </w:p>
    <w:tbl>
      <w:tblPr>
        <w:tblStyle w:val="2"/>
        <w:tblW w:w="8228" w:type="dxa"/>
        <w:tblInd w:w="66" w:type="dxa"/>
        <w:tblLayout w:type="fixed"/>
        <w:tblCellMar>
          <w:top w:w="0" w:type="dxa"/>
          <w:left w:w="0" w:type="dxa"/>
          <w:bottom w:w="0" w:type="dxa"/>
          <w:right w:w="0" w:type="dxa"/>
        </w:tblCellMar>
      </w:tblPr>
      <w:tblGrid>
        <w:gridCol w:w="8228"/>
      </w:tblGrid>
      <w:tr>
        <w:tblPrEx>
          <w:tblLayout w:type="fixed"/>
          <w:tblCellMar>
            <w:top w:w="0" w:type="dxa"/>
            <w:left w:w="0" w:type="dxa"/>
            <w:bottom w:w="0" w:type="dxa"/>
            <w:right w:w="0" w:type="dxa"/>
          </w:tblCellMar>
        </w:tblPrEx>
        <w:tc>
          <w:tcPr>
            <w:tcW w:w="8228"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left"/>
              <w:rPr>
                <w:rFonts w:hint="eastAsia" w:ascii="宋体" w:hAnsi="宋体"/>
                <w:color w:val="666666"/>
                <w:kern w:val="0"/>
                <w:sz w:val="24"/>
                <w:szCs w:val="24"/>
              </w:rPr>
            </w:pPr>
            <w:bookmarkStart w:id="0" w:name="_GoBack"/>
            <w:r>
              <w:rPr>
                <w:rFonts w:hint="eastAsia" w:ascii="宋体" w:hAnsi="宋体"/>
                <w:color w:val="666666"/>
                <w:kern w:val="0"/>
                <w:sz w:val="24"/>
                <w:szCs w:val="24"/>
              </w:rPr>
              <w:t>陆河县环保局关于201</w:t>
            </w:r>
            <w:r>
              <w:rPr>
                <w:rFonts w:hint="eastAsia" w:ascii="宋体" w:hAnsi="宋体"/>
                <w:color w:val="666666"/>
                <w:kern w:val="0"/>
                <w:sz w:val="24"/>
                <w:szCs w:val="24"/>
                <w:lang w:val="en-US" w:eastAsia="zh-CN"/>
              </w:rPr>
              <w:t>9</w:t>
            </w:r>
            <w:r>
              <w:rPr>
                <w:rFonts w:hint="eastAsia" w:ascii="宋体" w:hAnsi="宋体"/>
                <w:color w:val="666666"/>
                <w:kern w:val="0"/>
                <w:sz w:val="24"/>
                <w:szCs w:val="24"/>
              </w:rPr>
              <w:t>年</w:t>
            </w:r>
            <w:r>
              <w:rPr>
                <w:rFonts w:hint="eastAsia" w:ascii="宋体" w:hAnsi="宋体"/>
                <w:color w:val="666666"/>
                <w:kern w:val="0"/>
                <w:sz w:val="24"/>
                <w:szCs w:val="24"/>
                <w:lang w:val="en-US" w:eastAsia="zh-CN"/>
              </w:rPr>
              <w:t>3</w:t>
            </w:r>
            <w:r>
              <w:rPr>
                <w:rFonts w:hint="eastAsia" w:ascii="宋体" w:hAnsi="宋体"/>
                <w:color w:val="666666"/>
                <w:kern w:val="0"/>
                <w:sz w:val="24"/>
                <w:szCs w:val="24"/>
              </w:rPr>
              <w:t>月份作出的环境影响评价文件批复的公告</w:t>
            </w:r>
          </w:p>
          <w:bookmarkEnd w:id="0"/>
          <w:p>
            <w:pPr>
              <w:widowControl/>
              <w:spacing w:before="100" w:beforeAutospacing="1" w:after="100" w:afterAutospacing="1"/>
              <w:jc w:val="left"/>
              <w:rPr>
                <w:rFonts w:hint="eastAsia" w:ascii="宋体" w:hAnsi="宋体"/>
                <w:color w:val="666666"/>
                <w:kern w:val="0"/>
                <w:sz w:val="24"/>
                <w:szCs w:val="24"/>
              </w:rPr>
            </w:pPr>
          </w:p>
          <w:tbl>
            <w:tblPr>
              <w:tblStyle w:val="2"/>
              <w:tblW w:w="8501" w:type="dxa"/>
              <w:tblInd w:w="-85" w:type="dxa"/>
              <w:tblLayout w:type="fixed"/>
              <w:tblCellMar>
                <w:top w:w="0" w:type="dxa"/>
                <w:left w:w="108" w:type="dxa"/>
                <w:bottom w:w="0" w:type="dxa"/>
                <w:right w:w="108" w:type="dxa"/>
              </w:tblCellMar>
            </w:tblPr>
            <w:tblGrid>
              <w:gridCol w:w="453"/>
              <w:gridCol w:w="1043"/>
              <w:gridCol w:w="709"/>
              <w:gridCol w:w="850"/>
              <w:gridCol w:w="2263"/>
              <w:gridCol w:w="1428"/>
              <w:gridCol w:w="1063"/>
              <w:gridCol w:w="692"/>
            </w:tblGrid>
            <w:tr>
              <w:tblPrEx>
                <w:tblLayout w:type="fixed"/>
              </w:tblPrEx>
              <w:trPr>
                <w:trHeight w:val="968" w:hRule="atLeast"/>
              </w:trPr>
              <w:tc>
                <w:tcPr>
                  <w:tcW w:w="453"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ascii="宋体" w:hAnsi="宋体"/>
                      <w:color w:val="666666"/>
                      <w:kern w:val="0"/>
                      <w:sz w:val="24"/>
                      <w:szCs w:val="24"/>
                    </w:rPr>
                  </w:pPr>
                  <w:r>
                    <w:rPr>
                      <w:rFonts w:hint="eastAsia" w:ascii="宋体" w:hAnsi="宋体"/>
                      <w:color w:val="666666"/>
                      <w:kern w:val="0"/>
                      <w:sz w:val="24"/>
                      <w:szCs w:val="24"/>
                    </w:rPr>
                    <w:t>序</w:t>
                  </w:r>
                </w:p>
                <w:p>
                  <w:pPr>
                    <w:widowControl/>
                    <w:spacing w:before="100" w:beforeAutospacing="1" w:after="100" w:afterAutospacing="1"/>
                    <w:jc w:val="center"/>
                    <w:rPr>
                      <w:rFonts w:ascii="宋体" w:hAnsi="宋体"/>
                      <w:color w:val="666666"/>
                      <w:kern w:val="0"/>
                      <w:sz w:val="24"/>
                      <w:szCs w:val="24"/>
                    </w:rPr>
                  </w:pPr>
                  <w:r>
                    <w:rPr>
                      <w:rFonts w:hint="eastAsia" w:ascii="宋体" w:hAnsi="宋体"/>
                      <w:color w:val="666666"/>
                      <w:kern w:val="0"/>
                      <w:sz w:val="24"/>
                      <w:szCs w:val="24"/>
                    </w:rPr>
                    <w:t>号</w:t>
                  </w:r>
                </w:p>
              </w:tc>
              <w:tc>
                <w:tcPr>
                  <w:tcW w:w="1043"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ascii="宋体" w:hAnsi="宋体"/>
                      <w:color w:val="666666"/>
                      <w:kern w:val="0"/>
                      <w:sz w:val="24"/>
                      <w:szCs w:val="24"/>
                    </w:rPr>
                  </w:pPr>
                  <w:r>
                    <w:rPr>
                      <w:rFonts w:hint="eastAsia" w:ascii="宋体" w:hAnsi="宋体"/>
                      <w:color w:val="666666"/>
                      <w:kern w:val="0"/>
                      <w:sz w:val="24"/>
                      <w:szCs w:val="24"/>
                    </w:rPr>
                    <w:t>项目</w:t>
                  </w:r>
                </w:p>
                <w:p>
                  <w:pPr>
                    <w:widowControl/>
                    <w:spacing w:before="100" w:beforeAutospacing="1" w:after="100" w:afterAutospacing="1"/>
                    <w:jc w:val="center"/>
                    <w:rPr>
                      <w:rFonts w:ascii="宋体" w:hAnsi="宋体"/>
                      <w:color w:val="666666"/>
                      <w:kern w:val="0"/>
                      <w:sz w:val="24"/>
                      <w:szCs w:val="24"/>
                    </w:rPr>
                  </w:pPr>
                  <w:r>
                    <w:rPr>
                      <w:rFonts w:hint="eastAsia" w:ascii="宋体" w:hAnsi="宋体"/>
                      <w:color w:val="666666"/>
                      <w:kern w:val="0"/>
                      <w:sz w:val="24"/>
                      <w:szCs w:val="24"/>
                    </w:rPr>
                    <w:t>名称</w:t>
                  </w:r>
                </w:p>
              </w:tc>
              <w:tc>
                <w:tcPr>
                  <w:tcW w:w="709"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ascii="宋体" w:hAnsi="宋体"/>
                      <w:color w:val="666666"/>
                      <w:kern w:val="0"/>
                      <w:sz w:val="24"/>
                      <w:szCs w:val="24"/>
                    </w:rPr>
                  </w:pPr>
                  <w:r>
                    <w:rPr>
                      <w:rFonts w:hint="eastAsia" w:ascii="宋体" w:hAnsi="宋体"/>
                      <w:color w:val="666666"/>
                      <w:kern w:val="0"/>
                      <w:sz w:val="24"/>
                      <w:szCs w:val="24"/>
                    </w:rPr>
                    <w:t>建设</w:t>
                  </w:r>
                </w:p>
                <w:p>
                  <w:pPr>
                    <w:widowControl/>
                    <w:spacing w:before="100" w:beforeAutospacing="1" w:after="100" w:afterAutospacing="1"/>
                    <w:jc w:val="center"/>
                    <w:rPr>
                      <w:rFonts w:ascii="宋体" w:hAnsi="宋体"/>
                      <w:color w:val="666666"/>
                      <w:kern w:val="0"/>
                      <w:sz w:val="24"/>
                      <w:szCs w:val="24"/>
                    </w:rPr>
                  </w:pPr>
                  <w:r>
                    <w:rPr>
                      <w:rFonts w:hint="eastAsia" w:ascii="宋体" w:hAnsi="宋体"/>
                      <w:color w:val="666666"/>
                      <w:kern w:val="0"/>
                      <w:sz w:val="24"/>
                      <w:szCs w:val="24"/>
                    </w:rPr>
                    <w:t>单位</w:t>
                  </w:r>
                </w:p>
              </w:tc>
              <w:tc>
                <w:tcPr>
                  <w:tcW w:w="850"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ascii="宋体" w:hAnsi="宋体"/>
                      <w:color w:val="666666"/>
                      <w:kern w:val="0"/>
                      <w:sz w:val="24"/>
                      <w:szCs w:val="24"/>
                    </w:rPr>
                  </w:pPr>
                  <w:r>
                    <w:rPr>
                      <w:rFonts w:hint="eastAsia" w:ascii="宋体" w:hAnsi="宋体"/>
                      <w:color w:val="666666"/>
                      <w:kern w:val="0"/>
                      <w:sz w:val="24"/>
                      <w:szCs w:val="24"/>
                    </w:rPr>
                    <w:t>建设</w:t>
                  </w:r>
                </w:p>
                <w:p>
                  <w:pPr>
                    <w:widowControl/>
                    <w:spacing w:before="100" w:beforeAutospacing="1" w:after="100" w:afterAutospacing="1"/>
                    <w:jc w:val="center"/>
                    <w:rPr>
                      <w:rFonts w:ascii="宋体" w:hAnsi="宋体"/>
                      <w:color w:val="666666"/>
                      <w:kern w:val="0"/>
                      <w:sz w:val="24"/>
                      <w:szCs w:val="24"/>
                    </w:rPr>
                  </w:pPr>
                  <w:r>
                    <w:rPr>
                      <w:rFonts w:hint="eastAsia" w:ascii="宋体" w:hAnsi="宋体"/>
                      <w:color w:val="666666"/>
                      <w:kern w:val="0"/>
                      <w:sz w:val="24"/>
                      <w:szCs w:val="24"/>
                    </w:rPr>
                    <w:t>地址</w:t>
                  </w:r>
                </w:p>
              </w:tc>
              <w:tc>
                <w:tcPr>
                  <w:tcW w:w="2263"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ascii="宋体" w:hAnsi="宋体"/>
                      <w:color w:val="666666"/>
                      <w:kern w:val="0"/>
                      <w:sz w:val="24"/>
                      <w:szCs w:val="24"/>
                    </w:rPr>
                  </w:pPr>
                </w:p>
                <w:p>
                  <w:pPr>
                    <w:widowControl/>
                    <w:spacing w:before="100" w:beforeAutospacing="1" w:after="100" w:afterAutospacing="1"/>
                    <w:jc w:val="center"/>
                    <w:rPr>
                      <w:rFonts w:ascii="宋体" w:hAnsi="宋体"/>
                      <w:color w:val="666666"/>
                      <w:kern w:val="0"/>
                      <w:sz w:val="24"/>
                      <w:szCs w:val="24"/>
                    </w:rPr>
                  </w:pPr>
                  <w:r>
                    <w:rPr>
                      <w:rFonts w:hint="eastAsia" w:ascii="宋体" w:hAnsi="宋体"/>
                      <w:color w:val="666666"/>
                      <w:kern w:val="0"/>
                      <w:sz w:val="24"/>
                      <w:szCs w:val="24"/>
                    </w:rPr>
                    <w:t>建设内容、规模</w:t>
                  </w:r>
                </w:p>
              </w:tc>
              <w:tc>
                <w:tcPr>
                  <w:tcW w:w="1428"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ascii="宋体" w:hAnsi="宋体"/>
                      <w:color w:val="666666"/>
                      <w:kern w:val="0"/>
                      <w:sz w:val="24"/>
                      <w:szCs w:val="24"/>
                    </w:rPr>
                  </w:pPr>
                </w:p>
                <w:p>
                  <w:pPr>
                    <w:widowControl/>
                    <w:spacing w:before="100" w:beforeAutospacing="1" w:after="100" w:afterAutospacing="1"/>
                    <w:jc w:val="center"/>
                    <w:rPr>
                      <w:rFonts w:ascii="宋体" w:hAnsi="宋体"/>
                      <w:color w:val="666666"/>
                      <w:kern w:val="0"/>
                      <w:sz w:val="24"/>
                      <w:szCs w:val="24"/>
                    </w:rPr>
                  </w:pPr>
                  <w:r>
                    <w:rPr>
                      <w:rFonts w:hint="eastAsia" w:ascii="宋体" w:hAnsi="宋体"/>
                      <w:color w:val="666666"/>
                      <w:kern w:val="0"/>
                      <w:sz w:val="24"/>
                      <w:szCs w:val="24"/>
                    </w:rPr>
                    <w:t>审批时间</w:t>
                  </w:r>
                </w:p>
              </w:tc>
              <w:tc>
                <w:tcPr>
                  <w:tcW w:w="1063" w:type="dxa"/>
                  <w:tcBorders>
                    <w:top w:val="single" w:color="auto" w:sz="4" w:space="0"/>
                    <w:left w:val="nil"/>
                    <w:bottom w:val="single" w:color="auto" w:sz="4" w:space="0"/>
                    <w:right w:val="single" w:color="auto" w:sz="4" w:space="0"/>
                  </w:tcBorders>
                </w:tcPr>
                <w:p>
                  <w:pPr>
                    <w:widowControl/>
                    <w:spacing w:before="100" w:beforeAutospacing="1" w:after="100" w:afterAutospacing="1"/>
                    <w:rPr>
                      <w:rFonts w:ascii="宋体" w:hAnsi="宋体"/>
                      <w:color w:val="666666"/>
                      <w:kern w:val="0"/>
                      <w:sz w:val="24"/>
                      <w:szCs w:val="24"/>
                    </w:rPr>
                  </w:pPr>
                  <w:r>
                    <w:rPr>
                      <w:rFonts w:hint="eastAsia" w:ascii="宋体" w:hAnsi="宋体"/>
                      <w:color w:val="666666"/>
                      <w:kern w:val="0"/>
                      <w:sz w:val="24"/>
                      <w:szCs w:val="24"/>
                    </w:rPr>
                    <w:t xml:space="preserve"> 审批</w:t>
                  </w:r>
                </w:p>
                <w:p>
                  <w:pPr>
                    <w:widowControl/>
                    <w:spacing w:before="100" w:beforeAutospacing="1" w:after="100" w:afterAutospacing="1"/>
                    <w:rPr>
                      <w:rFonts w:ascii="宋体" w:hAnsi="宋体"/>
                      <w:color w:val="666666"/>
                      <w:kern w:val="0"/>
                      <w:sz w:val="24"/>
                      <w:szCs w:val="24"/>
                    </w:rPr>
                  </w:pPr>
                  <w:r>
                    <w:rPr>
                      <w:rFonts w:hint="eastAsia" w:ascii="宋体" w:hAnsi="宋体"/>
                      <w:color w:val="666666"/>
                      <w:kern w:val="0"/>
                      <w:sz w:val="24"/>
                      <w:szCs w:val="24"/>
                    </w:rPr>
                    <w:t xml:space="preserve"> 文号</w:t>
                  </w:r>
                </w:p>
              </w:tc>
              <w:tc>
                <w:tcPr>
                  <w:tcW w:w="692"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ascii="宋体" w:hAnsi="宋体"/>
                      <w:color w:val="666666"/>
                      <w:kern w:val="0"/>
                      <w:sz w:val="24"/>
                      <w:szCs w:val="24"/>
                    </w:rPr>
                  </w:pPr>
                  <w:r>
                    <w:rPr>
                      <w:rFonts w:hint="eastAsia" w:ascii="宋体" w:hAnsi="宋体"/>
                      <w:color w:val="666666"/>
                      <w:kern w:val="0"/>
                      <w:sz w:val="24"/>
                      <w:szCs w:val="24"/>
                    </w:rPr>
                    <w:t>审批结束</w:t>
                  </w:r>
                </w:p>
              </w:tc>
            </w:tr>
            <w:tr>
              <w:tblPrEx>
                <w:tblLayout w:type="fixed"/>
                <w:tblCellMar>
                  <w:top w:w="0" w:type="dxa"/>
                  <w:left w:w="108" w:type="dxa"/>
                  <w:bottom w:w="0" w:type="dxa"/>
                  <w:right w:w="108" w:type="dxa"/>
                </w:tblCellMar>
              </w:tblPrEx>
              <w:trPr>
                <w:trHeight w:val="3425" w:hRule="atLeast"/>
              </w:trPr>
              <w:tc>
                <w:tcPr>
                  <w:tcW w:w="453" w:type="dxa"/>
                  <w:tcBorders>
                    <w:top w:val="single" w:color="auto" w:sz="4" w:space="0"/>
                    <w:left w:val="nil"/>
                    <w:bottom w:val="single" w:color="auto" w:sz="4" w:space="0"/>
                    <w:right w:val="single" w:color="auto" w:sz="4" w:space="0"/>
                  </w:tcBorders>
                </w:tcPr>
                <w:p>
                  <w:pPr>
                    <w:widowControl/>
                    <w:spacing w:before="100" w:beforeAutospacing="1" w:after="100" w:afterAutospacing="1"/>
                    <w:jc w:val="distribute"/>
                    <w:rPr>
                      <w:rFonts w:ascii="宋体" w:hAnsi="宋体"/>
                      <w:color w:val="666666"/>
                      <w:kern w:val="0"/>
                      <w:sz w:val="24"/>
                      <w:szCs w:val="24"/>
                    </w:rPr>
                  </w:pPr>
                </w:p>
                <w:p>
                  <w:pPr>
                    <w:widowControl/>
                    <w:spacing w:before="100" w:beforeAutospacing="1" w:after="100" w:afterAutospacing="1"/>
                    <w:jc w:val="distribute"/>
                    <w:rPr>
                      <w:rFonts w:hint="eastAsia" w:ascii="宋体" w:hAnsi="宋体"/>
                      <w:color w:val="666666"/>
                      <w:kern w:val="0"/>
                      <w:sz w:val="24"/>
                      <w:szCs w:val="24"/>
                    </w:rPr>
                  </w:pPr>
                </w:p>
                <w:p>
                  <w:pPr>
                    <w:widowControl/>
                    <w:spacing w:before="100" w:beforeAutospacing="1" w:after="100" w:afterAutospacing="1"/>
                    <w:jc w:val="distribute"/>
                    <w:rPr>
                      <w:rFonts w:hint="eastAsia" w:ascii="宋体" w:hAnsi="宋体"/>
                      <w:color w:val="666666"/>
                      <w:kern w:val="0"/>
                      <w:sz w:val="24"/>
                      <w:szCs w:val="24"/>
                    </w:rPr>
                  </w:pPr>
                </w:p>
                <w:p>
                  <w:pPr>
                    <w:widowControl/>
                    <w:spacing w:before="100" w:beforeAutospacing="1" w:after="100" w:afterAutospacing="1"/>
                    <w:jc w:val="distribute"/>
                    <w:rPr>
                      <w:rFonts w:ascii="宋体" w:hAnsi="宋体"/>
                      <w:color w:val="666666"/>
                      <w:kern w:val="0"/>
                      <w:sz w:val="24"/>
                      <w:szCs w:val="24"/>
                    </w:rPr>
                  </w:pPr>
                  <w:r>
                    <w:rPr>
                      <w:rFonts w:hint="eastAsia" w:ascii="宋体" w:hAnsi="宋体"/>
                      <w:color w:val="666666"/>
                      <w:kern w:val="0"/>
                      <w:sz w:val="24"/>
                      <w:szCs w:val="24"/>
                    </w:rPr>
                    <w:t>1</w:t>
                  </w:r>
                </w:p>
              </w:tc>
              <w:tc>
                <w:tcPr>
                  <w:tcW w:w="1043"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hint="eastAsia" w:ascii="宋体" w:hAnsi="宋体"/>
                      <w:color w:val="666666"/>
                      <w:kern w:val="0"/>
                      <w:sz w:val="24"/>
                      <w:szCs w:val="24"/>
                      <w:lang w:val="en-US" w:eastAsia="zh-CN"/>
                    </w:rPr>
                  </w:pPr>
                  <w:r>
                    <w:rPr>
                      <w:rFonts w:hint="eastAsia" w:ascii="宋体" w:hAnsi="宋体"/>
                      <w:color w:val="666666"/>
                      <w:kern w:val="0"/>
                      <w:sz w:val="24"/>
                      <w:szCs w:val="24"/>
                    </w:rPr>
                    <w:t>陆河县嘉冠木业有限公司年产胶合板28000m3改扩建项目</w:t>
                  </w:r>
                </w:p>
              </w:tc>
              <w:tc>
                <w:tcPr>
                  <w:tcW w:w="709"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hint="eastAsia" w:ascii="宋体" w:hAnsi="宋体"/>
                      <w:color w:val="666666"/>
                      <w:kern w:val="0"/>
                      <w:sz w:val="24"/>
                      <w:szCs w:val="24"/>
                      <w:lang w:val="en-US" w:eastAsia="zh-CN"/>
                    </w:rPr>
                  </w:pPr>
                  <w:r>
                    <w:rPr>
                      <w:rFonts w:hint="eastAsia" w:ascii="宋体" w:hAnsi="宋体"/>
                      <w:color w:val="666666"/>
                      <w:kern w:val="0"/>
                      <w:sz w:val="24"/>
                      <w:szCs w:val="24"/>
                    </w:rPr>
                    <w:t>陆河县嘉冠木业有限公司</w:t>
                  </w:r>
                </w:p>
              </w:tc>
              <w:tc>
                <w:tcPr>
                  <w:tcW w:w="850"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hint="eastAsia" w:ascii="宋体" w:hAnsi="宋体"/>
                      <w:color w:val="666666"/>
                      <w:kern w:val="0"/>
                      <w:sz w:val="24"/>
                      <w:szCs w:val="24"/>
                      <w:lang w:val="en-US" w:eastAsia="zh-CN"/>
                    </w:rPr>
                  </w:pPr>
                  <w:r>
                    <w:rPr>
                      <w:rFonts w:hint="eastAsia" w:ascii="宋体" w:hAnsi="宋体"/>
                      <w:color w:val="666666"/>
                      <w:kern w:val="0"/>
                      <w:sz w:val="24"/>
                      <w:szCs w:val="24"/>
                    </w:rPr>
                    <w:t>陆河县新田镇新村村委荷树凹</w:t>
                  </w:r>
                </w:p>
              </w:tc>
              <w:tc>
                <w:tcPr>
                  <w:tcW w:w="2263"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hint="eastAsia" w:ascii="宋体" w:hAnsi="宋体"/>
                      <w:color w:val="666666"/>
                      <w:kern w:val="0"/>
                      <w:sz w:val="24"/>
                      <w:szCs w:val="24"/>
                      <w:lang w:val="en-US" w:eastAsia="zh-CN"/>
                    </w:rPr>
                  </w:pPr>
                  <w:r>
                    <w:rPr>
                      <w:rFonts w:hint="eastAsia" w:ascii="宋体" w:hAnsi="宋体"/>
                      <w:color w:val="666666"/>
                      <w:kern w:val="0"/>
                      <w:sz w:val="24"/>
                      <w:szCs w:val="24"/>
                      <w:lang w:eastAsia="zh-CN"/>
                    </w:rPr>
                    <w:t>该项目位于</w:t>
                  </w:r>
                  <w:r>
                    <w:rPr>
                      <w:rFonts w:hint="eastAsia" w:ascii="宋体" w:hAnsi="宋体"/>
                      <w:color w:val="666666"/>
                      <w:kern w:val="0"/>
                      <w:sz w:val="24"/>
                      <w:szCs w:val="24"/>
                    </w:rPr>
                    <w:t>陆河县新田镇新村村委荷树凹</w:t>
                  </w:r>
                  <w:r>
                    <w:rPr>
                      <w:rFonts w:hint="eastAsia" w:ascii="宋体" w:hAnsi="宋体"/>
                      <w:color w:val="666666"/>
                      <w:kern w:val="0"/>
                      <w:sz w:val="24"/>
                      <w:szCs w:val="24"/>
                      <w:lang w:eastAsia="zh-CN"/>
                    </w:rPr>
                    <w:t>，</w:t>
                  </w:r>
                  <w:r>
                    <w:rPr>
                      <w:rFonts w:hint="eastAsia" w:ascii="宋体" w:hAnsi="宋体"/>
                      <w:color w:val="666666"/>
                      <w:kern w:val="0"/>
                      <w:sz w:val="24"/>
                      <w:szCs w:val="24"/>
                    </w:rPr>
                    <w:t>总投资2000万元。改扩建后项目总占地面积40752.123m2，建筑面积15839.083m2，产品规模为年产胶合板28000m3。改扩建后项目新增生产设备</w:t>
                  </w:r>
                  <w:r>
                    <w:rPr>
                      <w:rFonts w:hint="eastAsia" w:ascii="宋体" w:hAnsi="宋体"/>
                      <w:color w:val="666666"/>
                      <w:kern w:val="0"/>
                      <w:sz w:val="24"/>
                      <w:szCs w:val="24"/>
                      <w:lang w:eastAsia="zh-CN"/>
                    </w:rPr>
                    <w:t>：</w:t>
                  </w:r>
                  <w:r>
                    <w:rPr>
                      <w:rFonts w:hint="eastAsia" w:ascii="宋体" w:hAnsi="宋体"/>
                      <w:color w:val="666666"/>
                      <w:kern w:val="0"/>
                      <w:sz w:val="24"/>
                      <w:szCs w:val="24"/>
                      <w:lang w:val="en-US" w:eastAsia="zh-CN"/>
                    </w:rPr>
                    <w:t>涂料机6台、热压机8台、冷压机7台、裁边机1台、裁边砂光一体机1台、干燥机1台、砂光机1台、旋切机1台、翻板机1台、排版机5台、斜磨机3台、叉车6台、对接机8台、中板锯2台、刮灰机1台、锯边机1台</w:t>
                  </w:r>
                  <w:r>
                    <w:rPr>
                      <w:rFonts w:hint="eastAsia" w:ascii="宋体" w:hAnsi="宋体"/>
                      <w:color w:val="666666"/>
                      <w:kern w:val="0"/>
                      <w:sz w:val="24"/>
                      <w:szCs w:val="24"/>
                      <w:lang w:eastAsia="zh-CN"/>
                    </w:rPr>
                    <w:t>；</w:t>
                  </w:r>
                  <w:r>
                    <w:rPr>
                      <w:rFonts w:hint="eastAsia" w:ascii="宋体" w:hAnsi="宋体"/>
                      <w:color w:val="666666"/>
                      <w:kern w:val="0"/>
                      <w:sz w:val="24"/>
                      <w:szCs w:val="24"/>
                    </w:rPr>
                    <w:t>新增投资1000万元。项目员工人数新增46人，年工作280天，工作时间为每天8小时</w:t>
                  </w:r>
                  <w:r>
                    <w:rPr>
                      <w:rFonts w:hint="eastAsia" w:ascii="宋体" w:hAnsi="宋体"/>
                      <w:color w:val="666666"/>
                      <w:kern w:val="0"/>
                      <w:sz w:val="24"/>
                      <w:szCs w:val="24"/>
                      <w:lang w:eastAsia="zh-CN"/>
                    </w:rPr>
                    <w:t>。</w:t>
                  </w:r>
                </w:p>
              </w:tc>
              <w:tc>
                <w:tcPr>
                  <w:tcW w:w="1428"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hint="eastAsia" w:ascii="宋体" w:hAnsi="宋体"/>
                      <w:color w:val="666666"/>
                      <w:kern w:val="0"/>
                      <w:sz w:val="24"/>
                      <w:szCs w:val="24"/>
                    </w:rPr>
                  </w:pPr>
                </w:p>
                <w:p>
                  <w:pPr>
                    <w:widowControl/>
                    <w:spacing w:before="100" w:beforeAutospacing="1" w:after="100" w:afterAutospacing="1"/>
                    <w:jc w:val="center"/>
                    <w:rPr>
                      <w:rFonts w:hint="eastAsia" w:ascii="宋体" w:hAnsi="宋体"/>
                      <w:color w:val="666666"/>
                      <w:kern w:val="0"/>
                      <w:sz w:val="24"/>
                      <w:szCs w:val="24"/>
                    </w:rPr>
                  </w:pPr>
                </w:p>
                <w:p>
                  <w:pPr>
                    <w:widowControl/>
                    <w:spacing w:before="100" w:beforeAutospacing="1" w:after="100" w:afterAutospacing="1"/>
                    <w:jc w:val="center"/>
                    <w:rPr>
                      <w:rFonts w:hint="eastAsia" w:ascii="宋体" w:hAnsi="宋体"/>
                      <w:color w:val="666666"/>
                      <w:kern w:val="0"/>
                      <w:sz w:val="24"/>
                      <w:szCs w:val="24"/>
                    </w:rPr>
                  </w:pPr>
                </w:p>
                <w:p>
                  <w:pPr>
                    <w:widowControl/>
                    <w:spacing w:before="100" w:beforeAutospacing="1" w:after="100" w:afterAutospacing="1"/>
                    <w:jc w:val="center"/>
                    <w:rPr>
                      <w:rFonts w:hint="default" w:ascii="宋体" w:hAnsi="宋体"/>
                      <w:color w:val="666666"/>
                      <w:kern w:val="0"/>
                      <w:sz w:val="24"/>
                      <w:szCs w:val="24"/>
                      <w:lang w:val="en-US" w:eastAsia="zh-CN"/>
                    </w:rPr>
                  </w:pPr>
                  <w:r>
                    <w:rPr>
                      <w:rFonts w:hint="eastAsia" w:ascii="宋体" w:hAnsi="宋体"/>
                      <w:color w:val="666666"/>
                      <w:kern w:val="0"/>
                      <w:sz w:val="24"/>
                      <w:szCs w:val="24"/>
                    </w:rPr>
                    <w:t>201</w:t>
                  </w:r>
                  <w:r>
                    <w:rPr>
                      <w:rFonts w:hint="eastAsia" w:ascii="宋体" w:hAnsi="宋体"/>
                      <w:color w:val="666666"/>
                      <w:kern w:val="0"/>
                      <w:sz w:val="24"/>
                      <w:szCs w:val="24"/>
                      <w:lang w:val="en-US" w:eastAsia="zh-CN"/>
                    </w:rPr>
                    <w:t>9</w:t>
                  </w:r>
                  <w:r>
                    <w:rPr>
                      <w:rFonts w:hint="eastAsia" w:ascii="宋体" w:hAnsi="宋体"/>
                      <w:color w:val="666666"/>
                      <w:kern w:val="0"/>
                      <w:sz w:val="24"/>
                      <w:szCs w:val="24"/>
                    </w:rPr>
                    <w:t>-</w:t>
                  </w:r>
                  <w:r>
                    <w:rPr>
                      <w:rFonts w:hint="eastAsia" w:ascii="宋体" w:hAnsi="宋体"/>
                      <w:color w:val="666666"/>
                      <w:kern w:val="0"/>
                      <w:sz w:val="24"/>
                      <w:szCs w:val="24"/>
                      <w:lang w:val="en-US" w:eastAsia="zh-CN"/>
                    </w:rPr>
                    <w:t>3</w:t>
                  </w:r>
                  <w:r>
                    <w:rPr>
                      <w:rFonts w:hint="eastAsia" w:ascii="宋体" w:hAnsi="宋体"/>
                      <w:color w:val="666666"/>
                      <w:kern w:val="0"/>
                      <w:sz w:val="24"/>
                      <w:szCs w:val="24"/>
                    </w:rPr>
                    <w:t>-</w:t>
                  </w:r>
                  <w:r>
                    <w:rPr>
                      <w:rFonts w:hint="eastAsia" w:ascii="宋体" w:hAnsi="宋体"/>
                      <w:color w:val="666666"/>
                      <w:kern w:val="0"/>
                      <w:sz w:val="24"/>
                      <w:szCs w:val="24"/>
                      <w:lang w:val="en-US" w:eastAsia="zh-CN"/>
                    </w:rPr>
                    <w:t>13</w:t>
                  </w:r>
                </w:p>
              </w:tc>
              <w:tc>
                <w:tcPr>
                  <w:tcW w:w="1063"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hint="eastAsia" w:ascii="宋体" w:hAnsi="宋体"/>
                      <w:color w:val="666666"/>
                      <w:kern w:val="0"/>
                      <w:sz w:val="24"/>
                      <w:szCs w:val="24"/>
                    </w:rPr>
                  </w:pPr>
                </w:p>
                <w:p>
                  <w:pPr>
                    <w:widowControl/>
                    <w:spacing w:before="100" w:beforeAutospacing="1" w:after="100" w:afterAutospacing="1"/>
                    <w:jc w:val="center"/>
                    <w:rPr>
                      <w:rFonts w:hint="eastAsia" w:ascii="宋体" w:hAnsi="宋体"/>
                      <w:color w:val="666666"/>
                      <w:kern w:val="0"/>
                      <w:sz w:val="24"/>
                      <w:szCs w:val="24"/>
                    </w:rPr>
                  </w:pPr>
                </w:p>
                <w:p>
                  <w:pPr>
                    <w:widowControl/>
                    <w:spacing w:before="100" w:beforeAutospacing="1" w:after="100" w:afterAutospacing="1"/>
                    <w:jc w:val="center"/>
                    <w:rPr>
                      <w:rFonts w:hint="eastAsia" w:ascii="宋体" w:hAnsi="宋体"/>
                      <w:color w:val="666666"/>
                      <w:kern w:val="0"/>
                      <w:sz w:val="24"/>
                      <w:szCs w:val="24"/>
                    </w:rPr>
                  </w:pPr>
                  <w:r>
                    <w:rPr>
                      <w:rFonts w:hint="eastAsia" w:ascii="宋体" w:hAnsi="宋体"/>
                      <w:color w:val="666666"/>
                      <w:kern w:val="0"/>
                      <w:sz w:val="24"/>
                      <w:szCs w:val="24"/>
                    </w:rPr>
                    <w:t>陆环</w:t>
                  </w:r>
                  <w:r>
                    <w:rPr>
                      <w:rFonts w:hint="eastAsia" w:ascii="宋体" w:hAnsi="宋体"/>
                      <w:color w:val="666666"/>
                      <w:kern w:val="0"/>
                      <w:sz w:val="24"/>
                      <w:szCs w:val="24"/>
                      <w:lang w:eastAsia="zh-CN"/>
                    </w:rPr>
                    <w:t>审</w:t>
                  </w:r>
                  <w:r>
                    <w:rPr>
                      <w:rFonts w:hint="eastAsia" w:ascii="宋体" w:hAnsi="宋体"/>
                      <w:color w:val="666666"/>
                      <w:kern w:val="0"/>
                      <w:sz w:val="24"/>
                      <w:szCs w:val="24"/>
                    </w:rPr>
                    <w:t>〔201</w:t>
                  </w:r>
                  <w:r>
                    <w:rPr>
                      <w:rFonts w:hint="eastAsia" w:ascii="宋体" w:hAnsi="宋体"/>
                      <w:color w:val="666666"/>
                      <w:kern w:val="0"/>
                      <w:sz w:val="24"/>
                      <w:szCs w:val="24"/>
                      <w:lang w:val="en-US" w:eastAsia="zh-CN"/>
                    </w:rPr>
                    <w:t>9</w:t>
                  </w:r>
                  <w:r>
                    <w:rPr>
                      <w:rFonts w:hint="eastAsia" w:ascii="宋体" w:hAnsi="宋体"/>
                      <w:color w:val="666666"/>
                      <w:kern w:val="0"/>
                      <w:sz w:val="24"/>
                      <w:szCs w:val="24"/>
                    </w:rPr>
                    <w:t>〕</w:t>
                  </w:r>
                  <w:r>
                    <w:rPr>
                      <w:rFonts w:hint="eastAsia" w:ascii="宋体" w:hAnsi="宋体"/>
                      <w:color w:val="666666"/>
                      <w:kern w:val="0"/>
                      <w:sz w:val="24"/>
                      <w:szCs w:val="24"/>
                      <w:lang w:val="en-US" w:eastAsia="zh-CN"/>
                    </w:rPr>
                    <w:t>06</w:t>
                  </w:r>
                  <w:r>
                    <w:rPr>
                      <w:rFonts w:hint="eastAsia" w:ascii="宋体" w:hAnsi="宋体"/>
                      <w:color w:val="666666"/>
                      <w:kern w:val="0"/>
                      <w:sz w:val="24"/>
                      <w:szCs w:val="24"/>
                    </w:rPr>
                    <w:t>号</w:t>
                  </w:r>
                </w:p>
                <w:p>
                  <w:pPr>
                    <w:widowControl/>
                    <w:spacing w:before="100" w:beforeAutospacing="1" w:after="100" w:afterAutospacing="1"/>
                    <w:jc w:val="center"/>
                    <w:rPr>
                      <w:rFonts w:hint="eastAsia" w:ascii="宋体" w:hAnsi="宋体"/>
                      <w:color w:val="666666"/>
                      <w:kern w:val="0"/>
                      <w:sz w:val="24"/>
                      <w:szCs w:val="24"/>
                    </w:rPr>
                  </w:pPr>
                </w:p>
              </w:tc>
              <w:tc>
                <w:tcPr>
                  <w:tcW w:w="692"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hint="eastAsia" w:ascii="宋体" w:hAnsi="宋体"/>
                      <w:color w:val="666666"/>
                      <w:kern w:val="0"/>
                      <w:sz w:val="24"/>
                      <w:szCs w:val="24"/>
                    </w:rPr>
                  </w:pPr>
                </w:p>
                <w:p>
                  <w:pPr>
                    <w:widowControl/>
                    <w:spacing w:before="100" w:beforeAutospacing="1" w:after="100" w:afterAutospacing="1"/>
                    <w:jc w:val="center"/>
                    <w:rPr>
                      <w:rFonts w:hint="eastAsia" w:ascii="宋体" w:hAnsi="宋体"/>
                      <w:color w:val="666666"/>
                      <w:kern w:val="0"/>
                      <w:sz w:val="24"/>
                      <w:szCs w:val="24"/>
                    </w:rPr>
                  </w:pPr>
                </w:p>
                <w:p>
                  <w:pPr>
                    <w:widowControl/>
                    <w:spacing w:before="100" w:beforeAutospacing="1" w:after="100" w:afterAutospacing="1"/>
                    <w:jc w:val="center"/>
                    <w:rPr>
                      <w:rFonts w:hint="eastAsia" w:ascii="宋体" w:hAnsi="宋体"/>
                      <w:color w:val="666666"/>
                      <w:kern w:val="0"/>
                      <w:sz w:val="24"/>
                      <w:szCs w:val="24"/>
                    </w:rPr>
                  </w:pPr>
                  <w:r>
                    <w:rPr>
                      <w:rFonts w:hint="eastAsia" w:ascii="宋体" w:hAnsi="宋体"/>
                      <w:color w:val="666666"/>
                      <w:kern w:val="0"/>
                      <w:sz w:val="24"/>
                      <w:szCs w:val="24"/>
                    </w:rPr>
                    <w:t>通过</w:t>
                  </w:r>
                </w:p>
              </w:tc>
            </w:tr>
          </w:tbl>
          <w:p>
            <w:pPr>
              <w:widowControl/>
              <w:spacing w:before="100" w:beforeAutospacing="1" w:after="100" w:afterAutospacing="1"/>
              <w:jc w:val="left"/>
              <w:rPr>
                <w:rFonts w:hint="eastAsia" w:ascii="宋体" w:hAnsi="宋体"/>
                <w:color w:val="666666"/>
                <w:kern w:val="0"/>
                <w:sz w:val="24"/>
                <w:szCs w:val="24"/>
              </w:rPr>
            </w:pPr>
            <w:r>
              <w:rPr>
                <w:rFonts w:hint="eastAsia" w:ascii="宋体" w:hAnsi="宋体"/>
                <w:color w:val="666666"/>
                <w:kern w:val="0"/>
                <w:sz w:val="24"/>
                <w:szCs w:val="24"/>
                <w:lang w:val="en-US" w:eastAsia="zh-CN"/>
              </w:rPr>
              <w:t>公告期限：自本公告发布之日起六十日届满。</w:t>
            </w:r>
            <w:r>
              <w:rPr>
                <w:rFonts w:hint="eastAsia" w:ascii="宋体" w:hAnsi="宋体"/>
                <w:color w:val="666666"/>
                <w:kern w:val="0"/>
                <w:sz w:val="24"/>
                <w:szCs w:val="24"/>
                <w:lang w:val="en-US" w:eastAsia="zh-CN"/>
              </w:rPr>
              <w:br w:type="textWrapping"/>
            </w:r>
            <w:r>
              <w:rPr>
                <w:rFonts w:hint="eastAsia" w:ascii="宋体" w:hAnsi="宋体"/>
                <w:color w:val="666666"/>
                <w:kern w:val="0"/>
                <w:sz w:val="24"/>
                <w:szCs w:val="24"/>
                <w:lang w:val="en-US" w:eastAsia="zh-CN"/>
              </w:rPr>
              <w:t>行政复议与行政诉讼权利告知：公民、法人或者其他组织（建设单位除外）认为具体行政行为侵犯其合法权益的，可以自公告期限届满之日起六十日内向汕尾市生态环境局或陆河县人民政府申请复议，也可以在公告期限届满之日起三个月内直接向</w:t>
            </w:r>
            <w:r>
              <w:rPr>
                <w:rFonts w:hint="eastAsia" w:ascii="宋体" w:hAnsi="宋体"/>
                <w:color w:val="666666"/>
                <w:kern w:val="0"/>
                <w:sz w:val="24"/>
                <w:szCs w:val="24"/>
              </w:rPr>
              <w:t>人民法院起诉。</w:t>
            </w:r>
          </w:p>
          <w:p>
            <w:pPr>
              <w:widowControl/>
              <w:spacing w:before="100" w:beforeAutospacing="1" w:after="100" w:afterAutospacing="1"/>
              <w:jc w:val="left"/>
              <w:rPr>
                <w:rFonts w:ascii="宋体" w:hAnsi="宋体"/>
                <w:color w:val="666666"/>
                <w:kern w:val="0"/>
                <w:sz w:val="24"/>
                <w:szCs w:val="24"/>
              </w:rPr>
            </w:pPr>
          </w:p>
        </w:tc>
      </w:tr>
    </w:tbl>
    <w:p>
      <w:pPr>
        <w:rPr>
          <w:rFonts w:hint="eastAsia"/>
          <w:lang w:val="en-US" w:eastAsia="zh-CN"/>
        </w:rPr>
      </w:pPr>
      <w:r>
        <w:rPr>
          <w:rFonts w:hint="eastAsia"/>
          <w:lang w:val="en-US" w:eastAsia="zh-CN"/>
        </w:rPr>
        <w:t xml:space="preserve">                                            </w:t>
      </w:r>
    </w:p>
    <w:p>
      <w:pPr>
        <w:rPr>
          <w:rFonts w:hint="eastAsia"/>
          <w:lang w:val="en-US" w:eastAsia="zh-CN"/>
        </w:rPr>
      </w:pPr>
      <w:r>
        <w:rPr>
          <w:rFonts w:hint="eastAsia"/>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171B"/>
    <w:rsid w:val="008F171B"/>
    <w:rsid w:val="00924B9A"/>
    <w:rsid w:val="00AA098A"/>
    <w:rsid w:val="00BB5524"/>
    <w:rsid w:val="20740F19"/>
    <w:rsid w:val="23DE0B48"/>
    <w:rsid w:val="43B937FF"/>
    <w:rsid w:val="43D21F21"/>
    <w:rsid w:val="4567783B"/>
    <w:rsid w:val="5CCA2D39"/>
    <w:rsid w:val="60DB1750"/>
    <w:rsid w:val="676E4F8C"/>
    <w:rsid w:val="6E9C5654"/>
    <w:rsid w:val="789616B2"/>
    <w:rsid w:val="7FC5109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3">
    <w:name w:val="Default Paragraph Font"/>
    <w:unhideWhenUsed/>
    <w:qFormat/>
    <w:uiPriority w:val="1"/>
  </w:style>
  <w:style w:type="table" w:default="1" w:styleId="2">
    <w:name w:val="Normal Table"/>
    <w:unhideWhenUsed/>
    <w:qFormat/>
    <w:uiPriority w:val="99"/>
    <w:tblPr>
      <w:tblLayout w:type="fixed"/>
      <w:tblCellMar>
        <w:top w:w="0" w:type="dxa"/>
        <w:left w:w="108" w:type="dxa"/>
        <w:bottom w:w="0" w:type="dxa"/>
        <w:right w:w="108" w:type="dxa"/>
      </w:tblCellMar>
    </w:tblPr>
  </w:style>
  <w:style w:type="paragraph" w:customStyle="1" w:styleId="4">
    <w:name w:val="正 文"/>
    <w:qFormat/>
    <w:uiPriority w:val="0"/>
    <w:pPr>
      <w:widowControl w:val="0"/>
      <w:spacing w:line="360" w:lineRule="auto"/>
      <w:ind w:firstLine="480" w:firstLineChars="200"/>
      <w:jc w:val="both"/>
    </w:pPr>
    <w:rPr>
      <w:rFonts w:asciiTheme="minorHAnsi" w:hAnsiTheme="minorHAnsi" w:eastAsiaTheme="minorEastAsia" w:cstheme="minorBidi"/>
      <w:kern w:val="2"/>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192</Words>
  <Characters>1098</Characters>
  <Lines>9</Lines>
  <Paragraphs>2</Paragraphs>
  <TotalTime>3</TotalTime>
  <ScaleCrop>false</ScaleCrop>
  <LinksUpToDate>false</LinksUpToDate>
  <CharactersWithSpaces>1288</CharactersWithSpaces>
  <Application>WPS Office_11.3.0.8513_F1E327BC-269C-435d-A152-05C5408002CA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2016-05-27T03:18:00Z</dcterms:created>
  <dc:creator>Administrator</dc:creator>
  <cp:lastModifiedBy>Administrator</cp:lastModifiedBy>
  <cp:lastPrinted>2019-04-01T06:56:58Z</cp:lastPrinted>
  <dcterms:modified xsi:type="dcterms:W3CDTF">2019-04-01T06:57:14Z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2052-11.3.0.8513</vt:lpwstr>
  </property>
</Properties>
</file>