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8</w:t>
      </w:r>
      <w:r>
        <w:rPr>
          <w:rFonts w:hint="eastAsia" w:ascii="宋体" w:hAnsi="宋体"/>
          <w:color w:val="CC0000"/>
          <w:kern w:val="0"/>
          <w:sz w:val="36"/>
          <w:szCs w:val="36"/>
        </w:rPr>
        <w:t>年</w:t>
      </w:r>
      <w:r>
        <w:rPr>
          <w:rFonts w:hint="eastAsia" w:ascii="宋体" w:hAnsi="宋体"/>
          <w:color w:val="CC0000"/>
          <w:kern w:val="0"/>
          <w:sz w:val="36"/>
          <w:szCs w:val="36"/>
          <w:lang w:val="en-US" w:eastAsia="zh-CN"/>
        </w:rPr>
        <w:t>9</w:t>
      </w:r>
      <w:r>
        <w:rPr>
          <w:rFonts w:hint="eastAsia" w:ascii="宋体" w:hAnsi="宋体"/>
          <w:color w:val="CC0000"/>
          <w:kern w:val="0"/>
          <w:sz w:val="36"/>
          <w:szCs w:val="36"/>
        </w:rPr>
        <w:t>月份作出的环境影响评价文件批复的公告</w:t>
      </w:r>
    </w:p>
    <w:tbl>
      <w:tblPr>
        <w:tblStyle w:val="4"/>
        <w:tblW w:w="8294" w:type="dxa"/>
        <w:tblInd w:w="0" w:type="dxa"/>
        <w:tblLayout w:type="fixed"/>
        <w:tblCellMar>
          <w:top w:w="0" w:type="dxa"/>
          <w:left w:w="0" w:type="dxa"/>
          <w:bottom w:w="0" w:type="dxa"/>
          <w:right w:w="0" w:type="dxa"/>
        </w:tblCellMar>
      </w:tblPr>
      <w:tblGrid>
        <w:gridCol w:w="8294"/>
      </w:tblGrid>
      <w:tr>
        <w:tblPrEx>
          <w:tblLayout w:type="fixed"/>
        </w:tblPrEx>
        <w:tc>
          <w:tcPr>
            <w:tcW w:w="82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666666"/>
                <w:kern w:val="0"/>
                <w:sz w:val="24"/>
                <w:szCs w:val="24"/>
              </w:rPr>
            </w:pPr>
          </w:p>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8</w:t>
            </w:r>
            <w:r>
              <w:rPr>
                <w:rFonts w:hint="eastAsia" w:ascii="宋体" w:hAnsi="宋体"/>
                <w:color w:val="666666"/>
                <w:kern w:val="0"/>
                <w:sz w:val="24"/>
                <w:szCs w:val="24"/>
              </w:rPr>
              <w:t>年</w:t>
            </w:r>
            <w:r>
              <w:rPr>
                <w:rFonts w:hint="eastAsia" w:ascii="宋体" w:hAnsi="宋体"/>
                <w:color w:val="666666"/>
                <w:kern w:val="0"/>
                <w:sz w:val="24"/>
                <w:szCs w:val="24"/>
                <w:lang w:val="en-US" w:eastAsia="zh-CN"/>
              </w:rPr>
              <w:t>9</w:t>
            </w:r>
            <w:r>
              <w:rPr>
                <w:rFonts w:hint="eastAsia" w:ascii="宋体" w:hAnsi="宋体"/>
                <w:color w:val="666666"/>
                <w:kern w:val="0"/>
                <w:sz w:val="24"/>
                <w:szCs w:val="24"/>
              </w:rPr>
              <w:t>月份作出的环境影响评价文件批复的公告</w:t>
            </w:r>
          </w:p>
          <w:p>
            <w:pPr>
              <w:widowControl/>
              <w:spacing w:before="100" w:beforeAutospacing="1" w:after="100" w:afterAutospacing="1"/>
              <w:jc w:val="left"/>
              <w:rPr>
                <w:rFonts w:hint="eastAsia" w:ascii="宋体" w:hAnsi="宋体"/>
                <w:color w:val="666666"/>
                <w:kern w:val="0"/>
                <w:sz w:val="24"/>
                <w:szCs w:val="24"/>
              </w:rPr>
            </w:pPr>
          </w:p>
          <w:tbl>
            <w:tblPr>
              <w:tblStyle w:val="4"/>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PrEx>
              <w:trPr>
                <w:trHeight w:val="1103"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default" w:ascii="宋体" w:hAnsi="宋体" w:cs="Times New Roman"/>
                      <w:color w:val="666666"/>
                      <w:kern w:val="0"/>
                      <w:sz w:val="24"/>
                      <w:szCs w:val="24"/>
                      <w:lang w:val="en-US" w:eastAsia="zh-CN"/>
                    </w:rPr>
                    <w:t>陆河县新丰水（水唇镇段）治理工程</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陆河县水利工程建设管理中心</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陆河县水唇镇</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该项目位于陆河县水唇镇，总投资</w:t>
                  </w:r>
                  <w:r>
                    <w:rPr>
                      <w:rFonts w:hint="default" w:ascii="宋体" w:hAnsi="宋体" w:cs="Times New Roman"/>
                      <w:color w:val="666666"/>
                      <w:kern w:val="0"/>
                      <w:sz w:val="24"/>
                      <w:szCs w:val="24"/>
                      <w:lang w:val="en-US" w:eastAsia="zh-CN"/>
                    </w:rPr>
                    <w:t>4484.65</w:t>
                  </w:r>
                  <w:r>
                    <w:rPr>
                      <w:rFonts w:hint="eastAsia" w:ascii="宋体" w:hAnsi="宋体" w:cs="Times New Roman"/>
                      <w:color w:val="666666"/>
                      <w:kern w:val="0"/>
                      <w:sz w:val="24"/>
                      <w:szCs w:val="24"/>
                      <w:lang w:val="en-US" w:eastAsia="zh-CN"/>
                    </w:rPr>
                    <w:t>万元。</w:t>
                  </w:r>
                  <w:r>
                    <w:rPr>
                      <w:rFonts w:hint="default" w:ascii="宋体" w:hAnsi="宋体" w:cs="Times New Roman"/>
                      <w:color w:val="666666"/>
                      <w:kern w:val="0"/>
                      <w:sz w:val="24"/>
                      <w:szCs w:val="24"/>
                      <w:lang w:val="en-US" w:eastAsia="zh-CN"/>
                    </w:rPr>
                    <w:t>治理范围为：新丰水干流（水唇段）、南进水支流、下陂水支流、高塘水支流、石船水支流以及罗洞水支流，规划治理河段长度19.08km，护岸15.36km（两岸），清淤19.08km，建设2处水景观工程。</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2018-9-3</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陆环审〔2018〕23号</w:t>
                  </w:r>
                </w:p>
                <w:p>
                  <w:pPr>
                    <w:widowControl/>
                    <w:spacing w:before="100" w:beforeAutospacing="1" w:after="100" w:afterAutospacing="1"/>
                    <w:jc w:val="left"/>
                    <w:rPr>
                      <w:rFonts w:hint="eastAsia" w:ascii="宋体" w:hAnsi="宋体"/>
                      <w:color w:val="666666"/>
                      <w:kern w:val="0"/>
                      <w:sz w:val="24"/>
                      <w:szCs w:val="24"/>
                      <w:lang w:val="en-US" w:eastAsia="zh-CN"/>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通过</w:t>
                  </w:r>
                </w:p>
              </w:tc>
            </w:tr>
            <w:tr>
              <w:tblPrEx>
                <w:tblLayout w:type="fixed"/>
                <w:tblCellMar>
                  <w:top w:w="0" w:type="dxa"/>
                  <w:left w:w="108" w:type="dxa"/>
                  <w:bottom w:w="0" w:type="dxa"/>
                  <w:right w:w="108" w:type="dxa"/>
                </w:tblCellMar>
              </w:tblPrEx>
              <w:trPr>
                <w:trHeight w:val="3554"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汕尾市天佳服装有限公司服装生产线项目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汕尾市天佳服装有限公司</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陆河县河口镇新河工业园区3号厂房</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该项目位于陆河县河口镇新河工业园区3号厂房，总投资10000万元，占地面积2000m2，总建筑面积2000m2，主要包括生产车间（平车区、裁床区、烫床区、尾部修剪及打包区）、仓库、办公室、展厅等。其中生产车间（1F）占地面积1250m2，建筑面积1200m2；仓库（1F）占地面积120m2，建筑面积120m2；办公室（1F）占地面积100m2，建筑面积100m2；展厅（1F）占地面积100m2，建筑面积100m2；其他区域占地面积430m2。项目主要从事服装的加工生产，年加工120万件套服装，其中牛仔服装24万件，衬衫18万件，棉服8万件、针织70万件。</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2018-9-10</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陆环审〔2018〕24号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eastAsia="zh-CN"/>
                    </w:rPr>
                  </w:pPr>
                </w:p>
                <w:p>
                  <w:pPr>
                    <w:widowControl/>
                    <w:spacing w:before="100" w:beforeAutospacing="1" w:after="100" w:afterAutospacing="1"/>
                    <w:jc w:val="left"/>
                    <w:rPr>
                      <w:rFonts w:hint="eastAsia" w:ascii="宋体" w:hAnsi="宋体"/>
                      <w:color w:val="666666"/>
                      <w:kern w:val="0"/>
                      <w:sz w:val="24"/>
                      <w:szCs w:val="24"/>
                      <w:lang w:eastAsia="zh-CN"/>
                    </w:rPr>
                  </w:pPr>
                  <w:r>
                    <w:rPr>
                      <w:rFonts w:hint="eastAsia" w:ascii="宋体" w:hAnsi="宋体"/>
                      <w:color w:val="666666"/>
                      <w:kern w:val="0"/>
                      <w:sz w:val="24"/>
                      <w:szCs w:val="24"/>
                      <w:lang w:eastAsia="zh-CN"/>
                    </w:rPr>
                    <w:t>通过</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3</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陆河县改河及高砂河治理工程</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陆河县住房和城乡规划建设局</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陆河县城</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该项目位于陆河县城，总投资14264.68万元，占地面积147500平方米。项目工程包括景观工程和河道整治工程。</w:t>
                  </w:r>
                  <w:r>
                    <w:rPr>
                      <w:rFonts w:hint="eastAsia" w:ascii="宋体" w:hAnsi="宋体" w:cs="Times New Roman"/>
                      <w:color w:val="666666"/>
                      <w:kern w:val="0"/>
                      <w:sz w:val="24"/>
                      <w:szCs w:val="24"/>
                      <w:lang w:val="en-US" w:eastAsia="zh-CN"/>
                    </w:rPr>
                    <w:fldChar w:fldCharType="begin"/>
                  </w:r>
                  <w:r>
                    <w:rPr>
                      <w:rFonts w:hint="eastAsia" w:ascii="宋体" w:hAnsi="宋体" w:cs="Times New Roman"/>
                      <w:color w:val="666666"/>
                      <w:kern w:val="0"/>
                      <w:sz w:val="24"/>
                      <w:szCs w:val="24"/>
                      <w:lang w:val="en-US" w:eastAsia="zh-CN"/>
                    </w:rPr>
                    <w:instrText xml:space="preserve"> = 1 \* GB3 \* MERGEFORMAT </w:instrText>
                  </w:r>
                  <w:r>
                    <w:rPr>
                      <w:rFonts w:hint="eastAsia" w:ascii="宋体" w:hAnsi="宋体" w:cs="Times New Roman"/>
                      <w:color w:val="666666"/>
                      <w:kern w:val="0"/>
                      <w:sz w:val="24"/>
                      <w:szCs w:val="24"/>
                      <w:lang w:val="en-US" w:eastAsia="zh-CN"/>
                    </w:rPr>
                    <w:fldChar w:fldCharType="separate"/>
                  </w:r>
                  <w:r>
                    <w:rPr>
                      <w:rFonts w:hint="eastAsia" w:ascii="宋体" w:hAnsi="宋体" w:cs="Times New Roman"/>
                      <w:color w:val="666666"/>
                      <w:kern w:val="0"/>
                      <w:sz w:val="24"/>
                      <w:szCs w:val="24"/>
                      <w:lang w:val="en-US" w:eastAsia="zh-CN"/>
                    </w:rPr>
                    <w:t>①</w:t>
                  </w:r>
                  <w:r>
                    <w:rPr>
                      <w:rFonts w:hint="eastAsia" w:ascii="宋体" w:hAnsi="宋体" w:cs="Times New Roman"/>
                      <w:color w:val="666666"/>
                      <w:kern w:val="0"/>
                      <w:sz w:val="24"/>
                      <w:szCs w:val="24"/>
                      <w:lang w:val="en-US" w:eastAsia="zh-CN"/>
                    </w:rPr>
                    <w:fldChar w:fldCharType="end"/>
                  </w:r>
                  <w:r>
                    <w:rPr>
                      <w:rFonts w:hint="eastAsia" w:ascii="宋体" w:hAnsi="宋体" w:cs="Times New Roman"/>
                      <w:color w:val="666666"/>
                      <w:kern w:val="0"/>
                      <w:sz w:val="24"/>
                      <w:szCs w:val="24"/>
                      <w:lang w:val="en-US" w:eastAsia="zh-CN"/>
                    </w:rPr>
                    <w:t>景观工程 改河西起螺河，东至高砂桥，全长1.4km，其中螺河至人民桥以东约200米为已建成改造段。南北两个方向以改河北路及改河南路为界，景观设计宽度为70m-80m，总面积10.5万m2，其中景观面积7.8万m2。高砂河此次设计范围北起改河，南至九花塘桥，包括高砂河支流两侧景观绿地，全长约1.15km，河道两侧各10m滨水绿化带，总面积4.5万m2，其中景观面积2.96万m2。</w:t>
                  </w:r>
                  <w:r>
                    <w:rPr>
                      <w:rFonts w:hint="eastAsia" w:ascii="宋体" w:hAnsi="宋体" w:cs="Times New Roman"/>
                      <w:color w:val="666666"/>
                      <w:kern w:val="0"/>
                      <w:sz w:val="24"/>
                      <w:szCs w:val="24"/>
                      <w:lang w:val="en-US" w:eastAsia="zh-CN"/>
                    </w:rPr>
                    <w:fldChar w:fldCharType="begin"/>
                  </w:r>
                  <w:r>
                    <w:rPr>
                      <w:rFonts w:hint="eastAsia" w:ascii="宋体" w:hAnsi="宋体" w:cs="Times New Roman"/>
                      <w:color w:val="666666"/>
                      <w:kern w:val="0"/>
                      <w:sz w:val="24"/>
                      <w:szCs w:val="24"/>
                      <w:lang w:val="en-US" w:eastAsia="zh-CN"/>
                    </w:rPr>
                    <w:instrText xml:space="preserve"> = 2 \* GB3 \* MERGEFORMAT </w:instrText>
                  </w:r>
                  <w:r>
                    <w:rPr>
                      <w:rFonts w:hint="eastAsia" w:ascii="宋体" w:hAnsi="宋体" w:cs="Times New Roman"/>
                      <w:color w:val="666666"/>
                      <w:kern w:val="0"/>
                      <w:sz w:val="24"/>
                      <w:szCs w:val="24"/>
                      <w:lang w:val="en-US" w:eastAsia="zh-CN"/>
                    </w:rPr>
                    <w:fldChar w:fldCharType="separate"/>
                  </w:r>
                  <w:r>
                    <w:rPr>
                      <w:rFonts w:hint="eastAsia" w:ascii="宋体" w:hAnsi="宋体" w:cs="Times New Roman"/>
                      <w:color w:val="666666"/>
                      <w:kern w:val="0"/>
                      <w:sz w:val="24"/>
                      <w:szCs w:val="24"/>
                      <w:lang w:val="en-US" w:eastAsia="zh-CN"/>
                    </w:rPr>
                    <w:t>②</w:t>
                  </w:r>
                  <w:r>
                    <w:rPr>
                      <w:rFonts w:hint="eastAsia" w:ascii="宋体" w:hAnsi="宋体" w:cs="Times New Roman"/>
                      <w:color w:val="666666"/>
                      <w:kern w:val="0"/>
                      <w:sz w:val="24"/>
                      <w:szCs w:val="24"/>
                      <w:lang w:val="en-US" w:eastAsia="zh-CN"/>
                    </w:rPr>
                    <w:fldChar w:fldCharType="end"/>
                  </w:r>
                  <w:r>
                    <w:rPr>
                      <w:rFonts w:hint="eastAsia" w:ascii="宋体" w:hAnsi="宋体" w:cs="Times New Roman"/>
                      <w:color w:val="666666"/>
                      <w:kern w:val="0"/>
                      <w:sz w:val="24"/>
                      <w:szCs w:val="24"/>
                      <w:lang w:val="en-US" w:eastAsia="zh-CN"/>
                    </w:rPr>
                    <w:t>河道整治工程  河道整治工程主要内容包括护岸工程与堰坝工程。护岸工程包括改河与高砂河，其中改河自高砂桥起至人民路两岸，长度2.2km，规划设计河宽20m，河底高程44.0m；高砂河自改河至九花塘桥两岸，长度2.1km，规划设计河宽20m，河底高程44.0m；高砂河支流位于城南大道南侧，长度0.6km，设计河宽12m，河底高程44.0m。堰坝工程位于高砂河与改河分汊口处，设计堰顶高程47.10m。</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2018-9-25</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val="en-US" w:eastAsia="zh-CN"/>
                    </w:rPr>
                    <w:t>陆环审〔2018〕25号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eastAsia="zh-CN"/>
                    </w:rPr>
                  </w:pPr>
                  <w:r>
                    <w:rPr>
                      <w:rFonts w:hint="eastAsia" w:ascii="宋体" w:hAnsi="宋体"/>
                      <w:color w:val="666666"/>
                      <w:kern w:val="0"/>
                      <w:sz w:val="24"/>
                      <w:szCs w:val="24"/>
                      <w:lang w:eastAsia="zh-CN"/>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环境保护局或陆河县人民政府申请复议，也可以在公告期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distribute"/>
              <w:rPr>
                <w:rFonts w:hint="eastAsia" w:ascii="宋体" w:hAnsi="宋体"/>
                <w:color w:val="666666"/>
                <w:kern w:val="0"/>
                <w:sz w:val="24"/>
                <w:szCs w:val="24"/>
              </w:rPr>
            </w:pPr>
            <w:r>
              <w:rPr>
                <w:rFonts w:hint="eastAsia" w:ascii="宋体" w:hAnsi="宋体"/>
                <w:color w:val="666666"/>
                <w:kern w:val="0"/>
                <w:sz w:val="24"/>
                <w:szCs w:val="24"/>
              </w:rPr>
              <w:t> </w:t>
            </w: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left"/>
              <w:rPr>
                <w:rFonts w:ascii="宋体" w:hAnsi="宋体"/>
                <w:color w:val="666666"/>
                <w:kern w:val="0"/>
                <w:sz w:val="24"/>
                <w:szCs w:val="24"/>
              </w:rPr>
            </w:pPr>
            <w:r>
              <w:rPr>
                <w:rFonts w:hint="eastAsia" w:ascii="宋体" w:hAnsi="宋体"/>
                <w:color w:val="666666"/>
                <w:kern w:val="0"/>
                <w:sz w:val="24"/>
                <w:szCs w:val="24"/>
              </w:rPr>
              <w:t> </w:t>
            </w:r>
          </w:p>
        </w:tc>
      </w:tr>
    </w:tbl>
    <w:p/>
    <w:p/>
    <w:p>
      <w:pPr>
        <w:rPr>
          <w:rFonts w:hint="eastAsia" w:ascii="宋体" w:hAnsi="宋体"/>
          <w:color w:val="666666"/>
          <w:kern w:val="0"/>
          <w:sz w:val="24"/>
          <w:szCs w:val="24"/>
          <w:lang w:val="en-US" w:eastAsia="zh-CN"/>
        </w:rPr>
      </w:pPr>
      <w:r>
        <w:rPr>
          <w:rFonts w:hint="eastAsia"/>
          <w:lang w:val="en-US" w:eastAsia="zh-CN"/>
        </w:rPr>
        <w:t xml:space="preserve">                                           </w:t>
      </w:r>
      <w:r>
        <w:rPr>
          <w:rFonts w:hint="eastAsia" w:ascii="宋体" w:hAnsi="宋体"/>
          <w:color w:val="666666"/>
          <w:kern w:val="0"/>
          <w:sz w:val="24"/>
          <w:szCs w:val="24"/>
          <w:lang w:val="en-US" w:eastAsia="zh-CN"/>
        </w:rPr>
        <w:t xml:space="preserve">  </w:t>
      </w:r>
    </w:p>
    <w:p>
      <w:pPr>
        <w:rPr>
          <w:rFonts w:hint="eastAsia" w:ascii="宋体" w:hAnsi="宋体"/>
          <w:color w:val="666666"/>
          <w:kern w:val="0"/>
          <w:sz w:val="24"/>
          <w:szCs w:val="24"/>
          <w:lang w:val="en-US" w:eastAsia="zh-CN"/>
        </w:rPr>
      </w:pPr>
    </w:p>
    <w:p>
      <w:pPr>
        <w:ind w:firstLine="5280" w:firstLineChars="2200"/>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 xml:space="preserve"> 2018年9月28</w:t>
      </w:r>
      <w:bookmarkStart w:id="0" w:name="_GoBack"/>
      <w:bookmarkEnd w:id="0"/>
      <w:r>
        <w:rPr>
          <w:rFonts w:hint="eastAsia" w:ascii="宋体" w:hAnsi="宋体"/>
          <w:color w:val="666666"/>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0EB00F3F"/>
    <w:rsid w:val="20740F19"/>
    <w:rsid w:val="23DE0B48"/>
    <w:rsid w:val="2DB074E8"/>
    <w:rsid w:val="2F405AB6"/>
    <w:rsid w:val="43B937FF"/>
    <w:rsid w:val="43D21F21"/>
    <w:rsid w:val="454A1BB5"/>
    <w:rsid w:val="46A11FAF"/>
    <w:rsid w:val="4DDF0B76"/>
    <w:rsid w:val="54473B28"/>
    <w:rsid w:val="588118D9"/>
    <w:rsid w:val="59A75A7E"/>
    <w:rsid w:val="676E4F8C"/>
    <w:rsid w:val="6E9C5654"/>
    <w:rsid w:val="789616B2"/>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customStyle="1" w:styleId="5">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2</TotalTime>
  <ScaleCrop>false</ScaleCrop>
  <LinksUpToDate>false</LinksUpToDate>
  <CharactersWithSpaces>1288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2018-07-30T06:50:00Z</cp:lastPrinted>
  <dcterms:modified xsi:type="dcterms:W3CDTF">2018-10-30T03:15:18Z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