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r>
        <w:rPr>
          <w:rFonts w:hint="eastAsia" w:ascii="宋体" w:hAnsi="宋体"/>
          <w:color w:val="CC0000"/>
          <w:kern w:val="0"/>
          <w:sz w:val="36"/>
          <w:szCs w:val="36"/>
        </w:rPr>
        <w:t>陆河县环保局关于201</w:t>
      </w:r>
      <w:r>
        <w:rPr>
          <w:rFonts w:hint="eastAsia" w:ascii="宋体" w:hAnsi="宋体"/>
          <w:color w:val="CC0000"/>
          <w:kern w:val="0"/>
          <w:sz w:val="36"/>
          <w:szCs w:val="36"/>
          <w:lang w:val="en-US" w:eastAsia="zh-CN"/>
        </w:rPr>
        <w:t>8</w:t>
      </w:r>
      <w:r>
        <w:rPr>
          <w:rFonts w:hint="eastAsia" w:ascii="宋体" w:hAnsi="宋体"/>
          <w:color w:val="CC0000"/>
          <w:kern w:val="0"/>
          <w:sz w:val="36"/>
          <w:szCs w:val="36"/>
        </w:rPr>
        <w:t>年</w:t>
      </w:r>
      <w:r>
        <w:rPr>
          <w:rFonts w:hint="eastAsia" w:ascii="宋体" w:hAnsi="宋体"/>
          <w:color w:val="CC0000"/>
          <w:kern w:val="0"/>
          <w:sz w:val="36"/>
          <w:szCs w:val="36"/>
          <w:lang w:val="en-US" w:eastAsia="zh-CN"/>
        </w:rPr>
        <w:t>8</w:t>
      </w:r>
      <w:r>
        <w:rPr>
          <w:rFonts w:hint="eastAsia" w:ascii="宋体" w:hAnsi="宋体"/>
          <w:color w:val="CC0000"/>
          <w:kern w:val="0"/>
          <w:sz w:val="36"/>
          <w:szCs w:val="36"/>
        </w:rPr>
        <w:t>月份作出的环境影响评价文件批复的公告</w:t>
      </w:r>
    </w:p>
    <w:tbl>
      <w:tblPr>
        <w:tblStyle w:val="4"/>
        <w:tblW w:w="8294" w:type="dxa"/>
        <w:tblInd w:w="0" w:type="dxa"/>
        <w:tblLayout w:type="fixed"/>
        <w:tblCellMar>
          <w:top w:w="0" w:type="dxa"/>
          <w:left w:w="0" w:type="dxa"/>
          <w:bottom w:w="0" w:type="dxa"/>
          <w:right w:w="0" w:type="dxa"/>
        </w:tblCellMar>
      </w:tblPr>
      <w:tblGrid>
        <w:gridCol w:w="8294"/>
      </w:tblGrid>
      <w:tr>
        <w:tblPrEx>
          <w:tblLayout w:type="fixed"/>
          <w:tblCellMar>
            <w:top w:w="0" w:type="dxa"/>
            <w:left w:w="0" w:type="dxa"/>
            <w:bottom w:w="0" w:type="dxa"/>
            <w:right w:w="0" w:type="dxa"/>
          </w:tblCellMar>
        </w:tblPrEx>
        <w:tc>
          <w:tcPr>
            <w:tcW w:w="82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666666"/>
                <w:kern w:val="0"/>
                <w:sz w:val="24"/>
                <w:szCs w:val="24"/>
              </w:rPr>
            </w:pPr>
          </w:p>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rPr>
              <w:t>陆河县环保局关于201</w:t>
            </w:r>
            <w:r>
              <w:rPr>
                <w:rFonts w:hint="eastAsia" w:ascii="宋体" w:hAnsi="宋体"/>
                <w:color w:val="666666"/>
                <w:kern w:val="0"/>
                <w:sz w:val="24"/>
                <w:szCs w:val="24"/>
                <w:lang w:val="en-US" w:eastAsia="zh-CN"/>
              </w:rPr>
              <w:t>8</w:t>
            </w:r>
            <w:r>
              <w:rPr>
                <w:rFonts w:hint="eastAsia" w:ascii="宋体" w:hAnsi="宋体"/>
                <w:color w:val="666666"/>
                <w:kern w:val="0"/>
                <w:sz w:val="24"/>
                <w:szCs w:val="24"/>
              </w:rPr>
              <w:t>年</w:t>
            </w:r>
            <w:r>
              <w:rPr>
                <w:rFonts w:hint="eastAsia" w:ascii="宋体" w:hAnsi="宋体"/>
                <w:color w:val="666666"/>
                <w:kern w:val="0"/>
                <w:sz w:val="24"/>
                <w:szCs w:val="24"/>
                <w:lang w:val="en-US" w:eastAsia="zh-CN"/>
              </w:rPr>
              <w:t>8</w:t>
            </w:r>
            <w:r>
              <w:rPr>
                <w:rFonts w:hint="eastAsia" w:ascii="宋体" w:hAnsi="宋体"/>
                <w:color w:val="666666"/>
                <w:kern w:val="0"/>
                <w:sz w:val="24"/>
                <w:szCs w:val="24"/>
              </w:rPr>
              <w:t>月份作出的环境影响评价文件批复的公告</w:t>
            </w:r>
          </w:p>
          <w:p>
            <w:pPr>
              <w:widowControl/>
              <w:spacing w:before="100" w:beforeAutospacing="1" w:after="100" w:afterAutospacing="1"/>
              <w:jc w:val="left"/>
              <w:rPr>
                <w:rFonts w:hint="eastAsia" w:ascii="宋体" w:hAnsi="宋体"/>
                <w:color w:val="666666"/>
                <w:kern w:val="0"/>
                <w:sz w:val="24"/>
                <w:szCs w:val="24"/>
              </w:rPr>
            </w:pPr>
          </w:p>
          <w:tbl>
            <w:tblPr>
              <w:tblStyle w:val="4"/>
              <w:tblW w:w="8501" w:type="dxa"/>
              <w:tblInd w:w="-85" w:type="dxa"/>
              <w:tblLayout w:type="fixed"/>
              <w:tblCellMar>
                <w:top w:w="0" w:type="dxa"/>
                <w:left w:w="108" w:type="dxa"/>
                <w:bottom w:w="0" w:type="dxa"/>
                <w:right w:w="108" w:type="dxa"/>
              </w:tblCellMar>
            </w:tblPr>
            <w:tblGrid>
              <w:gridCol w:w="453"/>
              <w:gridCol w:w="1043"/>
              <w:gridCol w:w="709"/>
              <w:gridCol w:w="850"/>
              <w:gridCol w:w="2263"/>
              <w:gridCol w:w="1428"/>
              <w:gridCol w:w="1063"/>
              <w:gridCol w:w="692"/>
            </w:tblGrid>
            <w:tr>
              <w:tblPrEx>
                <w:tblLayout w:type="fixed"/>
                <w:tblCellMar>
                  <w:top w:w="0" w:type="dxa"/>
                  <w:left w:w="108" w:type="dxa"/>
                  <w:bottom w:w="0" w:type="dxa"/>
                  <w:right w:w="108" w:type="dxa"/>
                </w:tblCellMar>
              </w:tblPrEx>
              <w:trPr>
                <w:trHeight w:val="1103"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序</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号</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项目</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名称</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单位</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地址</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建设内容、规模</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审批时间</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审批</w:t>
                  </w:r>
                </w:p>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文号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审批结束</w:t>
                  </w:r>
                </w:p>
              </w:tc>
            </w:tr>
            <w:tr>
              <w:tblPrEx>
                <w:tblLayout w:type="fixed"/>
                <w:tblCellMar>
                  <w:top w:w="0" w:type="dxa"/>
                  <w:left w:w="108" w:type="dxa"/>
                  <w:bottom w:w="0" w:type="dxa"/>
                  <w:right w:w="108" w:type="dxa"/>
                </w:tblCellMar>
              </w:tblPrEx>
              <w:trPr>
                <w:trHeight w:val="342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ascii="宋体" w:hAnsi="宋体"/>
                      <w:color w:val="666666"/>
                      <w:kern w:val="0"/>
                      <w:sz w:val="24"/>
                      <w:szCs w:val="24"/>
                    </w:rPr>
                  </w:pPr>
                  <w:r>
                    <w:rPr>
                      <w:rFonts w:hint="eastAsia" w:ascii="宋体" w:hAnsi="宋体"/>
                      <w:color w:val="666666"/>
                      <w:kern w:val="0"/>
                      <w:sz w:val="24"/>
                      <w:szCs w:val="24"/>
                    </w:rPr>
                    <w:t>1</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陆河大道安置区市政道路建设工程</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陆河县住房和城乡规划建设局</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陆河县城</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该项目位于陆河县城，总投资</w:t>
                  </w:r>
                  <w:r>
                    <w:rPr>
                      <w:rFonts w:hint="default" w:ascii="宋体" w:hAnsi="宋体"/>
                      <w:color w:val="666666"/>
                      <w:kern w:val="0"/>
                      <w:sz w:val="24"/>
                      <w:szCs w:val="24"/>
                      <w:lang w:val="en-US" w:eastAsia="zh-CN"/>
                    </w:rPr>
                    <w:t>29976.10</w:t>
                  </w:r>
                  <w:r>
                    <w:rPr>
                      <w:rFonts w:hint="eastAsia" w:ascii="宋体" w:hAnsi="宋体"/>
                      <w:color w:val="666666"/>
                      <w:kern w:val="0"/>
                      <w:sz w:val="24"/>
                      <w:szCs w:val="24"/>
                      <w:lang w:val="en-US" w:eastAsia="zh-CN"/>
                    </w:rPr>
                    <w:t>万元，总长度4.67公里。包括城南大道（人民南路交叉口至陆河大道交叉口）长约351米、红线宽40米，河中路（人民南路交叉口至城东路交叉口）长约625米、红线宽40米，改河南路（人民南路交叉口至经四路交叉口）约1050米、红线宽18米，城中路（</w:t>
                  </w:r>
                  <w:r>
                    <w:rPr>
                      <w:rFonts w:hint="default" w:ascii="宋体" w:hAnsi="宋体"/>
                      <w:color w:val="666666"/>
                      <w:kern w:val="0"/>
                      <w:sz w:val="24"/>
                      <w:szCs w:val="24"/>
                      <w:lang w:val="en-US" w:eastAsia="zh-CN"/>
                    </w:rPr>
                    <w:t>K0+140</w:t>
                  </w:r>
                  <w:r>
                    <w:rPr>
                      <w:rFonts w:hint="eastAsia" w:ascii="宋体" w:hAnsi="宋体"/>
                      <w:color w:val="666666"/>
                      <w:kern w:val="0"/>
                      <w:sz w:val="24"/>
                      <w:szCs w:val="24"/>
                      <w:lang w:val="en-US" w:eastAsia="zh-CN"/>
                    </w:rPr>
                    <w:t>至经一路交叉口）长约392米、红线宽20米，纬三路（陆河大道交叉口至城东路交叉口）长约453米、红线宽24米，经一路（改河南路交叉口至纬二路交叉口）约753米、红线宽15米，纬四路（陆河大道交叉口至城东路交叉口）长约388米、红线宽15米，纬五路（河中路交叉口至陆河大道交叉口）长约474米、红线宽11米等八条市政路。建设内容包含道路、给排水、照明、交通安全、绿化等配套设施。</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2018-8-6</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陆环审〔2018〕20号</w:t>
                  </w:r>
                </w:p>
                <w:p>
                  <w:pPr>
                    <w:widowControl/>
                    <w:spacing w:before="100" w:beforeAutospacing="1" w:after="100" w:afterAutospacing="1"/>
                    <w:jc w:val="left"/>
                    <w:rPr>
                      <w:rFonts w:hint="eastAsia" w:ascii="宋体" w:hAnsi="宋体"/>
                      <w:color w:val="666666"/>
                      <w:kern w:val="0"/>
                      <w:sz w:val="24"/>
                      <w:szCs w:val="24"/>
                      <w:lang w:val="en-US" w:eastAsia="zh-CN"/>
                    </w:rPr>
                  </w:pP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通过</w:t>
                  </w:r>
                </w:p>
              </w:tc>
            </w:tr>
            <w:tr>
              <w:tblPrEx>
                <w:tblLayout w:type="fixed"/>
                <w:tblCellMar>
                  <w:top w:w="0" w:type="dxa"/>
                  <w:left w:w="108" w:type="dxa"/>
                  <w:bottom w:w="0" w:type="dxa"/>
                  <w:right w:w="108" w:type="dxa"/>
                </w:tblCellMar>
              </w:tblPrEx>
              <w:trPr>
                <w:trHeight w:val="3554"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hint="eastAsia" w:ascii="宋体" w:hAnsi="宋体" w:eastAsia="宋体"/>
                      <w:color w:val="666666"/>
                      <w:kern w:val="0"/>
                      <w:sz w:val="24"/>
                      <w:szCs w:val="24"/>
                      <w:lang w:val="en-US" w:eastAsia="zh-CN"/>
                    </w:rPr>
                  </w:pPr>
                  <w:r>
                    <w:rPr>
                      <w:rFonts w:hint="eastAsia" w:ascii="宋体" w:hAnsi="宋体"/>
                      <w:color w:val="666666"/>
                      <w:kern w:val="0"/>
                      <w:sz w:val="24"/>
                      <w:szCs w:val="24"/>
                      <w:lang w:val="en-US" w:eastAsia="zh-CN"/>
                    </w:rPr>
                    <w:t>2</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s="Times New Roman"/>
                      <w:color w:val="666666"/>
                      <w:kern w:val="0"/>
                      <w:sz w:val="24"/>
                      <w:szCs w:val="24"/>
                      <w:lang w:val="en-US" w:eastAsia="zh-CN"/>
                    </w:rPr>
                  </w:pPr>
                  <w:r>
                    <w:rPr>
                      <w:rFonts w:hint="eastAsia" w:ascii="宋体" w:hAnsi="宋体" w:eastAsia="宋体" w:cs="Times New Roman"/>
                      <w:color w:val="666666"/>
                      <w:kern w:val="0"/>
                      <w:sz w:val="24"/>
                      <w:szCs w:val="24"/>
                      <w:lang w:val="en-US" w:eastAsia="zh-CN"/>
                    </w:rPr>
                    <w:t>陆河燕浩新型材料科技有限公司建设项目</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s="Times New Roman"/>
                      <w:color w:val="666666"/>
                      <w:kern w:val="0"/>
                      <w:sz w:val="24"/>
                      <w:szCs w:val="24"/>
                      <w:lang w:val="en-US" w:eastAsia="zh-CN"/>
                    </w:rPr>
                  </w:pPr>
                  <w:r>
                    <w:rPr>
                      <w:rFonts w:hint="eastAsia" w:ascii="宋体" w:hAnsi="宋体" w:eastAsia="宋体" w:cs="Times New Roman"/>
                      <w:color w:val="666666"/>
                      <w:kern w:val="0"/>
                      <w:sz w:val="24"/>
                      <w:szCs w:val="24"/>
                      <w:lang w:val="en-US" w:eastAsia="zh-CN"/>
                    </w:rPr>
                    <w:t>陆河燕浩新型材料科技有限公司</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s="Times New Roman"/>
                      <w:color w:val="666666"/>
                      <w:kern w:val="0"/>
                      <w:sz w:val="24"/>
                      <w:szCs w:val="24"/>
                      <w:lang w:val="en-US" w:eastAsia="zh-CN"/>
                    </w:rPr>
                  </w:pPr>
                  <w:r>
                    <w:rPr>
                      <w:rFonts w:hint="eastAsia" w:ascii="宋体" w:hAnsi="宋体" w:eastAsia="宋体" w:cs="Times New Roman"/>
                      <w:color w:val="666666"/>
                      <w:kern w:val="0"/>
                      <w:sz w:val="24"/>
                      <w:szCs w:val="24"/>
                      <w:lang w:val="en-US" w:eastAsia="zh-CN"/>
                    </w:rPr>
                    <w:t>陆河县河口镇新河工业园</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s="Times New Roman"/>
                      <w:color w:val="666666"/>
                      <w:kern w:val="0"/>
                      <w:sz w:val="24"/>
                      <w:szCs w:val="24"/>
                      <w:lang w:val="en-US" w:eastAsia="zh-CN"/>
                    </w:rPr>
                  </w:pPr>
                  <w:r>
                    <w:rPr>
                      <w:rFonts w:hint="eastAsia" w:ascii="宋体" w:hAnsi="宋体" w:eastAsia="宋体" w:cs="Times New Roman"/>
                      <w:color w:val="666666"/>
                      <w:kern w:val="0"/>
                      <w:sz w:val="24"/>
                      <w:szCs w:val="24"/>
                      <w:lang w:val="en-US" w:eastAsia="zh-CN"/>
                    </w:rPr>
                    <w:t>该项目位于陆河县河口镇新河工业园，总投资5000万元，环保投资100万元，占地面积约为32000m2，总建筑面积49402.87m2。专业研发、设计、生产和销售铝单板、金属天花板、辊涂天花板、金属烤瓷板、复合铝板、型材方通、钢装饰板、龙骨系统等系列产品的综合性企业。建设内容包括：新建厂房3栋，建筑面积分别为12185.8m2、6360m2、9187.2m2；高管宿舍1栋，建筑面积3973.77m2；员工宿舍2栋，建筑面积分别为6508.8m2、8400m2；办公楼1栋建筑面积2787.3m2。以及其他生产、生活、环保配套措施等。职工人数300人，均在厂内食宿。年产金属天花板50万m2，辊涂天花板20万m2，铝单板30万m2，金属烤瓷板20万m2，复合铝板30万m2，型材方通100万m，钢装饰板10万m2，龙骨系统200万m，阳极氧化铝板261万m2。项目员工人数300人。实行单班+加班制,每天每班工作8h，年工作300d。</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2018-8-10</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p>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陆环审〔2018〕21号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eastAsia="zh-CN"/>
                    </w:rPr>
                  </w:pPr>
                </w:p>
                <w:p>
                  <w:pPr>
                    <w:widowControl/>
                    <w:spacing w:before="100" w:beforeAutospacing="1" w:after="100" w:afterAutospacing="1"/>
                    <w:jc w:val="left"/>
                    <w:rPr>
                      <w:rFonts w:hint="eastAsia" w:ascii="宋体" w:hAnsi="宋体"/>
                      <w:color w:val="666666"/>
                      <w:kern w:val="0"/>
                      <w:sz w:val="24"/>
                      <w:szCs w:val="24"/>
                      <w:lang w:eastAsia="zh-CN"/>
                    </w:rPr>
                  </w:pPr>
                  <w:r>
                    <w:rPr>
                      <w:rFonts w:hint="eastAsia" w:ascii="宋体" w:hAnsi="宋体"/>
                      <w:color w:val="666666"/>
                      <w:kern w:val="0"/>
                      <w:sz w:val="24"/>
                      <w:szCs w:val="24"/>
                      <w:lang w:eastAsia="zh-CN"/>
                    </w:rPr>
                    <w:t>通过</w:t>
                  </w:r>
                </w:p>
              </w:tc>
            </w:tr>
            <w:tr>
              <w:tblPrEx>
                <w:tblLayout w:type="fixed"/>
                <w:tblCellMar>
                  <w:top w:w="0" w:type="dxa"/>
                  <w:left w:w="108" w:type="dxa"/>
                  <w:bottom w:w="0" w:type="dxa"/>
                  <w:right w:w="108" w:type="dxa"/>
                </w:tblCellMar>
              </w:tblPrEx>
              <w:trPr>
                <w:trHeight w:val="342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hint="eastAsia" w:ascii="宋体" w:hAnsi="宋体" w:eastAsia="宋体"/>
                      <w:color w:val="666666"/>
                      <w:kern w:val="0"/>
                      <w:sz w:val="24"/>
                      <w:szCs w:val="24"/>
                      <w:lang w:val="en-US" w:eastAsia="zh-CN"/>
                    </w:rPr>
                  </w:pPr>
                  <w:r>
                    <w:rPr>
                      <w:rFonts w:hint="eastAsia" w:ascii="宋体" w:hAnsi="宋体"/>
                      <w:color w:val="666666"/>
                      <w:kern w:val="0"/>
                      <w:sz w:val="24"/>
                      <w:szCs w:val="24"/>
                      <w:lang w:val="en-US" w:eastAsia="zh-CN"/>
                    </w:rPr>
                    <w:t>3</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s="Times New Roman"/>
                      <w:color w:val="666666"/>
                      <w:kern w:val="0"/>
                      <w:sz w:val="24"/>
                      <w:szCs w:val="24"/>
                      <w:lang w:val="en-US" w:eastAsia="zh-CN"/>
                    </w:rPr>
                  </w:pPr>
                  <w:r>
                    <w:rPr>
                      <w:rFonts w:hint="eastAsia" w:ascii="宋体" w:hAnsi="宋体" w:eastAsia="宋体" w:cs="Times New Roman"/>
                      <w:color w:val="666666"/>
                      <w:kern w:val="0"/>
                      <w:sz w:val="24"/>
                      <w:szCs w:val="24"/>
                      <w:lang w:val="en-US" w:eastAsia="zh-CN"/>
                    </w:rPr>
                    <w:t>陆河县新泰安沥青有限公司建设项目</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s="Times New Roman"/>
                      <w:color w:val="666666"/>
                      <w:kern w:val="0"/>
                      <w:sz w:val="24"/>
                      <w:szCs w:val="24"/>
                      <w:lang w:val="en-US" w:eastAsia="zh-CN"/>
                    </w:rPr>
                  </w:pPr>
                  <w:r>
                    <w:rPr>
                      <w:rFonts w:hint="eastAsia" w:ascii="宋体" w:hAnsi="宋体" w:eastAsia="宋体" w:cs="Times New Roman"/>
                      <w:color w:val="666666"/>
                      <w:kern w:val="0"/>
                      <w:sz w:val="24"/>
                      <w:szCs w:val="24"/>
                      <w:lang w:val="en-US" w:eastAsia="zh-CN"/>
                    </w:rPr>
                    <w:t>陆河县新泰安沥青有限公司</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s="Times New Roman"/>
                      <w:color w:val="666666"/>
                      <w:kern w:val="0"/>
                      <w:sz w:val="24"/>
                      <w:szCs w:val="24"/>
                      <w:lang w:val="en-US" w:eastAsia="zh-CN"/>
                    </w:rPr>
                  </w:pPr>
                  <w:r>
                    <w:rPr>
                      <w:rFonts w:hint="eastAsia" w:ascii="宋体" w:hAnsi="宋体" w:eastAsia="宋体" w:cs="Times New Roman"/>
                      <w:color w:val="666666"/>
                      <w:kern w:val="0"/>
                      <w:sz w:val="24"/>
                      <w:szCs w:val="24"/>
                      <w:lang w:val="en-US" w:eastAsia="zh-CN"/>
                    </w:rPr>
                    <w:t>陆河县新河工业园区E-13地块</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eastAsia="宋体" w:cs="Times New Roman"/>
                      <w:color w:val="666666"/>
                      <w:kern w:val="0"/>
                      <w:sz w:val="24"/>
                      <w:szCs w:val="24"/>
                      <w:lang w:val="en-US" w:eastAsia="zh-CN"/>
                    </w:rPr>
                  </w:pPr>
                  <w:r>
                    <w:rPr>
                      <w:rFonts w:hint="eastAsia" w:ascii="宋体" w:hAnsi="宋体" w:eastAsia="宋体" w:cs="Times New Roman"/>
                      <w:color w:val="666666"/>
                      <w:kern w:val="0"/>
                      <w:sz w:val="24"/>
                      <w:szCs w:val="24"/>
                      <w:lang w:val="en-US" w:eastAsia="zh-CN"/>
                    </w:rPr>
                    <w:t>该项目位于陆河县新河工业园区E-13地块，总投资200万元，占地面积约550m2，建筑面积550m2。项目主要年产沥青混凝土10000吨。建设内容包括主体工程、辅助工程、公用工程和环保工程。</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2018-8-13</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陆环审〔2018〕22号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hint="eastAsia" w:ascii="宋体" w:hAnsi="宋体"/>
                      <w:color w:val="666666"/>
                      <w:kern w:val="0"/>
                      <w:sz w:val="24"/>
                      <w:szCs w:val="24"/>
                      <w:lang w:eastAsia="zh-CN"/>
                    </w:rPr>
                  </w:pPr>
                  <w:r>
                    <w:rPr>
                      <w:rFonts w:hint="eastAsia" w:ascii="宋体" w:hAnsi="宋体"/>
                      <w:color w:val="666666"/>
                      <w:kern w:val="0"/>
                      <w:sz w:val="24"/>
                      <w:szCs w:val="24"/>
                      <w:lang w:eastAsia="zh-CN"/>
                    </w:rPr>
                    <w:t>通过</w:t>
                  </w:r>
                </w:p>
              </w:tc>
            </w:tr>
          </w:tbl>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lang w:val="en-US" w:eastAsia="zh-CN"/>
              </w:rPr>
              <w:t>公告期限：自本公告发布之日起六十日届满。</w:t>
            </w:r>
            <w:r>
              <w:rPr>
                <w:rFonts w:hint="eastAsia" w:ascii="宋体" w:hAnsi="宋体"/>
                <w:color w:val="666666"/>
                <w:kern w:val="0"/>
                <w:sz w:val="24"/>
                <w:szCs w:val="24"/>
                <w:lang w:val="en-US" w:eastAsia="zh-CN"/>
              </w:rPr>
              <w:br w:type="textWrapping"/>
            </w:r>
            <w:r>
              <w:rPr>
                <w:rFonts w:hint="eastAsia" w:ascii="宋体" w:hAnsi="宋体"/>
                <w:color w:val="666666"/>
                <w:kern w:val="0"/>
                <w:sz w:val="24"/>
                <w:szCs w:val="24"/>
                <w:lang w:val="en-US" w:eastAsia="zh-CN"/>
              </w:rPr>
              <w:t>行政复议与行政诉讼权利告知：公民、法人或者其他组织（建设单位除外）认为具体行政行为侵犯其合法权益的，可以自公告期限届满之日起六十日内向汕尾市环境保护局或陆河县人民政府申请复议，也可以在公告期限届满之日起三个月内直接向</w:t>
            </w:r>
            <w:r>
              <w:rPr>
                <w:rFonts w:hint="eastAsia" w:ascii="宋体" w:hAnsi="宋体"/>
                <w:color w:val="666666"/>
                <w:kern w:val="0"/>
                <w:sz w:val="24"/>
                <w:szCs w:val="24"/>
              </w:rPr>
              <w:t>人民法院起诉。</w:t>
            </w:r>
          </w:p>
          <w:p>
            <w:pPr>
              <w:widowControl/>
              <w:spacing w:before="100" w:beforeAutospacing="1" w:after="100" w:afterAutospacing="1"/>
              <w:jc w:val="distribute"/>
              <w:rPr>
                <w:rFonts w:hint="eastAsia" w:ascii="宋体" w:hAnsi="宋体"/>
                <w:color w:val="666666"/>
                <w:kern w:val="0"/>
                <w:sz w:val="24"/>
                <w:szCs w:val="24"/>
              </w:rPr>
            </w:pPr>
            <w:r>
              <w:rPr>
                <w:rFonts w:hint="eastAsia" w:ascii="宋体" w:hAnsi="宋体"/>
                <w:color w:val="666666"/>
                <w:kern w:val="0"/>
                <w:sz w:val="24"/>
                <w:szCs w:val="24"/>
              </w:rPr>
              <w:t> </w:t>
            </w: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left"/>
              <w:rPr>
                <w:rFonts w:ascii="宋体" w:hAnsi="宋体"/>
                <w:color w:val="666666"/>
                <w:kern w:val="0"/>
                <w:sz w:val="24"/>
                <w:szCs w:val="24"/>
              </w:rPr>
            </w:pPr>
            <w:r>
              <w:rPr>
                <w:rFonts w:hint="eastAsia" w:ascii="宋体" w:hAnsi="宋体"/>
                <w:color w:val="666666"/>
                <w:kern w:val="0"/>
                <w:sz w:val="24"/>
                <w:szCs w:val="24"/>
              </w:rPr>
              <w:t> </w:t>
            </w:r>
          </w:p>
        </w:tc>
      </w:tr>
    </w:tbl>
    <w:p/>
    <w:p/>
    <w:p>
      <w:pPr>
        <w:rPr>
          <w:rFonts w:hint="eastAsia" w:ascii="宋体" w:hAnsi="宋体"/>
          <w:color w:val="666666"/>
          <w:kern w:val="0"/>
          <w:sz w:val="24"/>
          <w:szCs w:val="24"/>
          <w:lang w:val="en-US" w:eastAsia="zh-CN"/>
        </w:rPr>
      </w:pPr>
      <w:r>
        <w:rPr>
          <w:rFonts w:hint="eastAsia"/>
          <w:lang w:val="en-US" w:eastAsia="zh-CN"/>
        </w:rPr>
        <w:t xml:space="preserve">                                           </w:t>
      </w:r>
      <w:r>
        <w:rPr>
          <w:rFonts w:hint="eastAsia" w:ascii="宋体" w:hAnsi="宋体"/>
          <w:color w:val="666666"/>
          <w:kern w:val="0"/>
          <w:sz w:val="24"/>
          <w:szCs w:val="24"/>
          <w:lang w:val="en-US" w:eastAsia="zh-CN"/>
        </w:rPr>
        <w:t xml:space="preserve">  </w:t>
      </w:r>
    </w:p>
    <w:p>
      <w:pPr>
        <w:rPr>
          <w:rFonts w:hint="eastAsia" w:ascii="宋体" w:hAnsi="宋体"/>
          <w:color w:val="666666"/>
          <w:kern w:val="0"/>
          <w:sz w:val="24"/>
          <w:szCs w:val="24"/>
          <w:lang w:val="en-US" w:eastAsia="zh-CN"/>
        </w:rPr>
      </w:pPr>
    </w:p>
    <w:p>
      <w:pPr>
        <w:ind w:firstLine="5280" w:firstLineChars="2200"/>
        <w:rPr>
          <w:rFonts w:hint="eastAsia" w:ascii="宋体" w:hAnsi="宋体"/>
          <w:color w:val="666666"/>
          <w:kern w:val="0"/>
          <w:sz w:val="24"/>
          <w:szCs w:val="24"/>
          <w:lang w:val="en-US" w:eastAsia="zh-CN"/>
        </w:rPr>
      </w:pPr>
      <w:r>
        <w:rPr>
          <w:rFonts w:hint="eastAsia" w:ascii="宋体" w:hAnsi="宋体"/>
          <w:color w:val="666666"/>
          <w:kern w:val="0"/>
          <w:sz w:val="24"/>
          <w:szCs w:val="24"/>
          <w:lang w:val="en-US" w:eastAsia="zh-CN"/>
        </w:rPr>
        <w:t xml:space="preserve"> 2018年9月3</w:t>
      </w:r>
      <w:bookmarkStart w:id="0" w:name="_GoBack"/>
      <w:bookmarkEnd w:id="0"/>
      <w:r>
        <w:rPr>
          <w:rFonts w:hint="eastAsia" w:ascii="宋体" w:hAnsi="宋体"/>
          <w:color w:val="666666"/>
          <w:kern w:val="0"/>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穝灿砰">
    <w:altName w:val="Courier New"/>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1B"/>
    <w:rsid w:val="008F171B"/>
    <w:rsid w:val="00924B9A"/>
    <w:rsid w:val="00AA098A"/>
    <w:rsid w:val="00BB5524"/>
    <w:rsid w:val="0EB00F3F"/>
    <w:rsid w:val="20740F19"/>
    <w:rsid w:val="23DE0B48"/>
    <w:rsid w:val="2DB074E8"/>
    <w:rsid w:val="2F405AB6"/>
    <w:rsid w:val="43B937FF"/>
    <w:rsid w:val="43D21F21"/>
    <w:rsid w:val="454A1BB5"/>
    <w:rsid w:val="46A11FAF"/>
    <w:rsid w:val="4DDF0B76"/>
    <w:rsid w:val="531309B6"/>
    <w:rsid w:val="588118D9"/>
    <w:rsid w:val="676E4F8C"/>
    <w:rsid w:val="6E9C5654"/>
    <w:rsid w:val="789616B2"/>
    <w:rsid w:val="7FC510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104" w:beforeLines="0" w:beforeAutospacing="0" w:after="104" w:afterLines="0" w:afterAutospacing="0" w:line="0" w:lineRule="atLeast"/>
      <w:ind w:firstLine="0" w:firstLineChars="0"/>
      <w:jc w:val="center"/>
    </w:pPr>
    <w:rPr>
      <w:rFonts w:ascii="Arial" w:hAnsi="Arial" w:eastAsia="穝灿砰"/>
      <w:sz w:val="32"/>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customStyle="1" w:styleId="5">
    <w:name w:val="正 文"/>
    <w:qFormat/>
    <w:uiPriority w:val="0"/>
    <w:pPr>
      <w:widowControl w:val="0"/>
      <w:spacing w:line="360" w:lineRule="auto"/>
      <w:ind w:firstLine="480" w:firstLineChars="200"/>
      <w:jc w:val="both"/>
    </w:pPr>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Words>
  <Characters>1098</Characters>
  <Lines>9</Lines>
  <Paragraphs>2</Paragraphs>
  <TotalTime>4</TotalTime>
  <ScaleCrop>false</ScaleCrop>
  <LinksUpToDate>false</LinksUpToDate>
  <CharactersWithSpaces>1288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2016-05-27T03:18:00Z</dcterms:created>
  <dc:creator>Administrator</dc:creator>
  <cp:lastModifiedBy>Administrator</cp:lastModifiedBy>
  <cp:lastPrinted>2018-07-30T06:50:00Z</cp:lastPrinted>
  <dcterms:modified xsi:type="dcterms:W3CDTF">2018-10-30T03:28:50Z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