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附录2：</w:t>
      </w:r>
    </w:p>
    <w:p>
      <w:pPr>
        <w:wordWrap w:val="0"/>
        <w:spacing w:line="360" w:lineRule="auto"/>
        <w:jc w:val="center"/>
        <w:rPr>
          <w:rFonts w:ascii="黑体" w:hAnsi="宋体" w:eastAsia="黑体" w:cs="黑体"/>
          <w:spacing w:val="20"/>
          <w:w w:val="104"/>
          <w:sz w:val="52"/>
        </w:rPr>
      </w:pPr>
      <w:r>
        <w:rPr>
          <w:rFonts w:hint="eastAsia" w:ascii="黑体" w:hAnsi="宋体" w:eastAsia="黑体" w:cs="黑体"/>
          <w:spacing w:val="20"/>
          <w:w w:val="104"/>
          <w:sz w:val="52"/>
        </w:rPr>
        <w:t>产品质量监督抽查实施细则</w:t>
      </w:r>
    </w:p>
    <w:p>
      <w:pPr>
        <w:wordWrap w:val="0"/>
        <w:spacing w:before="240" w:line="360" w:lineRule="auto"/>
        <w:jc w:val="right"/>
        <w:rPr>
          <w:rFonts w:ascii="黑体" w:hAnsi="宋体" w:eastAsia="黑体" w:cs="黑体"/>
          <w:sz w:val="28"/>
        </w:rPr>
      </w:pPr>
      <w:r>
        <mc:AlternateContent>
          <mc:Choice Requires="wps">
            <w:drawing>
              <wp:anchor distT="0" distB="0" distL="0" distR="0" simplePos="0" relativeHeight="1024" behindDoc="0" locked="0" layoutInCell="1" allowOverlap="1">
                <wp:simplePos x="0" y="0"/>
                <wp:positionH relativeFrom="column">
                  <wp:posOffset>0</wp:posOffset>
                </wp:positionH>
                <wp:positionV relativeFrom="paragraph">
                  <wp:posOffset>495300</wp:posOffset>
                </wp:positionV>
                <wp:extent cx="5829300" cy="635"/>
                <wp:effectExtent l="0" t="0" r="0" b="0"/>
                <wp:wrapNone/>
                <wp:docPr id="1026" name="Line 5"/>
                <wp:cNvGraphicFramePr/>
                <a:graphic xmlns:a="http://schemas.openxmlformats.org/drawingml/2006/main">
                  <a:graphicData uri="http://schemas.microsoft.com/office/word/2010/wordprocessingShape">
                    <wps:wsp>
                      <wps:cNvCnPr/>
                      <wps:spPr>
                        <a:xfrm>
                          <a:off x="0" y="0"/>
                          <a:ext cx="5829300" cy="634"/>
                        </a:xfrm>
                        <a:prstGeom prst="line">
                          <a:avLst/>
                        </a:prstGeom>
                        <a:ln w="12700" cap="flat" cmpd="sng">
                          <a:solidFill>
                            <a:srgbClr val="800008"/>
                          </a:solidFill>
                          <a:prstDash val="solid"/>
                          <a:round/>
                          <a:headEnd type="none" w="med" len="med"/>
                          <a:tailEnd type="none" w="med" len="med"/>
                        </a:ln>
                      </wps:spPr>
                      <wps:bodyPr/>
                    </wps:wsp>
                  </a:graphicData>
                </a:graphic>
              </wp:anchor>
            </w:drawing>
          </mc:Choice>
          <mc:Fallback>
            <w:pict>
              <v:line id="Line 5" o:spid="_x0000_s1026" o:spt="20" style="position:absolute;left:0pt;margin-left:0pt;margin-top:39pt;height:0.05pt;width:459pt;z-index:1024;mso-width-relative:page;mso-height-relative:page;" filled="f" stroked="t" coordsize="21600,21600" o:gfxdata="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VHRDrTAAAABgEAAA8AAAAAAAAAAQAgAAAAIgAAAGRycy9kb3ducmV2LnhtbFBL&#10;AQIUABQAAAAIAIdO4kA7aCsswgEAAI8DAAAOAAAAAAAAAAEAIAAAACIBAABkcnMvZTJvRG9jLnht&#10;bFBLBQYAAAAABgAGAFkBAABWBQAAAAA=&#10;">
                <v:fill on="f" focussize="0,0"/>
                <v:stroke weight="1pt" color="#800008" joinstyle="round"/>
                <v:imagedata o:title=""/>
                <o:lock v:ext="edit" aspectratio="f"/>
              </v:line>
            </w:pict>
          </mc:Fallback>
        </mc:AlternateContent>
      </w:r>
    </w:p>
    <w:p>
      <w:pPr>
        <w:wordWrap w:val="0"/>
        <w:adjustRightInd w:val="0"/>
        <w:snapToGrid w:val="0"/>
        <w:spacing w:line="360" w:lineRule="auto"/>
        <w:jc w:val="center"/>
        <w:rPr>
          <w:sz w:val="44"/>
        </w:rPr>
      </w:pPr>
    </w:p>
    <w:p>
      <w:pPr>
        <w:wordWrap w:val="0"/>
        <w:adjustRightInd w:val="0"/>
        <w:snapToGrid w:val="0"/>
        <w:spacing w:line="360" w:lineRule="auto"/>
        <w:jc w:val="center"/>
        <w:rPr>
          <w:sz w:val="44"/>
        </w:rPr>
      </w:pPr>
    </w:p>
    <w:p>
      <w:pPr>
        <w:wordWrap w:val="0"/>
        <w:adjustRightInd w:val="0"/>
        <w:snapToGrid w:val="0"/>
        <w:spacing w:line="360" w:lineRule="auto"/>
        <w:jc w:val="center"/>
        <w:rPr>
          <w:sz w:val="44"/>
        </w:rPr>
      </w:pPr>
    </w:p>
    <w:p>
      <w:pPr>
        <w:wordWrap w:val="0"/>
        <w:adjustRightInd w:val="0"/>
        <w:snapToGrid w:val="0"/>
        <w:spacing w:line="360" w:lineRule="auto"/>
        <w:ind w:left="-178" w:leftChars="-85"/>
        <w:jc w:val="center"/>
        <w:rPr>
          <w:rFonts w:ascii="黑体" w:hAnsi="宋体" w:eastAsia="黑体" w:cs="黑体"/>
          <w:sz w:val="44"/>
          <w:szCs w:val="44"/>
        </w:rPr>
      </w:pPr>
      <w:r>
        <w:rPr>
          <w:rFonts w:hint="eastAsia" w:ascii="黑体" w:hAnsi="宋体" w:eastAsia="黑体" w:cs="黑体"/>
          <w:sz w:val="44"/>
          <w:szCs w:val="44"/>
        </w:rPr>
        <w:t>鞋类产品</w:t>
      </w:r>
    </w:p>
    <w:p>
      <w:pPr>
        <w:wordWrap w:val="0"/>
        <w:spacing w:line="360" w:lineRule="auto"/>
        <w:jc w:val="center"/>
        <w:rPr>
          <w:sz w:val="28"/>
        </w:rPr>
      </w:pPr>
    </w:p>
    <w:p>
      <w:pPr>
        <w:wordWrap w:val="0"/>
        <w:spacing w:line="360" w:lineRule="auto"/>
        <w:jc w:val="center"/>
        <w:rPr>
          <w:sz w:val="28"/>
        </w:rPr>
      </w:pPr>
    </w:p>
    <w:p>
      <w:pPr>
        <w:wordWrap w:val="0"/>
        <w:spacing w:line="360" w:lineRule="auto"/>
        <w:jc w:val="center"/>
        <w:rPr>
          <w:sz w:val="28"/>
        </w:rPr>
      </w:pPr>
    </w:p>
    <w:p>
      <w:pPr>
        <w:wordWrap w:val="0"/>
        <w:spacing w:line="360" w:lineRule="auto"/>
        <w:jc w:val="center"/>
        <w:rPr>
          <w:sz w:val="28"/>
        </w:rPr>
      </w:pPr>
    </w:p>
    <w:p>
      <w:pPr>
        <w:wordWrap w:val="0"/>
        <w:spacing w:line="360" w:lineRule="auto"/>
        <w:jc w:val="center"/>
        <w:rPr>
          <w:sz w:val="28"/>
        </w:rPr>
      </w:pPr>
    </w:p>
    <w:p>
      <w:pPr>
        <w:wordWrap w:val="0"/>
        <w:spacing w:line="360" w:lineRule="auto"/>
        <w:rPr>
          <w:sz w:val="28"/>
        </w:rPr>
      </w:pPr>
    </w:p>
    <w:p>
      <w:pPr>
        <w:wordWrap w:val="0"/>
        <w:spacing w:line="360" w:lineRule="auto"/>
        <w:jc w:val="center"/>
        <w:rPr>
          <w:sz w:val="28"/>
        </w:rPr>
      </w:pPr>
    </w:p>
    <w:p>
      <w:pPr>
        <w:wordWrap w:val="0"/>
        <w:spacing w:line="360" w:lineRule="auto"/>
        <w:jc w:val="center"/>
        <w:rPr>
          <w:sz w:val="28"/>
        </w:rPr>
      </w:pPr>
    </w:p>
    <w:p>
      <w:pPr>
        <w:wordWrap w:val="0"/>
        <w:spacing w:line="360" w:lineRule="auto"/>
        <w:jc w:val="center"/>
        <w:rPr>
          <w:sz w:val="28"/>
        </w:rPr>
      </w:pPr>
    </w:p>
    <w:p>
      <w:pPr>
        <w:wordWrap w:val="0"/>
        <w:snapToGrid w:val="0"/>
        <w:rPr>
          <w:u w:val="single"/>
        </w:rPr>
      </w:pPr>
      <w:r>
        <w:rPr>
          <w:snapToGrid w:val="0"/>
        </w:rPr>
        <mc:AlternateContent>
          <mc:Choice Requires="wps">
            <w:drawing>
              <wp:anchor distT="0" distB="0" distL="0" distR="0" simplePos="0" relativeHeight="1024" behindDoc="0" locked="0" layoutInCell="1" allowOverlap="1">
                <wp:simplePos x="0" y="0"/>
                <wp:positionH relativeFrom="column">
                  <wp:posOffset>114300</wp:posOffset>
                </wp:positionH>
                <wp:positionV relativeFrom="paragraph">
                  <wp:posOffset>37465</wp:posOffset>
                </wp:positionV>
                <wp:extent cx="5600700" cy="635"/>
                <wp:effectExtent l="0" t="0" r="0" b="0"/>
                <wp:wrapNone/>
                <wp:docPr id="1027" name="Line 6"/>
                <wp:cNvGraphicFramePr/>
                <a:graphic xmlns:a="http://schemas.openxmlformats.org/drawingml/2006/main">
                  <a:graphicData uri="http://schemas.microsoft.com/office/word/2010/wordprocessingShape">
                    <wps:wsp>
                      <wps:cNvCnPr/>
                      <wps:spPr>
                        <a:xfrm>
                          <a:off x="0" y="0"/>
                          <a:ext cx="5600700" cy="63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6" o:spid="_x0000_s1026" o:spt="20" style="position:absolute;left:0pt;margin-left:9pt;margin-top:2.95pt;height:0.05pt;width:441pt;z-index:1024;mso-width-relative:page;mso-height-relative:page;" filled="f" stroked="t" coordsize="21600,21600" o:gfxdata="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98JBHUAAAABgEAAA8AAAAAAAAAAQAgAAAAIgAAAGRycy9kb3ducmV2LnhtbFBL&#10;AQIUABQAAAAIAIdO4kAlAifqwQEAAI4DAAAOAAAAAAAAAAEAIAAAACMBAABkcnMvZTJvRG9jLnht&#10;bFBLBQYAAAAABgAGAFkBAABWBQAAAAA=&#10;">
                <v:fill on="f" focussize="0,0"/>
                <v:stroke color="#000000" joinstyle="round"/>
                <v:imagedata o:title=""/>
                <o:lock v:ext="edit" aspectratio="f"/>
              </v:line>
            </w:pict>
          </mc:Fallback>
        </mc:AlternateContent>
      </w:r>
    </w:p>
    <w:p>
      <w:pPr>
        <w:wordWrap w:val="0"/>
        <w:snapToGrid w:val="0"/>
        <w:rPr>
          <w:u w:val="single"/>
        </w:rPr>
      </w:pPr>
    </w:p>
    <w:p>
      <w:pPr>
        <w:wordWrap w:val="0"/>
        <w:snapToGrid w:val="0"/>
        <w:jc w:val="center"/>
        <w:rPr>
          <w:rFonts w:ascii="黑体" w:eastAsia="黑体" w:cs="黑体"/>
          <w:w w:val="148"/>
          <w:sz w:val="36"/>
        </w:rPr>
      </w:pPr>
      <w:r>
        <w:rPr>
          <w:rFonts w:hint="eastAsia" w:ascii="黑体" w:eastAsia="黑体" w:cs="黑体"/>
          <w:w w:val="148"/>
          <w:sz w:val="36"/>
        </w:rPr>
        <w:t>广东汕尾市质量计量监督检测所</w:t>
      </w:r>
    </w:p>
    <w:p>
      <w:pPr>
        <w:spacing w:line="500" w:lineRule="exact"/>
        <w:jc w:val="left"/>
        <w:rPr>
          <w:rFonts w:ascii="宋体" w:hAnsi="宋体" w:cs="宋体"/>
          <w:sz w:val="24"/>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
      <w:pPr>
        <w:ind w:firstLine="810" w:firstLineChars="225"/>
        <w:jc w:val="center"/>
        <w:rPr>
          <w:rFonts w:ascii="仿宋_GB2312" w:eastAsia="仿宋_GB2312"/>
          <w:sz w:val="36"/>
          <w:szCs w:val="36"/>
        </w:rPr>
      </w:pPr>
      <w:r>
        <w:rPr>
          <w:rFonts w:hint="eastAsia" w:ascii="仿宋_GB2312" w:eastAsia="仿宋_GB2312"/>
          <w:sz w:val="36"/>
          <w:szCs w:val="36"/>
        </w:rPr>
        <w:t>2018年汕尾市鞋类产品质量专项监督抽查</w:t>
      </w:r>
    </w:p>
    <w:p>
      <w:pPr>
        <w:ind w:firstLine="810" w:firstLineChars="225"/>
        <w:jc w:val="center"/>
        <w:rPr>
          <w:sz w:val="32"/>
        </w:rPr>
      </w:pPr>
      <w:r>
        <w:rPr>
          <w:rFonts w:hint="eastAsia" w:ascii="仿宋_GB2312" w:eastAsia="仿宋_GB2312"/>
          <w:sz w:val="36"/>
          <w:szCs w:val="36"/>
        </w:rPr>
        <w:t>实施细则</w:t>
      </w:r>
    </w:p>
    <w:p>
      <w:pPr>
        <w:rPr>
          <w:rFonts w:ascii="仿宋_GB2312" w:eastAsia="仿宋_GB2312"/>
          <w:bCs/>
          <w:sz w:val="32"/>
          <w:szCs w:val="32"/>
        </w:rPr>
      </w:pPr>
      <w:r>
        <w:rPr>
          <w:rFonts w:hint="eastAsia" w:ascii="仿宋_GB2312" w:eastAsia="仿宋_GB2312"/>
          <w:bCs/>
          <w:sz w:val="32"/>
          <w:szCs w:val="32"/>
        </w:rPr>
        <w:t>一、适用范围</w:t>
      </w:r>
    </w:p>
    <w:p>
      <w:pPr>
        <w:ind w:firstLine="720" w:firstLineChars="225"/>
        <w:rPr>
          <w:rFonts w:ascii="仿宋_GB2312" w:eastAsia="仿宋_GB2312"/>
          <w:sz w:val="32"/>
          <w:szCs w:val="32"/>
        </w:rPr>
      </w:pPr>
      <w:r>
        <w:rPr>
          <w:rFonts w:hint="eastAsia" w:ascii="仿宋_GB2312" w:eastAsia="仿宋_GB2312"/>
          <w:sz w:val="32"/>
          <w:szCs w:val="32"/>
        </w:rPr>
        <w:t>本实施细则适用于对汕尾市生产企业生产的鞋类产品质量监督检验。</w:t>
      </w:r>
    </w:p>
    <w:p>
      <w:pPr>
        <w:rPr>
          <w:rFonts w:ascii="仿宋_GB2312" w:eastAsia="仿宋_GB2312"/>
          <w:bCs/>
          <w:sz w:val="32"/>
          <w:szCs w:val="32"/>
        </w:rPr>
      </w:pPr>
      <w:r>
        <w:rPr>
          <w:rFonts w:hint="eastAsia" w:ascii="仿宋_GB2312" w:eastAsia="仿宋_GB2312"/>
          <w:bCs/>
          <w:sz w:val="32"/>
          <w:szCs w:val="32"/>
        </w:rPr>
        <w:t>二、抽查范围</w:t>
      </w:r>
    </w:p>
    <w:p>
      <w:pPr>
        <w:numPr>
          <w:ilvl w:val="0"/>
          <w:numId w:val="1"/>
        </w:numPr>
        <w:rPr>
          <w:rFonts w:ascii="仿宋_GB2312" w:eastAsia="仿宋_GB2312"/>
          <w:bCs/>
          <w:sz w:val="32"/>
          <w:szCs w:val="32"/>
        </w:rPr>
      </w:pPr>
      <w:r>
        <w:rPr>
          <w:rFonts w:hint="eastAsia" w:ascii="仿宋_GB2312" w:eastAsia="仿宋_GB2312"/>
          <w:sz w:val="32"/>
          <w:szCs w:val="32"/>
        </w:rPr>
        <w:t>抽查产品名称：</w:t>
      </w:r>
    </w:p>
    <w:p>
      <w:pPr>
        <w:ind w:firstLine="720" w:firstLineChars="225"/>
        <w:rPr>
          <w:rFonts w:ascii="仿宋_GB2312" w:eastAsia="仿宋_GB2312"/>
          <w:sz w:val="32"/>
          <w:szCs w:val="32"/>
        </w:rPr>
      </w:pPr>
      <w:r>
        <w:rPr>
          <w:rFonts w:hint="eastAsia" w:ascii="仿宋_GB2312" w:eastAsia="仿宋_GB2312"/>
          <w:sz w:val="32"/>
          <w:szCs w:val="32"/>
        </w:rPr>
        <w:t>皮凉鞋，旅游鞋，聚氯乙烯塑料凉鞋、拖鞋，皮鞋(童鞋除外)。</w:t>
      </w:r>
    </w:p>
    <w:p>
      <w:pPr>
        <w:numPr>
          <w:ilvl w:val="0"/>
          <w:numId w:val="1"/>
        </w:numPr>
        <w:rPr>
          <w:rFonts w:ascii="仿宋_GB2312" w:eastAsia="仿宋_GB2312"/>
          <w:bCs/>
          <w:sz w:val="32"/>
          <w:szCs w:val="32"/>
        </w:rPr>
      </w:pPr>
      <w:r>
        <w:rPr>
          <w:rFonts w:hint="eastAsia" w:ascii="仿宋_GB2312" w:eastAsia="仿宋_GB2312"/>
          <w:sz w:val="32"/>
          <w:szCs w:val="32"/>
        </w:rPr>
        <w:t>抽查地区：</w:t>
      </w:r>
    </w:p>
    <w:p>
      <w:pPr>
        <w:ind w:firstLine="720" w:firstLineChars="225"/>
        <w:rPr>
          <w:rFonts w:ascii="仿宋_GB2312" w:eastAsia="仿宋_GB2312"/>
          <w:sz w:val="32"/>
          <w:szCs w:val="32"/>
        </w:rPr>
      </w:pPr>
      <w:r>
        <w:rPr>
          <w:rFonts w:hint="eastAsia" w:ascii="仿宋_GB2312" w:eastAsia="仿宋_GB2312"/>
          <w:sz w:val="32"/>
          <w:szCs w:val="32"/>
        </w:rPr>
        <w:t xml:space="preserve"> 广东省汕尾市地区内。</w:t>
      </w:r>
    </w:p>
    <w:p>
      <w:pPr>
        <w:numPr>
          <w:ilvl w:val="0"/>
          <w:numId w:val="1"/>
        </w:numPr>
        <w:rPr>
          <w:rFonts w:ascii="仿宋_GB2312" w:eastAsia="仿宋_GB2312"/>
          <w:bCs/>
          <w:sz w:val="32"/>
          <w:szCs w:val="32"/>
        </w:rPr>
      </w:pPr>
      <w:r>
        <w:rPr>
          <w:rFonts w:hint="eastAsia" w:ascii="仿宋_GB2312" w:eastAsia="仿宋_GB2312"/>
          <w:sz w:val="32"/>
          <w:szCs w:val="32"/>
        </w:rPr>
        <w:t>抽查数量：</w:t>
      </w:r>
    </w:p>
    <w:p>
      <w:pPr>
        <w:ind w:firstLine="720" w:firstLineChars="225"/>
        <w:rPr>
          <w:rFonts w:ascii="仿宋_GB2312" w:eastAsia="仿宋_GB2312"/>
          <w:sz w:val="32"/>
          <w:szCs w:val="32"/>
        </w:rPr>
      </w:pPr>
      <w:r>
        <w:rPr>
          <w:rFonts w:hint="eastAsia" w:ascii="仿宋_GB2312" w:eastAsia="仿宋_GB2312"/>
          <w:sz w:val="32"/>
          <w:szCs w:val="32"/>
        </w:rPr>
        <w:t>按照生产经营的品种及种类，每个生产企业可抽取至少1个规格的两份样品。</w:t>
      </w:r>
    </w:p>
    <w:p>
      <w:pPr>
        <w:rPr>
          <w:rFonts w:ascii="仿宋_GB2312" w:eastAsia="仿宋_GB2312"/>
          <w:bCs/>
          <w:sz w:val="32"/>
          <w:szCs w:val="32"/>
        </w:rPr>
      </w:pPr>
      <w:r>
        <w:rPr>
          <w:rFonts w:hint="eastAsia" w:ascii="仿宋_GB2312" w:eastAsia="仿宋_GB2312"/>
          <w:bCs/>
          <w:sz w:val="32"/>
          <w:szCs w:val="32"/>
        </w:rPr>
        <w:t>三、抽样方法</w:t>
      </w:r>
      <w:r>
        <w:rPr>
          <w:rFonts w:hint="eastAsia" w:ascii="仿宋_GB2312" w:eastAsia="仿宋_GB2312"/>
          <w:sz w:val="32"/>
          <w:szCs w:val="32"/>
        </w:rPr>
        <w:t>及数量</w:t>
      </w:r>
    </w:p>
    <w:p>
      <w:pPr>
        <w:numPr>
          <w:ilvl w:val="0"/>
          <w:numId w:val="2"/>
        </w:numPr>
        <w:rPr>
          <w:rFonts w:ascii="仿宋_GB2312" w:hAnsi="宋体" w:eastAsia="仿宋_GB2312"/>
          <w:sz w:val="32"/>
          <w:szCs w:val="32"/>
        </w:rPr>
      </w:pPr>
      <w:r>
        <w:rPr>
          <w:rFonts w:hint="eastAsia" w:ascii="仿宋_GB2312" w:hAnsi="宋体" w:eastAsia="仿宋_GB2312"/>
          <w:sz w:val="32"/>
          <w:szCs w:val="32"/>
        </w:rPr>
        <w:t>抽样地点：</w:t>
      </w:r>
    </w:p>
    <w:p>
      <w:pPr>
        <w:ind w:firstLine="480" w:firstLineChars="150"/>
        <w:rPr>
          <w:rFonts w:ascii="仿宋_GB2312" w:hAnsi="宋体" w:eastAsia="仿宋_GB2312"/>
          <w:sz w:val="32"/>
          <w:szCs w:val="32"/>
        </w:rPr>
      </w:pPr>
      <w:r>
        <w:rPr>
          <w:rFonts w:hint="eastAsia" w:ascii="仿宋_GB2312" w:hAnsi="宋体" w:eastAsia="仿宋_GB2312"/>
          <w:sz w:val="32"/>
          <w:szCs w:val="32"/>
        </w:rPr>
        <w:t>在生产企业成品仓库中随机抽取。</w:t>
      </w:r>
    </w:p>
    <w:p>
      <w:pPr>
        <w:numPr>
          <w:ilvl w:val="0"/>
          <w:numId w:val="2"/>
        </w:numPr>
        <w:rPr>
          <w:rFonts w:ascii="仿宋_GB2312" w:eastAsia="仿宋_GB2312"/>
          <w:sz w:val="32"/>
          <w:szCs w:val="32"/>
        </w:rPr>
      </w:pPr>
      <w:r>
        <w:rPr>
          <w:rFonts w:hint="eastAsia" w:ascii="仿宋_GB2312" w:eastAsia="仿宋_GB2312"/>
          <w:sz w:val="32"/>
          <w:szCs w:val="32"/>
        </w:rPr>
        <w:t>抽样方法：</w:t>
      </w:r>
    </w:p>
    <w:p>
      <w:pPr>
        <w:ind w:firstLine="720" w:firstLineChars="225"/>
        <w:rPr>
          <w:rFonts w:ascii="仿宋_GB2312" w:eastAsia="仿宋_GB2312"/>
          <w:sz w:val="32"/>
          <w:szCs w:val="32"/>
        </w:rPr>
      </w:pPr>
      <w:r>
        <w:rPr>
          <w:rFonts w:hint="eastAsia" w:ascii="仿宋_GB2312" w:eastAsia="仿宋_GB2312"/>
          <w:sz w:val="32"/>
          <w:szCs w:val="32"/>
        </w:rPr>
        <w:t>(1)、在生产企业成品仓库随机抽取经企业出厂检验合格的产品。</w:t>
      </w:r>
    </w:p>
    <w:p>
      <w:pPr>
        <w:ind w:firstLine="720" w:firstLineChars="225"/>
        <w:rPr>
          <w:rFonts w:ascii="仿宋_GB2312" w:eastAsia="仿宋_GB2312"/>
          <w:sz w:val="32"/>
          <w:szCs w:val="32"/>
        </w:rPr>
      </w:pPr>
      <w:r>
        <w:rPr>
          <w:rFonts w:hint="eastAsia" w:ascii="仿宋_GB2312" w:eastAsia="仿宋_GB2312"/>
          <w:sz w:val="32"/>
          <w:szCs w:val="32"/>
        </w:rPr>
        <w:t>(2)、相同原材料，相同生产工艺生产的同一种规格为一个受检批，一个受检批抽样基数应根据各种相关标准进行要求进行确定。</w:t>
      </w:r>
    </w:p>
    <w:p>
      <w:pPr>
        <w:ind w:firstLine="720" w:firstLineChars="225"/>
        <w:rPr>
          <w:rFonts w:ascii="仿宋_GB2312" w:eastAsia="仿宋_GB2312"/>
          <w:sz w:val="32"/>
          <w:szCs w:val="32"/>
        </w:rPr>
      </w:pPr>
      <w:r>
        <w:rPr>
          <w:rFonts w:hint="eastAsia" w:ascii="仿宋_GB2312" w:eastAsia="仿宋_GB2312"/>
          <w:sz w:val="32"/>
          <w:szCs w:val="32"/>
        </w:rPr>
        <w:t>(3)、优先抽取产销量</w:t>
      </w:r>
      <w:r>
        <w:rPr>
          <w:rFonts w:hint="eastAsia" w:ascii="仿宋_GB2312" w:eastAsia="仿宋_GB2312"/>
          <w:sz w:val="32"/>
          <w:szCs w:val="32"/>
          <w:lang w:eastAsia="zh-CN"/>
        </w:rPr>
        <w:t>的</w:t>
      </w:r>
      <w:r>
        <w:rPr>
          <w:rFonts w:hint="eastAsia" w:ascii="仿宋_GB2312" w:eastAsia="仿宋_GB2312"/>
          <w:sz w:val="32"/>
          <w:szCs w:val="32"/>
        </w:rPr>
        <w:t>企业产品。</w:t>
      </w:r>
    </w:p>
    <w:p>
      <w:pPr>
        <w:ind w:firstLine="720" w:firstLineChars="225"/>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在抽取样品时看产品是否按类型、规格分别堆放。</w:t>
      </w:r>
    </w:p>
    <w:p>
      <w:pPr>
        <w:ind w:firstLine="720" w:firstLineChars="225"/>
        <w:rPr>
          <w:rFonts w:ascii="仿宋_GB2312" w:eastAsia="仿宋_GB2312"/>
          <w:sz w:val="32"/>
          <w:szCs w:val="32"/>
        </w:rPr>
      </w:pPr>
      <w:r>
        <w:rPr>
          <w:rFonts w:hint="eastAsia" w:ascii="仿宋_GB2312" w:eastAsia="仿宋_GB2312"/>
          <w:sz w:val="32"/>
          <w:szCs w:val="32"/>
        </w:rPr>
        <w:t>(5)、抽样检测时要填写抽样检验单（一式三份）受抽样单位有关人员和抽样人双方签字并盖公章，特殊情况下，可经双方签字确认。抽样单一份留在受抽查单位，一份由抽样人员带回检验部门，另一份上报市质量技术监督局。</w:t>
      </w:r>
    </w:p>
    <w:p>
      <w:pPr>
        <w:numPr>
          <w:ilvl w:val="0"/>
          <w:numId w:val="2"/>
        </w:numPr>
        <w:rPr>
          <w:rFonts w:ascii="仿宋_GB2312" w:eastAsia="仿宋_GB2312"/>
          <w:sz w:val="32"/>
          <w:szCs w:val="32"/>
        </w:rPr>
      </w:pPr>
      <w:r>
        <w:rPr>
          <w:rFonts w:hint="eastAsia" w:ascii="仿宋_GB2312" w:hAnsi="宋体" w:eastAsia="仿宋_GB2312"/>
          <w:sz w:val="32"/>
          <w:szCs w:val="32"/>
        </w:rPr>
        <w:t>抽样基数：</w:t>
      </w:r>
    </w:p>
    <w:p>
      <w:pPr>
        <w:ind w:firstLine="720" w:firstLineChars="225"/>
        <w:rPr>
          <w:rFonts w:ascii="仿宋_GB2312" w:eastAsia="仿宋_GB2312"/>
          <w:sz w:val="32"/>
          <w:szCs w:val="32"/>
        </w:rPr>
      </w:pPr>
      <w:r>
        <w:rPr>
          <w:rFonts w:hint="eastAsia" w:ascii="仿宋_GB2312" w:eastAsia="仿宋_GB2312"/>
          <w:sz w:val="32"/>
          <w:szCs w:val="32"/>
        </w:rPr>
        <w:t>鞋类的同一规格型号的200双为一批，不足的200双也可作为一批。</w:t>
      </w:r>
    </w:p>
    <w:p>
      <w:pPr>
        <w:numPr>
          <w:ilvl w:val="0"/>
          <w:numId w:val="2"/>
        </w:numPr>
        <w:rPr>
          <w:rFonts w:ascii="仿宋_GB2312" w:eastAsia="仿宋_GB2312"/>
          <w:sz w:val="32"/>
          <w:szCs w:val="32"/>
        </w:rPr>
      </w:pPr>
      <w:r>
        <w:rPr>
          <w:rFonts w:hint="eastAsia" w:ascii="仿宋_GB2312" w:hAnsi="宋体" w:eastAsia="仿宋_GB2312"/>
          <w:sz w:val="32"/>
          <w:szCs w:val="32"/>
        </w:rPr>
        <w:t>抽样数量：</w:t>
      </w:r>
    </w:p>
    <w:p>
      <w:pPr>
        <w:ind w:firstLine="720" w:firstLineChars="225"/>
        <w:rPr>
          <w:rFonts w:ascii="仿宋_GB2312" w:eastAsia="仿宋_GB2312"/>
          <w:sz w:val="32"/>
          <w:szCs w:val="32"/>
        </w:rPr>
      </w:pPr>
      <w:r>
        <w:rPr>
          <w:rFonts w:hint="eastAsia" w:ascii="仿宋_GB2312" w:eastAsia="仿宋_GB2312"/>
          <w:sz w:val="32"/>
          <w:szCs w:val="32"/>
        </w:rPr>
        <w:t>在生产企业成品库中经检验合格产品中随机抽取样品：鞋</w:t>
      </w:r>
      <w:r>
        <w:rPr>
          <w:rFonts w:hint="eastAsia" w:ascii="仿宋_GB2312" w:eastAsia="仿宋_GB2312"/>
          <w:sz w:val="32"/>
          <w:szCs w:val="32"/>
          <w:lang w:eastAsia="zh-CN"/>
        </w:rPr>
        <w:t>4</w:t>
      </w:r>
      <w:r>
        <w:rPr>
          <w:rFonts w:hint="eastAsia" w:ascii="仿宋_GB2312" w:eastAsia="仿宋_GB2312"/>
          <w:sz w:val="32"/>
          <w:szCs w:val="32"/>
        </w:rPr>
        <w:t>双，其中</w:t>
      </w:r>
      <w:r>
        <w:rPr>
          <w:rFonts w:hint="eastAsia" w:ascii="仿宋_GB2312" w:eastAsia="仿宋_GB2312"/>
          <w:sz w:val="32"/>
          <w:szCs w:val="32"/>
          <w:lang w:eastAsia="zh-CN"/>
        </w:rPr>
        <w:t>2</w:t>
      </w:r>
      <w:r>
        <w:rPr>
          <w:rFonts w:hint="eastAsia" w:ascii="仿宋_GB2312" w:eastAsia="仿宋_GB2312"/>
          <w:sz w:val="32"/>
          <w:szCs w:val="32"/>
        </w:rPr>
        <w:t>双送检验单位，</w:t>
      </w:r>
      <w:r>
        <w:rPr>
          <w:rFonts w:hint="eastAsia" w:ascii="仿宋_GB2312" w:eastAsia="仿宋_GB2312"/>
          <w:sz w:val="32"/>
          <w:szCs w:val="32"/>
          <w:lang w:eastAsia="zh-CN"/>
        </w:rPr>
        <w:t>2</w:t>
      </w:r>
      <w:r>
        <w:rPr>
          <w:rFonts w:hint="eastAsia" w:ascii="仿宋_GB2312" w:eastAsia="仿宋_GB2312"/>
          <w:sz w:val="32"/>
          <w:szCs w:val="32"/>
        </w:rPr>
        <w:t>双为保留样品，封存在受检单位。</w:t>
      </w:r>
    </w:p>
    <w:p>
      <w:pPr>
        <w:numPr>
          <w:ilvl w:val="0"/>
          <w:numId w:val="2"/>
        </w:numPr>
        <w:rPr>
          <w:rFonts w:ascii="仿宋_GB2312" w:eastAsia="仿宋_GB2312"/>
          <w:sz w:val="32"/>
          <w:szCs w:val="32"/>
        </w:rPr>
      </w:pPr>
      <w:r>
        <w:rPr>
          <w:rFonts w:hint="eastAsia" w:ascii="仿宋_GB2312" w:hAnsi="宋体" w:eastAsia="仿宋_GB2312"/>
          <w:sz w:val="32"/>
          <w:szCs w:val="32"/>
        </w:rPr>
        <w:t>封样要求：</w:t>
      </w:r>
    </w:p>
    <w:p>
      <w:pPr>
        <w:ind w:firstLine="720" w:firstLineChars="225"/>
        <w:rPr>
          <w:rFonts w:ascii="仿宋_GB2312" w:eastAsia="仿宋_GB2312"/>
          <w:sz w:val="32"/>
          <w:szCs w:val="32"/>
        </w:rPr>
      </w:pPr>
      <w:r>
        <w:rPr>
          <w:rFonts w:hint="eastAsia" w:ascii="仿宋_GB2312" w:eastAsia="仿宋_GB2312"/>
          <w:sz w:val="32"/>
          <w:szCs w:val="32"/>
        </w:rPr>
        <w:t>检验样品和备用样品应喷上抽样标识并贴上盖有质检部门印章的封条，并要求企业一同确认检查、记录样品的外观、状态、封条有无破损及其他可能对检测结果或者综合判定产生影响的情况，并确认样品与抽样单的记录是否相符。存放在企业的备用样品，企业应安排专人负责，企业在检验完成后若对检测结果有异议时将</w:t>
      </w:r>
      <w:bookmarkStart w:id="0" w:name="_GoBack"/>
      <w:bookmarkEnd w:id="0"/>
      <w:r>
        <w:rPr>
          <w:rFonts w:hint="eastAsia" w:ascii="仿宋_GB2312" w:eastAsia="仿宋_GB2312"/>
          <w:sz w:val="32"/>
          <w:szCs w:val="32"/>
        </w:rPr>
        <w:t>按照规定在备用样品中抽取样品复检。</w:t>
      </w:r>
    </w:p>
    <w:p>
      <w:pPr>
        <w:numPr>
          <w:ilvl w:val="0"/>
          <w:numId w:val="2"/>
        </w:numPr>
        <w:rPr>
          <w:rFonts w:ascii="仿宋_GB2312" w:eastAsia="仿宋_GB2312"/>
          <w:sz w:val="32"/>
          <w:szCs w:val="32"/>
        </w:rPr>
      </w:pPr>
      <w:r>
        <w:rPr>
          <w:rFonts w:hint="eastAsia" w:ascii="仿宋_GB2312" w:eastAsia="仿宋_GB2312"/>
          <w:sz w:val="32"/>
          <w:szCs w:val="32"/>
        </w:rPr>
        <w:t>其他说明（抽样过程要注意的问题）：</w:t>
      </w:r>
    </w:p>
    <w:p>
      <w:pPr>
        <w:ind w:firstLine="720" w:firstLineChars="225"/>
        <w:rPr>
          <w:rFonts w:ascii="仿宋_GB2312" w:eastAsia="仿宋_GB2312"/>
          <w:sz w:val="32"/>
          <w:szCs w:val="32"/>
        </w:rPr>
      </w:pPr>
      <w:r>
        <w:rPr>
          <w:rFonts w:hint="eastAsia" w:ascii="仿宋_GB2312" w:eastAsia="仿宋_GB2312"/>
          <w:sz w:val="32"/>
          <w:szCs w:val="32"/>
        </w:rPr>
        <w:t>鞋类产品由企业提供样品的产品等级、型号规格，以上样品信息必须在抽样单上正确填写，并予以确认；优先保证检验用的样品（</w:t>
      </w:r>
      <w:r>
        <w:rPr>
          <w:rFonts w:hint="eastAsia" w:ascii="仿宋_GB2312" w:eastAsia="仿宋_GB2312"/>
          <w:sz w:val="32"/>
          <w:szCs w:val="32"/>
          <w:lang w:eastAsia="zh-CN"/>
        </w:rPr>
        <w:t>2</w:t>
      </w:r>
      <w:r>
        <w:rPr>
          <w:rFonts w:hint="eastAsia" w:ascii="仿宋_GB2312" w:eastAsia="仿宋_GB2312"/>
          <w:sz w:val="32"/>
          <w:szCs w:val="32"/>
        </w:rPr>
        <w:t>双鞋类产品）。</w:t>
      </w:r>
    </w:p>
    <w:p>
      <w:pPr>
        <w:rPr>
          <w:rFonts w:ascii="仿宋_GB2312" w:eastAsia="仿宋_GB2312"/>
          <w:bCs/>
          <w:sz w:val="32"/>
          <w:szCs w:val="32"/>
        </w:rPr>
      </w:pPr>
      <w:r>
        <w:rPr>
          <w:rFonts w:hint="eastAsia" w:ascii="仿宋_GB2312" w:eastAsia="仿宋_GB2312"/>
          <w:bCs/>
          <w:sz w:val="32"/>
          <w:szCs w:val="32"/>
        </w:rPr>
        <w:t>四、检验依据</w:t>
      </w:r>
    </w:p>
    <w:p>
      <w:pPr>
        <w:numPr>
          <w:ilvl w:val="0"/>
          <w:numId w:val="3"/>
        </w:numPr>
        <w:tabs>
          <w:tab w:val="clear" w:pos="420"/>
        </w:tabs>
        <w:ind w:left="0" w:firstLine="0"/>
        <w:rPr>
          <w:rFonts w:ascii="仿宋_GB2312" w:eastAsia="仿宋_GB2312"/>
          <w:sz w:val="32"/>
          <w:szCs w:val="32"/>
        </w:rPr>
      </w:pPr>
      <w:r>
        <w:rPr>
          <w:rFonts w:hint="eastAsia" w:ascii="仿宋_GB2312" w:eastAsia="仿宋_GB2312"/>
          <w:sz w:val="32"/>
          <w:szCs w:val="32"/>
        </w:rPr>
        <w:t>GB/T 22756-20</w:t>
      </w:r>
      <w:r>
        <w:rPr>
          <w:rFonts w:hint="eastAsia" w:ascii="仿宋_GB2312" w:eastAsia="仿宋_GB2312"/>
          <w:sz w:val="32"/>
          <w:szCs w:val="32"/>
          <w:lang w:val="en-US" w:eastAsia="zh-CN"/>
        </w:rPr>
        <w:t>17</w:t>
      </w:r>
      <w:r>
        <w:rPr>
          <w:rFonts w:hint="eastAsia" w:ascii="仿宋_GB2312" w:eastAsia="仿宋_GB2312"/>
          <w:sz w:val="32"/>
          <w:szCs w:val="32"/>
        </w:rPr>
        <w:t>《</w:t>
      </w:r>
      <w:r>
        <w:rPr>
          <w:rFonts w:hint="eastAsia" w:ascii="仿宋_GB2312" w:hAnsi="宋体" w:eastAsia="仿宋_GB2312"/>
          <w:sz w:val="32"/>
          <w:szCs w:val="32"/>
        </w:rPr>
        <w:t>皮凉鞋</w:t>
      </w:r>
      <w:r>
        <w:rPr>
          <w:rFonts w:hint="eastAsia" w:ascii="仿宋_GB2312" w:eastAsia="仿宋_GB2312"/>
          <w:sz w:val="32"/>
          <w:szCs w:val="32"/>
        </w:rPr>
        <w:t>》；</w:t>
      </w:r>
    </w:p>
    <w:p>
      <w:pPr>
        <w:numPr>
          <w:ilvl w:val="0"/>
          <w:numId w:val="0"/>
        </w:numPr>
        <w:rPr>
          <w:rFonts w:ascii="仿宋_GB2312" w:eastAsia="仿宋_GB2312"/>
          <w:sz w:val="32"/>
          <w:szCs w:val="32"/>
        </w:rPr>
      </w:pPr>
      <w:r>
        <w:rPr>
          <w:rFonts w:hint="eastAsia" w:ascii="仿宋_GB2312" w:eastAsia="仿宋_GB2312"/>
          <w:sz w:val="24"/>
        </w:rPr>
        <w:t>（现行推荐性</w:t>
      </w:r>
      <w:r>
        <w:rPr>
          <w:rFonts w:hint="eastAsia" w:ascii="仿宋_GB2312" w:eastAsia="仿宋_GB2312"/>
          <w:sz w:val="24"/>
          <w:lang w:val="en-US" w:eastAsia="zh-CN"/>
        </w:rPr>
        <w:t>国家</w:t>
      </w:r>
      <w:r>
        <w:rPr>
          <w:rFonts w:hint="eastAsia" w:ascii="仿宋_GB2312" w:eastAsia="仿宋_GB2312"/>
          <w:sz w:val="24"/>
        </w:rPr>
        <w:t>标准，20</w:t>
      </w:r>
      <w:r>
        <w:rPr>
          <w:rFonts w:hint="eastAsia" w:ascii="仿宋_GB2312" w:eastAsia="仿宋_GB2312"/>
          <w:sz w:val="24"/>
          <w:lang w:val="en-US" w:eastAsia="zh-CN"/>
        </w:rPr>
        <w:t>17</w:t>
      </w:r>
      <w:r>
        <w:rPr>
          <w:rFonts w:hint="eastAsia" w:ascii="仿宋_GB2312" w:eastAsia="仿宋_GB2312"/>
          <w:sz w:val="24"/>
        </w:rPr>
        <w:t>年</w:t>
      </w:r>
      <w:r>
        <w:rPr>
          <w:rFonts w:hint="eastAsia" w:ascii="仿宋_GB2312" w:eastAsia="仿宋_GB2312"/>
          <w:sz w:val="24"/>
          <w:lang w:val="en-US" w:eastAsia="zh-CN"/>
        </w:rPr>
        <w:t>05</w:t>
      </w:r>
      <w:r>
        <w:rPr>
          <w:rFonts w:hint="eastAsia" w:ascii="仿宋_GB2312" w:eastAsia="仿宋_GB2312"/>
          <w:sz w:val="24"/>
        </w:rPr>
        <w:t>月</w:t>
      </w:r>
      <w:r>
        <w:rPr>
          <w:rFonts w:hint="eastAsia" w:ascii="仿宋_GB2312" w:eastAsia="仿宋_GB2312"/>
          <w:sz w:val="24"/>
          <w:lang w:val="en-US" w:eastAsia="zh-CN"/>
        </w:rPr>
        <w:t>12</w:t>
      </w:r>
      <w:r>
        <w:rPr>
          <w:rFonts w:hint="eastAsia" w:ascii="仿宋_GB2312" w:eastAsia="仿宋_GB2312"/>
          <w:sz w:val="24"/>
        </w:rPr>
        <w:t>日发布，20</w:t>
      </w:r>
      <w:r>
        <w:rPr>
          <w:rFonts w:hint="eastAsia" w:ascii="仿宋_GB2312" w:eastAsia="仿宋_GB2312"/>
          <w:sz w:val="24"/>
          <w:lang w:val="en-US" w:eastAsia="zh-CN"/>
        </w:rPr>
        <w:t>17</w:t>
      </w:r>
      <w:r>
        <w:rPr>
          <w:rFonts w:hint="eastAsia" w:ascii="仿宋_GB2312" w:eastAsia="仿宋_GB2312"/>
          <w:sz w:val="24"/>
        </w:rPr>
        <w:t>年</w:t>
      </w:r>
      <w:r>
        <w:rPr>
          <w:rFonts w:hint="eastAsia" w:ascii="仿宋_GB2312" w:eastAsia="仿宋_GB2312"/>
          <w:sz w:val="24"/>
          <w:lang w:val="en-US" w:eastAsia="zh-CN"/>
        </w:rPr>
        <w:t>12</w:t>
      </w:r>
      <w:r>
        <w:rPr>
          <w:rFonts w:hint="eastAsia" w:ascii="仿宋_GB2312" w:eastAsia="仿宋_GB2312"/>
          <w:sz w:val="24"/>
        </w:rPr>
        <w:t>月01日实施）</w:t>
      </w:r>
    </w:p>
    <w:p>
      <w:pPr>
        <w:numPr>
          <w:ilvl w:val="0"/>
          <w:numId w:val="3"/>
        </w:numPr>
        <w:tabs>
          <w:tab w:val="clear" w:pos="420"/>
        </w:tabs>
        <w:ind w:left="0" w:firstLine="0"/>
        <w:rPr>
          <w:rFonts w:ascii="仿宋_GB2312" w:eastAsia="仿宋_GB2312"/>
          <w:sz w:val="32"/>
          <w:szCs w:val="32"/>
        </w:rPr>
      </w:pPr>
      <w:r>
        <w:rPr>
          <w:rFonts w:hint="eastAsia" w:ascii="仿宋_GB2312" w:eastAsia="仿宋_GB2312"/>
          <w:sz w:val="32"/>
          <w:szCs w:val="32"/>
        </w:rPr>
        <w:t>GB/T 15107-2013《</w:t>
      </w:r>
      <w:r>
        <w:rPr>
          <w:rFonts w:hint="eastAsia" w:ascii="仿宋_GB2312" w:hAnsi="宋体" w:eastAsia="仿宋_GB2312"/>
          <w:sz w:val="32"/>
          <w:szCs w:val="32"/>
        </w:rPr>
        <w:t>旅游鞋</w:t>
      </w:r>
      <w:r>
        <w:rPr>
          <w:rFonts w:hint="eastAsia" w:ascii="仿宋_GB2312" w:eastAsia="仿宋_GB2312"/>
          <w:sz w:val="32"/>
          <w:szCs w:val="32"/>
        </w:rPr>
        <w:t>》；</w:t>
      </w:r>
      <w:r>
        <w:rPr>
          <w:rFonts w:ascii="仿宋_GB2312" w:eastAsia="仿宋_GB2312"/>
          <w:sz w:val="32"/>
          <w:szCs w:val="32"/>
        </w:rPr>
        <w:br w:type="textWrapping"/>
      </w:r>
      <w:r>
        <w:rPr>
          <w:rFonts w:hint="eastAsia" w:ascii="仿宋_GB2312" w:eastAsia="仿宋_GB2312"/>
          <w:sz w:val="24"/>
        </w:rPr>
        <w:t>（现行推荐性</w:t>
      </w:r>
      <w:r>
        <w:rPr>
          <w:rFonts w:hint="eastAsia" w:ascii="仿宋_GB2312" w:eastAsia="仿宋_GB2312"/>
          <w:sz w:val="24"/>
          <w:lang w:val="en-US" w:eastAsia="zh-CN"/>
        </w:rPr>
        <w:t>国家</w:t>
      </w:r>
      <w:r>
        <w:rPr>
          <w:rFonts w:hint="eastAsia" w:ascii="仿宋_GB2312" w:eastAsia="仿宋_GB2312"/>
          <w:sz w:val="24"/>
        </w:rPr>
        <w:t>标准，2013年10月10日发布，2014年06月01日实施）</w:t>
      </w:r>
    </w:p>
    <w:p>
      <w:pPr>
        <w:numPr>
          <w:ilvl w:val="0"/>
          <w:numId w:val="3"/>
        </w:numPr>
        <w:tabs>
          <w:tab w:val="clear" w:pos="420"/>
        </w:tabs>
        <w:ind w:left="0" w:firstLine="0"/>
        <w:rPr>
          <w:rFonts w:ascii="仿宋_GB2312" w:eastAsia="仿宋_GB2312"/>
          <w:sz w:val="32"/>
          <w:szCs w:val="32"/>
        </w:rPr>
      </w:pPr>
      <w:r>
        <w:rPr>
          <w:rFonts w:hint="eastAsia" w:ascii="仿宋_GB2312" w:eastAsia="仿宋_GB2312"/>
          <w:sz w:val="32"/>
          <w:szCs w:val="32"/>
        </w:rPr>
        <w:t>QB/T 1653-1992《</w:t>
      </w:r>
      <w:r>
        <w:rPr>
          <w:rFonts w:hint="eastAsia" w:ascii="仿宋_GB2312" w:hAnsi="宋体" w:eastAsia="仿宋_GB2312"/>
          <w:sz w:val="32"/>
          <w:szCs w:val="32"/>
        </w:rPr>
        <w:t>聚氯乙烯塑料凉鞋、拖鞋</w:t>
      </w:r>
      <w:r>
        <w:rPr>
          <w:rFonts w:hint="eastAsia" w:ascii="仿宋_GB2312" w:eastAsia="仿宋_GB2312"/>
          <w:sz w:val="32"/>
          <w:szCs w:val="32"/>
        </w:rPr>
        <w:t>》；</w:t>
      </w:r>
      <w:r>
        <w:rPr>
          <w:rFonts w:ascii="仿宋_GB2312" w:eastAsia="仿宋_GB2312"/>
          <w:sz w:val="32"/>
          <w:szCs w:val="32"/>
        </w:rPr>
        <w:br w:type="textWrapping"/>
      </w:r>
      <w:r>
        <w:rPr>
          <w:rFonts w:hint="eastAsia" w:ascii="仿宋_GB2312" w:eastAsia="仿宋_GB2312"/>
          <w:sz w:val="24"/>
        </w:rPr>
        <w:t>（现行推荐性行业标准，1993年01月15日发布，1993年09月01日实施）</w:t>
      </w:r>
    </w:p>
    <w:p>
      <w:pPr>
        <w:numPr>
          <w:ilvl w:val="0"/>
          <w:numId w:val="3"/>
        </w:numPr>
        <w:tabs>
          <w:tab w:val="clear" w:pos="420"/>
        </w:tabs>
        <w:ind w:left="0" w:firstLine="0"/>
        <w:rPr>
          <w:rFonts w:ascii="仿宋_GB2312" w:eastAsia="仿宋_GB2312"/>
          <w:sz w:val="32"/>
          <w:szCs w:val="32"/>
        </w:rPr>
      </w:pPr>
      <w:r>
        <w:rPr>
          <w:rFonts w:hint="eastAsia" w:ascii="仿宋_GB2312" w:eastAsia="仿宋_GB2312"/>
          <w:sz w:val="32"/>
          <w:szCs w:val="32"/>
        </w:rPr>
        <w:t>QB/T 1002-2015《</w:t>
      </w:r>
      <w:r>
        <w:rPr>
          <w:rFonts w:hint="eastAsia" w:ascii="仿宋_GB2312" w:hAnsi="宋体" w:eastAsia="仿宋_GB2312"/>
          <w:sz w:val="32"/>
          <w:szCs w:val="32"/>
        </w:rPr>
        <w:t>皮鞋</w:t>
      </w:r>
      <w:r>
        <w:rPr>
          <w:rFonts w:hint="eastAsia" w:ascii="仿宋_GB2312" w:eastAsia="仿宋_GB2312"/>
          <w:sz w:val="32"/>
          <w:szCs w:val="32"/>
        </w:rPr>
        <w:t>》；</w:t>
      </w:r>
      <w:r>
        <w:rPr>
          <w:rFonts w:ascii="仿宋_GB2312" w:eastAsia="仿宋_GB2312"/>
          <w:sz w:val="32"/>
          <w:szCs w:val="32"/>
        </w:rPr>
        <w:br w:type="textWrapping"/>
      </w:r>
      <w:r>
        <w:rPr>
          <w:rFonts w:hint="eastAsia" w:ascii="仿宋_GB2312" w:eastAsia="仿宋_GB2312"/>
          <w:sz w:val="24"/>
        </w:rPr>
        <w:t>（现行推荐性行业标准，2015年10月10日发布，2016年03月01日实施）</w:t>
      </w:r>
    </w:p>
    <w:p>
      <w:pPr>
        <w:numPr>
          <w:ilvl w:val="0"/>
          <w:numId w:val="3"/>
        </w:numPr>
        <w:rPr>
          <w:rFonts w:ascii="仿宋_GB2312" w:eastAsia="仿宋_GB2312"/>
          <w:sz w:val="32"/>
          <w:szCs w:val="32"/>
        </w:rPr>
      </w:pPr>
      <w:r>
        <w:rPr>
          <w:rFonts w:hint="eastAsia" w:ascii="仿宋_GB2312" w:hAnsi="宋体" w:eastAsia="仿宋_GB2312"/>
          <w:sz w:val="32"/>
          <w:szCs w:val="32"/>
        </w:rPr>
        <w:t>经备案现行有效的企业标准及产品明示质量指标和要求。</w:t>
      </w:r>
    </w:p>
    <w:p>
      <w:pPr>
        <w:rPr>
          <w:rFonts w:ascii="仿宋_GB2312" w:eastAsia="仿宋_GB2312"/>
          <w:bCs/>
          <w:sz w:val="32"/>
          <w:szCs w:val="32"/>
        </w:rPr>
      </w:pPr>
      <w:r>
        <w:rPr>
          <w:rFonts w:hint="eastAsia" w:ascii="仿宋_GB2312" w:eastAsia="仿宋_GB2312"/>
          <w:bCs/>
          <w:sz w:val="32"/>
          <w:szCs w:val="32"/>
        </w:rPr>
        <w:t>五、检验项目</w:t>
      </w:r>
    </w:p>
    <w:p>
      <w:pPr>
        <w:rPr>
          <w:rFonts w:ascii="仿宋_GB2312" w:hAnsi="宋体" w:eastAsia="仿宋_GB2312" w:cs="Arial"/>
          <w:sz w:val="32"/>
          <w:szCs w:val="32"/>
        </w:rPr>
      </w:pPr>
      <w:r>
        <w:rPr>
          <w:rFonts w:hint="eastAsia" w:ascii="仿宋_GB2312" w:hAnsi="宋体" w:eastAsia="仿宋_GB2312" w:cs="Arial"/>
          <w:sz w:val="32"/>
          <w:szCs w:val="32"/>
        </w:rPr>
        <w:t>检验项目及重要程度分类</w:t>
      </w:r>
    </w:p>
    <w:p>
      <w:pPr>
        <w:numPr>
          <w:ilvl w:val="0"/>
          <w:numId w:val="4"/>
        </w:numPr>
        <w:rPr>
          <w:rFonts w:ascii="仿宋_GB2312" w:eastAsia="仿宋_GB2312"/>
          <w:sz w:val="32"/>
          <w:szCs w:val="32"/>
        </w:rPr>
      </w:pPr>
      <w:r>
        <w:rPr>
          <w:rFonts w:hint="eastAsia" w:ascii="仿宋_GB2312" w:hAnsi="宋体" w:eastAsia="仿宋_GB2312" w:cs="宋体"/>
          <w:sz w:val="32"/>
          <w:szCs w:val="32"/>
        </w:rPr>
        <w:t>皮凉鞋</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340"/>
        <w:gridCol w:w="1080"/>
        <w:gridCol w:w="2098"/>
        <w:gridCol w:w="7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restart"/>
            <w:vAlign w:val="center"/>
          </w:tcPr>
          <w:p>
            <w:pPr>
              <w:jc w:val="center"/>
              <w:rPr>
                <w:rFonts w:ascii="仿宋_GB2312" w:hAnsi="宋体" w:eastAsia="仿宋_GB2312"/>
                <w:szCs w:val="21"/>
              </w:rPr>
            </w:pPr>
            <w:r>
              <w:rPr>
                <w:rFonts w:hint="eastAsia" w:ascii="仿宋_GB2312" w:hAnsi="宋体" w:eastAsia="仿宋_GB2312"/>
                <w:szCs w:val="21"/>
              </w:rPr>
              <w:t>序号</w:t>
            </w:r>
          </w:p>
        </w:tc>
        <w:tc>
          <w:tcPr>
            <w:tcW w:w="1738" w:type="dxa"/>
            <w:vMerge w:val="restart"/>
            <w:vAlign w:val="center"/>
          </w:tcPr>
          <w:p>
            <w:pPr>
              <w:snapToGrid w:val="0"/>
              <w:jc w:val="center"/>
              <w:rPr>
                <w:rFonts w:ascii="仿宋_GB2312" w:hAnsi="宋体" w:eastAsia="仿宋_GB2312"/>
                <w:szCs w:val="21"/>
              </w:rPr>
            </w:pPr>
            <w:r>
              <w:rPr>
                <w:rFonts w:hint="eastAsia" w:ascii="仿宋_GB2312" w:hAnsi="宋体" w:eastAsia="仿宋_GB2312"/>
                <w:szCs w:val="21"/>
              </w:rPr>
              <w:t>检验项目</w:t>
            </w:r>
          </w:p>
        </w:tc>
        <w:tc>
          <w:tcPr>
            <w:tcW w:w="2340" w:type="dxa"/>
            <w:vMerge w:val="restart"/>
            <w:vAlign w:val="center"/>
          </w:tcPr>
          <w:p>
            <w:pPr>
              <w:jc w:val="center"/>
              <w:rPr>
                <w:rFonts w:ascii="仿宋_GB2312" w:hAnsi="宋体" w:eastAsia="仿宋_GB2312"/>
                <w:szCs w:val="21"/>
              </w:rPr>
            </w:pPr>
            <w:r>
              <w:rPr>
                <w:rFonts w:hint="eastAsia" w:ascii="仿宋_GB2312" w:hAnsi="宋体" w:eastAsia="仿宋_GB2312"/>
                <w:color w:val="000000"/>
                <w:szCs w:val="21"/>
              </w:rPr>
              <w:t>依据法律法规或标准条款</w:t>
            </w:r>
          </w:p>
        </w:tc>
        <w:tc>
          <w:tcPr>
            <w:tcW w:w="1080" w:type="dxa"/>
            <w:vMerge w:val="restart"/>
            <w:vAlign w:val="center"/>
          </w:tcPr>
          <w:p>
            <w:pPr>
              <w:jc w:val="center"/>
              <w:rPr>
                <w:rFonts w:ascii="仿宋_GB2312" w:hAnsi="宋体" w:eastAsia="仿宋_GB2312"/>
                <w:szCs w:val="21"/>
              </w:rPr>
            </w:pPr>
            <w:r>
              <w:rPr>
                <w:rFonts w:hint="eastAsia" w:ascii="仿宋_GB2312" w:hAnsi="宋体" w:eastAsia="仿宋_GB2312"/>
                <w:szCs w:val="21"/>
              </w:rPr>
              <w:t>强制性/推荐性</w:t>
            </w:r>
          </w:p>
        </w:tc>
        <w:tc>
          <w:tcPr>
            <w:tcW w:w="2098" w:type="dxa"/>
            <w:vMerge w:val="restart"/>
            <w:vAlign w:val="center"/>
          </w:tcPr>
          <w:p>
            <w:pPr>
              <w:jc w:val="center"/>
              <w:rPr>
                <w:rFonts w:ascii="仿宋_GB2312" w:hAnsi="宋体" w:eastAsia="仿宋_GB2312"/>
                <w:szCs w:val="21"/>
              </w:rPr>
            </w:pPr>
            <w:r>
              <w:rPr>
                <w:rFonts w:hint="eastAsia" w:ascii="仿宋_GB2312" w:hAnsi="宋体" w:eastAsia="仿宋_GB2312"/>
                <w:szCs w:val="21"/>
              </w:rPr>
              <w:t>检测方法</w:t>
            </w:r>
          </w:p>
        </w:tc>
        <w:tc>
          <w:tcPr>
            <w:tcW w:w="1489" w:type="dxa"/>
            <w:gridSpan w:val="2"/>
            <w:vAlign w:val="center"/>
          </w:tcPr>
          <w:p>
            <w:pPr>
              <w:jc w:val="center"/>
              <w:rPr>
                <w:rFonts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continue"/>
            <w:vAlign w:val="center"/>
          </w:tcPr>
          <w:p>
            <w:pPr>
              <w:jc w:val="center"/>
              <w:rPr>
                <w:rFonts w:ascii="仿宋_GB2312" w:hAnsi="宋体" w:eastAsia="仿宋_GB2312"/>
                <w:b/>
                <w:szCs w:val="21"/>
              </w:rPr>
            </w:pPr>
          </w:p>
        </w:tc>
        <w:tc>
          <w:tcPr>
            <w:tcW w:w="1738" w:type="dxa"/>
            <w:vMerge w:val="continue"/>
            <w:vAlign w:val="center"/>
          </w:tcPr>
          <w:p>
            <w:pPr>
              <w:snapToGrid w:val="0"/>
              <w:jc w:val="center"/>
              <w:rPr>
                <w:rFonts w:ascii="仿宋_GB2312" w:hAnsi="宋体" w:eastAsia="仿宋_GB2312"/>
                <w:szCs w:val="21"/>
              </w:rPr>
            </w:pPr>
          </w:p>
        </w:tc>
        <w:tc>
          <w:tcPr>
            <w:tcW w:w="2340" w:type="dxa"/>
            <w:vMerge w:val="continue"/>
            <w:vAlign w:val="center"/>
          </w:tcPr>
          <w:p>
            <w:pPr>
              <w:jc w:val="center"/>
              <w:rPr>
                <w:rFonts w:ascii="仿宋_GB2312" w:hAnsi="宋体" w:eastAsia="仿宋_GB2312"/>
                <w:b/>
                <w:szCs w:val="21"/>
              </w:rPr>
            </w:pPr>
          </w:p>
        </w:tc>
        <w:tc>
          <w:tcPr>
            <w:tcW w:w="1080" w:type="dxa"/>
            <w:vMerge w:val="continue"/>
            <w:vAlign w:val="center"/>
          </w:tcPr>
          <w:p>
            <w:pPr>
              <w:jc w:val="center"/>
              <w:rPr>
                <w:rFonts w:ascii="仿宋_GB2312" w:hAnsi="宋体" w:eastAsia="仿宋_GB2312"/>
                <w:b/>
                <w:szCs w:val="21"/>
              </w:rPr>
            </w:pPr>
          </w:p>
        </w:tc>
        <w:tc>
          <w:tcPr>
            <w:tcW w:w="2098" w:type="dxa"/>
            <w:vMerge w:val="continue"/>
            <w:vAlign w:val="center"/>
          </w:tcPr>
          <w:p>
            <w:pPr>
              <w:jc w:val="center"/>
              <w:rPr>
                <w:rFonts w:ascii="仿宋_GB2312" w:hAnsi="宋体" w:eastAsia="仿宋_GB2312"/>
                <w:b/>
                <w:szCs w:val="21"/>
              </w:rPr>
            </w:pPr>
          </w:p>
        </w:tc>
        <w:tc>
          <w:tcPr>
            <w:tcW w:w="712"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77" w:type="dxa"/>
            <w:shd w:val="clear" w:color="auto" w:fill="auto"/>
            <w:vAlign w:val="center"/>
          </w:tcPr>
          <w:p>
            <w:pPr>
              <w:jc w:val="center"/>
              <w:rPr>
                <w:rFonts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鞋号</w:t>
            </w:r>
          </w:p>
        </w:tc>
        <w:tc>
          <w:tcPr>
            <w:tcW w:w="2340" w:type="dxa"/>
            <w:vAlign w:val="center"/>
          </w:tcPr>
          <w:p>
            <w:pPr>
              <w:snapToGrid w:val="0"/>
              <w:jc w:val="center"/>
              <w:rPr>
                <w:rFonts w:hint="eastAsia" w:ascii="仿宋_GB2312" w:hAnsi="宋体" w:eastAsia="仿宋_GB2312"/>
                <w:color w:val="FF0000"/>
                <w:szCs w:val="21"/>
                <w:lang w:val="en-US"/>
              </w:rPr>
            </w:pPr>
            <w:r>
              <w:rPr>
                <w:rFonts w:hint="eastAsia" w:ascii="仿宋_GB2312" w:hAnsi="宋体" w:eastAsia="仿宋_GB2312"/>
                <w:color w:val="000000"/>
                <w:szCs w:val="21"/>
              </w:rPr>
              <w:t>GB/T 22756</w:t>
            </w:r>
            <w:r>
              <w:rPr>
                <w:rFonts w:hint="eastAsia" w:ascii="仿宋_GB2312" w:hAnsi="宋体" w:eastAsia="仿宋_GB2312"/>
                <w:color w:val="000000"/>
                <w:szCs w:val="21"/>
                <w:lang w:val="en-US" w:eastAsia="zh-CN"/>
              </w:rPr>
              <w:t>-2017 5.1.1</w:t>
            </w:r>
          </w:p>
        </w:tc>
        <w:tc>
          <w:tcPr>
            <w:tcW w:w="1080" w:type="dxa"/>
            <w:vAlign w:val="center"/>
          </w:tcPr>
          <w:p>
            <w:pPr>
              <w:snapToGrid w:val="0"/>
              <w:jc w:val="center"/>
              <w:rPr>
                <w:rFonts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3293.1-1998</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产品标识</w:t>
            </w:r>
          </w:p>
        </w:tc>
        <w:tc>
          <w:tcPr>
            <w:tcW w:w="2340" w:type="dxa"/>
            <w:vAlign w:val="center"/>
          </w:tcPr>
          <w:p>
            <w:pPr>
              <w:snapToGrid w:val="0"/>
              <w:jc w:val="center"/>
              <w:rPr>
                <w:rFonts w:hint="eastAsia" w:ascii="仿宋_GB2312" w:hAnsi="宋体" w:eastAsia="仿宋_GB2312"/>
                <w:color w:val="FF0000"/>
                <w:szCs w:val="21"/>
                <w:lang w:val="en-US"/>
              </w:rPr>
            </w:pPr>
            <w:r>
              <w:rPr>
                <w:rFonts w:hint="eastAsia" w:ascii="仿宋_GB2312" w:hAnsi="宋体" w:eastAsia="仿宋_GB2312"/>
                <w:color w:val="000000"/>
                <w:szCs w:val="21"/>
              </w:rPr>
              <w:t>GB/T 22756</w:t>
            </w:r>
            <w:r>
              <w:rPr>
                <w:rFonts w:hint="eastAsia" w:ascii="仿宋_GB2312" w:hAnsi="宋体" w:eastAsia="仿宋_GB2312"/>
                <w:color w:val="000000"/>
                <w:szCs w:val="21"/>
                <w:lang w:val="en-US" w:eastAsia="zh-CN"/>
              </w:rPr>
              <w:t>-2017 5.1.3</w:t>
            </w:r>
          </w:p>
        </w:tc>
        <w:tc>
          <w:tcPr>
            <w:tcW w:w="1080" w:type="dxa"/>
            <w:vAlign w:val="center"/>
          </w:tcPr>
          <w:p>
            <w:pPr>
              <w:snapToGrid w:val="0"/>
              <w:jc w:val="center"/>
              <w:rPr>
                <w:rFonts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2673-2013</w:t>
            </w:r>
          </w:p>
        </w:tc>
        <w:tc>
          <w:tcPr>
            <w:tcW w:w="712" w:type="dxa"/>
            <w:shd w:val="clear" w:color="auto" w:fill="auto"/>
            <w:vAlign w:val="center"/>
          </w:tcPr>
          <w:p>
            <w:pPr>
              <w:widowControl/>
              <w:jc w:val="center"/>
              <w:rPr>
                <w:rFonts w:ascii="仿宋_GB2312" w:hAnsi="宋体" w:eastAsia="仿宋_GB2312"/>
                <w:color w:val="000000"/>
                <w:szCs w:val="21"/>
              </w:rPr>
            </w:pPr>
          </w:p>
        </w:tc>
        <w:tc>
          <w:tcPr>
            <w:tcW w:w="777"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耐折性能</w:t>
            </w:r>
          </w:p>
        </w:tc>
        <w:tc>
          <w:tcPr>
            <w:tcW w:w="2340" w:type="dxa"/>
            <w:vAlign w:val="center"/>
          </w:tcPr>
          <w:p>
            <w:pPr>
              <w:snapToGrid w:val="0"/>
              <w:jc w:val="center"/>
              <w:rPr>
                <w:rFonts w:hint="eastAsia" w:ascii="仿宋_GB2312" w:hAnsi="宋体" w:eastAsia="仿宋_GB2312"/>
                <w:color w:val="FF0000"/>
                <w:szCs w:val="21"/>
                <w:lang w:val="en-US" w:eastAsia="zh-CN"/>
              </w:rPr>
            </w:pPr>
            <w:r>
              <w:rPr>
                <w:rFonts w:hint="eastAsia" w:ascii="仿宋_GB2312" w:hAnsi="宋体" w:eastAsia="仿宋_GB2312"/>
                <w:color w:val="000000"/>
                <w:szCs w:val="21"/>
              </w:rPr>
              <w:t>GB/T 22756</w:t>
            </w:r>
            <w:r>
              <w:rPr>
                <w:rFonts w:hint="eastAsia" w:ascii="仿宋_GB2312" w:hAnsi="宋体" w:eastAsia="仿宋_GB2312"/>
                <w:color w:val="000000"/>
                <w:szCs w:val="21"/>
                <w:lang w:val="en-US" w:eastAsia="zh-CN"/>
              </w:rPr>
              <w:t>-2017 5.4.1</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3903.1-2008</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外底</w:t>
            </w:r>
            <w:r>
              <w:rPr>
                <w:rFonts w:hint="eastAsia" w:ascii="仿宋_GB2312" w:hAnsi="宋体" w:eastAsia="仿宋_GB2312"/>
                <w:szCs w:val="21"/>
              </w:rPr>
              <w:t>耐磨性能</w:t>
            </w:r>
          </w:p>
        </w:tc>
        <w:tc>
          <w:tcPr>
            <w:tcW w:w="2340" w:type="dxa"/>
            <w:vAlign w:val="center"/>
          </w:tcPr>
          <w:p>
            <w:pPr>
              <w:snapToGrid w:val="0"/>
              <w:jc w:val="center"/>
              <w:rPr>
                <w:rFonts w:hint="eastAsia" w:ascii="仿宋_GB2312" w:hAnsi="宋体" w:eastAsia="仿宋_GB2312"/>
                <w:color w:val="FF0000"/>
                <w:szCs w:val="21"/>
                <w:lang w:val="en-US"/>
              </w:rPr>
            </w:pPr>
            <w:r>
              <w:rPr>
                <w:rFonts w:hint="eastAsia" w:ascii="仿宋_GB2312" w:hAnsi="宋体" w:eastAsia="仿宋_GB2312"/>
                <w:color w:val="000000"/>
                <w:szCs w:val="21"/>
              </w:rPr>
              <w:t>GB/T 22756</w:t>
            </w:r>
            <w:r>
              <w:rPr>
                <w:rFonts w:hint="eastAsia" w:ascii="仿宋_GB2312" w:hAnsi="宋体" w:eastAsia="仿宋_GB2312"/>
                <w:color w:val="000000"/>
                <w:szCs w:val="21"/>
                <w:lang w:val="en-US" w:eastAsia="zh-CN"/>
              </w:rPr>
              <w:t>-2017 5.4.2</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3903.2-2008</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帮底</w:t>
            </w:r>
            <w:r>
              <w:rPr>
                <w:rFonts w:hint="eastAsia" w:ascii="仿宋_GB2312" w:hAnsi="宋体" w:eastAsia="仿宋_GB2312"/>
                <w:szCs w:val="21"/>
              </w:rPr>
              <w:t>剥离强度</w:t>
            </w:r>
          </w:p>
        </w:tc>
        <w:tc>
          <w:tcPr>
            <w:tcW w:w="2340" w:type="dxa"/>
            <w:vAlign w:val="center"/>
          </w:tcPr>
          <w:p>
            <w:pPr>
              <w:snapToGrid w:val="0"/>
              <w:jc w:val="center"/>
              <w:rPr>
                <w:rFonts w:hint="eastAsia" w:ascii="仿宋_GB2312" w:hAnsi="宋体" w:eastAsia="仿宋_GB2312"/>
                <w:color w:val="FF0000"/>
                <w:szCs w:val="21"/>
                <w:lang w:val="en-US"/>
              </w:rPr>
            </w:pPr>
            <w:r>
              <w:rPr>
                <w:rFonts w:hint="eastAsia" w:ascii="仿宋_GB2312" w:hAnsi="宋体" w:eastAsia="仿宋_GB2312"/>
                <w:color w:val="000000"/>
                <w:szCs w:val="21"/>
              </w:rPr>
              <w:t>GB/T 22756</w:t>
            </w:r>
            <w:r>
              <w:rPr>
                <w:rFonts w:hint="eastAsia" w:ascii="仿宋_GB2312" w:hAnsi="宋体" w:eastAsia="仿宋_GB2312"/>
                <w:color w:val="000000"/>
                <w:szCs w:val="21"/>
                <w:lang w:val="en-US" w:eastAsia="zh-CN"/>
              </w:rPr>
              <w:t>-2017 5.4.3</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3903.3-2011</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成型底</w:t>
            </w:r>
            <w:r>
              <w:rPr>
                <w:rFonts w:hint="eastAsia" w:ascii="仿宋_GB2312" w:hAnsi="宋体" w:eastAsia="仿宋_GB2312"/>
                <w:szCs w:val="21"/>
              </w:rPr>
              <w:t>鞋跟硬度</w:t>
            </w:r>
          </w:p>
        </w:tc>
        <w:tc>
          <w:tcPr>
            <w:tcW w:w="2340" w:type="dxa"/>
            <w:vAlign w:val="center"/>
          </w:tcPr>
          <w:p>
            <w:pPr>
              <w:snapToGrid w:val="0"/>
              <w:jc w:val="center"/>
              <w:rPr>
                <w:rFonts w:hint="eastAsia" w:ascii="仿宋_GB2312" w:hAnsi="宋体" w:eastAsia="仿宋_GB2312"/>
                <w:color w:val="FF0000"/>
                <w:szCs w:val="21"/>
                <w:lang w:val="en-US"/>
              </w:rPr>
            </w:pPr>
            <w:r>
              <w:rPr>
                <w:rFonts w:hint="eastAsia" w:ascii="仿宋_GB2312" w:hAnsi="宋体" w:eastAsia="仿宋_GB2312"/>
                <w:color w:val="000000"/>
                <w:szCs w:val="21"/>
              </w:rPr>
              <w:t>GB/T 22756</w:t>
            </w:r>
            <w:r>
              <w:rPr>
                <w:rFonts w:hint="eastAsia" w:ascii="仿宋_GB2312" w:hAnsi="宋体" w:eastAsia="仿宋_GB2312"/>
                <w:color w:val="000000"/>
                <w:szCs w:val="21"/>
                <w:lang w:val="en-US" w:eastAsia="zh-CN"/>
              </w:rPr>
              <w:t>-2017 5.4.5</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3903.4-2008</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帮带拉出强度</w:t>
            </w:r>
          </w:p>
        </w:tc>
        <w:tc>
          <w:tcPr>
            <w:tcW w:w="2340" w:type="dxa"/>
            <w:vAlign w:val="center"/>
          </w:tcPr>
          <w:p>
            <w:pPr>
              <w:snapToGrid w:val="0"/>
              <w:jc w:val="center"/>
              <w:rPr>
                <w:rFonts w:hint="eastAsia" w:ascii="仿宋_GB2312" w:hAnsi="宋体" w:eastAsia="仿宋_GB2312"/>
                <w:color w:val="FF0000"/>
                <w:szCs w:val="21"/>
                <w:lang w:val="en-US"/>
              </w:rPr>
            </w:pPr>
            <w:r>
              <w:rPr>
                <w:rFonts w:hint="eastAsia" w:ascii="仿宋_GB2312" w:hAnsi="宋体" w:eastAsia="仿宋_GB2312"/>
                <w:color w:val="000000"/>
                <w:szCs w:val="21"/>
              </w:rPr>
              <w:t>GB/T 22756</w:t>
            </w:r>
            <w:r>
              <w:rPr>
                <w:rFonts w:hint="eastAsia" w:ascii="仿宋_GB2312" w:hAnsi="宋体" w:eastAsia="仿宋_GB2312"/>
                <w:color w:val="000000"/>
                <w:szCs w:val="21"/>
                <w:lang w:val="en-US" w:eastAsia="zh-CN"/>
              </w:rPr>
              <w:t>-2017 5.4.4</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GB/T 22756-20</w:t>
            </w:r>
            <w:r>
              <w:rPr>
                <w:rFonts w:hint="eastAsia" w:ascii="仿宋_GB2312" w:hAnsi="宋体" w:eastAsia="仿宋_GB2312"/>
                <w:color w:val="000000"/>
                <w:szCs w:val="21"/>
                <w:lang w:val="en-US" w:eastAsia="zh-CN"/>
              </w:rPr>
              <w:t>17</w:t>
            </w:r>
            <w:r>
              <w:rPr>
                <w:rFonts w:hint="eastAsia" w:ascii="仿宋_GB2312" w:hAnsi="宋体" w:eastAsia="仿宋_GB2312"/>
                <w:color w:val="000000"/>
                <w:szCs w:val="21"/>
              </w:rPr>
              <w:t xml:space="preserve"> </w:t>
            </w:r>
            <w:r>
              <w:rPr>
                <w:rFonts w:hint="eastAsia" w:ascii="仿宋_GB2312" w:hAnsi="宋体" w:eastAsia="仿宋_GB2312"/>
                <w:color w:val="000000"/>
                <w:szCs w:val="21"/>
                <w:lang w:val="en-US" w:eastAsia="zh-CN"/>
              </w:rPr>
              <w:t>6.6</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1738" w:type="dxa"/>
            <w:vAlign w:val="center"/>
          </w:tcPr>
          <w:p>
            <w:pPr>
              <w:snapToGrid w:val="0"/>
              <w:jc w:val="center"/>
              <w:rPr>
                <w:rFonts w:hint="eastAsia" w:ascii="仿宋_GB2312" w:hAnsi="宋体" w:eastAsia="仿宋_GB2312"/>
                <w:color w:val="FF0000"/>
                <w:szCs w:val="21"/>
                <w:lang w:val="en-US" w:eastAsia="zh-CN"/>
              </w:rPr>
            </w:pPr>
            <w:r>
              <w:rPr>
                <w:rFonts w:hint="eastAsia" w:ascii="仿宋_GB2312" w:hAnsi="宋体" w:eastAsia="仿宋_GB2312"/>
                <w:color w:val="000000"/>
                <w:szCs w:val="21"/>
                <w:lang w:val="en-US" w:eastAsia="zh-CN"/>
              </w:rPr>
              <w:t>甲醛</w:t>
            </w:r>
          </w:p>
        </w:tc>
        <w:tc>
          <w:tcPr>
            <w:tcW w:w="2340" w:type="dxa"/>
            <w:vAlign w:val="center"/>
          </w:tcPr>
          <w:p>
            <w:pPr>
              <w:snapToGrid w:val="0"/>
              <w:jc w:val="center"/>
              <w:rPr>
                <w:rFonts w:hint="eastAsia" w:ascii="仿宋_GB2312" w:hAnsi="宋体" w:eastAsia="仿宋_GB2312"/>
                <w:b/>
                <w:bCs/>
                <w:color w:val="FF0000"/>
                <w:szCs w:val="21"/>
                <w:lang w:val="en-US"/>
              </w:rPr>
            </w:pPr>
            <w:r>
              <w:rPr>
                <w:rFonts w:hint="eastAsia" w:ascii="仿宋_GB2312" w:hAnsi="宋体" w:eastAsia="仿宋_GB2312"/>
                <w:color w:val="000000"/>
                <w:szCs w:val="21"/>
              </w:rPr>
              <w:t>GB/T 22756</w:t>
            </w:r>
            <w:r>
              <w:rPr>
                <w:rFonts w:hint="eastAsia" w:ascii="仿宋_GB2312" w:hAnsi="宋体" w:eastAsia="仿宋_GB2312"/>
                <w:color w:val="000000"/>
                <w:szCs w:val="21"/>
                <w:lang w:val="en-US" w:eastAsia="zh-CN"/>
              </w:rPr>
              <w:t>-2017 5.5.2</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2912.1-2009</w:t>
            </w:r>
          </w:p>
          <w:p>
            <w:pPr>
              <w:snapToGrid w:val="0"/>
              <w:jc w:val="center"/>
              <w:rPr>
                <w:rFonts w:ascii="仿宋_GB2312" w:eastAsia="仿宋_GB2312"/>
                <w:szCs w:val="21"/>
              </w:rPr>
            </w:pPr>
            <w:r>
              <w:rPr>
                <w:rFonts w:hint="eastAsia" w:ascii="仿宋_GB2312" w:hAnsi="宋体" w:eastAsia="仿宋_GB2312"/>
                <w:color w:val="000000"/>
                <w:szCs w:val="21"/>
              </w:rPr>
              <w:t>GB/T 19941-2005</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7"/>
            <w:vAlign w:val="center"/>
          </w:tcPr>
          <w:p>
            <w:pPr>
              <w:snapToGrid w:val="0"/>
              <w:rPr>
                <w:rFonts w:ascii="仿宋_GB2312" w:hAnsi="宋体" w:eastAsia="仿宋_GB2312"/>
                <w:szCs w:val="21"/>
              </w:rPr>
            </w:pPr>
            <w:r>
              <w:rPr>
                <w:rFonts w:hint="eastAsia" w:ascii="仿宋_GB2312" w:hAnsi="宋体" w:eastAsia="仿宋_GB2312"/>
                <w:szCs w:val="21"/>
              </w:rPr>
              <w:t>备注：A类——重要质量项目，B类——一般质量项目</w:t>
            </w:r>
          </w:p>
        </w:tc>
      </w:tr>
    </w:tbl>
    <w:p>
      <w:pPr>
        <w:numPr>
          <w:ilvl w:val="0"/>
          <w:numId w:val="4"/>
        </w:numPr>
        <w:rPr>
          <w:rFonts w:ascii="仿宋_GB2312" w:eastAsia="仿宋_GB2312"/>
          <w:sz w:val="32"/>
          <w:szCs w:val="32"/>
        </w:rPr>
      </w:pPr>
      <w:r>
        <w:rPr>
          <w:rFonts w:hint="eastAsia" w:ascii="仿宋_GB2312" w:eastAsia="仿宋_GB2312"/>
          <w:sz w:val="32"/>
          <w:szCs w:val="32"/>
        </w:rPr>
        <w:t>旅游鞋</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340"/>
        <w:gridCol w:w="1080"/>
        <w:gridCol w:w="2098"/>
        <w:gridCol w:w="7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restart"/>
            <w:vAlign w:val="center"/>
          </w:tcPr>
          <w:p>
            <w:pPr>
              <w:jc w:val="center"/>
              <w:rPr>
                <w:rFonts w:ascii="仿宋_GB2312" w:hAnsi="宋体" w:eastAsia="仿宋_GB2312"/>
                <w:szCs w:val="21"/>
              </w:rPr>
            </w:pPr>
            <w:r>
              <w:rPr>
                <w:rFonts w:hint="eastAsia" w:ascii="仿宋_GB2312" w:hAnsi="宋体" w:eastAsia="仿宋_GB2312"/>
                <w:szCs w:val="21"/>
              </w:rPr>
              <w:t>序号</w:t>
            </w:r>
          </w:p>
        </w:tc>
        <w:tc>
          <w:tcPr>
            <w:tcW w:w="1738" w:type="dxa"/>
            <w:vMerge w:val="restart"/>
            <w:vAlign w:val="center"/>
          </w:tcPr>
          <w:p>
            <w:pPr>
              <w:jc w:val="center"/>
              <w:rPr>
                <w:rFonts w:ascii="仿宋_GB2312" w:hAnsi="宋体" w:eastAsia="仿宋_GB2312"/>
                <w:szCs w:val="21"/>
              </w:rPr>
            </w:pPr>
            <w:r>
              <w:rPr>
                <w:rFonts w:hint="eastAsia" w:ascii="仿宋_GB2312" w:hAnsi="宋体" w:eastAsia="仿宋_GB2312"/>
                <w:szCs w:val="21"/>
              </w:rPr>
              <w:t>检验项目</w:t>
            </w:r>
          </w:p>
        </w:tc>
        <w:tc>
          <w:tcPr>
            <w:tcW w:w="2340" w:type="dxa"/>
            <w:vMerge w:val="restart"/>
            <w:vAlign w:val="center"/>
          </w:tcPr>
          <w:p>
            <w:pPr>
              <w:jc w:val="center"/>
              <w:rPr>
                <w:rFonts w:ascii="仿宋_GB2312" w:hAnsi="宋体" w:eastAsia="仿宋_GB2312"/>
                <w:szCs w:val="21"/>
              </w:rPr>
            </w:pPr>
            <w:r>
              <w:rPr>
                <w:rFonts w:hint="eastAsia" w:ascii="仿宋_GB2312" w:hAnsi="宋体" w:eastAsia="仿宋_GB2312"/>
                <w:color w:val="000000"/>
                <w:szCs w:val="21"/>
              </w:rPr>
              <w:t>依据法律法规或标准条款</w:t>
            </w:r>
          </w:p>
        </w:tc>
        <w:tc>
          <w:tcPr>
            <w:tcW w:w="1080" w:type="dxa"/>
            <w:vMerge w:val="restart"/>
            <w:vAlign w:val="center"/>
          </w:tcPr>
          <w:p>
            <w:pPr>
              <w:jc w:val="center"/>
              <w:rPr>
                <w:rFonts w:ascii="仿宋_GB2312" w:hAnsi="宋体" w:eastAsia="仿宋_GB2312"/>
                <w:szCs w:val="21"/>
              </w:rPr>
            </w:pPr>
            <w:r>
              <w:rPr>
                <w:rFonts w:hint="eastAsia" w:ascii="仿宋_GB2312" w:hAnsi="宋体" w:eastAsia="仿宋_GB2312"/>
                <w:szCs w:val="21"/>
              </w:rPr>
              <w:t>强制性/推荐性</w:t>
            </w:r>
          </w:p>
        </w:tc>
        <w:tc>
          <w:tcPr>
            <w:tcW w:w="2098" w:type="dxa"/>
            <w:vMerge w:val="restart"/>
            <w:vAlign w:val="center"/>
          </w:tcPr>
          <w:p>
            <w:pPr>
              <w:jc w:val="center"/>
              <w:rPr>
                <w:rFonts w:ascii="仿宋_GB2312" w:hAnsi="宋体" w:eastAsia="仿宋_GB2312"/>
                <w:szCs w:val="21"/>
              </w:rPr>
            </w:pPr>
            <w:r>
              <w:rPr>
                <w:rFonts w:hint="eastAsia" w:ascii="仿宋_GB2312" w:hAnsi="宋体" w:eastAsia="仿宋_GB2312"/>
                <w:szCs w:val="21"/>
              </w:rPr>
              <w:t>检测方法</w:t>
            </w:r>
          </w:p>
        </w:tc>
        <w:tc>
          <w:tcPr>
            <w:tcW w:w="1489" w:type="dxa"/>
            <w:gridSpan w:val="2"/>
            <w:vAlign w:val="center"/>
          </w:tcPr>
          <w:p>
            <w:pPr>
              <w:jc w:val="center"/>
              <w:rPr>
                <w:rFonts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continue"/>
            <w:vAlign w:val="center"/>
          </w:tcPr>
          <w:p>
            <w:pPr>
              <w:jc w:val="center"/>
              <w:rPr>
                <w:rFonts w:ascii="仿宋_GB2312" w:hAnsi="宋体" w:eastAsia="仿宋_GB2312"/>
                <w:b/>
                <w:szCs w:val="21"/>
              </w:rPr>
            </w:pPr>
          </w:p>
        </w:tc>
        <w:tc>
          <w:tcPr>
            <w:tcW w:w="1738" w:type="dxa"/>
            <w:vMerge w:val="continue"/>
            <w:vAlign w:val="center"/>
          </w:tcPr>
          <w:p>
            <w:pPr>
              <w:jc w:val="center"/>
              <w:rPr>
                <w:rFonts w:ascii="仿宋_GB2312" w:hAnsi="宋体" w:eastAsia="仿宋_GB2312"/>
                <w:b/>
                <w:szCs w:val="21"/>
              </w:rPr>
            </w:pPr>
          </w:p>
        </w:tc>
        <w:tc>
          <w:tcPr>
            <w:tcW w:w="2340" w:type="dxa"/>
            <w:vMerge w:val="continue"/>
            <w:vAlign w:val="center"/>
          </w:tcPr>
          <w:p>
            <w:pPr>
              <w:jc w:val="center"/>
              <w:rPr>
                <w:rFonts w:ascii="仿宋_GB2312" w:hAnsi="宋体" w:eastAsia="仿宋_GB2312"/>
                <w:b/>
                <w:szCs w:val="21"/>
              </w:rPr>
            </w:pPr>
          </w:p>
        </w:tc>
        <w:tc>
          <w:tcPr>
            <w:tcW w:w="1080" w:type="dxa"/>
            <w:vMerge w:val="continue"/>
            <w:vAlign w:val="center"/>
          </w:tcPr>
          <w:p>
            <w:pPr>
              <w:jc w:val="center"/>
              <w:rPr>
                <w:rFonts w:ascii="仿宋_GB2312" w:hAnsi="宋体" w:eastAsia="仿宋_GB2312"/>
                <w:b/>
                <w:szCs w:val="21"/>
              </w:rPr>
            </w:pPr>
          </w:p>
        </w:tc>
        <w:tc>
          <w:tcPr>
            <w:tcW w:w="2098" w:type="dxa"/>
            <w:vMerge w:val="continue"/>
            <w:vAlign w:val="center"/>
          </w:tcPr>
          <w:p>
            <w:pPr>
              <w:jc w:val="center"/>
              <w:rPr>
                <w:rFonts w:ascii="仿宋_GB2312" w:hAnsi="宋体" w:eastAsia="仿宋_GB2312"/>
                <w:b/>
                <w:szCs w:val="21"/>
              </w:rPr>
            </w:pPr>
          </w:p>
        </w:tc>
        <w:tc>
          <w:tcPr>
            <w:tcW w:w="712"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77" w:type="dxa"/>
            <w:shd w:val="clear" w:color="auto" w:fill="auto"/>
            <w:vAlign w:val="center"/>
          </w:tcPr>
          <w:p>
            <w:pPr>
              <w:jc w:val="center"/>
              <w:rPr>
                <w:rFonts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鞋号</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15107-2013 5.1.1</w:t>
            </w:r>
          </w:p>
        </w:tc>
        <w:tc>
          <w:tcPr>
            <w:tcW w:w="1080" w:type="dxa"/>
            <w:vAlign w:val="center"/>
          </w:tcPr>
          <w:p>
            <w:pPr>
              <w:snapToGrid w:val="0"/>
              <w:jc w:val="center"/>
              <w:rPr>
                <w:rFonts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3293.1-1998</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标识</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15107-2013 5.1.3</w:t>
            </w:r>
          </w:p>
        </w:tc>
        <w:tc>
          <w:tcPr>
            <w:tcW w:w="1080" w:type="dxa"/>
            <w:vAlign w:val="center"/>
          </w:tcPr>
          <w:p>
            <w:pPr>
              <w:snapToGrid w:val="0"/>
              <w:jc w:val="center"/>
              <w:rPr>
                <w:rFonts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2673-2013</w:t>
            </w:r>
          </w:p>
        </w:tc>
        <w:tc>
          <w:tcPr>
            <w:tcW w:w="712" w:type="dxa"/>
            <w:shd w:val="clear" w:color="auto" w:fill="auto"/>
            <w:vAlign w:val="center"/>
          </w:tcPr>
          <w:p>
            <w:pPr>
              <w:widowControl/>
              <w:jc w:val="center"/>
              <w:rPr>
                <w:rFonts w:ascii="仿宋_GB2312" w:hAnsi="宋体" w:eastAsia="仿宋_GB2312"/>
                <w:color w:val="000000"/>
                <w:szCs w:val="21"/>
              </w:rPr>
            </w:pPr>
          </w:p>
        </w:tc>
        <w:tc>
          <w:tcPr>
            <w:tcW w:w="777"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帮底剥离强度</w:t>
            </w:r>
          </w:p>
        </w:tc>
        <w:tc>
          <w:tcPr>
            <w:tcW w:w="2340" w:type="dxa"/>
            <w:vAlign w:val="center"/>
          </w:tcPr>
          <w:p>
            <w:pPr>
              <w:snapToGrid w:val="0"/>
              <w:jc w:val="center"/>
              <w:rPr>
                <w:rFonts w:ascii="仿宋_GB2312" w:eastAsia="仿宋_GB2312"/>
                <w:szCs w:val="21"/>
              </w:rPr>
            </w:pPr>
            <w:r>
              <w:rPr>
                <w:rFonts w:hint="eastAsia" w:ascii="仿宋_GB2312" w:hAnsi="宋体" w:eastAsia="仿宋_GB2312"/>
                <w:color w:val="000000"/>
                <w:szCs w:val="21"/>
              </w:rPr>
              <w:t>GB/T 15107-2013 5.3.1</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15107-2013 6.2</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底墙与帮面剥离强度</w:t>
            </w:r>
          </w:p>
        </w:tc>
        <w:tc>
          <w:tcPr>
            <w:tcW w:w="2340" w:type="dxa"/>
            <w:vAlign w:val="center"/>
          </w:tcPr>
          <w:p>
            <w:pPr>
              <w:snapToGrid w:val="0"/>
              <w:jc w:val="center"/>
              <w:rPr>
                <w:rFonts w:ascii="仿宋_GB2312" w:eastAsia="仿宋_GB2312"/>
                <w:szCs w:val="21"/>
              </w:rPr>
            </w:pPr>
            <w:r>
              <w:rPr>
                <w:rFonts w:hint="eastAsia" w:ascii="仿宋_GB2312" w:hAnsi="宋体" w:eastAsia="仿宋_GB2312"/>
                <w:color w:val="000000"/>
                <w:szCs w:val="21"/>
              </w:rPr>
              <w:t>GB/T 15107-2013 5.3.1</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15107-2013 6.2</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成鞋耐折性能</w:t>
            </w:r>
          </w:p>
        </w:tc>
        <w:tc>
          <w:tcPr>
            <w:tcW w:w="2340" w:type="dxa"/>
            <w:vAlign w:val="center"/>
          </w:tcPr>
          <w:p>
            <w:pPr>
              <w:snapToGrid w:val="0"/>
              <w:jc w:val="center"/>
              <w:rPr>
                <w:rFonts w:ascii="仿宋_GB2312" w:eastAsia="仿宋_GB2312"/>
                <w:szCs w:val="21"/>
              </w:rPr>
            </w:pPr>
            <w:r>
              <w:rPr>
                <w:rFonts w:hint="eastAsia" w:ascii="仿宋_GB2312" w:hAnsi="宋体" w:eastAsia="仿宋_GB2312"/>
                <w:color w:val="000000"/>
                <w:szCs w:val="21"/>
              </w:rPr>
              <w:t>GB/T 15107-2013 5.3.2</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15107-2013 6.3</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外底耐磨性能</w:t>
            </w:r>
          </w:p>
        </w:tc>
        <w:tc>
          <w:tcPr>
            <w:tcW w:w="2340" w:type="dxa"/>
            <w:vAlign w:val="center"/>
          </w:tcPr>
          <w:p>
            <w:pPr>
              <w:snapToGrid w:val="0"/>
              <w:jc w:val="center"/>
              <w:rPr>
                <w:rFonts w:ascii="仿宋_GB2312" w:eastAsia="仿宋_GB2312"/>
                <w:szCs w:val="21"/>
              </w:rPr>
            </w:pPr>
            <w:r>
              <w:rPr>
                <w:rFonts w:hint="eastAsia" w:ascii="仿宋_GB2312" w:hAnsi="宋体" w:eastAsia="仿宋_GB2312"/>
                <w:color w:val="000000"/>
                <w:szCs w:val="21"/>
              </w:rPr>
              <w:t>GB/T 15107-2013 5.3.3</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15107-2013 6.4</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游离或可部分水解的甲醛含量</w:t>
            </w:r>
          </w:p>
        </w:tc>
        <w:tc>
          <w:tcPr>
            <w:tcW w:w="2340" w:type="dxa"/>
            <w:vAlign w:val="center"/>
          </w:tcPr>
          <w:p>
            <w:pPr>
              <w:snapToGrid w:val="0"/>
              <w:jc w:val="center"/>
              <w:rPr>
                <w:rFonts w:ascii="仿宋_GB2312" w:eastAsia="仿宋_GB2312"/>
                <w:szCs w:val="21"/>
              </w:rPr>
            </w:pPr>
            <w:r>
              <w:rPr>
                <w:rFonts w:hint="eastAsia" w:ascii="仿宋_GB2312" w:hAnsi="宋体" w:eastAsia="仿宋_GB2312"/>
                <w:color w:val="000000"/>
                <w:szCs w:val="21"/>
              </w:rPr>
              <w:t>GB/T 15107-2013 5.4.2</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2912.1-2009</w:t>
            </w:r>
          </w:p>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19941-2005</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7"/>
            <w:vAlign w:val="center"/>
          </w:tcPr>
          <w:p>
            <w:pPr>
              <w:widowControl/>
              <w:rPr>
                <w:rFonts w:ascii="仿宋_GB2312" w:hAnsi="宋体" w:eastAsia="仿宋_GB2312"/>
                <w:szCs w:val="21"/>
              </w:rPr>
            </w:pPr>
            <w:r>
              <w:rPr>
                <w:rFonts w:hint="eastAsia" w:ascii="仿宋_GB2312" w:hAnsi="宋体" w:eastAsia="仿宋_GB2312"/>
                <w:color w:val="000000"/>
                <w:szCs w:val="21"/>
              </w:rPr>
              <w:t>备注：</w:t>
            </w:r>
            <w:r>
              <w:rPr>
                <w:rFonts w:hint="eastAsia" w:ascii="仿宋_GB2312" w:hAnsi="宋体" w:eastAsia="仿宋_GB2312"/>
                <w:szCs w:val="21"/>
              </w:rPr>
              <w:t>A类——重要质量项目，B类——一般质量项目</w:t>
            </w:r>
          </w:p>
        </w:tc>
      </w:tr>
    </w:tbl>
    <w:p>
      <w:pPr>
        <w:numPr>
          <w:ilvl w:val="0"/>
          <w:numId w:val="4"/>
        </w:numPr>
        <w:rPr>
          <w:rFonts w:ascii="仿宋_GB2312" w:eastAsia="仿宋_GB2312"/>
          <w:sz w:val="32"/>
          <w:szCs w:val="32"/>
        </w:rPr>
      </w:pPr>
      <w:r>
        <w:rPr>
          <w:rFonts w:hint="eastAsia" w:ascii="仿宋_GB2312" w:hAnsi="宋体" w:eastAsia="仿宋_GB2312"/>
          <w:sz w:val="32"/>
          <w:szCs w:val="32"/>
        </w:rPr>
        <w:t>聚氯乙烯塑料凉鞋、拖鞋</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340"/>
        <w:gridCol w:w="1080"/>
        <w:gridCol w:w="2098"/>
        <w:gridCol w:w="7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restart"/>
            <w:vAlign w:val="center"/>
          </w:tcPr>
          <w:p>
            <w:pPr>
              <w:jc w:val="center"/>
              <w:rPr>
                <w:rFonts w:ascii="仿宋_GB2312" w:hAnsi="宋体" w:eastAsia="仿宋_GB2312"/>
                <w:szCs w:val="21"/>
              </w:rPr>
            </w:pPr>
            <w:r>
              <w:rPr>
                <w:rFonts w:hint="eastAsia" w:ascii="仿宋_GB2312" w:hAnsi="宋体" w:eastAsia="仿宋_GB2312"/>
                <w:szCs w:val="21"/>
              </w:rPr>
              <w:t>序号</w:t>
            </w:r>
          </w:p>
        </w:tc>
        <w:tc>
          <w:tcPr>
            <w:tcW w:w="1738" w:type="dxa"/>
            <w:vMerge w:val="restart"/>
            <w:vAlign w:val="center"/>
          </w:tcPr>
          <w:p>
            <w:pPr>
              <w:jc w:val="center"/>
              <w:rPr>
                <w:rFonts w:ascii="仿宋_GB2312" w:hAnsi="宋体" w:eastAsia="仿宋_GB2312"/>
                <w:szCs w:val="21"/>
              </w:rPr>
            </w:pPr>
            <w:r>
              <w:rPr>
                <w:rFonts w:hint="eastAsia" w:ascii="仿宋_GB2312" w:hAnsi="宋体" w:eastAsia="仿宋_GB2312"/>
                <w:szCs w:val="21"/>
              </w:rPr>
              <w:t>检验项目</w:t>
            </w:r>
          </w:p>
        </w:tc>
        <w:tc>
          <w:tcPr>
            <w:tcW w:w="2340" w:type="dxa"/>
            <w:vMerge w:val="restart"/>
            <w:vAlign w:val="center"/>
          </w:tcPr>
          <w:p>
            <w:pPr>
              <w:jc w:val="center"/>
              <w:rPr>
                <w:rFonts w:ascii="仿宋_GB2312" w:hAnsi="宋体" w:eastAsia="仿宋_GB2312"/>
                <w:szCs w:val="21"/>
              </w:rPr>
            </w:pPr>
            <w:r>
              <w:rPr>
                <w:rFonts w:hint="eastAsia" w:ascii="仿宋_GB2312" w:hAnsi="宋体" w:eastAsia="仿宋_GB2312"/>
                <w:color w:val="000000"/>
                <w:szCs w:val="21"/>
              </w:rPr>
              <w:t>依据法律法规或标准条款</w:t>
            </w:r>
          </w:p>
        </w:tc>
        <w:tc>
          <w:tcPr>
            <w:tcW w:w="1080" w:type="dxa"/>
            <w:vMerge w:val="restart"/>
            <w:vAlign w:val="center"/>
          </w:tcPr>
          <w:p>
            <w:pPr>
              <w:jc w:val="center"/>
              <w:rPr>
                <w:rFonts w:ascii="仿宋_GB2312" w:hAnsi="宋体" w:eastAsia="仿宋_GB2312"/>
                <w:szCs w:val="21"/>
              </w:rPr>
            </w:pPr>
            <w:r>
              <w:rPr>
                <w:rFonts w:hint="eastAsia" w:ascii="仿宋_GB2312" w:hAnsi="宋体" w:eastAsia="仿宋_GB2312"/>
                <w:szCs w:val="21"/>
              </w:rPr>
              <w:t>强制性/推荐性</w:t>
            </w:r>
          </w:p>
        </w:tc>
        <w:tc>
          <w:tcPr>
            <w:tcW w:w="2098" w:type="dxa"/>
            <w:vMerge w:val="restart"/>
            <w:vAlign w:val="center"/>
          </w:tcPr>
          <w:p>
            <w:pPr>
              <w:jc w:val="center"/>
              <w:rPr>
                <w:rFonts w:ascii="仿宋_GB2312" w:hAnsi="宋体" w:eastAsia="仿宋_GB2312"/>
                <w:szCs w:val="21"/>
              </w:rPr>
            </w:pPr>
            <w:r>
              <w:rPr>
                <w:rFonts w:hint="eastAsia" w:ascii="仿宋_GB2312" w:hAnsi="宋体" w:eastAsia="仿宋_GB2312"/>
                <w:szCs w:val="21"/>
              </w:rPr>
              <w:t>检测方法</w:t>
            </w:r>
          </w:p>
        </w:tc>
        <w:tc>
          <w:tcPr>
            <w:tcW w:w="1489" w:type="dxa"/>
            <w:gridSpan w:val="2"/>
            <w:vAlign w:val="center"/>
          </w:tcPr>
          <w:p>
            <w:pPr>
              <w:jc w:val="center"/>
              <w:rPr>
                <w:rFonts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continue"/>
            <w:vAlign w:val="center"/>
          </w:tcPr>
          <w:p>
            <w:pPr>
              <w:jc w:val="center"/>
              <w:rPr>
                <w:rFonts w:ascii="仿宋_GB2312" w:hAnsi="宋体" w:eastAsia="仿宋_GB2312"/>
                <w:b/>
                <w:szCs w:val="21"/>
              </w:rPr>
            </w:pPr>
          </w:p>
        </w:tc>
        <w:tc>
          <w:tcPr>
            <w:tcW w:w="1738" w:type="dxa"/>
            <w:vMerge w:val="continue"/>
            <w:vAlign w:val="center"/>
          </w:tcPr>
          <w:p>
            <w:pPr>
              <w:jc w:val="center"/>
              <w:rPr>
                <w:rFonts w:ascii="仿宋_GB2312" w:hAnsi="宋体" w:eastAsia="仿宋_GB2312"/>
                <w:b/>
                <w:szCs w:val="21"/>
              </w:rPr>
            </w:pPr>
          </w:p>
        </w:tc>
        <w:tc>
          <w:tcPr>
            <w:tcW w:w="2340" w:type="dxa"/>
            <w:vMerge w:val="continue"/>
            <w:vAlign w:val="center"/>
          </w:tcPr>
          <w:p>
            <w:pPr>
              <w:jc w:val="center"/>
              <w:rPr>
                <w:rFonts w:ascii="仿宋_GB2312" w:hAnsi="宋体" w:eastAsia="仿宋_GB2312"/>
                <w:b/>
                <w:szCs w:val="21"/>
              </w:rPr>
            </w:pPr>
          </w:p>
        </w:tc>
        <w:tc>
          <w:tcPr>
            <w:tcW w:w="1080" w:type="dxa"/>
            <w:vMerge w:val="continue"/>
            <w:vAlign w:val="center"/>
          </w:tcPr>
          <w:p>
            <w:pPr>
              <w:jc w:val="center"/>
              <w:rPr>
                <w:rFonts w:ascii="仿宋_GB2312" w:hAnsi="宋体" w:eastAsia="仿宋_GB2312"/>
                <w:b/>
                <w:szCs w:val="21"/>
              </w:rPr>
            </w:pPr>
          </w:p>
        </w:tc>
        <w:tc>
          <w:tcPr>
            <w:tcW w:w="2098" w:type="dxa"/>
            <w:vMerge w:val="continue"/>
            <w:vAlign w:val="center"/>
          </w:tcPr>
          <w:p>
            <w:pPr>
              <w:jc w:val="center"/>
              <w:rPr>
                <w:rFonts w:ascii="仿宋_GB2312" w:hAnsi="宋体" w:eastAsia="仿宋_GB2312"/>
                <w:b/>
                <w:szCs w:val="21"/>
              </w:rPr>
            </w:pPr>
          </w:p>
        </w:tc>
        <w:tc>
          <w:tcPr>
            <w:tcW w:w="712"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77" w:type="dxa"/>
            <w:shd w:val="clear" w:color="auto" w:fill="auto"/>
            <w:vAlign w:val="center"/>
          </w:tcPr>
          <w:p>
            <w:pPr>
              <w:jc w:val="center"/>
              <w:rPr>
                <w:rFonts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尺寸及偏差</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1653-1992 4.1</w:t>
            </w:r>
          </w:p>
        </w:tc>
        <w:tc>
          <w:tcPr>
            <w:tcW w:w="1080" w:type="dxa"/>
            <w:vAlign w:val="center"/>
          </w:tcPr>
          <w:p>
            <w:pPr>
              <w:snapToGrid w:val="0"/>
              <w:jc w:val="center"/>
              <w:rPr>
                <w:rFonts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3807-1994 5.1</w:t>
            </w:r>
          </w:p>
        </w:tc>
        <w:tc>
          <w:tcPr>
            <w:tcW w:w="712" w:type="dxa"/>
            <w:shd w:val="clear" w:color="auto" w:fill="auto"/>
            <w:vAlign w:val="center"/>
          </w:tcPr>
          <w:p>
            <w:pPr>
              <w:widowControl/>
              <w:jc w:val="center"/>
              <w:rPr>
                <w:rFonts w:ascii="仿宋_GB2312" w:hAnsi="宋体" w:eastAsia="仿宋_GB2312"/>
                <w:color w:val="000000"/>
                <w:szCs w:val="21"/>
              </w:rPr>
            </w:pPr>
          </w:p>
        </w:tc>
        <w:tc>
          <w:tcPr>
            <w:tcW w:w="777"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硬度</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1653-1992 4.3</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HG/T 2489-2007</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7"/>
            <w:vAlign w:val="center"/>
          </w:tcPr>
          <w:p>
            <w:pPr>
              <w:widowControl/>
              <w:rPr>
                <w:rFonts w:ascii="仿宋_GB2312" w:hAnsi="宋体" w:eastAsia="仿宋_GB2312"/>
                <w:szCs w:val="21"/>
              </w:rPr>
            </w:pPr>
            <w:r>
              <w:rPr>
                <w:rFonts w:hint="eastAsia" w:ascii="仿宋_GB2312" w:hAnsi="宋体" w:eastAsia="仿宋_GB2312"/>
                <w:color w:val="000000"/>
                <w:szCs w:val="21"/>
              </w:rPr>
              <w:t>备注：</w:t>
            </w:r>
            <w:r>
              <w:rPr>
                <w:rFonts w:hint="eastAsia" w:ascii="仿宋_GB2312" w:hAnsi="宋体" w:eastAsia="仿宋_GB2312"/>
                <w:szCs w:val="21"/>
              </w:rPr>
              <w:t>A类——重要质量项目，B类——一般质量项目</w:t>
            </w:r>
          </w:p>
        </w:tc>
      </w:tr>
    </w:tbl>
    <w:p>
      <w:pPr>
        <w:numPr>
          <w:ilvl w:val="0"/>
          <w:numId w:val="4"/>
        </w:numPr>
        <w:rPr>
          <w:rFonts w:ascii="仿宋_GB2312" w:eastAsia="仿宋_GB2312"/>
          <w:sz w:val="32"/>
          <w:szCs w:val="32"/>
        </w:rPr>
      </w:pPr>
      <w:r>
        <w:rPr>
          <w:rFonts w:hint="eastAsia" w:ascii="仿宋_GB2312" w:hAnsi="宋体" w:eastAsia="仿宋_GB2312" w:cs="宋体"/>
          <w:sz w:val="32"/>
          <w:szCs w:val="32"/>
        </w:rPr>
        <w:t>皮鞋</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340"/>
        <w:gridCol w:w="1080"/>
        <w:gridCol w:w="2098"/>
        <w:gridCol w:w="7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restart"/>
            <w:vAlign w:val="center"/>
          </w:tcPr>
          <w:p>
            <w:pPr>
              <w:jc w:val="center"/>
              <w:rPr>
                <w:rFonts w:ascii="仿宋_GB2312" w:hAnsi="宋体" w:eastAsia="仿宋_GB2312"/>
                <w:szCs w:val="21"/>
              </w:rPr>
            </w:pPr>
            <w:r>
              <w:rPr>
                <w:rFonts w:hint="eastAsia" w:ascii="仿宋_GB2312" w:hAnsi="宋体" w:eastAsia="仿宋_GB2312"/>
                <w:szCs w:val="21"/>
              </w:rPr>
              <w:t>序号</w:t>
            </w:r>
          </w:p>
        </w:tc>
        <w:tc>
          <w:tcPr>
            <w:tcW w:w="1738" w:type="dxa"/>
            <w:vMerge w:val="restart"/>
            <w:vAlign w:val="center"/>
          </w:tcPr>
          <w:p>
            <w:pPr>
              <w:snapToGrid w:val="0"/>
              <w:jc w:val="center"/>
              <w:rPr>
                <w:rFonts w:ascii="仿宋_GB2312" w:hAnsi="宋体" w:eastAsia="仿宋_GB2312"/>
                <w:szCs w:val="21"/>
              </w:rPr>
            </w:pPr>
            <w:r>
              <w:rPr>
                <w:rFonts w:hint="eastAsia" w:ascii="仿宋_GB2312" w:hAnsi="宋体" w:eastAsia="仿宋_GB2312"/>
                <w:szCs w:val="21"/>
              </w:rPr>
              <w:t>检验项目</w:t>
            </w:r>
          </w:p>
        </w:tc>
        <w:tc>
          <w:tcPr>
            <w:tcW w:w="2340" w:type="dxa"/>
            <w:vMerge w:val="restart"/>
            <w:vAlign w:val="center"/>
          </w:tcPr>
          <w:p>
            <w:pPr>
              <w:jc w:val="center"/>
              <w:rPr>
                <w:rFonts w:ascii="仿宋_GB2312" w:hAnsi="宋体" w:eastAsia="仿宋_GB2312"/>
                <w:szCs w:val="21"/>
              </w:rPr>
            </w:pPr>
            <w:r>
              <w:rPr>
                <w:rFonts w:hint="eastAsia" w:ascii="仿宋_GB2312" w:hAnsi="宋体" w:eastAsia="仿宋_GB2312"/>
                <w:color w:val="000000"/>
                <w:szCs w:val="21"/>
              </w:rPr>
              <w:t>依据法律法规或标准条款</w:t>
            </w:r>
          </w:p>
        </w:tc>
        <w:tc>
          <w:tcPr>
            <w:tcW w:w="1080" w:type="dxa"/>
            <w:vMerge w:val="restart"/>
            <w:vAlign w:val="center"/>
          </w:tcPr>
          <w:p>
            <w:pPr>
              <w:jc w:val="center"/>
              <w:rPr>
                <w:rFonts w:ascii="仿宋_GB2312" w:hAnsi="宋体" w:eastAsia="仿宋_GB2312"/>
                <w:szCs w:val="21"/>
              </w:rPr>
            </w:pPr>
            <w:r>
              <w:rPr>
                <w:rFonts w:hint="eastAsia" w:ascii="仿宋_GB2312" w:hAnsi="宋体" w:eastAsia="仿宋_GB2312"/>
                <w:szCs w:val="21"/>
              </w:rPr>
              <w:t>强制性/推荐性</w:t>
            </w:r>
          </w:p>
        </w:tc>
        <w:tc>
          <w:tcPr>
            <w:tcW w:w="2098" w:type="dxa"/>
            <w:vMerge w:val="restart"/>
            <w:vAlign w:val="center"/>
          </w:tcPr>
          <w:p>
            <w:pPr>
              <w:jc w:val="center"/>
              <w:rPr>
                <w:rFonts w:ascii="仿宋_GB2312" w:hAnsi="宋体" w:eastAsia="仿宋_GB2312"/>
                <w:szCs w:val="21"/>
              </w:rPr>
            </w:pPr>
            <w:r>
              <w:rPr>
                <w:rFonts w:hint="eastAsia" w:ascii="仿宋_GB2312" w:hAnsi="宋体" w:eastAsia="仿宋_GB2312"/>
                <w:szCs w:val="21"/>
              </w:rPr>
              <w:t>检测方法</w:t>
            </w:r>
          </w:p>
        </w:tc>
        <w:tc>
          <w:tcPr>
            <w:tcW w:w="1489" w:type="dxa"/>
            <w:gridSpan w:val="2"/>
            <w:vAlign w:val="center"/>
          </w:tcPr>
          <w:p>
            <w:pPr>
              <w:jc w:val="center"/>
              <w:rPr>
                <w:rFonts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continue"/>
            <w:vAlign w:val="center"/>
          </w:tcPr>
          <w:p>
            <w:pPr>
              <w:jc w:val="center"/>
              <w:rPr>
                <w:rFonts w:ascii="仿宋_GB2312" w:hAnsi="宋体" w:eastAsia="仿宋_GB2312"/>
                <w:b/>
                <w:szCs w:val="21"/>
              </w:rPr>
            </w:pPr>
          </w:p>
        </w:tc>
        <w:tc>
          <w:tcPr>
            <w:tcW w:w="1738" w:type="dxa"/>
            <w:vMerge w:val="continue"/>
            <w:vAlign w:val="center"/>
          </w:tcPr>
          <w:p>
            <w:pPr>
              <w:snapToGrid w:val="0"/>
              <w:jc w:val="center"/>
              <w:rPr>
                <w:rFonts w:ascii="仿宋_GB2312" w:hAnsi="宋体" w:eastAsia="仿宋_GB2312"/>
                <w:szCs w:val="21"/>
              </w:rPr>
            </w:pPr>
          </w:p>
        </w:tc>
        <w:tc>
          <w:tcPr>
            <w:tcW w:w="2340" w:type="dxa"/>
            <w:vMerge w:val="continue"/>
            <w:vAlign w:val="center"/>
          </w:tcPr>
          <w:p>
            <w:pPr>
              <w:jc w:val="center"/>
              <w:rPr>
                <w:rFonts w:ascii="仿宋_GB2312" w:hAnsi="宋体" w:eastAsia="仿宋_GB2312"/>
                <w:b/>
                <w:szCs w:val="21"/>
              </w:rPr>
            </w:pPr>
          </w:p>
        </w:tc>
        <w:tc>
          <w:tcPr>
            <w:tcW w:w="1080" w:type="dxa"/>
            <w:vMerge w:val="continue"/>
            <w:vAlign w:val="center"/>
          </w:tcPr>
          <w:p>
            <w:pPr>
              <w:jc w:val="center"/>
              <w:rPr>
                <w:rFonts w:ascii="仿宋_GB2312" w:hAnsi="宋体" w:eastAsia="仿宋_GB2312"/>
                <w:b/>
                <w:szCs w:val="21"/>
              </w:rPr>
            </w:pPr>
          </w:p>
        </w:tc>
        <w:tc>
          <w:tcPr>
            <w:tcW w:w="2098" w:type="dxa"/>
            <w:vMerge w:val="continue"/>
            <w:vAlign w:val="center"/>
          </w:tcPr>
          <w:p>
            <w:pPr>
              <w:jc w:val="center"/>
              <w:rPr>
                <w:rFonts w:ascii="仿宋_GB2312" w:hAnsi="宋体" w:eastAsia="仿宋_GB2312"/>
                <w:b/>
                <w:szCs w:val="21"/>
              </w:rPr>
            </w:pPr>
          </w:p>
        </w:tc>
        <w:tc>
          <w:tcPr>
            <w:tcW w:w="712"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77" w:type="dxa"/>
            <w:shd w:val="clear" w:color="auto" w:fill="auto"/>
            <w:vAlign w:val="center"/>
          </w:tcPr>
          <w:p>
            <w:pPr>
              <w:jc w:val="center"/>
              <w:rPr>
                <w:rFonts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鞋号</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1002-2015 5.1.1</w:t>
            </w:r>
          </w:p>
        </w:tc>
        <w:tc>
          <w:tcPr>
            <w:tcW w:w="1080" w:type="dxa"/>
            <w:vAlign w:val="center"/>
          </w:tcPr>
          <w:p>
            <w:pPr>
              <w:snapToGrid w:val="0"/>
              <w:jc w:val="center"/>
              <w:rPr>
                <w:rFonts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3293.1-1998</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标志</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1002-2015 5.2</w:t>
            </w:r>
          </w:p>
        </w:tc>
        <w:tc>
          <w:tcPr>
            <w:tcW w:w="1080" w:type="dxa"/>
            <w:vAlign w:val="center"/>
          </w:tcPr>
          <w:p>
            <w:pPr>
              <w:snapToGrid w:val="0"/>
              <w:jc w:val="center"/>
              <w:rPr>
                <w:rFonts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1002-2005 7.1</w:t>
            </w:r>
          </w:p>
        </w:tc>
        <w:tc>
          <w:tcPr>
            <w:tcW w:w="712" w:type="dxa"/>
            <w:shd w:val="clear" w:color="auto" w:fill="auto"/>
            <w:vAlign w:val="center"/>
          </w:tcPr>
          <w:p>
            <w:pPr>
              <w:widowControl/>
              <w:jc w:val="center"/>
              <w:rPr>
                <w:rFonts w:ascii="仿宋_GB2312" w:hAnsi="宋体" w:eastAsia="仿宋_GB2312"/>
                <w:color w:val="000000"/>
                <w:szCs w:val="21"/>
              </w:rPr>
            </w:pPr>
          </w:p>
        </w:tc>
        <w:tc>
          <w:tcPr>
            <w:tcW w:w="777"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帮底剥离强度</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1002-2015 5.5.1</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3903.3-2011</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成鞋耐折性能</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1002-2015 5.5.4</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3903.1-2008</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外底耐磨性能</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1002-2015 5.5.5</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3903.2-2008</w:t>
            </w:r>
          </w:p>
        </w:tc>
        <w:tc>
          <w:tcPr>
            <w:tcW w:w="712" w:type="dxa"/>
            <w:shd w:val="clear" w:color="auto" w:fill="auto"/>
            <w:vAlign w:val="center"/>
          </w:tcPr>
          <w:p>
            <w:pPr>
              <w:widowControl/>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成型底鞋跟硬度</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1002-2015 5.5.8</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 3903.4-2008</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勾心</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1002-2015 5.5.10</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bCs/>
                <w:color w:val="000000"/>
                <w:szCs w:val="21"/>
              </w:rPr>
              <w:t>GB 28011-2011</w:t>
            </w:r>
          </w:p>
        </w:tc>
        <w:tc>
          <w:tcPr>
            <w:tcW w:w="712" w:type="dxa"/>
            <w:shd w:val="clear" w:color="auto" w:fill="auto"/>
            <w:vAlign w:val="center"/>
          </w:tcPr>
          <w:p>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1738" w:type="dxa"/>
            <w:vAlign w:val="center"/>
          </w:tcPr>
          <w:p>
            <w:pPr>
              <w:snapToGrid w:val="0"/>
              <w:jc w:val="center"/>
              <w:rPr>
                <w:rFonts w:ascii="仿宋_GB2312" w:hAnsi="宋体" w:eastAsia="仿宋_GB2312"/>
                <w:szCs w:val="21"/>
              </w:rPr>
            </w:pPr>
            <w:r>
              <w:rPr>
                <w:rFonts w:hint="eastAsia" w:ascii="仿宋_GB2312" w:hAnsi="宋体" w:eastAsia="仿宋_GB2312"/>
                <w:szCs w:val="21"/>
              </w:rPr>
              <w:t>游离或可部分水解的甲醛</w:t>
            </w:r>
          </w:p>
        </w:tc>
        <w:tc>
          <w:tcPr>
            <w:tcW w:w="2340"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QB/T 1002-2015 5.6.2</w:t>
            </w:r>
          </w:p>
        </w:tc>
        <w:tc>
          <w:tcPr>
            <w:tcW w:w="1080" w:type="dxa"/>
            <w:vAlign w:val="center"/>
          </w:tcPr>
          <w:p>
            <w:pPr>
              <w:snapToGrid w:val="0"/>
              <w:jc w:val="center"/>
              <w:rPr>
                <w:rFonts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ascii="仿宋_GB2312" w:hAnsi="宋体" w:eastAsia="仿宋_GB2312"/>
                <w:color w:val="000000"/>
                <w:szCs w:val="21"/>
              </w:rPr>
            </w:pPr>
            <w:r>
              <w:rPr>
                <w:rFonts w:hint="eastAsia" w:ascii="仿宋_GB2312" w:hAnsi="宋体" w:eastAsia="仿宋_GB2312"/>
                <w:color w:val="000000"/>
                <w:szCs w:val="21"/>
              </w:rPr>
              <w:t>GB/T2912.1-2009</w:t>
            </w:r>
            <w:r>
              <w:rPr>
                <w:rFonts w:hint="eastAsia" w:ascii="仿宋_GB2312" w:hAnsi="宋体" w:eastAsia="仿宋_GB2312"/>
                <w:color w:val="000000"/>
                <w:szCs w:val="21"/>
              </w:rPr>
              <w:br w:type="textWrapping"/>
            </w:r>
            <w:r>
              <w:rPr>
                <w:rFonts w:hint="eastAsia" w:ascii="仿宋_GB2312" w:hAnsi="宋体" w:eastAsia="仿宋_GB2312"/>
                <w:color w:val="000000"/>
                <w:szCs w:val="21"/>
              </w:rPr>
              <w:t>GB/T19941-2005</w:t>
            </w:r>
          </w:p>
        </w:tc>
        <w:tc>
          <w:tcPr>
            <w:tcW w:w="712" w:type="dxa"/>
            <w:shd w:val="clear" w:color="auto" w:fill="auto"/>
            <w:vAlign w:val="center"/>
          </w:tcPr>
          <w:p>
            <w:pPr>
              <w:jc w:val="center"/>
              <w:rPr>
                <w:rFonts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7"/>
            <w:vAlign w:val="center"/>
          </w:tcPr>
          <w:p>
            <w:pPr>
              <w:snapToGrid w:val="0"/>
              <w:rPr>
                <w:rFonts w:ascii="仿宋_GB2312" w:hAnsi="宋体" w:eastAsia="仿宋_GB2312"/>
                <w:szCs w:val="21"/>
              </w:rPr>
            </w:pPr>
            <w:r>
              <w:rPr>
                <w:rFonts w:hint="eastAsia" w:ascii="仿宋_GB2312" w:hAnsi="宋体" w:eastAsia="仿宋_GB2312"/>
                <w:szCs w:val="21"/>
              </w:rPr>
              <w:t>备注：A类——重要质量项目，B类——一般质量项目</w:t>
            </w:r>
          </w:p>
        </w:tc>
      </w:tr>
    </w:tbl>
    <w:p>
      <w:pPr>
        <w:rPr>
          <w:rFonts w:ascii="仿宋_GB2312" w:eastAsia="仿宋_GB2312"/>
          <w:bCs/>
          <w:sz w:val="32"/>
          <w:szCs w:val="32"/>
        </w:rPr>
      </w:pPr>
      <w:r>
        <w:rPr>
          <w:rFonts w:hint="eastAsia" w:ascii="仿宋_GB2312" w:eastAsia="仿宋_GB2312"/>
          <w:bCs/>
          <w:sz w:val="32"/>
          <w:szCs w:val="32"/>
        </w:rPr>
        <w:t>六、判定原则</w:t>
      </w:r>
    </w:p>
    <w:p>
      <w:pPr>
        <w:ind w:firstLine="678" w:firstLineChars="212"/>
        <w:rPr>
          <w:rFonts w:ascii="仿宋_GB2312" w:eastAsia="仿宋_GB2312"/>
          <w:sz w:val="32"/>
          <w:szCs w:val="32"/>
        </w:rPr>
      </w:pPr>
      <w:r>
        <w:rPr>
          <w:rFonts w:hint="eastAsia" w:ascii="仿宋_GB2312" w:eastAsia="仿宋_GB2312"/>
          <w:sz w:val="32"/>
          <w:szCs w:val="32"/>
        </w:rPr>
        <w:t>1．标签判定原则</w:t>
      </w:r>
    </w:p>
    <w:p>
      <w:pPr>
        <w:ind w:firstLine="678" w:firstLineChars="212"/>
        <w:rPr>
          <w:rFonts w:ascii="仿宋_GB2312" w:eastAsia="仿宋_GB2312"/>
          <w:sz w:val="32"/>
          <w:szCs w:val="32"/>
        </w:rPr>
      </w:pPr>
      <w:r>
        <w:rPr>
          <w:rFonts w:hint="eastAsia" w:ascii="仿宋_GB2312" w:eastAsia="仿宋_GB2312"/>
          <w:sz w:val="32"/>
          <w:szCs w:val="32"/>
        </w:rPr>
        <w:t>所检项目中标签均合格，标签判定为合格；否则标签判定为不合格</w:t>
      </w:r>
      <w:r>
        <w:rPr>
          <w:rFonts w:hint="eastAsia" w:ascii="仿宋_GB2312" w:eastAsia="仿宋_GB2312"/>
          <w:sz w:val="32"/>
          <w:szCs w:val="32"/>
          <w:lang w:eastAsia="zh-CN"/>
        </w:rPr>
        <w:t>，若产品为代工产品，企业应事先申明，代工产品标签不判定</w:t>
      </w:r>
      <w:r>
        <w:rPr>
          <w:rFonts w:hint="eastAsia" w:ascii="仿宋_GB2312" w:eastAsia="仿宋_GB2312"/>
          <w:sz w:val="32"/>
          <w:szCs w:val="32"/>
        </w:rPr>
        <w:t>。</w:t>
      </w:r>
    </w:p>
    <w:p>
      <w:pPr>
        <w:ind w:firstLine="678" w:firstLineChars="212"/>
        <w:rPr>
          <w:rFonts w:ascii="仿宋_GB2312" w:eastAsia="仿宋_GB2312"/>
          <w:sz w:val="32"/>
          <w:szCs w:val="32"/>
        </w:rPr>
      </w:pPr>
      <w:r>
        <w:rPr>
          <w:rFonts w:hint="eastAsia" w:ascii="仿宋_GB2312" w:eastAsia="仿宋_GB2312"/>
          <w:sz w:val="32"/>
          <w:szCs w:val="32"/>
        </w:rPr>
        <w:t>2．实物质量判定原则</w:t>
      </w:r>
    </w:p>
    <w:p>
      <w:pPr>
        <w:ind w:firstLine="678" w:firstLineChars="212"/>
        <w:rPr>
          <w:rFonts w:ascii="仿宋_GB2312" w:eastAsia="仿宋_GB2312"/>
          <w:sz w:val="32"/>
          <w:szCs w:val="32"/>
        </w:rPr>
      </w:pPr>
      <w:r>
        <w:rPr>
          <w:rFonts w:hint="eastAsia" w:ascii="仿宋_GB2312" w:eastAsia="仿宋_GB2312"/>
          <w:sz w:val="32"/>
          <w:szCs w:val="32"/>
        </w:rPr>
        <w:t>所检项目中实物质量均合格，实物质量判定为合格；否则实物质量判定为不合格。</w:t>
      </w:r>
    </w:p>
    <w:p>
      <w:pPr>
        <w:ind w:firstLine="678" w:firstLineChars="212"/>
        <w:rPr>
          <w:rFonts w:ascii="仿宋_GB2312" w:eastAsia="仿宋_GB2312"/>
          <w:sz w:val="32"/>
          <w:szCs w:val="32"/>
        </w:rPr>
      </w:pPr>
      <w:r>
        <w:rPr>
          <w:rFonts w:hint="eastAsia" w:ascii="仿宋_GB2312" w:eastAsia="仿宋_GB2312"/>
          <w:sz w:val="32"/>
          <w:szCs w:val="32"/>
        </w:rPr>
        <w:t>3．综合判定原则：</w:t>
      </w:r>
    </w:p>
    <w:p>
      <w:pPr>
        <w:ind w:firstLine="678" w:firstLineChars="212"/>
        <w:rPr>
          <w:rFonts w:ascii="仿宋_GB2312" w:eastAsia="仿宋_GB2312"/>
          <w:sz w:val="32"/>
          <w:szCs w:val="32"/>
        </w:rPr>
      </w:pPr>
      <w:r>
        <w:rPr>
          <w:rFonts w:hint="eastAsia" w:ascii="仿宋_GB2312" w:eastAsia="仿宋_GB2312"/>
          <w:sz w:val="32"/>
          <w:szCs w:val="32"/>
        </w:rPr>
        <w:t>所检项目中标签与实物质量均合格，综合判定为合格；否则综合判定为不合格。</w:t>
      </w:r>
    </w:p>
    <w:p>
      <w:pPr>
        <w:ind w:firstLine="678" w:firstLineChars="212"/>
        <w:rPr>
          <w:rFonts w:ascii="仿宋_GB2312" w:eastAsia="仿宋_GB2312"/>
          <w:sz w:val="32"/>
          <w:szCs w:val="32"/>
        </w:rPr>
      </w:pPr>
      <w:r>
        <w:rPr>
          <w:rFonts w:hint="eastAsia" w:ascii="仿宋_GB2312" w:eastAsia="仿宋_GB2312"/>
          <w:sz w:val="32"/>
          <w:szCs w:val="32"/>
        </w:rPr>
        <w:t>综合判定为不合格的严重程度划分原则：当存在A类不合格时，属于严重不合格；当产品仅存在B类不合格时，属于一般不合格。</w:t>
      </w:r>
    </w:p>
    <w:p>
      <w:pPr>
        <w:ind w:firstLine="678" w:firstLineChars="212"/>
        <w:rPr>
          <w:rFonts w:ascii="仿宋_GB2312" w:eastAsia="仿宋_GB2312"/>
          <w:sz w:val="32"/>
          <w:szCs w:val="32"/>
        </w:rPr>
      </w:pPr>
      <w:r>
        <w:rPr>
          <w:rFonts w:hint="eastAsia" w:ascii="仿宋_GB2312" w:eastAsia="仿宋_GB2312"/>
          <w:sz w:val="32"/>
          <w:szCs w:val="32"/>
        </w:rPr>
        <w:t>4．其他： 若被检产品明示的质量要求高于本方案中检验项目依据的标准要求时，应按被检产品明示的质量要求判定。若被检产品明示的质量要求低于本方案中检验项目依据的国家或行业强制性标准要求时，应按国家或行业强制性标准要求判定；若被检产品明示的质量要求低于本方案中检验项目依据的国家或行业推荐性标准要求时，应按被检产品明示的质量要求判定。若被检产品明示的质量要求缺少本方案中的检验项目时，应按本方案中检验项目依据的标准要求判定。</w:t>
      </w:r>
    </w:p>
    <w:p>
      <w:pPr>
        <w:rPr>
          <w:rFonts w:ascii="仿宋_GB2312" w:eastAsia="仿宋_GB2312"/>
          <w:sz w:val="30"/>
          <w:szCs w:val="30"/>
        </w:rPr>
      </w:pPr>
      <w:r>
        <w:rPr>
          <w:rFonts w:hint="eastAsia" w:ascii="仿宋_GB2312" w:eastAsia="仿宋_GB2312"/>
          <w:sz w:val="32"/>
          <w:szCs w:val="32"/>
        </w:rPr>
        <w:t>七、</w:t>
      </w:r>
      <w:r>
        <w:rPr>
          <w:rFonts w:hint="eastAsia" w:ascii="仿宋_GB2312" w:eastAsia="仿宋_GB2312"/>
          <w:sz w:val="30"/>
          <w:szCs w:val="30"/>
        </w:rPr>
        <w:t>样品管理</w:t>
      </w:r>
    </w:p>
    <w:p>
      <w:pPr>
        <w:ind w:firstLine="678" w:firstLineChars="212"/>
        <w:rPr>
          <w:rFonts w:ascii="仿宋_GB2312" w:eastAsia="仿宋_GB2312"/>
          <w:sz w:val="32"/>
          <w:szCs w:val="32"/>
        </w:rPr>
      </w:pPr>
      <w:r>
        <w:rPr>
          <w:rFonts w:hint="eastAsia" w:ascii="仿宋_GB2312" w:eastAsia="仿宋_GB2312"/>
          <w:sz w:val="32"/>
          <w:szCs w:val="32"/>
        </w:rPr>
        <w:t>检验机构接收样品应当有专人负责检查、记录样品的外观、状态、封条有无破损及其他可能对检测结果或者综合判定产生影响的情况，并确认样品与抽样单的记录是否相符，对检测和备用样品分别加贴相应标识后入库。</w:t>
      </w:r>
    </w:p>
    <w:p>
      <w:pPr>
        <w:ind w:firstLine="678" w:firstLineChars="212"/>
        <w:rPr>
          <w:rFonts w:ascii="仿宋_GB2312" w:eastAsia="仿宋_GB2312"/>
          <w:sz w:val="32"/>
          <w:szCs w:val="32"/>
        </w:rPr>
      </w:pPr>
      <w:r>
        <w:rPr>
          <w:rFonts w:hint="eastAsia" w:ascii="仿宋_GB2312" w:eastAsia="仿宋_GB2312"/>
          <w:sz w:val="32"/>
          <w:szCs w:val="32"/>
        </w:rPr>
        <w:t>出现样品封样及密封状态被破坏、样品异常损坏等现象，无法正常进行下一步有关项目检验和判定时，应重新抽样。必要时应采集并保存影像记录。</w:t>
      </w:r>
    </w:p>
    <w:p>
      <w:pPr>
        <w:ind w:firstLine="678" w:firstLineChars="212"/>
        <w:rPr>
          <w:rFonts w:ascii="仿宋_GB2312" w:eastAsia="仿宋_GB2312"/>
          <w:sz w:val="32"/>
          <w:szCs w:val="32"/>
        </w:rPr>
      </w:pPr>
      <w:r>
        <w:rPr>
          <w:rFonts w:hint="eastAsia" w:ascii="仿宋_GB2312" w:eastAsia="仿宋_GB2312"/>
          <w:sz w:val="32"/>
          <w:szCs w:val="32"/>
        </w:rPr>
        <w:t>检验后样品〈特别是不合格样品〉应妥善保存至所有检验结果公布之后才能退还被抽样企业。如因检验造成破坏或者损耗而无法退还的样品可以不退还，但应当向被抽查企业说明情况。</w:t>
      </w:r>
    </w:p>
    <w:p>
      <w:pPr>
        <w:rPr>
          <w:rFonts w:ascii="仿宋_GB2312" w:eastAsia="仿宋_GB2312"/>
          <w:sz w:val="32"/>
          <w:szCs w:val="32"/>
        </w:rPr>
      </w:pPr>
      <w:r>
        <w:rPr>
          <w:rFonts w:hint="eastAsia" w:ascii="仿宋_GB2312" w:eastAsia="仿宋_GB2312"/>
          <w:sz w:val="32"/>
          <w:szCs w:val="32"/>
        </w:rPr>
        <w:t>八、检验报告</w:t>
      </w:r>
    </w:p>
    <w:p>
      <w:pPr>
        <w:tabs>
          <w:tab w:val="left" w:pos="0"/>
        </w:tabs>
        <w:spacing w:line="476" w:lineRule="exact"/>
        <w:ind w:firstLine="640" w:firstLineChars="200"/>
        <w:rPr>
          <w:rFonts w:ascii="仿宋_GB2312" w:eastAsia="仿宋_GB2312"/>
          <w:color w:val="000000"/>
          <w:spacing w:val="-20"/>
          <w:sz w:val="32"/>
          <w:szCs w:val="32"/>
        </w:rPr>
      </w:pPr>
      <w:r>
        <w:rPr>
          <w:rFonts w:hint="eastAsia" w:ascii="仿宋_GB2312" w:hAnsi="新宋体" w:eastAsia="仿宋_GB2312"/>
          <w:sz w:val="32"/>
          <w:szCs w:val="32"/>
        </w:rPr>
        <w:t>检验报告按照广东省监督抽查报告</w:t>
      </w:r>
      <w:r>
        <w:rPr>
          <w:rFonts w:hint="eastAsia" w:ascii="仿宋_GB2312" w:hAnsi="新宋体" w:eastAsia="仿宋_GB2312"/>
          <w:sz w:val="32"/>
          <w:szCs w:val="32"/>
          <w:lang w:eastAsia="zh-CN"/>
        </w:rPr>
        <w:t>格式，</w:t>
      </w:r>
      <w:r>
        <w:rPr>
          <w:rFonts w:hint="eastAsia" w:ascii="仿宋_GB2312" w:eastAsia="仿宋_GB2312"/>
          <w:color w:val="000000"/>
          <w:spacing w:val="-20"/>
          <w:sz w:val="32"/>
          <w:szCs w:val="32"/>
        </w:rPr>
        <w:t>如发现安全性能不符合要求等严重质量问题，应立即书面报市局。</w:t>
      </w:r>
    </w:p>
    <w:p>
      <w:pPr>
        <w:tabs>
          <w:tab w:val="left" w:pos="0"/>
        </w:tabs>
        <w:spacing w:line="476" w:lineRule="exact"/>
        <w:rPr>
          <w:rFonts w:ascii="仿宋_GB2312" w:eastAsia="仿宋_GB2312"/>
          <w:color w:val="000000"/>
          <w:spacing w:val="-20"/>
          <w:sz w:val="32"/>
          <w:szCs w:val="32"/>
        </w:rPr>
      </w:pPr>
      <w:r>
        <w:rPr>
          <w:rFonts w:hint="eastAsia" w:ascii="仿宋_GB2312" w:eastAsia="仿宋_GB2312"/>
          <w:color w:val="000000"/>
          <w:spacing w:val="-20"/>
          <w:sz w:val="32"/>
          <w:szCs w:val="32"/>
        </w:rPr>
        <w:t>九、</w:t>
      </w:r>
      <w:r>
        <w:rPr>
          <w:rFonts w:hint="eastAsia" w:ascii="仿宋_GB2312" w:hAnsi="新宋体" w:eastAsia="仿宋_GB2312"/>
          <w:sz w:val="32"/>
          <w:szCs w:val="32"/>
        </w:rPr>
        <w:t>异议处理复检</w:t>
      </w:r>
    </w:p>
    <w:p>
      <w:pPr>
        <w:ind w:firstLine="678" w:firstLineChars="212"/>
        <w:rPr>
          <w:rFonts w:ascii="仿宋_GB2312" w:eastAsia="仿宋_GB2312"/>
          <w:sz w:val="32"/>
          <w:szCs w:val="32"/>
        </w:rPr>
      </w:pPr>
      <w:r>
        <w:rPr>
          <w:rFonts w:hint="eastAsia" w:ascii="仿宋_GB2312" w:eastAsia="仿宋_GB2312"/>
          <w:sz w:val="32"/>
          <w:szCs w:val="32"/>
        </w:rPr>
        <w:t>对判定不合格产品进行复检时，按以下方式进行：</w:t>
      </w:r>
    </w:p>
    <w:p>
      <w:pPr>
        <w:ind w:firstLine="678" w:firstLineChars="212"/>
        <w:rPr>
          <w:rFonts w:ascii="仿宋_GB2312" w:eastAsia="仿宋_GB2312"/>
          <w:sz w:val="32"/>
          <w:szCs w:val="32"/>
        </w:rPr>
      </w:pPr>
      <w:r>
        <w:rPr>
          <w:rFonts w:hint="eastAsia" w:ascii="仿宋_GB2312" w:eastAsia="仿宋_GB2312"/>
          <w:sz w:val="32"/>
          <w:szCs w:val="32"/>
        </w:rPr>
        <w:t>核查不合格项目相关证据，能够以记录（纸质记录或电子记录或影像记录）、检验后缺陷特征样品、与不合格质量数据相关联的其他质量数据等检验证据证明，并得到申请复检者认可的，做出维持原检验结论的复检结论。</w:t>
      </w:r>
    </w:p>
    <w:p>
      <w:pPr>
        <w:ind w:firstLine="678" w:firstLineChars="212"/>
        <w:rPr>
          <w:rFonts w:ascii="仿宋_GB2312" w:eastAsia="仿宋_GB2312"/>
          <w:sz w:val="32"/>
          <w:szCs w:val="32"/>
        </w:rPr>
      </w:pPr>
      <w:r>
        <w:rPr>
          <w:rFonts w:hint="eastAsia" w:ascii="仿宋_GB2312" w:eastAsia="仿宋_GB2312"/>
          <w:sz w:val="32"/>
          <w:szCs w:val="32"/>
        </w:rPr>
        <w:t>需对不合格项目复检时，可以在原样上进行的，应采用原样检验。不可以在原样上进行的，可采用备样检验。当复检结果仍不合格，维持原检验结果不变。当复检结果合格，以复检结果为准。</w:t>
      </w:r>
    </w:p>
    <w:p>
      <w:pPr>
        <w:tabs>
          <w:tab w:val="left" w:pos="0"/>
        </w:tabs>
        <w:spacing w:line="476" w:lineRule="exact"/>
        <w:rPr>
          <w:rFonts w:ascii="仿宋_GB2312" w:eastAsia="仿宋_GB2312"/>
          <w:color w:val="000000"/>
          <w:spacing w:val="-20"/>
          <w:sz w:val="32"/>
          <w:szCs w:val="32"/>
        </w:rPr>
      </w:pPr>
      <w:r>
        <w:rPr>
          <w:rFonts w:hint="eastAsia" w:ascii="仿宋_GB2312" w:eastAsia="仿宋_GB2312"/>
          <w:color w:val="000000"/>
          <w:spacing w:val="-20"/>
          <w:sz w:val="32"/>
          <w:szCs w:val="32"/>
        </w:rPr>
        <w:t>十、其他</w:t>
      </w:r>
      <w:r>
        <w:rPr>
          <w:rFonts w:hint="eastAsia" w:ascii="仿宋_GB2312" w:eastAsia="仿宋_GB2312"/>
          <w:sz w:val="32"/>
          <w:szCs w:val="32"/>
        </w:rPr>
        <w:t>（如检验中需注意的问题）</w:t>
      </w:r>
    </w:p>
    <w:p>
      <w:pPr>
        <w:tabs>
          <w:tab w:val="left" w:pos="0"/>
        </w:tabs>
        <w:spacing w:line="476" w:lineRule="exact"/>
        <w:rPr>
          <w:rFonts w:ascii="仿宋_GB2312" w:eastAsia="仿宋_GB2312"/>
          <w:color w:val="000000"/>
          <w:spacing w:val="-20"/>
          <w:sz w:val="32"/>
          <w:szCs w:val="32"/>
        </w:rPr>
      </w:pPr>
      <w:r>
        <w:rPr>
          <w:rFonts w:hint="eastAsia" w:ascii="仿宋_GB2312" w:eastAsia="仿宋_GB2312"/>
          <w:color w:val="000000"/>
          <w:spacing w:val="-20"/>
          <w:sz w:val="32"/>
          <w:szCs w:val="32"/>
        </w:rPr>
        <w:t>无。</w:t>
      </w:r>
    </w:p>
    <w:p/>
    <w:p/>
    <w:p/>
    <w:p/>
    <w:p/>
    <w:p/>
    <w:p/>
    <w:p/>
    <w:p/>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05162"/>
    <w:rsid w:val="3AA33382"/>
    <w:rsid w:val="57C349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2604</Words>
  <Characters>3467</Characters>
  <Paragraphs>388</Paragraphs>
  <TotalTime>18</TotalTime>
  <ScaleCrop>false</ScaleCrop>
  <LinksUpToDate>false</LinksUpToDate>
  <CharactersWithSpaces>3561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2017-03-21T01:51:00Z</dcterms:created>
  <dc:creator>PC</dc:creator>
  <cp:lastModifiedBy>asus-pc</cp:lastModifiedBy>
  <dcterms:modified xsi:type="dcterms:W3CDTF">2018-07-13T06:40:07Z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