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hint="eastAsia" w:ascii="仿宋_GB2312" w:hAnsi="仿宋" w:eastAsia="仿宋_GB2312" w:cs="仿宋"/>
          <w:color w:val="000000"/>
          <w:szCs w:val="18"/>
        </w:rPr>
      </w:pPr>
      <w:r>
        <w:rPr>
          <w:rFonts w:hint="eastAsia" w:ascii="仿宋_GB2312" w:hAnsi="仿宋" w:eastAsia="仿宋_GB2312"/>
          <w:color w:val="000000"/>
          <w:szCs w:val="18"/>
        </w:rPr>
        <w:t>（陆河）食药监械罚〔2018〕4号</w:t>
      </w:r>
    </w:p>
    <w:p>
      <w:pPr>
        <w:keepNext w:val="0"/>
        <w:keepLines w:val="0"/>
        <w:pageBreakBefore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14605</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15pt;height:0.05pt;width:442.2pt;z-index:251683840;mso-width-relative:page;mso-height-relative:page;" filled="f" coordsize="21600,21600" o:gfxdata="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q4LCk1QAAAAcBAAAPAAAAAAAAAAEA&#10;IAAAACIAAABkcnMvZG93bnJldi54bWxQSwECFAAUAAAACACHTuJAAbTvW9kBAACZAwAADgAAAAAA&#10;AAABACAAAAAkAQAAZHJzL2Uyb0RvYy54bWxQSwUGAAAAAAYABgBZAQAAbwUAAAAA&#10;">
                <v:path arrowok="t"/>
                <v:fill on="f" focussize="0,0"/>
                <v:stroke weight="1.5pt"/>
                <v:imagedata o:title=""/>
                <o:lock v:ext="edit" grouping="f" rotation="f" text="f" aspectratio="f"/>
              </v:line>
            </w:pict>
          </mc:Fallback>
        </mc:AlternateContent>
      </w:r>
      <w:r>
        <w:rPr>
          <w:rFonts w:hint="eastAsia" w:ascii="仿宋_GB2312" w:hAnsi="仿宋" w:eastAsia="仿宋_GB2312"/>
          <w:color w:val="000000"/>
          <w:sz w:val="32"/>
          <w:szCs w:val="32"/>
        </w:rPr>
        <w:t>当事人:</w:t>
      </w:r>
      <w:r>
        <w:rPr>
          <w:rFonts w:hint="eastAsia"/>
          <w:sz w:val="32"/>
          <w:szCs w:val="32"/>
        </w:rPr>
        <w:t xml:space="preserve"> </w:t>
      </w:r>
      <w:r>
        <w:rPr>
          <w:rFonts w:hint="eastAsia" w:ascii="仿宋_GB2312" w:hAnsi="仿宋" w:eastAsia="仿宋_GB2312"/>
          <w:color w:val="000000"/>
          <w:sz w:val="32"/>
          <w:szCs w:val="32"/>
        </w:rPr>
        <w:t xml:space="preserve">陆河县豫本草足浴店                      </w:t>
      </w:r>
    </w:p>
    <w:p>
      <w:pPr>
        <w:keepNext w:val="0"/>
        <w:keepLines w:val="0"/>
        <w:pageBreakBefore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地址：</w:t>
      </w:r>
      <w:r>
        <w:rPr>
          <w:rFonts w:hint="eastAsia" w:ascii="仿宋_GB2312" w:hAnsi="仿宋_GB2312" w:eastAsia="仿宋_GB2312" w:cs="仿宋_GB2312"/>
          <w:color w:val="000000"/>
          <w:sz w:val="32"/>
          <w:szCs w:val="32"/>
        </w:rPr>
        <w:t>陆河县河田镇丰新街91号</w:t>
      </w:r>
    </w:p>
    <w:p>
      <w:pPr>
        <w:keepNext w:val="0"/>
        <w:keepLines w:val="0"/>
        <w:pageBreakBefore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营业执照或其他资质证明：营业执照   </w:t>
      </w:r>
    </w:p>
    <w:p>
      <w:pPr>
        <w:keepNext w:val="0"/>
        <w:keepLines w:val="0"/>
        <w:pageBreakBefore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统一社会信用代码 ：92441523MA517P6H01</w:t>
      </w:r>
    </w:p>
    <w:p>
      <w:pPr>
        <w:keepNext w:val="0"/>
        <w:keepLines w:val="0"/>
        <w:pageBreakBefore w:val="0"/>
        <w:kinsoku/>
        <w:wordWrap/>
        <w:overflowPunct/>
        <w:topLinePunct w:val="0"/>
        <w:bidi w:val="0"/>
        <w:snapToGrid/>
        <w:spacing w:line="420" w:lineRule="exact"/>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主要负责人：叶佐莅         性别：男        </w:t>
      </w:r>
    </w:p>
    <w:p>
      <w:pPr>
        <w:keepNext w:val="0"/>
        <w:keepLines w:val="0"/>
        <w:pageBreakBefore w:val="0"/>
        <w:kinsoku/>
        <w:wordWrap/>
        <w:overflowPunct/>
        <w:topLinePunct w:val="0"/>
        <w:bidi w:val="0"/>
        <w:snapToGrid/>
        <w:spacing w:line="420" w:lineRule="exact"/>
        <w:jc w:val="left"/>
        <w:textAlignment w:val="auto"/>
        <w:outlineLvl w:val="9"/>
        <w:rPr>
          <w:rFonts w:hint="eastAsia" w:ascii="仿宋_GB2312" w:hAnsi="仿宋_GB2312" w:eastAsia="仿宋_GB2312" w:cs="仿宋_GB2312"/>
          <w:sz w:val="32"/>
          <w:szCs w:val="32"/>
        </w:rPr>
      </w:pPr>
    </w:p>
    <w:p>
      <w:pPr>
        <w:pStyle w:val="5"/>
        <w:keepNext w:val="0"/>
        <w:keepLines w:val="0"/>
        <w:pageBreakBefore w:val="0"/>
        <w:kinsoku/>
        <w:wordWrap/>
        <w:overflowPunct/>
        <w:topLinePunct w:val="0"/>
        <w:bidi w:val="0"/>
        <w:snapToGrid/>
        <w:spacing w:line="420" w:lineRule="exact"/>
        <w:ind w:firstLine="640" w:firstLineChars="200"/>
        <w:textAlignment w:val="auto"/>
        <w:outlineLvl w:val="9"/>
        <w:rPr>
          <w:rFonts w:hint="eastAsia" w:ascii="仿宋_GB2312" w:hAnsi="仿宋_GB2312" w:eastAsia="仿宋_GB2312" w:cs="仿宋_GB2312"/>
          <w:sz w:val="32"/>
        </w:rPr>
      </w:pPr>
      <w:r>
        <w:rPr>
          <w:rFonts w:hint="eastAsia" w:ascii="仿宋_GB2312" w:eastAsia="仿宋_GB2312"/>
          <w:color w:val="000000"/>
          <w:sz w:val="32"/>
        </w:rPr>
        <w:t>你店未取得经营第二类医疗器械的备案证明，你店购进2台旋磁式糖尿病治疗仪（生产厂家：海南泰合医疗科技有限公司，规格型号：WSJ-B型）供消费者体验购买，截止至调查终结未销售。根据管理分类，该产品为第二类医疗器械。你店购进该产品时未按照规定建立并执行进货查验记录制度。你店上述行为违反了《医疗器械监督管理条例》第三十条、第三十二条的规定。</w:t>
      </w:r>
    </w:p>
    <w:p>
      <w:pPr>
        <w:keepNext w:val="0"/>
        <w:keepLines w:val="0"/>
        <w:pageBreakBefore w:val="0"/>
        <w:kinsoku/>
        <w:wordWrap/>
        <w:overflowPunct/>
        <w:topLinePunct w:val="0"/>
        <w:autoSpaceDE w:val="0"/>
        <w:autoSpaceDN w:val="0"/>
        <w:bidi w:val="0"/>
        <w:adjustRightInd w:val="0"/>
        <w:snapToGrid/>
        <w:spacing w:line="420" w:lineRule="exact"/>
        <w:jc w:val="left"/>
        <w:textAlignment w:val="auto"/>
        <w:outlineLvl w:val="9"/>
        <w:rPr>
          <w:rFonts w:hint="eastAsia" w:ascii="仿宋_GB2312" w:hAnsi="仿宋" w:eastAsia="仿宋_GB2312"/>
          <w:b/>
          <w:bCs/>
          <w:color w:val="000000"/>
          <w:sz w:val="32"/>
          <w:szCs w:val="32"/>
        </w:rPr>
      </w:pPr>
      <w:r>
        <w:rPr>
          <w:rFonts w:hint="eastAsia" w:ascii="仿宋_GB2312" w:hAnsi="仿宋" w:eastAsia="仿宋_GB2312"/>
          <w:b/>
          <w:color w:val="000000"/>
          <w:sz w:val="32"/>
          <w:szCs w:val="32"/>
        </w:rPr>
        <w:t>证据材料：</w:t>
      </w:r>
      <w:r>
        <w:rPr>
          <w:rFonts w:hint="eastAsia" w:ascii="仿宋_GB2312" w:hAnsi="仿宋" w:eastAsia="仿宋_GB2312"/>
          <w:color w:val="000000"/>
          <w:sz w:val="32"/>
          <w:szCs w:val="32"/>
        </w:rPr>
        <w:t>1.陆河县豫本草足浴店《营业执照》复印件；2. 《现场检查笔录》；3. 陆河县豫本草足浴店负责人叶佐莅身份证复印件；4.委托书、受托人叶志朋身份证复印件；5.对叶志朋的询问调查笔录。</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你单位的上述行为已违反了《医疗器械监督管理条例》第三十条的规定：“从事第二类医疗器械经营的，由经营企业向所在地设区的市级人民政府食品药品监督管理部门备案并提交其符合本条例第二十九条规定条件的证明资料。”；第三十二条的规定：“医疗器械经营企业、使用单位购进医疗器械，应当查验供货者的资质和医疗器械的合格证明文件，建立进货查验记录制度。从事第二类、第三类医疗器械批发业务以及第三类医疗器械零售业务的经营企业，还应当建立销售记录制度。</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记录事项包括：</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（一）医疗器械的名称、型号、规格、数量；</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（二）医疗器械的生产批号、有效期、销售日期；</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（三）生产企业的名称；</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（四）供货者或者购货者的名称、地址及联系方式；</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（五）相关许可证明文件编号等。</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进货查验记录和销售记录应当真实，并按照国务院食品药品监督管理部门规定的期限予以保存。国家鼓励采用先进技术手段进行记录。”</w:t>
      </w:r>
    </w:p>
    <w:p>
      <w:pPr>
        <w:keepNext w:val="0"/>
        <w:keepLines w:val="0"/>
        <w:pageBreakBefore w:val="0"/>
        <w:kinsoku/>
        <w:wordWrap/>
        <w:overflowPunct/>
        <w:topLinePunct w:val="0"/>
        <w:autoSpaceDE w:val="0"/>
        <w:autoSpaceDN w:val="0"/>
        <w:bidi w:val="0"/>
        <w:adjustRightInd w:val="0"/>
        <w:snapToGrid/>
        <w:spacing w:line="420" w:lineRule="exact"/>
        <w:jc w:val="left"/>
        <w:textAlignment w:val="auto"/>
        <w:outlineLvl w:val="9"/>
        <w:rPr>
          <w:rFonts w:hint="eastAsia" w:ascii="仿宋_GB2312" w:hAnsi="仿宋" w:eastAsia="仿宋_GB2312" w:cs="仿宋"/>
          <w:b/>
          <w:bCs/>
          <w:color w:val="000000"/>
          <w:kern w:val="0"/>
          <w:sz w:val="32"/>
          <w:szCs w:val="32"/>
        </w:rPr>
      </w:pPr>
      <w:r>
        <w:rPr>
          <w:rFonts w:hint="eastAsia" w:ascii="仿宋_GB2312" w:hAnsi="仿宋" w:eastAsia="仿宋_GB2312" w:cs="仿宋"/>
          <w:b/>
          <w:bCs/>
          <w:color w:val="000000"/>
          <w:kern w:val="0"/>
          <w:sz w:val="32"/>
          <w:szCs w:val="32"/>
        </w:rPr>
        <w:t>行政处罚依据和种类：</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jc w:val="left"/>
        <w:textAlignment w:val="auto"/>
        <w:outlineLvl w:val="9"/>
        <w:rPr>
          <w:rFonts w:hint="eastAsia" w:ascii="仿宋_GB2312" w:hAnsi="仿宋" w:eastAsia="仿宋_GB2312" w:cs="仿宋"/>
          <w:kern w:val="0"/>
          <w:sz w:val="32"/>
          <w:szCs w:val="32"/>
        </w:rPr>
      </w:pPr>
      <w:r>
        <w:rPr>
          <w:rFonts w:hint="eastAsia" w:ascii="仿宋_GB2312" w:hAnsi="仿宋" w:eastAsia="仿宋_GB2312" w:cs="仿宋"/>
          <w:bCs/>
          <w:color w:val="000000"/>
          <w:kern w:val="0"/>
          <w:sz w:val="32"/>
          <w:szCs w:val="32"/>
        </w:rPr>
        <w:t>依据：</w:t>
      </w:r>
      <w:r>
        <w:rPr>
          <w:rFonts w:hint="eastAsia" w:ascii="仿宋_GB2312" w:hAnsi="仿宋" w:eastAsia="仿宋_GB2312" w:cs="仿宋"/>
          <w:color w:val="000000"/>
          <w:kern w:val="0"/>
          <w:sz w:val="32"/>
          <w:szCs w:val="32"/>
        </w:rPr>
        <w:t>《医疗器械监督管理条例》第六十五条第一款的规定</w:t>
      </w:r>
      <w:r>
        <w:rPr>
          <w:rFonts w:hint="eastAsia" w:ascii="仿宋_GB2312" w:hAnsi="仿宋" w:eastAsia="仿宋_GB2312" w:cs="仿宋"/>
          <w:kern w:val="0"/>
          <w:sz w:val="32"/>
          <w:szCs w:val="32"/>
        </w:rPr>
        <w:t>：“未依照本条例规定备案的，由县级以上人民政府食品药品监督管理部门责令限期改正；逾期不改正的，向社会公告未备案单位和产品名称，可以处1万元以下罚款。”第六十八条第（二）项的规定：“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二）医疗器械经营企业、使用单位未依照本条例规定建立并执行医疗器械进货查验记录制度的；”</w:t>
      </w:r>
    </w:p>
    <w:p>
      <w:pPr>
        <w:keepNext w:val="0"/>
        <w:keepLines w:val="0"/>
        <w:pageBreakBefore w:val="0"/>
        <w:kinsoku/>
        <w:wordWrap/>
        <w:overflowPunct/>
        <w:topLinePunct w:val="0"/>
        <w:autoSpaceDE w:val="0"/>
        <w:autoSpaceDN w:val="0"/>
        <w:bidi w:val="0"/>
        <w:adjustRightInd w:val="0"/>
        <w:snapToGrid/>
        <w:spacing w:line="420" w:lineRule="exact"/>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 w:eastAsia="仿宋_GB2312" w:cs="仿宋"/>
          <w:kern w:val="0"/>
          <w:sz w:val="32"/>
          <w:szCs w:val="32"/>
        </w:rPr>
        <w:t>行政处罚种类：</w:t>
      </w:r>
      <w:r>
        <w:rPr>
          <w:rFonts w:hint="eastAsia" w:ascii="仿宋_GB2312" w:hAnsi="仿宋_GB2312" w:eastAsia="仿宋_GB2312" w:cs="仿宋_GB2312"/>
          <w:color w:val="000000"/>
          <w:sz w:val="32"/>
          <w:szCs w:val="32"/>
        </w:rPr>
        <w:t xml:space="preserve">警告。 </w:t>
      </w:r>
    </w:p>
    <w:p>
      <w:pPr>
        <w:keepNext w:val="0"/>
        <w:keepLines w:val="0"/>
        <w:pageBreakBefore w:val="0"/>
        <w:kinsoku/>
        <w:wordWrap/>
        <w:overflowPunct/>
        <w:topLinePunct w:val="0"/>
        <w:bidi w:val="0"/>
        <w:snapToGrid/>
        <w:spacing w:line="42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 w:eastAsia="仿宋_GB2312" w:cs="仿宋"/>
          <w:color w:val="000000"/>
          <w:kern w:val="0"/>
          <w:sz w:val="32"/>
          <w:szCs w:val="32"/>
        </w:rPr>
        <w:t>本局决定对你（单位）给予以下行政处罚：</w:t>
      </w:r>
      <w:r>
        <w:rPr>
          <w:rFonts w:hint="eastAsia" w:ascii="仿宋_GB2312" w:hAnsi="仿宋_GB2312" w:eastAsia="仿宋_GB2312" w:cs="仿宋_GB2312"/>
          <w:color w:val="000000"/>
          <w:sz w:val="32"/>
          <w:szCs w:val="32"/>
        </w:rPr>
        <w:t>1.对未经备案经营第二类医疗器械的行为责令改正；2.对未按规定建立并执行医疗器械进货查验记录制度的行为责令改正，给予警告。</w:t>
      </w:r>
    </w:p>
    <w:p>
      <w:pPr>
        <w:keepNext w:val="0"/>
        <w:keepLines w:val="0"/>
        <w:pageBreakBefore w:val="0"/>
        <w:kinsoku/>
        <w:wordWrap/>
        <w:overflowPunct/>
        <w:topLinePunct w:val="0"/>
        <w:autoSpaceDE w:val="0"/>
        <w:autoSpaceDN w:val="0"/>
        <w:bidi w:val="0"/>
        <w:adjustRightInd w:val="0"/>
        <w:snapToGrid/>
        <w:spacing w:line="420" w:lineRule="exact"/>
        <w:ind w:firstLine="640" w:firstLineChars="200"/>
        <w:textAlignment w:val="auto"/>
        <w:outlineLvl w:val="9"/>
        <w:rPr>
          <w:rFonts w:hint="eastAsia" w:ascii="仿宋_GB2312" w:hAnsi="仿宋" w:eastAsia="仿宋_GB2312"/>
          <w:color w:val="000000"/>
          <w:kern w:val="0"/>
          <w:sz w:val="32"/>
          <w:szCs w:val="32"/>
          <w:lang w:val="en-US" w:eastAsia="zh-CN"/>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rPr>
        <w:t>食品药品监督管理局或者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sz w:val="32"/>
          <w:szCs w:val="32"/>
        </w:rPr>
        <w:t>海丰县</w:t>
      </w:r>
      <w:r>
        <w:rPr>
          <w:rFonts w:hint="eastAsia" w:ascii="仿宋_GB2312" w:hAnsi="仿宋" w:eastAsia="仿宋_GB2312" w:cs="仿宋"/>
          <w:color w:val="000000"/>
          <w:kern w:val="0"/>
          <w:sz w:val="32"/>
          <w:szCs w:val="32"/>
        </w:rPr>
        <w:t>人民法院提起行政诉讼</w:t>
      </w:r>
      <w:r>
        <w:rPr>
          <w:rFonts w:hint="eastAsia" w:ascii="仿宋_GB2312" w:hAnsi="仿宋" w:eastAsia="仿宋_GB2312" w:cs="仿宋"/>
          <w:color w:val="000000"/>
          <w:kern w:val="0"/>
          <w:sz w:val="32"/>
          <w:szCs w:val="32"/>
          <w:lang w:eastAsia="zh-CN"/>
        </w:rPr>
        <w:t>。</w:t>
      </w:r>
    </w:p>
    <w:p>
      <w:pPr>
        <w:keepNext w:val="0"/>
        <w:keepLines w:val="0"/>
        <w:pageBreakBefore w:val="0"/>
        <w:tabs>
          <w:tab w:val="left" w:pos="8364"/>
        </w:tabs>
        <w:kinsoku/>
        <w:wordWrap/>
        <w:overflowPunct/>
        <w:topLinePunct w:val="0"/>
        <w:autoSpaceDE w:val="0"/>
        <w:autoSpaceDN w:val="0"/>
        <w:bidi w:val="0"/>
        <w:adjustRightInd w:val="0"/>
        <w:snapToGrid/>
        <w:spacing w:before="156" w:beforeLines="50" w:line="420" w:lineRule="exact"/>
        <w:ind w:left="5760" w:right="420" w:hanging="5760" w:hangingChars="1800"/>
        <w:jc w:val="left"/>
        <w:textAlignment w:val="auto"/>
        <w:outlineLvl w:val="9"/>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w:t>
      </w:r>
      <w:bookmarkStart w:id="0" w:name="_GoBack"/>
      <w:bookmarkEnd w:id="0"/>
      <w:r>
        <w:rPr>
          <w:rFonts w:hint="eastAsia" w:ascii="仿宋_GB2312" w:hAnsi="仿宋" w:eastAsia="仿宋_GB2312"/>
          <w:color w:val="000000"/>
          <w:kern w:val="0"/>
          <w:sz w:val="32"/>
          <w:szCs w:val="32"/>
        </w:rPr>
        <w:t>（公    章）</w:t>
      </w:r>
    </w:p>
    <w:p>
      <w:pPr>
        <w:keepNext w:val="0"/>
        <w:keepLines w:val="0"/>
        <w:pageBreakBefore w:val="0"/>
        <w:kinsoku/>
        <w:wordWrap/>
        <w:overflowPunct/>
        <w:topLinePunct w:val="0"/>
        <w:autoSpaceDE w:val="0"/>
        <w:autoSpaceDN w:val="0"/>
        <w:bidi w:val="0"/>
        <w:adjustRightInd w:val="0"/>
        <w:snapToGrid/>
        <w:spacing w:before="156" w:beforeLines="50" w:line="420" w:lineRule="exact"/>
        <w:ind w:firstLine="5760" w:firstLineChars="1800"/>
        <w:textAlignment w:val="auto"/>
        <w:outlineLvl w:val="9"/>
        <w:rPr>
          <w:rFonts w:hint="eastAsia" w:ascii="黑体" w:hAnsi="黑体" w:eastAsia="黑体"/>
          <w:b/>
          <w:bCs/>
          <w:color w:val="000000"/>
          <w:sz w:val="32"/>
          <w:szCs w:val="32"/>
        </w:rPr>
      </w:pPr>
      <w:r>
        <w:rPr>
          <w:rFonts w:hint="eastAsia" w:ascii="仿宋_GB2312" w:hAnsi="仿宋" w:eastAsia="仿宋_GB2312" w:cs="仿宋"/>
          <w:color w:val="000000"/>
          <w:sz w:val="32"/>
          <w:szCs w:val="32"/>
        </w:rPr>
        <w:t>2018年11月</w:t>
      </w:r>
      <w:r>
        <w:rPr>
          <w:rFonts w:hint="eastAsia" w:ascii="仿宋_GB2312" w:hAnsi="仿宋" w:eastAsia="仿宋_GB2312"/>
          <w:color w:val="000000"/>
          <w:kern w:val="0"/>
          <w:sz w:val="32"/>
          <w:szCs w:val="32"/>
        </w:rPr>
        <w:t>12日</w:t>
      </w:r>
    </w:p>
    <w:p>
      <w:pPr>
        <w:keepNext w:val="0"/>
        <w:keepLines w:val="0"/>
        <w:pageBreakBefore w:val="0"/>
        <w:kinsoku/>
        <w:wordWrap/>
        <w:overflowPunct/>
        <w:topLinePunct w:val="0"/>
        <w:autoSpaceDE w:val="0"/>
        <w:autoSpaceDN w:val="0"/>
        <w:bidi w:val="0"/>
        <w:adjustRightInd w:val="0"/>
        <w:snapToGrid/>
        <w:spacing w:before="156" w:beforeLines="50" w:line="420" w:lineRule="exact"/>
        <w:jc w:val="left"/>
        <w:textAlignment w:val="auto"/>
        <w:outlineLvl w:val="9"/>
        <w:rPr>
          <w:rFonts w:hint="eastAsia" w:ascii="仿宋_GB2312" w:hAnsi="仿宋" w:eastAsia="仿宋_GB2312"/>
          <w:color w:val="000000"/>
          <w:sz w:val="20"/>
          <w:szCs w:val="20"/>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pPr>
        <w:keepNext w:val="0"/>
        <w:keepLines w:val="0"/>
        <w:pageBreakBefore w:val="0"/>
        <w:kinsoku/>
        <w:wordWrap/>
        <w:overflowPunct/>
        <w:topLinePunct w:val="0"/>
        <w:bidi w:val="0"/>
        <w:snapToGrid/>
        <w:spacing w:line="42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8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after="100"/>
      <w:jc w:val="left"/>
    </w:pPr>
    <w:rPr>
      <w:rFonts w:ascii="宋体" w:hAnsi="宋体" w:cs="宋体"/>
      <w:kern w:val="0"/>
      <w:sz w:val="24"/>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2018-12-28T08:05:03Z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