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2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陆河</w:t>
      </w:r>
      <w:r>
        <w:rPr>
          <w:rFonts w:hint="eastAsia" w:ascii="黑体" w:eastAsia="黑体"/>
          <w:b/>
          <w:bCs/>
          <w:sz w:val="32"/>
          <w:szCs w:val="32"/>
        </w:rPr>
        <w:t>县创建广东省卫生县城</w:t>
      </w:r>
      <w:r>
        <w:rPr>
          <w:rFonts w:hint="eastAsia" w:ascii="黑体" w:eastAsia="黑体"/>
          <w:b/>
          <w:bCs/>
          <w:sz w:val="32"/>
          <w:szCs w:val="32"/>
          <w:lang w:eastAsia="zh-CN"/>
        </w:rPr>
        <w:t>（镇）</w:t>
      </w:r>
      <w:r>
        <w:rPr>
          <w:rFonts w:hint="eastAsia" w:ascii="黑体" w:eastAsia="黑体"/>
          <w:b/>
          <w:bCs/>
          <w:sz w:val="32"/>
          <w:szCs w:val="32"/>
        </w:rPr>
        <w:t>责任分解表</w:t>
      </w:r>
    </w:p>
    <w:tbl>
      <w:tblPr>
        <w:tblW w:w="14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500"/>
        <w:gridCol w:w="6300"/>
        <w:gridCol w:w="19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广东省卫生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  <w:lang w:eastAsia="zh-CN"/>
              </w:rPr>
              <w:t>县城（镇）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6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创建措施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责任单位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完成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一、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爱国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卫生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管理</w:t>
            </w: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政府重视爱国卫生工作，认真贯彻执行《广东省爱国卫生工作条例》，把爱国卫生工作纳入当地经济社会发展总体规划，列入政府工作目标。有创建卫生县城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的领导机构及工作方案，有检查监督，措施落实。</w:t>
            </w:r>
          </w:p>
        </w:tc>
        <w:tc>
          <w:tcPr>
            <w:tcW w:w="6300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1、县委、县政府有关文件（编制文件、机构等），领导讲话，会议记录，领导参加爱国卫生活动记录、照片资料等。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2、县爱卫会各委员单位责任划分文件及履行情况，近2年工作计划、总结、阶段性或专题整治工作情况，卫生基础设施建设情况。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3、各委员单位“创卫”责任划分、“创卫”方案等。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4、独立设置县爱卫办。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县府办（1、3）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县卫计局（2、3）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县发改局（2）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县编办（4）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2016年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（二）爱卫会组织健全，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政府领导任爱卫会主任，委员部门职责明确，任务落实。创建目标明确，有组织、有计划、有措施，做到部门协调、群众参与。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（三）镇爱国卫生工作管理机构、人员、经费落实，村（居）委有专（兼）职爱国卫生工作人员。建立固定的爱国卫生活动月和活动日制度，文件资料健全，建档规范。</w:t>
            </w:r>
          </w:p>
        </w:tc>
        <w:tc>
          <w:tcPr>
            <w:tcW w:w="63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1、镇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委会有领导机构、有专（兼）职人员名单、有职责分工、有经费预算。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县、</w:t>
            </w:r>
            <w:r>
              <w:rPr>
                <w:rFonts w:hint="eastAsia" w:ascii="仿宋" w:hAnsi="仿宋" w:eastAsia="仿宋" w:cs="仿宋"/>
                <w:b/>
                <w:bCs/>
              </w:rPr>
              <w:t>镇（居）委相关文件资料，每年有工作计划、有工作总结、有卫生评比、有创卫工作专栏。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3、制定爱国卫生活动月制度，有行动情况记录、照片等资料。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4、有“创卫”工作方案及开展“创卫”工作情况，召开相关会议，发挥爱卫会在“创卫”工作中的作用。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5、对群众投诉“脏、乱、差”及时解决，群众对卫生状况满意率达90%以上。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县、</w:t>
            </w:r>
            <w:r>
              <w:rPr>
                <w:rFonts w:hint="eastAsia" w:ascii="仿宋" w:hAnsi="仿宋" w:eastAsia="仿宋" w:cs="仿宋"/>
                <w:b/>
                <w:bCs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委（1、2、3、4、5）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（四）健全群众监督机制，设立卫生问题建议与投诉平台，对群众反映的问题认真核查和整改。问卷调查100人次以上的当地居民和过往旅客，卫生状况满意率≥90%。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二、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健康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教育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与健</w:t>
            </w:r>
          </w:p>
          <w:p>
            <w:pPr>
              <w:spacing w:line="320" w:lineRule="exac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康促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进</w:t>
            </w: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（一）建立在县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政府领导下、多部门参与的健康促进与教育工作机制，积极落实“全国亿万农民健康促进行动”工作规划，开展多种形式的健康促进与教育活动，工作做到有计划和总结，资料收集、归档留存规范。村（居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委、医院、学校、主要公共场所及厂矿企业有健康教育专（兼）职人员，健康教育工作网络基本健全。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1、加强对学校、医院、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村（居）委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和各行各业的健康教育技术指导。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2、收集开展健康教育的计划、方案及资料。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3、有健康教育专（兼）职人员名单。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县卫计局、各医疗卫生单位按本项标准要求制定健康教育工作实施方案，制作各种宣传教育资料，设立健康教育专栏，每月定期更新内容，采用多种形式，加强医院健康教育工作，按统一要求收集整理各项资料，由医院开展自查整改，确保达标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2、3、4）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县教育局（1、4）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县人民医院（2、3）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各镇、村（居）委（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1、4）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中、小学校按照教育部《中小学健康教育指导纲要》要求开设健康教育课，积极组织学生开展生动活泼的健康教育活动，注重培养学生养成良好的健康行为，学生相关健康知识知晓率≥85%，相关健康行为形成率≥80%。</w:t>
            </w:r>
          </w:p>
        </w:tc>
        <w:tc>
          <w:tcPr>
            <w:tcW w:w="63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1、各中小学校按本项标准制定健康教育计划，总结。中小学生的健康教育开课率达100%，学生健康知识知晓率和健康行为形成率分别达85%和80%以上。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2、校内有健康教育专栏每月更新内容，并有禁烟标志。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3、中小学校健康教育做到“五有”（有师资、有课本、有教案、有课时、有评价）。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4、收集整理各项资料、归档备查。对照标准开展自查，确保达标工作。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县教育局（1、2、3、4）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各镇、村（居）委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（4）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（三）医疗卫生单位积极开展社区健康教育，并向所辖村（居）委提供健康教育资料和指导。医院能运用健康教育处方等多种方式，积极开展临床健康教育，院内各病区有固定健康教育专栏。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各行业结合本单位特点开展有关职业病防治、疾病预防、卫生保健、烟草危害等方面健康教育活动,职工相关卫生知识知晓率≥80%。</w:t>
            </w: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1、县直有关部门、各行业按本标准制定工作方案，明确工作目标和责任。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2、加强饮食、旅业、理发美容业、食品经营、加工业、歌舞厅、厂矿企业等重点行业健康教育。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3、县直有关部门、村（居）委加强社区健康教育工作，设立健康教育专栏，定期更新内容。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4、医院要以多种形式开展培训，加强职业卫生和妇女保健知识的宣传教育，并统一要求收集整理各项资料，确保达标。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5、县公安、卫计部门加强流动人口健康教育及出租屋环境卫生。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县人民路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朝阳路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四十米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大道、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螺河两岸、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文化广场、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陆河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公园等设立固定公益广告和健康教育宣传栏，规格不少于3平方米，每季度更新一次健康内容。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县卫计局（1、3、4、5）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县疾控中心（1、2、3）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县卫监所（1、2）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药监局（1、2、3）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县公安局（5）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、创卫办、卫计局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（3、6）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（五）主要街道、窗口单位、广场等大型公众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场所和各村（居）委设有固定的健康教育宣传栏和卫生警句。积极开展形式多样的健康教育活动。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（六）当地的新闻媒体设有健康教育栏目，加强健康、医药卫生知识的传播，能紧密结合卫生防病工作和卫生热点问题,开展多种形式的宣传和教育活动, 倡导健康文明的生活方式，促进公众合理营养，对创建卫生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县城（镇）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进行积极的舆论引导。</w:t>
            </w:r>
          </w:p>
        </w:tc>
        <w:tc>
          <w:tcPr>
            <w:tcW w:w="63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1、设立健康教育电视专题，每周定期开展卫生防病知识，特别是开展防治H7N9人感染禽流感、登革热、手足口病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、艾滋病等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宣传和教育。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2、开展大型的户外“创卫”宣传咨询活动。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3、印发“创卫”宣传资料。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4、提供有关控烟、防治艾滋病、性病等各方面的宣传资料。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县委宣传部（1、2）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县广电台（1、2、4）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县卫计局（2、3、4）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bottom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履行世界卫生组织《烟草控制框架公约》。医疗卫生机构、学校和各类室内公共场所有禁烟标志并禁止吸烟，县城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范围内无烟草广告。</w:t>
            </w: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restart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1、收集公共场所控烟有关制度资料。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2、继续加强对户外广告管理，杜绝烟草广告现象出现。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医院制订控烟制度，设立明显禁烟标志。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学校制订控烟制度，创建无烟学校，设立禁烟标志。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开展无烟车间、无烟商场等无烟单位活动。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有控烟计划、方案、总结，有控烟监督员。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市场质量局、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县烟草专卖局（2）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各医疗机构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个体诊所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县卫监所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县教育局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企事业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/>
                <w:sz w:val="18"/>
                <w:szCs w:val="18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三、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  <w:lang w:eastAsia="zh-CN"/>
              </w:rPr>
              <w:t>县、镇容</w:t>
            </w: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环境卫生</w:t>
            </w: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（一）认真执行上级有关市容环境卫生管理规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定，并结合实际制订本地环境卫生管理规章制度，有环境卫生管理机构，经费落实、队伍配套。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1、纳入议事日程，工作有计划、有部署、有检查、有总结。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2、管理机构健全，机构、编制、人员、经费、任务落实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并建立卫生保洁、评比制度。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局、县公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、相关责任单位、各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委（1、2）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（二）有垃圾收集、运输、处理和农村自来水、卫生户厕、公厕等基础设施建设规划，并纳入城镇建设总体规划中实施。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1、政府及有关职能部门制定相关的方案及其总体规划。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2、规划建设达标公厕和垃圾中转站。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3、县规划局提供县城规划建成区平面图、现状平面图。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局（1、2）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公用事业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镇容环境整洁美观，无乱丢乱堆垃圾、乱搭建、乱张贴、乱摆卖、乱吊挂、乱停放、乱吐乱扔等现象，无违规饲养牲畜和放养家禽。县城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河道及各类水体水面清洁，无漂浮垃圾，岸坡整洁、无垃圾杂物。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1、加强禽畜饲养管理，农村禽畜饲养要注意卫生、 粪便集中无害化处理，实现圈养，不准放养。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2、彻底清除农村住宅区、城中村、城乡结合部的“脏、乱、差”（特别是污水处理厂和垃圾处理场两旁垃圾），确保农村环境卫生整洁美观。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3、河涌水体排流畅通，保持清洁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，重点整治螺河县城中段。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4、加强县城中心非主要街道、重点区域门前秩序管理，无违章搭建、无占道经营、无乱张贴乱涂写、无乱吊挂、无乱堆放、无乱设广告牌，确保居民环境卫生。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/>
                <w:bCs/>
              </w:rPr>
              <w:t>县城内禁止饲养家禽、家畜。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</w:rPr>
              <w:t>组织开展美化市容市貌团队日活动及组织志愿者开展“保护绿色环境，创建卫生县城，由我做起”卫生清洁活动、“绿色环保”活动、“创卫宣言”及县属各中小学“争做文明市民、争当创卫先锋”知识竞赛等“创卫”系列活动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、彻底清除所有街道两旁的残墙断壁，违章建筑和“六乱”现象，并制定落实巩固措施。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</w:rPr>
              <w:t>、彻底清理县城主要道路、街道的卫生死角，拆除违章建筑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清除街道“牛皮癣”。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</w:rPr>
              <w:t>、车辆维修清洗应采取措施防止废油、废液等污染周围环境。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b/>
                <w:bCs/>
              </w:rPr>
              <w:t>清理整顿县城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</w:rPr>
              <w:t>范围内废品收购站（点）。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11、</w:t>
            </w:r>
            <w:r>
              <w:rPr>
                <w:rFonts w:hint="eastAsia" w:ascii="仿宋" w:hAnsi="仿宋" w:eastAsia="仿宋" w:cs="仿宋"/>
                <w:b/>
                <w:bCs/>
              </w:rPr>
              <w:t>清洗供电、电信、路灯、路牌等设施和道路隔离栏。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县公用事业局、县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局（2、4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7、8、11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县水务局（3）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县畜牧局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1、5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团县委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</w:rPr>
              <w:t>县教育局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县公安局（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7、8、9、10、11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县供电局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</w:rPr>
              <w:t>县电信公司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（四）县城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推行垃圾袋装化，垃圾日产日清。落实门前卫生责任制，清扫、保洁质量达到规定要求，公共场所和重点路段保洁时间不低于12小时。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1、县直有关部门、居委会各自制定实施方案，并明确工作目标和责任。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2、现有开放式垃圾收集点改建为封闭式垃圾收集点，合理规划建设县城垃圾转运站、给排水设施完好，室内通风、无恶臭，定时喷药除“四害”。增添垃圾运输车、压缩车等设备设施，确保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环卫</w:t>
            </w:r>
            <w:r>
              <w:rPr>
                <w:rFonts w:hint="eastAsia" w:ascii="仿宋" w:hAnsi="仿宋" w:eastAsia="仿宋" w:cs="仿宋"/>
                <w:b/>
                <w:bCs/>
              </w:rPr>
              <w:t>队伍数量。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3、实施袋装化上门收运垃圾制度，做到定时定点收运垃圾，垃圾日产日清，清运率达100%。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4、落实沿街单位、门店的“门前三包”责任,签定责任书,做到有检查,有奖罚,效果良好。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</w:rPr>
              <w:t>、垃圾处理场必须进行无害化处理，采用卫生填埋并完善相关配套设施。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县公用事业局、</w:t>
            </w:r>
            <w:r>
              <w:rPr>
                <w:rFonts w:hint="eastAsia" w:ascii="仿宋" w:hAnsi="仿宋" w:eastAsia="仿宋" w:cs="仿宋"/>
                <w:b/>
                <w:bCs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</w:rPr>
              <w:t>局（1、2、3、4、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委（1、4）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五）垃圾收集、运输、处理设施完备，布局选址合理，符合《城市环境卫生设施设置标准》要求。实行垃圾收集、运输、处理全过程封闭管理，有给排水设施，飘尘、噪音、臭气、排水指标符合环境监测标准；垃圾无害化处理率≥80%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县城（镇）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所辖范围路面硬底化率≥90％，路面完好、平整。县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城（镇）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绿化覆盖率≥26％，人均公园绿地面积≥4平方米。下水道密闭通畅，管网覆盖率≥90％。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1、加强县城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道路硬底化建设。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2、修补凹凸不平，破损的路面，保持街道、人行道平整、完好。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3、定期清理排水、排污等下水道，无垃圾堵塞，无沉沙，无井盖损坏、丢失。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、建立绿地规划编制及相关制度。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、所有绿化带、花池、大小公园保持清洁、美化，加强县城公园卫生保洁和公厕管理。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、完善县城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主要街道公交车停靠站和候车亭。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县公路局（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1、2、6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1、3、4、5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（七）农村卫生户厕普及率≥85％。县城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公厕规划布局合理，数量充足，均为水冲式厕所，符合《城市环境卫生设施设置标准》要求，二类标准以上（含二类）≥80％。公厕管理符合卫生标准。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1、加强公厕规划建设和管理，公厕数量足够，县城每平方公里不少于3座，达到国家二、三类标准，确保公厕卫生、通风、无臭、无“四害”。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2、有保洁制度和专人管理。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加强县城公园、市场、汽车客运站、商场、油站的环境卫生和公厕管理，确保清洁、美化、净化。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、加大各村卫生户厕建设，组织调查摸底，制订改厕规划，限期完成，确保普及率和无害化处理率达标。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、县住建局（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1、2、3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县交通局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（八）建筑工地实行封闭式管理，不污染周围环境。施工场地秩序井然，无垃圾堆积，排水通畅，无蚊、蝇孳生地，施工人员生活设施符合卫生要求。闲置地及待建地保持整洁，无垃圾堆放或乱搭乱建现象。</w:t>
            </w:r>
          </w:p>
        </w:tc>
        <w:tc>
          <w:tcPr>
            <w:tcW w:w="6300" w:type="dxa"/>
            <w:vAlign w:val="top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1、建立健全工地卫生管理制度，并有专人负责落实。符合文明施工要求。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2、建筑工地封闭式管理，主要街道防护栏不低于2.5米。待建场地应设1.8米以上的实体围墙，拆迁施工工地、临时开挖市政设施设置封闭围挡和警示标志。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3、工地物料堆放、运输要规范、整齐，无洒漏和乱堆放现象，并认真整治运输物料车辆洒漏现象。工地进出口要设置洗车槽冲洗。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4、宿舍厕所要干净卫生、生产垃圾要日产日清，有生产垃圾容器，厕所设有化粪池。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5、清理闲置地卫生，保持整洁，无“六乱”现象和蚊蝇孳生地。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工地食堂卫生整洁，工作人员有健康体检证明，有消毒措施。</w:t>
            </w:r>
          </w:p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及时清除“四害”孳生地，确保100%工地实行除“四害”有偿服务。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、县公共事业局</w:t>
            </w:r>
            <w:r>
              <w:rPr>
                <w:rFonts w:hint="eastAsia" w:ascii="仿宋" w:hAnsi="仿宋" w:eastAsia="仿宋" w:cs="仿宋"/>
                <w:b/>
                <w:bCs/>
              </w:rPr>
              <w:t>（1、2、3、4、5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除“四害”有偿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专业队伍（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九）农贸市场划行归市，布局合理，秩序井然，环境保持清洁。地面硬底化，给、排水设施完善，垃圾收运、“四害”防制等各项设施完善。有活禽销售的市场要设立相对独立的区域，污物、污水处置和消毒设施完善，实行隔离屠宰。无销售应当检疫检验而未检疫检验或者检疫检验不合格的农副产品，无销售病死、毒死或者死因不明的禽畜及其产品，无销售有毒、有害、不符合卫生标准的食品。无违禁销售野生动物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1、加大管理力度，落实管理责任制，提高管理水平。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2、加强秩序管理，禁止市场内、外乱摆乱卖，做到划行归市，秩序井然。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3、完善农贸市场给排水、垃圾运输、“四害”防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制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、污物、污水处理设备设施。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4、完善整治县城农贸市场，抓好农贸市场升级改造。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5、加强农贸市场公厕标准化管理。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、要设立活禽和水产品销售相对独立的区域，完善熟食食品销售档防蝇防尘设施。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、要加强市场内外食品摊档卫生管理，坚决取缔无照无证的摊档。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加强露天农贸市场的清扫保洁。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坚决打击销售野生动物违法行为。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加强农贸市场农药残留监测工作。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物业局</w:t>
            </w:r>
            <w:r>
              <w:rPr>
                <w:rFonts w:hint="eastAsia" w:ascii="仿宋" w:hAnsi="仿宋" w:eastAsia="仿宋" w:cs="仿宋"/>
                <w:b/>
                <w:bCs/>
              </w:rPr>
              <w:t>（1、2、3、4、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</w:rPr>
              <w:t>（1、3、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药监局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物价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6、7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县公安森林分局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县农业局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四、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环境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保护</w:t>
            </w: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有环境保护规划、目标和年度工作计划，并设立专（兼）职环保人员。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1、编制实施环境保护规划，同级人大或人民政府批准后实施，年度环境保护工作计划，落实年度环保工作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，近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2年内未发生重大环境污染与破坏事故。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2、编制县城辖区河涌综合规划和实施计划，推进污染严重河涌综合整治，加强河涌保洁、净化和美化。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3、污水处理厂建立好台帐及相关制度。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4、辖区内环境功能区水质达标率100%，无劣V类水体。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5、按照标准完善相关资料。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全面实施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禁鸣喇叭，并有管理规定和禁鸣标志。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县环保局（1、2、3、4、5）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水务局、公用事业局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（2、5）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县公安局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6）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县（镇）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水环境功能区水质达标率100%。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划定集中式饮用水水源保护区和禽畜养殖禁养区，集中式饮用水水源地水质达标率100%。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县城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全面实施禁鸣喇叭的交通管理规定，并设有相应的交通标志。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工业废水排放达标率≥90％；工业固体废物处置利用率≥85％；危险废物基本得到安全处置。医疗废物、医源性污水的处理排放符合国家有关要求。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要建有集中式生活污水处理厂，暂无条件的要有专业规划，完成前期筹备工作。共建的要有完善的收集管网。</w:t>
            </w:r>
          </w:p>
          <w:p>
            <w:pPr>
              <w:numPr>
                <w:numId w:val="0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近两年内未发生重大环境污染与破坏事故。</w:t>
            </w: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numPr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五、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病媒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生物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控制</w:t>
            </w:r>
          </w:p>
        </w:tc>
        <w:tc>
          <w:tcPr>
            <w:tcW w:w="45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（一）坚持以“环境治理为主，综合防制”的原则，部门配合，群众参与，技术措施合理。病媒生物控制人员及经费落实，有具备相应资质的病媒生物防制专业队伍。积极推行病媒生物防制工作社会化服务。</w:t>
            </w:r>
          </w:p>
        </w:tc>
        <w:tc>
          <w:tcPr>
            <w:tcW w:w="63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1、成立防制病媒生物的管理机构，制定病媒生物防制达标和巩固的实施方案（含防制宗旨、原则、孳生地处理、投药、密度监测、达标进度、责任落实、专业队伍的聘请或成立等内容）。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2、有关经费、人员的落实有相关文件、账本等资料备查。</w:t>
            </w:r>
          </w:p>
        </w:tc>
        <w:tc>
          <w:tcPr>
            <w:tcW w:w="198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创卫办、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县疾控中心（1、2）</w:t>
            </w:r>
          </w:p>
        </w:tc>
        <w:tc>
          <w:tcPr>
            <w:tcW w:w="9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3" w:hRule="atLeast"/>
        </w:trPr>
        <w:tc>
          <w:tcPr>
            <w:tcW w:w="828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eastAsia="宋体"/>
                <w:lang w:eastAsia="zh-CN"/>
              </w:rPr>
            </w:pPr>
          </w:p>
        </w:tc>
        <w:tc>
          <w:tcPr>
            <w:tcW w:w="45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灭鼠等两项工作达到《广东省除“四害”标准》要求，巩固措施落实，灭效巩固；其余两项有经常性防制措施，密度不超过《标准》的2倍；防鼠、防蝇设施达到《标准》的要求。定期监测“四害”密度，资料齐全可靠。</w:t>
            </w:r>
          </w:p>
        </w:tc>
        <w:tc>
          <w:tcPr>
            <w:tcW w:w="63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1、按标准要求制定灭害达标、巩固达标成果的实施方案。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2、创建前要对“四害”密度作本地调查、监测。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3、垃圾、粪便、污水处理设施完善，管理到位，清除室内外所有卫生死角、“四害”孳生繁殖地。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食品生产加工、销售、储存场所的门、窗、渠、通风口等部位的防蝇、防鼠设施完善，如门、窗、通风口安装不锈钢纱网；木门底部包上高度30—60厘米的金属板；门、窗缝隙不得大于0.6厘米；沟渠口安装间隔少于1.3厘米的铁栏栅。开、关频率较高的门（如厨房门）必须安装开、关状态与门同步的风帘机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科学投放、使用药物，做到用最少的药物取得最好的效果。每一轮投药后，必须开展室内外全面大清扫，清除鼠粪、鼠洞、死鼠、鼠道、鼠脚印、鼠咬痕、死蟑、蟑粪、蟑蛸等鼠迹、蟑迹以及其他卫生死角。处理死鼠要深埋地下，埋土前应在死鼠身上投放消毒药。使用所有药物必须注意防止污染食物、食具，预防人、畜中毒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6、落实巩固措施，定期（每季度）监测各种病媒生物密度，发现鼠、蝇密度超出省标准范围或蚊、蟑密度超标2倍，必须及时处理，确保群众身体健康。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7、防制病媒生物的监测、投药等资料必须完整收集，规范归档。</w:t>
            </w:r>
          </w:p>
        </w:tc>
        <w:tc>
          <w:tcPr>
            <w:tcW w:w="198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创卫办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（1、2、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3、4、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县疾控中心（2、6、7）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公用事业局、环保局（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食药监局（4）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县直各企事业单位（3、4、5）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除“四害”有偿专业队伍（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（三）不使用国家禁止使用的病媒生物控制药物。</w:t>
            </w:r>
          </w:p>
        </w:tc>
        <w:tc>
          <w:tcPr>
            <w:tcW w:w="63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1、禁止使用违禁药品。所使用药物的品名、规格、生产厂家、生产批号、使用数量、使用时间、使用地点、使用人签名等内容，必须有文字资料详细记载备查。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2、购进药物时应向销售者索取有关生产企业的执照、生产品种的批文（复印件）等资料，查核生产企业和药品的合法性。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、农业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县疾控中心（1、2）</w:t>
            </w:r>
          </w:p>
        </w:tc>
        <w:tc>
          <w:tcPr>
            <w:tcW w:w="9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28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六、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食品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安全、生活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饮用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水和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公共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卫生</w:t>
            </w:r>
          </w:p>
        </w:tc>
        <w:tc>
          <w:tcPr>
            <w:tcW w:w="45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认真贯彻《食品安全法》、《职业病防治法》、《生活饮用水监督管理办法》、《公共场所卫生管理条例》等法律法规，卫生监督监测工作落实，资料齐全。近三年内未发生重大食品安全事故、饮用水污染事故和职业危害事故。</w:t>
            </w:r>
          </w:p>
        </w:tc>
        <w:tc>
          <w:tcPr>
            <w:tcW w:w="630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1、卫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监、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等监督管理部门提供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来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对创建镇进行监督管理的年度工作计划、总结和分别到现场监督执法的照片。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食药监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部门出具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近三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年是否发生重大食品安全事故、饮用水污染事故和职业危害事故的证明资料。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3、有关企业具有有效营业执照、许可证、从业人员健康证。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4、建立健全卫生安全管理制度、各种卫生安全操作规范。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5、有关对从业人员培训的照片、资料应完整收集归档。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6、有记载所有食品生产经营单位、餐饮服务单位、集体食堂、集中供水单位、公共场所经营单位名称、法人代表、地址等内容的一览表备查。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药监局（1、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县市场质量局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5、6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县卫监所（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县疾控中心（3、5）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县经信局（6）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</w:pPr>
          </w:p>
        </w:tc>
        <w:tc>
          <w:tcPr>
            <w:tcW w:w="45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食品生产经营单位、集中供水单位及公共场所经营单位具有有效许可证，卫生安全管理制度健全，生产经营条件、操作过程符合相应法规规范要求。从业人员持有效健康证、具备相应岗位的基本卫生知识并掌握卫生安全操作规程。</w:t>
            </w:r>
          </w:p>
        </w:tc>
        <w:tc>
          <w:tcPr>
            <w:tcW w:w="630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28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</w:pPr>
          </w:p>
        </w:tc>
        <w:tc>
          <w:tcPr>
            <w:tcW w:w="45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各类餐饮服务单位、集体食堂防尘、防蝇、防鼠及上下水设施完善，有餐具消毒、保洁设施和冷藏设备并运转良好，食品原料和制售过程符合卫生安全要求，无交叉污染。食品销售单位无变质、腐败、假冒伪劣食品及其他不符合卫生安全标准要求的食品，定型包装食品符合规定要求。县城餐饮服务单位实行食品安全量化分级管理覆盖率≥90％。</w:t>
            </w:r>
          </w:p>
        </w:tc>
        <w:tc>
          <w:tcPr>
            <w:tcW w:w="63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1、防鼠、防蝇、防尘设施规范达标，供水设施完善，室内、外所有排水系统的进、出水口必须具有防鼠、防蚊、防蟑、防臭、防堵功能。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2、对接触食品的器具、容器以及配餐间的空气等方面的消毒设施完善、消毒措施落实。餐具保洁和食物冷藏设备性能良好，并正常运作。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3、生产、加工食品流程布局合理，落实生熟食品分开储存、生熟砧板分开设置、不在制作熟食品区间宰杀动物等制度，防止交叉污染。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4、购进食品原料要索证存查，确保所有食品合法、安全。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5、从事食品生产、加工的人员，保持个人卫生良好，衣帽整洁、经常修剪指甲、上班双手不带饰物、加工食品时穿带工作衣帽、口罩。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6、垃圾、下脚料要及时进桶加盖存放，日产日清。保持厨房、食堂的室内外环境经常处于整洁、有序状态。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7、县城的饮食单位食品安全量化分级管理覆盖率达90％以上。</w:t>
            </w:r>
          </w:p>
        </w:tc>
        <w:tc>
          <w:tcPr>
            <w:tcW w:w="198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县食药监局、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1、2、3、4、5、6、7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除“四害”有偿专业队伍（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（四）全面实行生猪定点屠宰、集中检疫制度。集中生猪屠宰点符合《生猪屠宰管理条例》要求，无对生猪或者生猪产品注水或者注入其他物质的现象。</w:t>
            </w:r>
          </w:p>
        </w:tc>
        <w:tc>
          <w:tcPr>
            <w:tcW w:w="630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1、认真贯彻落实有关生猪屠宰、检疫的法律法规，防止出现违法行为。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2、屠宰产生的粪便、下脚料必须经无害化处理后才能排放。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3、场内及其周边环境保持整洁，经常清除各类卫生死角和“四害”孳生繁殖地，并定期投药灭杀“四害”。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县畜牧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、商业集团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（1、2、3）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县食药监局（1）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除“四害”有偿专业队伍（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（五）集中式供水和二次供水单位管理规范，检测和卫生监督机构监督、监测资料齐全。集中式供水出厂水、管网末梢水和二次供水的水质符合《生活饮用水卫生标准》。</w:t>
            </w:r>
          </w:p>
        </w:tc>
        <w:tc>
          <w:tcPr>
            <w:tcW w:w="630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1、集中式饮用水源地水质达标。县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水源地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水口上1000米,下100米禁止放养禽畜和种植施农药的农作物，集中式饮用水水源地水质达到《地表水环境质量标准》和《地下水质量标准》Ⅱ类标准。全县辖区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未发生重大以上集中式饮用水水源地污染事故等。严格执行各项国家集中式饮用水水源地管理有关法律、法规、规划、标准、监测规范（《水污染防治法》、《饮用水水源保护区污染防治管理规定》、《地表水环境质量标准》、《地下水质量标准》）等要求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2、供水、自备供水管理规范，检测和卫生监督、监测资料齐全，有水污染突发公共卫生事件应急预案。自备供水出厂水、管网末梢水的水质符合《生活饮用水卫生标准》。</w:t>
            </w:r>
          </w:p>
        </w:tc>
        <w:tc>
          <w:tcPr>
            <w:tcW w:w="198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县环保局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县水务局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县供水公司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县卫监所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六）旅馆、美容美发厅、歌舞厅、公共浴室、网吧等场所内外环境整洁，公共用品的清洗、消毒设施齐备，工作人员操作符合卫生规范要求。县城影剧院、图书馆、展览馆、商场等场所应有良好通风采光条件，合理配备垃圾箱和卫生公厕。</w:t>
            </w:r>
          </w:p>
        </w:tc>
        <w:tc>
          <w:tcPr>
            <w:tcW w:w="6300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1、县城所有旅馆、美容美发厅、歌舞厅、公共浴室、网吧等企业，有名称、法人代表、地址等内容的一览表备查。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2、公共场所要合理配备垃圾箱、公厕等设施，确保室内通风、光线充足，制定公共用品清洗和消毒等制度，工作人员熟悉公共用品消毒的操作规范，并落到实处。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3、公共场所环境卫生管理制度健全，经常保持室内外环境整洁、空气清新。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4、执法部门要依法进行规范的监管，使各类现场达到相关规定。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卫计部门和相关企业要把有关开展职业卫生技术审查、职业健康监护的资料、照片完整收集备查。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、对学校教学建筑、 环境噪声、教学采光、黑板、课桌椅等方面监测、设置的文件、 报告完整收集备查。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、制定、落实各项涉及食品安全、饮用水卫生等方面制度。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县文广新局（1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2、3、4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县卫监所（1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2、3、4、5、7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市场质量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局（1）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县旅游局（2）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县公用事业局（2、3、4）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县安监局、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县人社局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县经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县教育局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各中小学校（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县食药监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、环保局（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（七）企业职业卫生符合国家规定要求。新建、改建、扩建项目和技术改造、技术引进项目依法进行职业卫生审查，可能产生职业病危害的企业对劳动者开展职业健康监护工作。</w:t>
            </w: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（八）学校教学建筑、环境噪声、教学采光照明以及黑板、课桌椅的设置符合国家有关标准。学校食堂符合食品安全要求，饮用水水质符合《生活饮用水卫生标准》。</w:t>
            </w: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七、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传染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病防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治</w:t>
            </w: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（一）认真贯彻实施《传染病防治法》，并制定了相应的规章制度。依法开展监督管理工作。</w:t>
            </w:r>
          </w:p>
        </w:tc>
        <w:tc>
          <w:tcPr>
            <w:tcW w:w="630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卫计部门要制定相应的贯彻落实《传染病防治法》的工作方案，并有具体落实工作计划和总结、具体制度和措施。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规范日常工作，收集、整理所有资料规范归档备查。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、卫计部门认真检查肠道、发热门诊的设置是否合理、工作程序是否规范，传染病隔离消毒等工作是否符合卫生部的相关规定。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、有证明近2年没有因防控措施不力导致甲、乙类传染病暴发流行，无院内感染引起的重大疫情或导致死亡事故的资料备查。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认真贯彻执行相关法律法规，收集、整理所有计免资料规范归档备查。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县疾控中心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1、3、4、5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县卫计局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县人民医院（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各医疗机构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2、3、4、5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both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（二）疫情报告制度健全，镇（县）一级以上医疗机构全部实行网络直报，法定传染病漏报率＜3%。</w:t>
            </w: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镇（县城）医疗机构设有相对独立的肠道和发热门诊，按照卫生部的相关规定，工作程序规范，传染病隔离消毒落实，近三年没有因防控措施不力导致甲、乙类传染病暴发流行，无院内感染引起的重大疫情或导致的死亡事故。</w:t>
            </w: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45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（四）国家免疫规划疫苗接种率达到规定要求（包括流动人口）。托幼机构、中小学校按照《疫苗流通和预防接种管理条例》规定开展入托、入学儿童预防接种证查验工作。</w:t>
            </w:r>
          </w:p>
        </w:tc>
        <w:tc>
          <w:tcPr>
            <w:tcW w:w="63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八、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单位、居民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区和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镇辖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村卫</w:t>
            </w:r>
          </w:p>
          <w:p>
            <w:pPr>
              <w:spacing w:line="320" w:lineRule="exact"/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生</w:t>
            </w: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（一）有卫生管理组织和制度，建立爱国卫生活动月（日）制度，定期发动群众参与爱国卫生大清洁行动，组织检查评比活动。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1、县政府、各单位和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村（居）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委会要健全卫生管理机构、落实责任人，制定定期（春秋两季、国庆、春节等重大节日）开展全民爱国卫生运动的制度，每次活动要有计划、会议记录、通知、总结和干群参加活动的照片。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创卫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办要制定定期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检查评比活动的制度，成立评比机构，制定评比标准（含室内外环境卫生、垃圾和粪便管理、个人卫生等项目）和评分记录表。每次评比活动要有计划、会议记录、通知、总结和评比活动的照片。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卫办（1、2）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委（1、2）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县直各企事业单位（1）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（二）单位和居民区道路硬底化，路面平整，下水道排水畅通。室内外环境整洁，绿化美化，无卫生死角，垃圾日产日清，病媒生物控制措施落实。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单位和居民区的基础设施建设（含道路、下水道等）、环境卫生的管理和病媒生物防制等工作，按照镇区统一要求，同步实施。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有条件的尽量把绿化、美化、亮化水平提高，为居民营造舒适、优雅、安全的生活和工作环境。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县公用事业局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住建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、县直各事业单位（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1、2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20" w:lineRule="exact"/>
            </w:pPr>
          </w:p>
        </w:tc>
        <w:tc>
          <w:tcPr>
            <w:tcW w:w="45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（三）镇辖村整洁干净，道路硬底化、改水改厕、垃圾收集等基本实现或已规划与镇同步，有省卫生村，30%以上的村成为市级以上卫生村。</w:t>
            </w:r>
          </w:p>
        </w:tc>
        <w:tc>
          <w:tcPr>
            <w:tcW w:w="6300" w:type="dxa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、积极推动农村环境卫生整治、改水改厕、村道硬底化和卫生创建等惠民工程，做到每年有计划、有总结、有活动照片。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、城镇居委会要有省、市级卫生村，卫生村质量和数量应达到相关标准要求。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、开展创建卫生村的数量以自然村为计算单位，包括省、市卫生村，其中，城镇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村（居）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委会所有自然村必须达到卫生村标准。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村（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卫办（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201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</w:rPr>
              <w:t>年5月</w:t>
            </w:r>
          </w:p>
        </w:tc>
      </w:tr>
    </w:tbl>
    <w:p>
      <w:pPr>
        <w:spacing w:line="320" w:lineRule="exact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注：每个责任单位中的第一个单位均为牵头单位。</w:t>
      </w: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ind w:right="360"/>
      <w:rPr>
        <w:rStyle w:val="6"/>
        <w:rFonts w:hint="eastAsi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height:144pt;width:144pt;mso-position-horizontal:center;mso-position-horizontal-relative:margin;mso-position-vertical:top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Style w:val="6"/>
                  </w:rPr>
                </w:pPr>
                <w: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6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  <w:framePr w:wrap="around" w:hAnchor="margin" w:vAnchor="text" w:xAlign="center" w:y="1"/>
      <w:rPr>
        <w:rStyle w:val="6"/>
        <w:rFonts w:hint="eastAsia"/>
      </w:rPr>
    </w:pPr>
  </w:p>
  <w:p>
    <w:pPr>
      <w:pStyle w:val="3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1531103">
    <w:nsid w:val="584E5EDF"/>
    <w:multiLevelType w:val="singleLevel"/>
    <w:tmpl w:val="584E5EDF"/>
    <w:lvl w:ilvl="0" w:tentative="1">
      <w:start w:val="6"/>
      <w:numFmt w:val="chineseCounting"/>
      <w:suff w:val="nothing"/>
      <w:lvlText w:val="（%1）"/>
      <w:lvlJc w:val="left"/>
    </w:lvl>
  </w:abstractNum>
  <w:abstractNum w:abstractNumId="1481530631">
    <w:nsid w:val="584E5D07"/>
    <w:multiLevelType w:val="singleLevel"/>
    <w:tmpl w:val="584E5D07"/>
    <w:lvl w:ilvl="0" w:tentative="1">
      <w:start w:val="4"/>
      <w:numFmt w:val="chineseCounting"/>
      <w:suff w:val="nothing"/>
      <w:lvlText w:val="（%1）"/>
      <w:lvlJc w:val="left"/>
    </w:lvl>
  </w:abstractNum>
  <w:abstractNum w:abstractNumId="1481530572">
    <w:nsid w:val="584E5CCC"/>
    <w:multiLevelType w:val="singleLevel"/>
    <w:tmpl w:val="584E5CCC"/>
    <w:lvl w:ilvl="0" w:tentative="1">
      <w:start w:val="7"/>
      <w:numFmt w:val="chineseCounting"/>
      <w:suff w:val="nothing"/>
      <w:lvlText w:val="（%1）"/>
      <w:lvlJc w:val="left"/>
    </w:lvl>
  </w:abstractNum>
  <w:abstractNum w:abstractNumId="1481531419">
    <w:nsid w:val="584E601B"/>
    <w:multiLevelType w:val="singleLevel"/>
    <w:tmpl w:val="584E601B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481530631"/>
  </w:num>
  <w:num w:numId="2">
    <w:abstractNumId w:val="1481530572"/>
  </w:num>
  <w:num w:numId="3">
    <w:abstractNumId w:val="1481531103"/>
  </w:num>
  <w:num w:numId="4">
    <w:abstractNumId w:val="14815314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customStyle="1" w:styleId="7">
    <w:name w:val=" Char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1801</Words>
  <Characters>10272</Characters>
  <Lines>85</Lines>
  <Paragraphs>24</Paragraphs>
  <ScaleCrop>false</ScaleCrop>
  <LinksUpToDate>false</LinksUpToDate>
  <CharactersWithSpaces>0</CharactersWithSpaces>
  <Application>WPS Office 个人版_9.1.0.4716_{F1E327BC-269C-435d-A152-05C5408002CA}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2015-04-14T11:14:00Z</dcterms:created>
  <dc:creator>Sky123.Org</dc:creator>
  <cp:lastModifiedBy>Administrator</cp:lastModifiedBy>
  <cp:lastPrinted>2017-01-12T07:39:53Z</cp:lastPrinted>
  <dcterms:modified xsi:type="dcterms:W3CDTF">2017-01-12T09:39:00Z</dcterms:modified>
  <dc:title>龙川县创建广东省卫生县城责任分工表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