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bidi w:val="0"/>
        <w:spacing w:before="0" w:after="0" w:line="440" w:lineRule="exact"/>
        <w:jc w:val="center"/>
        <w:textAlignment w:val="auto"/>
        <w:outlineLvl w:val="9"/>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b/>
          <w:color w:val="000000"/>
          <w:kern w:val="0"/>
          <w:sz w:val="44"/>
          <w:szCs w:val="44"/>
        </w:rPr>
      </w:pPr>
      <w:r>
        <w:rPr>
          <w:rFonts w:hint="eastAsia"/>
          <w:b/>
          <w:color w:val="000000"/>
          <w:kern w:val="0"/>
          <w:sz w:val="44"/>
          <w:szCs w:val="44"/>
        </w:rPr>
        <w:t>行政处罚决定书</w:t>
      </w:r>
    </w:p>
    <w:p>
      <w:pPr>
        <w:autoSpaceDE w:val="0"/>
        <w:autoSpaceDN w:val="0"/>
        <w:adjustRightInd w:val="0"/>
        <w:spacing w:line="440" w:lineRule="exact"/>
        <w:jc w:val="right"/>
        <w:rPr>
          <w:rFonts w:hint="eastAsia" w:ascii="仿宋_GB2312" w:hAnsi="仿宋" w:eastAsia="仿宋_GB2312" w:cs="仿宋"/>
          <w:color w:val="000000"/>
          <w:szCs w:val="18"/>
          <w:lang w:eastAsia="zh-CN"/>
        </w:rPr>
      </w:pPr>
      <w:bookmarkStart w:id="0" w:name="_GoBack"/>
      <w:r>
        <w:rPr>
          <w:rFonts w:hint="eastAsia" w:ascii="仿宋_GB2312" w:hAnsi="仿宋" w:eastAsia="仿宋_GB2312"/>
          <w:color w:val="000000"/>
          <w:sz w:val="18"/>
          <w:szCs w:val="18"/>
        </w:rPr>
        <mc:AlternateContent>
          <mc:Choice Requires="wps">
            <w:drawing>
              <wp:anchor distT="0" distB="0" distL="114300" distR="114300" simplePos="0" relativeHeight="251649024" behindDoc="0" locked="0" layoutInCell="1" allowOverlap="1">
                <wp:simplePos x="0" y="0"/>
                <wp:positionH relativeFrom="column">
                  <wp:posOffset>-81280</wp:posOffset>
                </wp:positionH>
                <wp:positionV relativeFrom="paragraph">
                  <wp:posOffset>252095</wp:posOffset>
                </wp:positionV>
                <wp:extent cx="5615940" cy="635"/>
                <wp:effectExtent l="0" t="0" r="0" b="0"/>
                <wp:wrapNone/>
                <wp:docPr id="20" name="Line 7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Line 75" o:spid="_x0000_s1026" o:spt="20" style="position:absolute;left:0pt;margin-left:-6.4pt;margin-top:19.85pt;height:0.05pt;width:442.2pt;z-index:251649024;mso-width-relative:page;mso-height-relative:page;" filled="f" stroked="t" coordsize="21600,21600" o:gfxdata="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MwAu9cAAAAJAQAADwAAAAAAAAABACAAAAAiAAAAZHJzL2Rvd25yZXYueG1sUEsBAhQAFAAAAAgA&#10;h07iQMfNbtG0AQAAVgMAAA4AAAAAAAAAAQAgAAAAJgEAAGRycy9lMm9Eb2MueG1sUEsFBgAAAAAG&#10;AAYAWQEAAEwFAAAAAA==&#10;">
                <v:fill on="f" focussize="0,0"/>
                <v:stroke weight="1.5pt" color="#000000" joinstyle="round"/>
                <v:imagedata o:title=""/>
                <o:lock v:ext="edit" aspectratio="f"/>
              </v:line>
            </w:pict>
          </mc:Fallback>
        </mc:AlternateContent>
      </w:r>
      <w:r>
        <w:rPr>
          <w:rFonts w:hint="eastAsia" w:ascii="仿宋_GB2312" w:hAnsi="仿宋" w:eastAsia="仿宋_GB2312"/>
          <w:color w:val="000000"/>
          <w:szCs w:val="18"/>
          <w:lang w:eastAsia="zh-CN"/>
        </w:rPr>
        <w:t>（陆河）食药监食罚〔2018〕17号</w:t>
      </w:r>
      <w:bookmarkEnd w:id="0"/>
    </w:p>
    <w:p>
      <w:pPr>
        <w:spacing w:line="440" w:lineRule="exact"/>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当事人:</w:t>
      </w:r>
      <w:r>
        <w:rPr>
          <w:rFonts w:hint="eastAsia" w:ascii="仿宋_GB2312" w:hAnsi="仿宋" w:eastAsia="仿宋_GB2312"/>
          <w:color w:val="000000"/>
          <w:sz w:val="32"/>
          <w:szCs w:val="32"/>
          <w:lang w:eastAsia="zh-CN"/>
        </w:rPr>
        <w:t>陆河县河口镇如动生鲜店</w:t>
      </w:r>
      <w:r>
        <w:rPr>
          <w:rFonts w:hint="eastAsia" w:ascii="仿宋_GB2312" w:hAnsi="仿宋" w:eastAsia="仿宋_GB2312"/>
          <w:color w:val="000000"/>
          <w:sz w:val="32"/>
          <w:szCs w:val="32"/>
        </w:rPr>
        <w:t xml:space="preserve"> </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 xml:space="preserve">   </w:t>
      </w:r>
    </w:p>
    <w:p>
      <w:pPr>
        <w:spacing w:line="440" w:lineRule="exact"/>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eastAsia="zh-CN"/>
        </w:rPr>
        <w:t>统一社会信用代码：</w:t>
      </w:r>
      <w:r>
        <w:rPr>
          <w:rFonts w:hint="eastAsia" w:ascii="仿宋_GB2312" w:hAnsi="仿宋" w:eastAsia="仿宋_GB2312"/>
          <w:color w:val="000000"/>
          <w:sz w:val="32"/>
          <w:szCs w:val="32"/>
          <w:lang w:val="en-US" w:eastAsia="zh-CN"/>
        </w:rPr>
        <w:t>92441523MA515X2155</w:t>
      </w:r>
    </w:p>
    <w:p>
      <w:pPr>
        <w:spacing w:line="440" w:lineRule="exact"/>
        <w:jc w:val="left"/>
        <w:rPr>
          <w:rFonts w:ascii="仿宋_GB2312" w:hAnsi="仿宋" w:eastAsia="仿宋_GB2312"/>
          <w:color w:val="000000"/>
          <w:sz w:val="32"/>
          <w:szCs w:val="32"/>
        </w:rPr>
      </w:pPr>
      <w:r>
        <w:rPr>
          <w:rFonts w:hint="eastAsia" w:ascii="仿宋_GB2312" w:hAnsi="仿宋" w:eastAsia="仿宋_GB2312"/>
          <w:color w:val="000000"/>
          <w:sz w:val="32"/>
          <w:szCs w:val="32"/>
          <w:lang w:eastAsia="zh-CN"/>
        </w:rPr>
        <w:t>负责人：李如动</w:t>
      </w:r>
      <w:r>
        <w:rPr>
          <w:rFonts w:hint="eastAsia" w:ascii="仿宋_GB2312" w:hAnsi="仿宋" w:eastAsia="仿宋_GB2312"/>
          <w:color w:val="000000"/>
          <w:sz w:val="32"/>
          <w:szCs w:val="32"/>
          <w:lang w:val="en-US" w:eastAsia="zh-CN"/>
        </w:rPr>
        <w:t xml:space="preserve">      </w:t>
      </w:r>
    </w:p>
    <w:p>
      <w:pPr>
        <w:spacing w:line="440" w:lineRule="exact"/>
        <w:jc w:val="left"/>
        <w:rPr>
          <w:rFonts w:hint="eastAsia" w:ascii="仿宋_GB2312" w:hAnsi="仿宋_GB2312" w:eastAsia="仿宋_GB2312" w:cs="仿宋_GB2312"/>
          <w:sz w:val="32"/>
          <w:szCs w:val="32"/>
        </w:rPr>
      </w:pPr>
      <w:r>
        <w:rPr>
          <w:rFonts w:hint="eastAsia" w:ascii="仿宋_GB2312" w:hAnsi="仿宋" w:eastAsia="仿宋_GB2312"/>
          <w:color w:val="000000"/>
          <w:sz w:val="32"/>
          <w:szCs w:val="32"/>
        </w:rPr>
        <w:t>住址：</w:t>
      </w:r>
      <w:r>
        <w:rPr>
          <w:rFonts w:hint="eastAsia" w:ascii="仿宋_GB2312" w:hAnsi="仿宋" w:eastAsia="仿宋_GB2312"/>
          <w:color w:val="000000"/>
          <w:sz w:val="32"/>
          <w:szCs w:val="32"/>
          <w:lang w:eastAsia="zh-CN"/>
        </w:rPr>
        <w:t>陆河县河口镇营下村委会营下村28号</w:t>
      </w:r>
      <w:r>
        <w:rPr>
          <w:rFonts w:hint="eastAsia" w:ascii="仿宋_GB2312" w:hAnsi="仿宋_GB2312" w:eastAsia="仿宋_GB2312" w:cs="仿宋_GB2312"/>
          <w:sz w:val="32"/>
          <w:szCs w:val="32"/>
        </w:rPr>
        <w:t xml:space="preserve">    </w:t>
      </w:r>
    </w:p>
    <w:p>
      <w:pPr>
        <w:spacing w:line="440" w:lineRule="exact"/>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联系方式：</w:t>
      </w:r>
      <w:r>
        <w:rPr>
          <w:rFonts w:hint="eastAsia" w:ascii="仿宋_GB2312" w:hAnsi="仿宋" w:eastAsia="仿宋_GB2312"/>
          <w:color w:val="000000"/>
          <w:sz w:val="32"/>
          <w:szCs w:val="32"/>
          <w:lang w:val="en-US" w:eastAsia="zh-CN"/>
        </w:rPr>
        <w:t>*</w:t>
      </w:r>
    </w:p>
    <w:p>
      <w:pPr>
        <w:autoSpaceDE w:val="0"/>
        <w:autoSpaceDN w:val="0"/>
        <w:adjustRightInd w:val="0"/>
        <w:spacing w:line="440" w:lineRule="exact"/>
        <w:jc w:val="left"/>
        <w:rPr>
          <w:rFonts w:hint="eastAsia" w:ascii="仿宋_GB2312" w:hAnsi="仿宋" w:eastAsia="仿宋_GB2312"/>
          <w:color w:val="000000"/>
          <w:sz w:val="32"/>
          <w:szCs w:val="32"/>
          <w:lang w:eastAsia="zh-CN"/>
        </w:rPr>
      </w:pPr>
    </w:p>
    <w:p>
      <w:pPr>
        <w:spacing w:line="4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lang w:eastAsia="zh-CN"/>
        </w:rPr>
        <w:t>陆河县河口镇如动生鲜店</w:t>
      </w:r>
      <w:r>
        <w:rPr>
          <w:rFonts w:hint="eastAsia" w:ascii="仿宋_GB2312" w:hAnsi="仿宋" w:eastAsia="仿宋_GB2312"/>
          <w:color w:val="000000"/>
          <w:sz w:val="32"/>
          <w:szCs w:val="32"/>
        </w:rPr>
        <w:t>购进了</w:t>
      </w:r>
      <w:r>
        <w:rPr>
          <w:rFonts w:hint="eastAsia" w:ascii="仿宋_GB2312" w:hAnsi="仿宋" w:eastAsia="仿宋_GB2312"/>
          <w:color w:val="000000"/>
          <w:sz w:val="32"/>
          <w:szCs w:val="32"/>
          <w:lang w:val="en-US" w:eastAsia="zh-CN"/>
        </w:rPr>
        <w:t>55市斤</w:t>
      </w:r>
      <w:r>
        <w:rPr>
          <w:rFonts w:hint="eastAsia" w:ascii="仿宋_GB2312" w:hAnsi="仿宋" w:eastAsia="仿宋_GB2312"/>
          <w:color w:val="000000"/>
          <w:sz w:val="32"/>
          <w:szCs w:val="32"/>
        </w:rPr>
        <w:t>未经肉品品质检验的生猪产品运回</w:t>
      </w:r>
      <w:r>
        <w:rPr>
          <w:rFonts w:hint="eastAsia" w:ascii="仿宋_GB2312" w:hAnsi="仿宋" w:eastAsia="仿宋_GB2312"/>
          <w:color w:val="000000"/>
          <w:sz w:val="32"/>
          <w:szCs w:val="32"/>
          <w:lang w:eastAsia="zh-CN"/>
        </w:rPr>
        <w:t>陆河县河口镇如动生鲜店</w:t>
      </w:r>
      <w:r>
        <w:rPr>
          <w:rFonts w:hint="eastAsia" w:ascii="仿宋_GB2312" w:hAnsi="仿宋" w:eastAsia="仿宋_GB2312"/>
          <w:color w:val="000000"/>
          <w:sz w:val="32"/>
          <w:szCs w:val="32"/>
        </w:rPr>
        <w:t>销售，被我局、县市场和质量监管局河口所检查发现。执法人员现场</w:t>
      </w:r>
      <w:r>
        <w:rPr>
          <w:rFonts w:hint="eastAsia" w:ascii="仿宋_GB2312" w:hAnsi="仿宋" w:eastAsia="仿宋_GB2312"/>
          <w:color w:val="000000"/>
          <w:sz w:val="32"/>
          <w:szCs w:val="32"/>
          <w:lang w:eastAsia="zh-CN"/>
        </w:rPr>
        <w:t>扣押了25市斤</w:t>
      </w:r>
      <w:r>
        <w:rPr>
          <w:rFonts w:hint="eastAsia" w:ascii="仿宋_GB2312" w:hAnsi="仿宋" w:eastAsia="仿宋_GB2312"/>
          <w:color w:val="000000"/>
          <w:sz w:val="32"/>
          <w:szCs w:val="32"/>
        </w:rPr>
        <w:t>无肉品检验合格标识且无合法购进凭据的生猪产品。经立案调查，当事人购进</w:t>
      </w:r>
      <w:r>
        <w:rPr>
          <w:rFonts w:hint="eastAsia" w:ascii="仿宋_GB2312" w:hAnsi="仿宋" w:eastAsia="仿宋_GB2312"/>
          <w:color w:val="000000"/>
          <w:sz w:val="32"/>
          <w:szCs w:val="32"/>
          <w:lang w:eastAsia="zh-CN"/>
        </w:rPr>
        <w:t>55市斤</w:t>
      </w:r>
      <w:r>
        <w:rPr>
          <w:rFonts w:hint="eastAsia" w:ascii="仿宋_GB2312" w:hAnsi="仿宋" w:eastAsia="仿宋_GB2312"/>
          <w:color w:val="000000"/>
          <w:sz w:val="32"/>
          <w:szCs w:val="32"/>
        </w:rPr>
        <w:t>未经肉品品质检验的生猪产品，以</w:t>
      </w:r>
      <w:r>
        <w:rPr>
          <w:rFonts w:hint="eastAsia" w:ascii="仿宋_GB2312" w:hAnsi="仿宋" w:eastAsia="仿宋_GB2312"/>
          <w:color w:val="000000"/>
          <w:sz w:val="32"/>
          <w:szCs w:val="32"/>
          <w:lang w:eastAsia="zh-CN"/>
        </w:rPr>
        <w:t>均价12元</w:t>
      </w:r>
      <w:r>
        <w:rPr>
          <w:rFonts w:hint="eastAsia" w:ascii="仿宋_GB2312" w:hAnsi="仿宋" w:eastAsia="仿宋_GB2312"/>
          <w:color w:val="000000"/>
          <w:sz w:val="32"/>
          <w:szCs w:val="32"/>
          <w:lang w:val="en-US" w:eastAsia="zh-CN"/>
        </w:rPr>
        <w:t>/斤</w:t>
      </w:r>
      <w:r>
        <w:rPr>
          <w:rFonts w:hint="eastAsia" w:ascii="仿宋_GB2312" w:hAnsi="仿宋" w:eastAsia="仿宋_GB2312"/>
          <w:color w:val="000000"/>
          <w:sz w:val="32"/>
          <w:szCs w:val="32"/>
        </w:rPr>
        <w:t>的价格销售。除被扣押的</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lang w:eastAsia="zh-CN"/>
        </w:rPr>
        <w:t>5市斤</w:t>
      </w:r>
      <w:r>
        <w:rPr>
          <w:rFonts w:hint="eastAsia" w:ascii="仿宋_GB2312" w:hAnsi="仿宋" w:eastAsia="仿宋_GB2312"/>
          <w:color w:val="000000"/>
          <w:sz w:val="32"/>
          <w:szCs w:val="32"/>
        </w:rPr>
        <w:t>，其余</w:t>
      </w:r>
      <w:r>
        <w:rPr>
          <w:rFonts w:hint="eastAsia" w:ascii="仿宋_GB2312" w:hAnsi="仿宋" w:eastAsia="仿宋_GB2312"/>
          <w:color w:val="000000"/>
          <w:sz w:val="32"/>
          <w:szCs w:val="32"/>
          <w:lang w:eastAsia="zh-CN"/>
        </w:rPr>
        <w:t>3</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lang w:eastAsia="zh-CN"/>
        </w:rPr>
        <w:t>市斤</w:t>
      </w:r>
      <w:r>
        <w:rPr>
          <w:rFonts w:hint="eastAsia" w:ascii="仿宋_GB2312" w:hAnsi="仿宋" w:eastAsia="仿宋_GB2312"/>
          <w:color w:val="000000"/>
          <w:sz w:val="32"/>
          <w:szCs w:val="32"/>
        </w:rPr>
        <w:t>已销售出去。当事人销售未经肉品品质检验的生猪产品的货值金额为</w:t>
      </w:r>
      <w:r>
        <w:rPr>
          <w:rFonts w:hint="eastAsia" w:ascii="仿宋_GB2312" w:hAnsi="仿宋" w:eastAsia="仿宋_GB2312"/>
          <w:color w:val="000000"/>
          <w:sz w:val="32"/>
          <w:szCs w:val="32"/>
          <w:lang w:val="en-US" w:eastAsia="zh-CN"/>
        </w:rPr>
        <w:t>660元，违法所得360元</w:t>
      </w:r>
      <w:r>
        <w:rPr>
          <w:rFonts w:hint="eastAsia" w:ascii="仿宋_GB2312" w:hAnsi="仿宋" w:eastAsia="仿宋_GB2312"/>
          <w:color w:val="000000"/>
          <w:sz w:val="32"/>
          <w:szCs w:val="32"/>
        </w:rPr>
        <w:t>。</w:t>
      </w:r>
    </w:p>
    <w:p>
      <w:pPr>
        <w:spacing w:line="440" w:lineRule="exact"/>
        <w:ind w:firstLine="643" w:firstLineChars="200"/>
        <w:jc w:val="left"/>
        <w:rPr>
          <w:rFonts w:ascii="仿宋_GB2312" w:hAnsi="仿宋" w:eastAsia="仿宋_GB2312"/>
          <w:color w:val="000000"/>
          <w:sz w:val="32"/>
          <w:szCs w:val="32"/>
        </w:rPr>
      </w:pPr>
      <w:r>
        <w:rPr>
          <w:rFonts w:hint="eastAsia" w:ascii="仿宋_GB2312" w:hAnsi="仿宋" w:eastAsia="仿宋_GB2312"/>
          <w:b/>
          <w:bCs/>
          <w:color w:val="000000"/>
          <w:sz w:val="32"/>
          <w:szCs w:val="32"/>
        </w:rPr>
        <w:t>证据材料</w:t>
      </w:r>
      <w:r>
        <w:rPr>
          <w:rFonts w:hint="eastAsia" w:ascii="仿宋_GB2312" w:hAnsi="仿宋_GB2312" w:eastAsia="仿宋_GB2312" w:cs="仿宋_GB2312"/>
          <w:b/>
          <w:bCs/>
          <w:color w:val="000000"/>
          <w:sz w:val="32"/>
          <w:szCs w:val="32"/>
        </w:rPr>
        <w:t>：</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1.现场检查笔录；2.</w:t>
      </w:r>
      <w:r>
        <w:rPr>
          <w:rFonts w:hint="eastAsia" w:ascii="仿宋_GB2312" w:hAnsi="仿宋" w:eastAsia="仿宋_GB2312"/>
          <w:color w:val="000000"/>
          <w:sz w:val="32"/>
          <w:szCs w:val="32"/>
          <w:lang w:eastAsia="zh-CN"/>
        </w:rPr>
        <w:t>（陆河）食药监食查扣〔2018〕</w:t>
      </w:r>
      <w:r>
        <w:rPr>
          <w:rFonts w:hint="eastAsia" w:ascii="仿宋_GB2312" w:hAnsi="仿宋" w:eastAsia="仿宋_GB2312"/>
          <w:color w:val="000000"/>
          <w:sz w:val="32"/>
          <w:szCs w:val="32"/>
          <w:lang w:val="en-US" w:eastAsia="zh-CN"/>
        </w:rPr>
        <w:t>15</w:t>
      </w:r>
      <w:r>
        <w:rPr>
          <w:rFonts w:hint="eastAsia" w:ascii="仿宋_GB2312" w:hAnsi="仿宋" w:eastAsia="仿宋_GB2312"/>
          <w:color w:val="000000"/>
          <w:sz w:val="32"/>
          <w:szCs w:val="32"/>
          <w:lang w:eastAsia="zh-CN"/>
        </w:rPr>
        <w:t>号《扣押决定书》</w:t>
      </w:r>
      <w:r>
        <w:rPr>
          <w:rFonts w:hint="eastAsia" w:ascii="仿宋_GB2312" w:hAnsi="仿宋" w:eastAsia="仿宋_GB2312"/>
          <w:color w:val="000000"/>
          <w:sz w:val="32"/>
          <w:szCs w:val="32"/>
        </w:rPr>
        <w:t>及物品清单；</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.《当事人同意先行处理被扣押物品的说明》；</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lang w:eastAsia="zh-CN"/>
        </w:rPr>
        <w:t>（陆河）食药监食先处〔2018〕7号《先行处理物品通知书》</w:t>
      </w:r>
      <w:r>
        <w:rPr>
          <w:rFonts w:hint="eastAsia" w:ascii="仿宋_GB2312" w:hAnsi="仿宋" w:eastAsia="仿宋_GB2312"/>
          <w:color w:val="000000"/>
          <w:sz w:val="32"/>
          <w:szCs w:val="32"/>
        </w:rPr>
        <w:t>及物品清单；</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.当事人身份证复印件；</w:t>
      </w: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rPr>
        <w:t>.询问调查笔录。</w:t>
      </w:r>
    </w:p>
    <w:p>
      <w:pPr>
        <w:autoSpaceDE w:val="0"/>
        <w:autoSpaceDN w:val="0"/>
        <w:adjustRightInd w:val="0"/>
        <w:spacing w:line="440" w:lineRule="exact"/>
        <w:ind w:firstLine="624" w:firstLineChars="200"/>
        <w:jc w:val="left"/>
        <w:rPr>
          <w:rFonts w:ascii="仿宋_GB2312" w:hAnsi="仿宋_GB2312" w:eastAsia="仿宋_GB2312" w:cs="仿宋_GB2312"/>
          <w:color w:val="000000"/>
          <w:sz w:val="32"/>
          <w:szCs w:val="32"/>
        </w:rPr>
      </w:pPr>
      <w:r>
        <w:rPr>
          <w:rFonts w:hint="eastAsia" w:ascii="仿宋_GB2312" w:hAnsi="仿宋" w:eastAsia="仿宋_GB2312" w:cs="仿宋"/>
          <w:color w:val="000000"/>
          <w:spacing w:val="-4"/>
          <w:kern w:val="0"/>
          <w:sz w:val="32"/>
          <w:szCs w:val="32"/>
        </w:rPr>
        <w:t>你的上述行为已违反了</w:t>
      </w:r>
      <w:r>
        <w:rPr>
          <w:rFonts w:hint="eastAsia" w:ascii="仿宋_GB2312" w:hAnsi="仿宋_GB2312" w:eastAsia="仿宋_GB2312" w:cs="仿宋_GB2312"/>
          <w:sz w:val="32"/>
          <w:szCs w:val="32"/>
        </w:rPr>
        <w:t>《生猪屠宰管理条例》第十八条的规定</w:t>
      </w:r>
      <w:r>
        <w:rPr>
          <w:rFonts w:hint="eastAsia" w:ascii="仿宋_GB2312" w:hAnsi="仿宋" w:eastAsia="仿宋_GB2312" w:cs="仿宋"/>
          <w:color w:val="000000"/>
          <w:sz w:val="32"/>
          <w:szCs w:val="32"/>
        </w:rPr>
        <w:t>：“从事生猪产品销售、肉食品生产加工的单位和个人以及餐饮服务经营者、集体伙食单位销售、使用的生猪产品，应当是生猪定点屠宰厂（场）经检疫和肉品品质检验合格的生猪产品。”</w:t>
      </w: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rPr>
      </w:pPr>
      <w:r>
        <w:rPr>
          <w:rFonts w:hint="eastAsia" w:ascii="仿宋_GB2312" w:hAnsi="仿宋" w:eastAsia="仿宋_GB2312" w:cs="仿宋"/>
          <w:color w:val="000000"/>
          <w:kern w:val="0"/>
          <w:sz w:val="32"/>
          <w:szCs w:val="32"/>
        </w:rPr>
        <w:t>行政处罚依据和种类：</w:t>
      </w:r>
      <w:r>
        <w:rPr>
          <w:rFonts w:hint="eastAsia" w:ascii="仿宋_GB2312" w:hAnsi="仿宋_GB2312" w:eastAsia="仿宋_GB2312" w:cs="仿宋_GB2312"/>
          <w:sz w:val="32"/>
          <w:szCs w:val="32"/>
        </w:rPr>
        <w:t>《生猪屠宰管理条例》第二十九条的规定</w:t>
      </w:r>
      <w:r>
        <w:rPr>
          <w:rFonts w:ascii="仿宋_GB2312" w:hAnsi="仿宋_GB2312" w:eastAsia="仿宋_GB2312" w:cs="仿宋_GB2312"/>
          <w:color w:val="000000"/>
          <w:sz w:val="32"/>
          <w:szCs w:val="32"/>
        </w:rPr>
        <w:t>：</w:t>
      </w:r>
      <w:r>
        <w:rPr>
          <w:rFonts w:hint="eastAsia" w:ascii="仿宋_GB2312" w:hAnsi="仿宋" w:eastAsia="仿宋_GB2312" w:cs="仿宋"/>
          <w:color w:val="000000"/>
          <w:sz w:val="32"/>
          <w:szCs w:val="32"/>
        </w:rPr>
        <w:t>“从事生猪产品销售、肉食品生产加工的单位和个人以及餐饮服务经营者、集体伙食单位，销售、使用非生猪定点屠宰厂（场）屠宰的生猪产品、未经肉品品质检验或者经肉品品质检验不合格的生猪产品以及注水或者注入其他物质的生猪产品的，由食品药品监督管理部门没收尚未销售、使用的相关生猪产品以及违法所得，并处货值金额3倍以上5倍以下的罚款；货值金额难以确定的，对单位处5万元以上10万元以下的罚款，对个人处1万元以上2万元以下的罚款；情节严重的，由发证（照）机关吊销有关证照；构成犯罪的，依法追究刑事责任。”</w:t>
      </w:r>
    </w:p>
    <w:p>
      <w:pPr>
        <w:spacing w:line="440" w:lineRule="exact"/>
        <w:ind w:firstLine="640" w:firstLineChars="200"/>
        <w:jc w:val="left"/>
        <w:rPr>
          <w:rFonts w:hint="eastAsia" w:ascii="仿宋_GB2312" w:hAnsi="仿宋" w:eastAsia="仿宋_GB2312" w:cs="仿宋"/>
          <w:color w:val="000000"/>
          <w:sz w:val="32"/>
          <w:szCs w:val="32"/>
        </w:rPr>
      </w:pPr>
      <w:r>
        <w:rPr>
          <w:rFonts w:hint="eastAsia" w:ascii="仿宋_GB2312" w:hAnsi="仿宋_GB2312" w:eastAsia="仿宋_GB2312" w:cs="仿宋_GB2312"/>
          <w:sz w:val="32"/>
          <w:szCs w:val="32"/>
        </w:rPr>
        <w:t>种类：</w:t>
      </w:r>
      <w:r>
        <w:rPr>
          <w:rFonts w:hint="eastAsia" w:ascii="仿宋_GB2312" w:hAnsi="仿宋" w:eastAsia="仿宋_GB2312" w:cs="仿宋"/>
          <w:color w:val="000000"/>
          <w:sz w:val="32"/>
          <w:szCs w:val="32"/>
          <w:lang w:eastAsia="zh-CN"/>
        </w:rPr>
        <w:t>1.没收未经肉品品质检验的生猪产品；2.没收违法所得；3.罚款。</w:t>
      </w: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rPr>
      </w:pPr>
      <w:r>
        <w:rPr>
          <w:rFonts w:hint="eastAsia" w:ascii="仿宋_GB2312" w:hAnsi="仿宋" w:eastAsia="仿宋_GB2312" w:cs="仿宋"/>
          <w:color w:val="000000"/>
          <w:kern w:val="0"/>
          <w:sz w:val="32"/>
          <w:szCs w:val="32"/>
        </w:rPr>
        <w:t>本局决定对你（单位）给予以下行政处</w:t>
      </w:r>
      <w:r>
        <w:rPr>
          <w:rFonts w:hint="eastAsia" w:ascii="仿宋_GB2312" w:hAnsi="仿宋" w:eastAsia="仿宋_GB2312" w:cs="仿宋"/>
          <w:color w:val="000000"/>
          <w:sz w:val="32"/>
          <w:szCs w:val="32"/>
        </w:rPr>
        <w:t>罚：</w:t>
      </w:r>
      <w:r>
        <w:rPr>
          <w:rFonts w:hint="eastAsia" w:ascii="仿宋_GB2312" w:hAnsi="仿宋" w:eastAsia="仿宋_GB2312" w:cs="仿宋"/>
          <w:color w:val="000000"/>
          <w:sz w:val="32"/>
          <w:szCs w:val="32"/>
          <w:lang w:eastAsia="zh-CN"/>
        </w:rPr>
        <w:t>1.没收未销售</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lang w:eastAsia="zh-CN"/>
        </w:rPr>
        <w:t>5市斤未经肉品品质检验的生猪产品；2.没收违法所得</w:t>
      </w:r>
      <w:r>
        <w:rPr>
          <w:rFonts w:hint="eastAsia" w:ascii="仿宋_GB2312" w:hAnsi="仿宋" w:eastAsia="仿宋_GB2312" w:cs="仿宋"/>
          <w:color w:val="000000"/>
          <w:sz w:val="32"/>
          <w:szCs w:val="32"/>
          <w:lang w:val="en-US" w:eastAsia="zh-CN"/>
        </w:rPr>
        <w:t>360</w:t>
      </w:r>
      <w:r>
        <w:rPr>
          <w:rFonts w:hint="eastAsia" w:ascii="仿宋_GB2312" w:hAnsi="仿宋" w:eastAsia="仿宋_GB2312" w:cs="仿宋"/>
          <w:color w:val="000000"/>
          <w:sz w:val="32"/>
          <w:szCs w:val="32"/>
          <w:lang w:eastAsia="zh-CN"/>
        </w:rPr>
        <w:t>元；3.处罚款2640元（为货值金额4倍）；罚没款合计</w:t>
      </w:r>
      <w:r>
        <w:rPr>
          <w:rFonts w:hint="eastAsia" w:ascii="仿宋_GB2312" w:hAnsi="仿宋" w:eastAsia="仿宋_GB2312" w:cs="仿宋"/>
          <w:color w:val="000000"/>
          <w:sz w:val="32"/>
          <w:szCs w:val="32"/>
          <w:lang w:val="en-US" w:eastAsia="zh-CN"/>
        </w:rPr>
        <w:t>3000</w:t>
      </w:r>
      <w:r>
        <w:rPr>
          <w:rFonts w:hint="eastAsia" w:ascii="仿宋_GB2312" w:hAnsi="仿宋" w:eastAsia="仿宋_GB2312" w:cs="仿宋"/>
          <w:color w:val="000000"/>
          <w:sz w:val="32"/>
          <w:szCs w:val="32"/>
          <w:lang w:eastAsia="zh-CN"/>
        </w:rPr>
        <w:t>元。</w:t>
      </w:r>
    </w:p>
    <w:p>
      <w:pPr>
        <w:autoSpaceDE w:val="0"/>
        <w:autoSpaceDN w:val="0"/>
        <w:adjustRightInd w:val="0"/>
        <w:spacing w:line="44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color w:val="000000"/>
          <w:sz w:val="32"/>
          <w:szCs w:val="32"/>
        </w:rPr>
        <w:t>请在接到本处罚决定书之日起15日内将罚没款缴到中国邮政储蓄银行股份有限公司陆河县支行</w:t>
      </w:r>
      <w:r>
        <w:rPr>
          <w:rFonts w:hint="eastAsia" w:ascii="仿宋_GB2312" w:hAnsi="仿宋" w:eastAsia="仿宋_GB2312" w:cs="仿宋"/>
          <w:color w:val="000000"/>
          <w:kern w:val="0"/>
          <w:sz w:val="32"/>
          <w:szCs w:val="32"/>
        </w:rPr>
        <w:t>。逾期不缴纳罚没款的，根据《中华人民共和国行政处罚法》第五十一条第一项的规定，每日按罚款数额的3%加处罚款，并将依法申请人民法院强制执行。</w:t>
      </w:r>
    </w:p>
    <w:p>
      <w:pPr>
        <w:autoSpaceDE w:val="0"/>
        <w:autoSpaceDN w:val="0"/>
        <w:adjustRightInd w:val="0"/>
        <w:spacing w:line="440" w:lineRule="exact"/>
        <w:ind w:firstLine="640" w:firstLineChars="200"/>
        <w:jc w:val="left"/>
        <w:rPr>
          <w:rFonts w:ascii="仿宋_GB2312" w:hAnsi="仿宋" w:eastAsia="仿宋_GB2312"/>
          <w:color w:val="000000"/>
          <w:kern w:val="0"/>
          <w:sz w:val="24"/>
          <w:szCs w:val="21"/>
        </w:rPr>
      </w:pPr>
      <w:r>
        <w:rPr>
          <w:rFonts w:hint="eastAsia" w:ascii="仿宋_GB2312" w:hAnsi="仿宋" w:eastAsia="仿宋_GB2312" w:cs="仿宋"/>
          <w:color w:val="000000"/>
          <w:kern w:val="0"/>
          <w:sz w:val="32"/>
          <w:szCs w:val="32"/>
        </w:rPr>
        <w:t>如不服本处罚决定，可在接到本处罚决定书之日起60日内向</w:t>
      </w:r>
      <w:r>
        <w:rPr>
          <w:rFonts w:hint="eastAsia" w:ascii="仿宋_GB2312" w:hAnsi="仿宋" w:eastAsia="仿宋_GB2312" w:cs="仿宋"/>
          <w:color w:val="000000"/>
          <w:sz w:val="32"/>
          <w:szCs w:val="32"/>
        </w:rPr>
        <w:t>汕尾市</w:t>
      </w:r>
      <w:r>
        <w:rPr>
          <w:rFonts w:hint="eastAsia" w:ascii="仿宋_GB2312" w:hAnsi="仿宋" w:eastAsia="仿宋_GB2312" w:cs="仿宋"/>
          <w:color w:val="000000"/>
          <w:kern w:val="0"/>
          <w:sz w:val="32"/>
          <w:szCs w:val="32"/>
        </w:rPr>
        <w:t>食品药品监督管理局或者</w:t>
      </w:r>
      <w:r>
        <w:rPr>
          <w:rFonts w:hint="eastAsia" w:ascii="仿宋_GB2312" w:hAnsi="仿宋" w:eastAsia="仿宋_GB2312" w:cs="仿宋"/>
          <w:color w:val="000000"/>
          <w:sz w:val="32"/>
          <w:szCs w:val="32"/>
        </w:rPr>
        <w:t>陆河县</w:t>
      </w:r>
      <w:r>
        <w:rPr>
          <w:rFonts w:hint="eastAsia" w:ascii="仿宋_GB2312" w:hAnsi="仿宋" w:eastAsia="仿宋_GB2312" w:cs="仿宋"/>
          <w:color w:val="000000"/>
          <w:kern w:val="0"/>
          <w:sz w:val="32"/>
          <w:szCs w:val="32"/>
        </w:rPr>
        <w:t>人民政府申请行政复议，也可以于6个月内依法向</w:t>
      </w:r>
      <w:r>
        <w:rPr>
          <w:rFonts w:hint="eastAsia" w:ascii="仿宋_GB2312" w:hAnsi="仿宋" w:eastAsia="仿宋_GB2312" w:cs="仿宋"/>
          <w:color w:val="000000"/>
          <w:sz w:val="32"/>
          <w:szCs w:val="32"/>
        </w:rPr>
        <w:t>陆河县</w:t>
      </w:r>
      <w:r>
        <w:rPr>
          <w:rFonts w:hint="eastAsia" w:ascii="仿宋_GB2312" w:hAnsi="仿宋" w:eastAsia="仿宋_GB2312" w:cs="仿宋"/>
          <w:color w:val="000000"/>
          <w:kern w:val="0"/>
          <w:sz w:val="32"/>
          <w:szCs w:val="32"/>
        </w:rPr>
        <w:t>人民法院提起行政诉讼。</w:t>
      </w:r>
    </w:p>
    <w:p>
      <w:pPr>
        <w:autoSpaceDE w:val="0"/>
        <w:autoSpaceDN w:val="0"/>
        <w:adjustRightInd w:val="0"/>
        <w:spacing w:before="156" w:beforeLines="50"/>
        <w:rPr>
          <w:rFonts w:ascii="仿宋_GB2312" w:hAnsi="仿宋" w:eastAsia="仿宋_GB2312"/>
          <w:color w:val="000000"/>
          <w:kern w:val="0"/>
          <w:sz w:val="24"/>
          <w:szCs w:val="21"/>
        </w:rPr>
      </w:pPr>
    </w:p>
    <w:p>
      <w:pPr>
        <w:tabs>
          <w:tab w:val="left" w:pos="8364"/>
        </w:tabs>
        <w:autoSpaceDE w:val="0"/>
        <w:autoSpaceDN w:val="0"/>
        <w:adjustRightInd w:val="0"/>
        <w:spacing w:before="156" w:beforeLines="50" w:line="300" w:lineRule="exact"/>
        <w:ind w:right="420"/>
        <w:jc w:val="left"/>
        <w:rPr>
          <w:rFonts w:hint="eastAsia" w:ascii="仿宋_GB2312" w:hAnsi="仿宋" w:eastAsia="仿宋_GB2312"/>
          <w:color w:val="000000"/>
          <w:kern w:val="0"/>
          <w:sz w:val="32"/>
          <w:szCs w:val="32"/>
        </w:rPr>
      </w:pPr>
    </w:p>
    <w:p>
      <w:pPr>
        <w:tabs>
          <w:tab w:val="left" w:pos="8364"/>
        </w:tabs>
        <w:autoSpaceDE w:val="0"/>
        <w:autoSpaceDN w:val="0"/>
        <w:adjustRightInd w:val="0"/>
        <w:spacing w:before="156" w:beforeLines="50" w:line="300" w:lineRule="exact"/>
        <w:ind w:right="420" w:firstLine="6080" w:firstLineChars="1900"/>
        <w:jc w:val="left"/>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（公    章）</w:t>
      </w:r>
    </w:p>
    <w:p>
      <w:pPr>
        <w:autoSpaceDE w:val="0"/>
        <w:autoSpaceDN w:val="0"/>
        <w:adjustRightInd w:val="0"/>
        <w:spacing w:before="156" w:beforeLines="50"/>
        <w:ind w:firstLine="5760" w:firstLineChars="1800"/>
        <w:jc w:val="right"/>
        <w:rPr>
          <w:rFonts w:ascii="仿宋_GB2312" w:hAnsi="仿宋" w:eastAsia="仿宋_GB2312"/>
          <w:color w:val="000000"/>
          <w:kern w:val="0"/>
          <w:sz w:val="24"/>
          <w:szCs w:val="21"/>
        </w:rPr>
      </w:pPr>
      <w:r>
        <w:rPr>
          <w:rFonts w:hint="eastAsia" w:ascii="仿宋_GB2312" w:hAnsi="仿宋" w:eastAsia="仿宋_GB2312" w:cs="仿宋"/>
          <w:color w:val="000000"/>
          <w:sz w:val="32"/>
          <w:szCs w:val="32"/>
          <w:lang w:eastAsia="zh-CN"/>
        </w:rPr>
        <w:t>2018年</w:t>
      </w:r>
      <w:r>
        <w:rPr>
          <w:rFonts w:hint="eastAsia" w:ascii="仿宋_GB2312" w:hAnsi="仿宋" w:eastAsia="仿宋_GB2312" w:cs="仿宋"/>
          <w:color w:val="000000"/>
          <w:sz w:val="32"/>
          <w:szCs w:val="32"/>
          <w:lang w:val="en-US" w:eastAsia="zh-CN"/>
        </w:rPr>
        <w:t>7</w:t>
      </w:r>
      <w:r>
        <w:rPr>
          <w:rFonts w:hint="eastAsia" w:ascii="仿宋_GB2312" w:hAnsi="仿宋" w:eastAsia="仿宋_GB2312"/>
          <w:color w:val="000000"/>
          <w:kern w:val="0"/>
          <w:sz w:val="32"/>
          <w:szCs w:val="32"/>
        </w:rPr>
        <w:t>月</w:t>
      </w:r>
      <w:r>
        <w:rPr>
          <w:rFonts w:hint="eastAsia" w:ascii="仿宋_GB2312" w:hAnsi="仿宋" w:eastAsia="仿宋_GB2312"/>
          <w:color w:val="000000"/>
          <w:kern w:val="0"/>
          <w:sz w:val="32"/>
          <w:szCs w:val="32"/>
          <w:lang w:val="en-US" w:eastAsia="zh-CN"/>
        </w:rPr>
        <w:t>16</w:t>
      </w:r>
      <w:r>
        <w:rPr>
          <w:rFonts w:hint="eastAsia" w:ascii="仿宋_GB2312" w:hAnsi="仿宋" w:eastAsia="仿宋_GB2312"/>
          <w:color w:val="000000"/>
          <w:kern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96E50"/>
    <w:rsid w:val="11571284"/>
    <w:rsid w:val="21FF766A"/>
    <w:rsid w:val="24350510"/>
    <w:rsid w:val="28382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17"/>
    <w:basedOn w:val="1"/>
    <w:qFormat/>
    <w:uiPriority w:val="0"/>
    <w:pPr>
      <w:widowControl/>
      <w:spacing w:before="100" w:after="1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2018-08-02T03:49:13Z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