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食品药品行政处罚文书</w:t>
      </w:r>
    </w:p>
    <w:p>
      <w:pPr>
        <w:autoSpaceDE w:val="0"/>
        <w:autoSpaceDN w:val="0"/>
        <w:adjustRightInd w:val="0"/>
        <w:jc w:val="center"/>
        <w:rPr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行政处罚决定书</w:t>
      </w:r>
    </w:p>
    <w:p>
      <w:pPr>
        <w:autoSpaceDE w:val="0"/>
        <w:autoSpaceDN w:val="0"/>
        <w:adjustRightInd w:val="0"/>
        <w:spacing w:line="440" w:lineRule="exact"/>
        <w:jc w:val="right"/>
        <w:rPr>
          <w:rFonts w:hint="eastAsia" w:ascii="仿宋_GB2312" w:hAnsi="仿宋" w:eastAsia="仿宋_GB2312" w:cs="仿宋"/>
          <w:color w:val="000000"/>
          <w:szCs w:val="18"/>
          <w:lang w:eastAsia="zh-CN"/>
        </w:rPr>
      </w:pPr>
      <w:r>
        <w:rPr>
          <w:rFonts w:hint="eastAsia" w:ascii="仿宋_GB2312" w:hAnsi="仿宋" w:eastAsia="仿宋_GB2312"/>
          <w:color w:val="000000"/>
          <w:szCs w:val="18"/>
          <w:lang w:eastAsia="zh-CN"/>
        </w:rPr>
        <w:t>（陆河）食药监药罚〔2018〕3号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.15pt;height:0.05pt;width:442.2pt;z-index:251684864;mso-width-relative:page;mso-height-relative:page;" filled="f" coordsize="21600,21600" o:gfxdata="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4LCk1QAAAAcBAAAPAAAAAAAAAAEA&#10;IAAAACIAAABkcnMvZG93bnJldi54bWxQSwECFAAUAAAACACHTuJAAbTvW9kBAACZAwAADgAAAAAA&#10;AAABACAAAAAkAQAAZHJzL2Uyb0RvYy54bWxQSwUGAAAAAAYABgBZAQAAbwUAAAAA&#10;">
                <v:path arrowok="t"/>
                <v:fill on="f" focussize="0,0"/>
                <v:stroke weight="1.5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32"/>
          <w:szCs w:val="32"/>
        </w:rPr>
        <w:t>当事人: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陆河县城益康药材店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陆河县城人民路中段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营业执照或其他资质证明：营业执照   </w:t>
      </w:r>
      <w:bookmarkStart w:id="0" w:name="_GoBack"/>
      <w:bookmarkEnd w:id="0"/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统一社会信用代码 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92441523L07467503U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ab/>
      </w: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主要负责人：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罗菊芳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性别：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你店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销售的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中药饮片北柴胡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，经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检验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，检验结果为：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“性状”项不符合中国药典炮制通则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，不符合规定（《检验报告》报告编号：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2018CC00062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）。根据《中华人民共和国药品管理法》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第四十九条第三款第（六）项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上述中药饮片北柴胡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为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劣药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你店以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120元/kg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的价格从广东汇群中药饮片股份有限公司购进了3kg北柴胡，该批北柴胡被抽检了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0.25kg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，销售了2.5kg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，被我局扣押了0.25kg，销售价格为150元/kg，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货值金额为450元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违法所得为375元。你店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对检验结果无异议，承认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销售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劣药的违法行为。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bCs/>
          <w:color w:val="000000"/>
          <w:sz w:val="32"/>
          <w:szCs w:val="32"/>
        </w:rPr>
      </w:pPr>
    </w:p>
    <w:p>
      <w:pPr>
        <w:tabs>
          <w:tab w:val="right" w:pos="8306"/>
        </w:tabs>
        <w:spacing w:line="440" w:lineRule="exact"/>
        <w:ind w:hanging="1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color w:val="000000"/>
          <w:sz w:val="32"/>
          <w:szCs w:val="32"/>
        </w:rPr>
        <w:t>证据材料：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1.陆河县城益康药材店《药品经营许可证》、《药品经营质量管理规范认证证书》、《营业执照》复印件；2.陆河县城益康药材店负责人罗菊芳身份证复印件、受托书、受委托人罗菊芳身份证复印件；3.梅州市食品药品检验所检验报告，报告编号：2018CC00062；4.《现场检查笔录》；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5.购进票据、发票、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劳务清单及广东汇群中药饮片股份有限公司的资质证明材料；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对罗菊芳的询问调查笔录。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你单位的上述行为已违反了《中华人民共和国药品管理法》第四十九条第一款的规定：“禁止生产、销售劣药。”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0"/>
          <w:sz w:val="32"/>
          <w:szCs w:val="32"/>
        </w:rPr>
        <w:t>行政处罚依据和种类：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依据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《汕尾市食品药品监督管理局规范行政处罚自由裁量权暂行规定》和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《中华人民共和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  <w:lang w:eastAsia="zh-CN"/>
        </w:rPr>
        <w:t>国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</w:rPr>
        <w:t>药品管理法》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  <w:lang w:eastAsia="zh-CN"/>
        </w:rPr>
        <w:t>第七十四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条：“生产、销售劣药的，没收违法生产、销售的药品和违法所得，并处违法生产、销售药品货值金额一倍以上三倍以下的罚款；情节严重的，责令停产、停业整顿或者撤销药品批准证明文件、吊销《药品生产许可证》、《药品经营许可证》或者《医疗机构制剂许可证》；构成犯罪的，依法追究刑事责任。”的规定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  <w:lang w:eastAsia="zh-CN"/>
        </w:rPr>
        <w:t>行政处罚种类：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1.没收未销售的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不合格中药饮片；2.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没收违法所得；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.罚款。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本局决定对你（单位）给予以下行政处罚：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1.没收未销售的0.25kg不合格中药饮片；2.没收违法所得375元；3.处货值金额450元1.8倍的罚款，即810元；罚没款合计1185元。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在接到本处罚决定书之日起15日内将罚没款缴到中国邮政储蓄银行股份有限公司陆河县支行（陆河范围内营业网点）。逾期不缴纳罚没款的，根据《中华人民共和国行政处罚法》第五十一条第一项的规定，每日按罚款数额的3%加处罚款，并将依法申请人民法院强制执行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如不服本处罚决定，可在接到本处罚决定书之日起60日内向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汕尾市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食品药品监督管理局或者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陆河县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人民政府申请行政复议，也可以于6个月内依法向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海丰县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人民法院提起行政诉讼。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auto"/>
        <w:ind w:left="5760" w:right="420" w:hanging="5760" w:hangingChars="1800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                                    （公  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auto"/>
        <w:ind w:firstLine="5760" w:firstLineChars="1800"/>
        <w:textAlignment w:val="auto"/>
        <w:outlineLvl w:val="9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2018年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6月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before="156" w:beforeLines="50"/>
        <w:ind w:firstLine="100" w:firstLineChar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ind w:firstLine="100" w:firstLineChar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ind w:firstLine="100" w:firstLineChars="50"/>
        <w:jc w:val="left"/>
      </w:pPr>
      <w:r>
        <w:rPr>
          <w:rFonts w:hint="eastAsia" w:ascii="仿宋_GB2312" w:hAnsi="仿宋" w:eastAsia="仿宋_GB2312"/>
          <w:color w:val="000000"/>
          <w:sz w:val="20"/>
          <w:szCs w:val="20"/>
        </w:rPr>
        <w:t>注：正文3号仿宋体字，存档（1），必要时交</w:t>
      </w:r>
      <w:r>
        <w:rPr>
          <w:rFonts w:hint="eastAsia" w:ascii="仿宋_GB2312" w:hAnsi="仿宋" w:eastAsia="仿宋_GB2312" w:cs="仿宋"/>
          <w:color w:val="000000"/>
          <w:szCs w:val="21"/>
        </w:rPr>
        <w:t>×××</w:t>
      </w:r>
      <w:r>
        <w:rPr>
          <w:rFonts w:hint="eastAsia" w:ascii="仿宋_GB2312" w:hAnsi="仿宋" w:eastAsia="仿宋_GB2312"/>
          <w:color w:val="000000"/>
          <w:sz w:val="20"/>
          <w:szCs w:val="20"/>
        </w:rPr>
        <w:t>人民法院强制执行（1）。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568C6"/>
    <w:rsid w:val="18C2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2018-08-02T07:05:32Z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