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AFCD4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陆河县2024年度县级预算执行和其他财政收支审计查出问题整改情况的报告解读</w:t>
      </w:r>
    </w:p>
    <w:p w14:paraId="3ABE411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p>
    <w:p w14:paraId="6E5AE53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日，</w:t>
      </w:r>
      <w:r>
        <w:rPr>
          <w:rFonts w:hint="default" w:ascii="Times New Roman" w:hAnsi="Times New Roman" w:eastAsia="仿宋_GB2312" w:cs="Times New Roman"/>
          <w:sz w:val="32"/>
          <w:szCs w:val="32"/>
          <w:lang w:val="en-US" w:eastAsia="zh-CN"/>
        </w:rPr>
        <w:t>县第九届人民代表大会常务委员会第</w:t>
      </w:r>
      <w:r>
        <w:rPr>
          <w:rFonts w:hint="eastAsia" w:ascii="Times New Roman" w:hAnsi="Times New Roman" w:eastAsia="仿宋_GB2312" w:cs="Times New Roman"/>
          <w:sz w:val="32"/>
          <w:szCs w:val="32"/>
          <w:lang w:val="en-US" w:eastAsia="zh-CN"/>
        </w:rPr>
        <w:t>四十八</w:t>
      </w:r>
      <w:r>
        <w:rPr>
          <w:rFonts w:hint="default" w:ascii="Times New Roman" w:hAnsi="Times New Roman" w:eastAsia="仿宋_GB2312" w:cs="Times New Roman"/>
          <w:sz w:val="32"/>
          <w:szCs w:val="32"/>
          <w:lang w:val="en-US" w:eastAsia="zh-CN"/>
        </w:rPr>
        <w:t>次会议</w:t>
      </w:r>
      <w:r>
        <w:rPr>
          <w:rFonts w:hint="default" w:ascii="Times New Roman" w:hAnsi="Times New Roman" w:eastAsia="仿宋_GB2312" w:cs="Times New Roman"/>
          <w:sz w:val="32"/>
          <w:szCs w:val="32"/>
        </w:rPr>
        <w:t>听取和审议了《陆河县人民政府关于202</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年度县级预算执行和其他财政收支审计查出问题整改情况的报告》（以下简称《审计整改报告》）。《审计整改报告》全面</w:t>
      </w:r>
      <w:bookmarkStart w:id="0" w:name="_GoBack"/>
      <w:bookmarkEnd w:id="0"/>
      <w:r>
        <w:rPr>
          <w:rFonts w:hint="default" w:ascii="Times New Roman" w:hAnsi="Times New Roman" w:eastAsia="仿宋_GB2312" w:cs="Times New Roman"/>
          <w:sz w:val="32"/>
          <w:szCs w:val="32"/>
        </w:rPr>
        <w:t>客观反映了我</w:t>
      </w:r>
      <w:r>
        <w:rPr>
          <w:rFonts w:hint="default" w:ascii="Times New Roman" w:hAnsi="Times New Roman" w:eastAsia="仿宋_GB2312" w:cs="Times New Roman"/>
          <w:sz w:val="32"/>
          <w:szCs w:val="32"/>
          <w:lang w:val="en-US" w:eastAsia="zh-CN"/>
        </w:rPr>
        <w:t>县</w:t>
      </w:r>
      <w:r>
        <w:rPr>
          <w:rFonts w:hint="default" w:ascii="Times New Roman" w:hAnsi="Times New Roman" w:eastAsia="仿宋_GB2312" w:cs="Times New Roman"/>
          <w:sz w:val="32"/>
          <w:szCs w:val="32"/>
        </w:rPr>
        <w:t>审计整改工作部署、措施和成效，主要呈现以下特点：</w:t>
      </w:r>
    </w:p>
    <w:p w14:paraId="397F213C">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组织</w:t>
      </w:r>
      <w:r>
        <w:rPr>
          <w:rFonts w:hint="eastAsia" w:ascii="黑体" w:hAnsi="黑体" w:eastAsia="黑体" w:cs="黑体"/>
          <w:sz w:val="32"/>
          <w:szCs w:val="32"/>
        </w:rPr>
        <w:t>部署有力</w:t>
      </w:r>
    </w:p>
    <w:p w14:paraId="2DA82FF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县委、县政府高度重视审计查出问题的整改工作。县委主要负责同志多次主持召开县委常委会会议、县委审计委员会会议，深入学习贯彻二十届中央审计委员会第三次会议精神，研究部署审计整改工作，要求压实各方审计整改责任，促进发现问题、完善制度、堵塞漏洞，不断提升审计监督效能。县政府主要负责同志多次主持召开县政府常务会议，研究审计整改进展情况，要求落实责任、健全机制、形成合力，推动问题整改见底清零，确保审计成果高效运用。</w:t>
      </w:r>
    </w:p>
    <w:p w14:paraId="5119F464">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工作</w:t>
      </w:r>
      <w:r>
        <w:rPr>
          <w:rFonts w:hint="eastAsia" w:ascii="黑体" w:hAnsi="黑体" w:eastAsia="黑体" w:cs="黑体"/>
          <w:sz w:val="32"/>
          <w:szCs w:val="32"/>
        </w:rPr>
        <w:t>亮点突出</w:t>
      </w:r>
    </w:p>
    <w:p w14:paraId="4609A245">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楷体" w:hAnsi="楷体" w:eastAsia="楷体" w:cs="楷体"/>
          <w:b w:val="0"/>
          <w:bCs w:val="0"/>
          <w:sz w:val="32"/>
          <w:szCs w:val="32"/>
          <w:lang w:val="en-US" w:eastAsia="zh-CN"/>
        </w:rPr>
        <w:t>进一步扛牢抓实整改政治责任。</w:t>
      </w:r>
      <w:r>
        <w:rPr>
          <w:rFonts w:hint="default" w:ascii="Times New Roman" w:hAnsi="Times New Roman" w:eastAsia="仿宋_GB2312" w:cs="Times New Roman"/>
          <w:sz w:val="32"/>
          <w:szCs w:val="32"/>
          <w:lang w:val="en-US" w:eastAsia="zh-CN"/>
        </w:rPr>
        <w:t>县委、县政府始终将审计整改作为重要政治任务，高位统筹推进。2025年以来，召开了县委审计委员会会议、县委常委会、县政府常务会、全县审计工作会议4次会议，专题听取审计查出问题整改情况报告，逐一研判重点难点问题，精准部署整改工作任务，明确整改责任主体、整改时限和工作要求。压实各方审计整改责任，促进发现问题、完善制度、堵塞漏洞，不断提升审计监督效能。</w:t>
      </w:r>
    </w:p>
    <w:p w14:paraId="10EF6551">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楷体" w:hAnsi="楷体" w:eastAsia="楷体" w:cs="楷体"/>
          <w:sz w:val="32"/>
          <w:szCs w:val="32"/>
        </w:rPr>
        <w:t>进一步织密扎牢监督检查防线</w:t>
      </w:r>
      <w:r>
        <w:rPr>
          <w:rFonts w:hint="eastAsia" w:ascii="楷体" w:hAnsi="楷体" w:eastAsia="楷体" w:cs="楷体"/>
          <w:b w:val="0"/>
          <w:bCs w:val="0"/>
          <w:sz w:val="32"/>
          <w:szCs w:val="32"/>
          <w:lang w:val="en-US" w:eastAsia="zh-CN"/>
        </w:rPr>
        <w:t>。</w:t>
      </w:r>
      <w:r>
        <w:rPr>
          <w:rFonts w:hint="default" w:ascii="Times New Roman" w:hAnsi="Times New Roman" w:eastAsia="仿宋_GB2312" w:cs="Times New Roman"/>
          <w:sz w:val="32"/>
          <w:szCs w:val="32"/>
          <w:lang w:val="en-US" w:eastAsia="zh-CN"/>
        </w:rPr>
        <w:t>聚焦审计整改全流程管控，多措并举强化日常督导和专项检查，确保问题整改不打折扣、不留死角。2025年以来，县审计局已发送整改提醒函10份，覆盖8个乡镇和18个相关责任单位，督促其对照问题清单逐项梳理、加快推进，切实拧紧整改“责任链”。扎实开展审计整改“回头看”专项监督检查，对4个单位开展现场督查，通过查阅资料、实地核查、座谈询问等方式，对整改成效进行全面核验，对整改不到位的问题现场反馈，坚决防止问题反弹回潮，推动整改工作往深里走、往实里走。</w:t>
      </w:r>
    </w:p>
    <w:p w14:paraId="12E469E7">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楷体" w:hAnsi="楷体" w:eastAsia="楷体" w:cs="楷体"/>
          <w:b w:val="0"/>
          <w:bCs w:val="0"/>
          <w:sz w:val="32"/>
          <w:szCs w:val="32"/>
          <w:lang w:val="en-US" w:eastAsia="zh-CN"/>
        </w:rPr>
        <w:t>进一步整合凝聚整改攻坚力量。</w:t>
      </w:r>
      <w:r>
        <w:rPr>
          <w:rFonts w:hint="default" w:ascii="Times New Roman" w:hAnsi="Times New Roman" w:eastAsia="仿宋_GB2312" w:cs="Times New Roman"/>
          <w:sz w:val="32"/>
          <w:szCs w:val="32"/>
          <w:lang w:val="en-US" w:eastAsia="zh-CN"/>
        </w:rPr>
        <w:t>打破部门壁垒，构建多维度、跨部门协同整改工作机制，形成上下联动、左右协同的整改合力。县委、县政府加强对审计整改工作督查督办，对审计整改不到位的重要事项定期梳理汇总，组织开展专项督查。2025年，县委办将2019年至2023年审计查出尚未完成整改的问题纳入督办系统，动态跟踪整改进度，倒逼责任落实。县人大常委会对审计查出问题开展跟踪调研和监督检查，有力推动审计整改落实。县纪委监委通过加强沟通联系、健全工作机制等方式，推动纪检监察监督与审计监督有机贯通、同向发力，有效发挥联动叠加效应。2025年以来，县审计局向纪检监察机关和有关主管部门共移送问题事项5项，以严的纪律保障整改工作落地见效。</w:t>
      </w:r>
    </w:p>
    <w:p w14:paraId="534B26EB">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黑体" w:hAnsi="黑体" w:eastAsia="黑体" w:cs="黑体"/>
          <w:sz w:val="32"/>
          <w:szCs w:val="32"/>
        </w:rPr>
      </w:pPr>
      <w:r>
        <w:rPr>
          <w:rFonts w:hint="eastAsia" w:ascii="黑体" w:hAnsi="黑体" w:eastAsia="黑体" w:cs="黑体"/>
          <w:sz w:val="32"/>
          <w:szCs w:val="32"/>
          <w:lang w:val="en-US" w:eastAsia="zh-CN"/>
        </w:rPr>
        <w:t>整改成效明显</w:t>
      </w:r>
    </w:p>
    <w:p w14:paraId="5A5C70E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各相关单位主动作为、措施有力，采取编实编细部门预算、规范财务管理、加快项目推进、建立和完善规章制度等措施，推动整改工作取得成效。截至2026年5月，《审计工作报告》反映的75个问题，已整改到位60个</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完成整改问题金额10146.40万元</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促进建立和完善规章制度5项。尚未完全整改到位的15个问题均已制定整改措施和计划。</w:t>
      </w:r>
    </w:p>
    <w:p w14:paraId="30566A4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在财政管理方面，</w:t>
      </w:r>
      <w:r>
        <w:rPr>
          <w:rFonts w:hint="default" w:ascii="Times New Roman" w:hAnsi="Times New Roman" w:eastAsia="仿宋_GB2312" w:cs="Times New Roman"/>
          <w:sz w:val="32"/>
          <w:szCs w:val="32"/>
        </w:rPr>
        <w:t>审计反映问题</w:t>
      </w:r>
      <w:r>
        <w:rPr>
          <w:rFonts w:hint="eastAsia" w:ascii="Times New Roman" w:hAnsi="Times New Roman" w:eastAsia="仿宋_GB2312" w:cs="Times New Roman"/>
          <w:sz w:val="32"/>
          <w:szCs w:val="32"/>
          <w:lang w:val="en-US" w:eastAsia="zh-CN"/>
        </w:rPr>
        <w:t>10</w:t>
      </w:r>
      <w:r>
        <w:rPr>
          <w:rFonts w:hint="default" w:ascii="Times New Roman" w:hAnsi="Times New Roman" w:eastAsia="仿宋_GB2312" w:cs="Times New Roman"/>
          <w:sz w:val="32"/>
          <w:szCs w:val="32"/>
        </w:rPr>
        <w:t>个</w:t>
      </w:r>
      <w:r>
        <w:rPr>
          <w:rFonts w:hint="default" w:ascii="Times New Roman" w:hAnsi="Times New Roman" w:eastAsia="仿宋_GB2312" w:cs="Times New Roman"/>
          <w:sz w:val="32"/>
          <w:szCs w:val="32"/>
          <w:lang w:eastAsia="zh-CN"/>
        </w:rPr>
        <w:t>，已整改到位</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lang w:eastAsia="zh-CN"/>
        </w:rPr>
        <w:t>个。重点</w:t>
      </w:r>
      <w:r>
        <w:rPr>
          <w:rFonts w:hint="eastAsia" w:ascii="Times New Roman" w:hAnsi="Times New Roman" w:eastAsia="仿宋_GB2312" w:cs="Times New Roman"/>
          <w:sz w:val="32"/>
          <w:szCs w:val="32"/>
          <w:lang w:eastAsia="zh-CN"/>
        </w:rPr>
        <w:t>围绕</w:t>
      </w:r>
      <w:r>
        <w:rPr>
          <w:rFonts w:hint="default" w:ascii="Times New Roman" w:hAnsi="Times New Roman" w:eastAsia="仿宋_GB2312" w:cs="Times New Roman"/>
          <w:sz w:val="32"/>
          <w:szCs w:val="32"/>
          <w:lang w:val="en-US" w:eastAsia="zh-CN"/>
        </w:rPr>
        <w:t>财政运行</w:t>
      </w:r>
      <w:r>
        <w:rPr>
          <w:rFonts w:hint="eastAsia" w:ascii="Times New Roman" w:hAnsi="Times New Roman" w:eastAsia="仿宋_GB2312" w:cs="Times New Roman"/>
          <w:sz w:val="32"/>
          <w:szCs w:val="32"/>
          <w:lang w:val="en-US" w:eastAsia="zh-CN"/>
        </w:rPr>
        <w:t>、财政收支、</w:t>
      </w:r>
      <w:r>
        <w:rPr>
          <w:rFonts w:hint="default" w:ascii="Times New Roman" w:hAnsi="Times New Roman" w:eastAsia="仿宋_GB2312" w:cs="Times New Roman"/>
          <w:sz w:val="32"/>
          <w:szCs w:val="32"/>
          <w:lang w:val="en-US" w:eastAsia="zh-CN"/>
        </w:rPr>
        <w:t>政府债券资金项目等</w:t>
      </w:r>
      <w:r>
        <w:rPr>
          <w:rFonts w:hint="eastAsia" w:ascii="Times New Roman" w:hAnsi="Times New Roman" w:eastAsia="仿宋_GB2312" w:cs="Times New Roman"/>
          <w:sz w:val="32"/>
          <w:szCs w:val="32"/>
          <w:lang w:val="en-US" w:eastAsia="zh-CN"/>
        </w:rPr>
        <w:t>关键环节开展</w:t>
      </w:r>
      <w:r>
        <w:rPr>
          <w:rFonts w:hint="default" w:ascii="Times New Roman" w:hAnsi="Times New Roman" w:eastAsia="仿宋_GB2312" w:cs="Times New Roman"/>
          <w:sz w:val="32"/>
          <w:szCs w:val="32"/>
          <w:lang w:val="en-US" w:eastAsia="zh-CN"/>
        </w:rPr>
        <w:t>整改，</w:t>
      </w:r>
      <w:r>
        <w:rPr>
          <w:rFonts w:hint="eastAsia" w:ascii="Times New Roman" w:hAnsi="Times New Roman" w:eastAsia="仿宋_GB2312" w:cs="Times New Roman"/>
          <w:sz w:val="32"/>
          <w:szCs w:val="32"/>
          <w:lang w:val="en-US" w:eastAsia="zh-CN"/>
        </w:rPr>
        <w:t>着力</w:t>
      </w:r>
      <w:r>
        <w:rPr>
          <w:rFonts w:hint="default" w:ascii="Times New Roman" w:hAnsi="Times New Roman" w:eastAsia="仿宋_GB2312" w:cs="Times New Roman"/>
          <w:sz w:val="32"/>
          <w:szCs w:val="32"/>
          <w:lang w:val="en-US" w:eastAsia="zh-CN"/>
        </w:rPr>
        <w:t>规范预算编制执行、强化非税收入征管、严格政府债券项目全流程管控，</w:t>
      </w:r>
      <w:r>
        <w:rPr>
          <w:rFonts w:hint="eastAsia" w:ascii="Times New Roman" w:hAnsi="Times New Roman" w:eastAsia="仿宋_GB2312" w:cs="Times New Roman"/>
          <w:sz w:val="32"/>
          <w:szCs w:val="32"/>
          <w:lang w:val="en-US" w:eastAsia="zh-CN"/>
        </w:rPr>
        <w:t>切实</w:t>
      </w:r>
      <w:r>
        <w:rPr>
          <w:rFonts w:hint="default" w:ascii="Times New Roman" w:hAnsi="Times New Roman" w:eastAsia="仿宋_GB2312" w:cs="Times New Roman"/>
          <w:sz w:val="32"/>
          <w:szCs w:val="32"/>
          <w:lang w:val="en-US" w:eastAsia="zh-CN"/>
        </w:rPr>
        <w:t>提升财政资源配置效率和资金使用效益。</w:t>
      </w:r>
    </w:p>
    <w:p w14:paraId="3E28543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在</w:t>
      </w:r>
      <w:r>
        <w:rPr>
          <w:rFonts w:hint="default" w:ascii="Times New Roman" w:hAnsi="Times New Roman" w:eastAsia="仿宋_GB2312" w:cs="Times New Roman"/>
          <w:sz w:val="32"/>
          <w:szCs w:val="32"/>
        </w:rPr>
        <w:t>部门预算执行</w:t>
      </w:r>
      <w:r>
        <w:rPr>
          <w:rFonts w:hint="default" w:ascii="Times New Roman" w:hAnsi="Times New Roman" w:eastAsia="仿宋_GB2312" w:cs="Times New Roman"/>
          <w:sz w:val="32"/>
          <w:szCs w:val="32"/>
          <w:lang w:val="en-US" w:eastAsia="zh-CN"/>
        </w:rPr>
        <w:t>方面</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审计反映问题</w:t>
      </w:r>
      <w:r>
        <w:rPr>
          <w:rFonts w:hint="eastAsia" w:ascii="Times New Roman" w:hAnsi="Times New Roman" w:eastAsia="仿宋_GB2312" w:cs="Times New Roman"/>
          <w:sz w:val="32"/>
          <w:szCs w:val="32"/>
          <w:lang w:val="en-US" w:eastAsia="zh-CN"/>
        </w:rPr>
        <w:t>10</w:t>
      </w:r>
      <w:r>
        <w:rPr>
          <w:rFonts w:hint="default" w:ascii="Times New Roman" w:hAnsi="Times New Roman" w:eastAsia="仿宋_GB2312" w:cs="Times New Roman"/>
          <w:sz w:val="32"/>
          <w:szCs w:val="32"/>
        </w:rPr>
        <w:t>个，已</w:t>
      </w:r>
      <w:r>
        <w:rPr>
          <w:rFonts w:hint="default" w:ascii="Times New Roman" w:hAnsi="Times New Roman" w:eastAsia="仿宋_GB2312" w:cs="Times New Roman"/>
          <w:sz w:val="32"/>
          <w:szCs w:val="32"/>
          <w:lang w:val="en-US" w:eastAsia="zh-CN"/>
        </w:rPr>
        <w:t>全部</w:t>
      </w:r>
      <w:r>
        <w:rPr>
          <w:rFonts w:hint="eastAsia" w:ascii="Times New Roman" w:hAnsi="Times New Roman" w:eastAsia="仿宋_GB2312" w:cs="Times New Roman"/>
          <w:sz w:val="32"/>
          <w:szCs w:val="32"/>
          <w:lang w:val="en-US" w:eastAsia="zh-CN"/>
        </w:rPr>
        <w:t>整改到位</w:t>
      </w:r>
      <w:r>
        <w:rPr>
          <w:rFonts w:hint="default" w:ascii="Times New Roman" w:hAnsi="Times New Roman" w:eastAsia="仿宋_GB2312" w:cs="Times New Roman"/>
          <w:sz w:val="32"/>
          <w:szCs w:val="32"/>
        </w:rPr>
        <w:t>。重点</w:t>
      </w:r>
      <w:r>
        <w:rPr>
          <w:rFonts w:hint="default" w:ascii="Times New Roman" w:hAnsi="Times New Roman" w:eastAsia="仿宋_GB2312" w:cs="Times New Roman"/>
          <w:sz w:val="32"/>
          <w:szCs w:val="32"/>
          <w:lang w:val="en-US" w:eastAsia="zh-CN"/>
        </w:rPr>
        <w:t>针对</w:t>
      </w:r>
      <w:r>
        <w:rPr>
          <w:rFonts w:hint="default" w:ascii="Times New Roman" w:hAnsi="Times New Roman" w:eastAsia="仿宋_GB2312" w:cs="Times New Roman"/>
          <w:sz w:val="32"/>
          <w:szCs w:val="32"/>
        </w:rPr>
        <w:t>资金管理使用、预</w:t>
      </w:r>
      <w:r>
        <w:rPr>
          <w:rFonts w:hint="eastAsia" w:ascii="Times New Roman" w:hAnsi="Times New Roman" w:eastAsia="仿宋_GB2312" w:cs="Times New Roman"/>
          <w:sz w:val="32"/>
          <w:szCs w:val="32"/>
          <w:lang w:val="en-US" w:eastAsia="zh-CN"/>
        </w:rPr>
        <w:t>决</w:t>
      </w:r>
      <w:r>
        <w:rPr>
          <w:rFonts w:hint="default" w:ascii="Times New Roman" w:hAnsi="Times New Roman" w:eastAsia="仿宋_GB2312" w:cs="Times New Roman"/>
          <w:sz w:val="32"/>
          <w:szCs w:val="32"/>
        </w:rPr>
        <w:t>算管理、会计核算</w:t>
      </w:r>
      <w:r>
        <w:rPr>
          <w:rFonts w:hint="default" w:ascii="Times New Roman" w:hAnsi="Times New Roman" w:eastAsia="仿宋_GB2312" w:cs="Times New Roman"/>
          <w:sz w:val="32"/>
          <w:szCs w:val="32"/>
          <w:lang w:val="en-US" w:eastAsia="zh-CN"/>
        </w:rPr>
        <w:t>等</w:t>
      </w:r>
      <w:r>
        <w:rPr>
          <w:rFonts w:hint="eastAsia" w:ascii="Times New Roman" w:hAnsi="Times New Roman" w:eastAsia="仿宋_GB2312" w:cs="Times New Roman"/>
          <w:sz w:val="32"/>
          <w:szCs w:val="32"/>
          <w:lang w:val="en-US" w:eastAsia="zh-CN"/>
        </w:rPr>
        <w:t>薄弱环节</w:t>
      </w:r>
      <w:r>
        <w:rPr>
          <w:rFonts w:hint="default" w:ascii="Times New Roman" w:hAnsi="Times New Roman" w:eastAsia="仿宋_GB2312" w:cs="Times New Roman"/>
          <w:sz w:val="32"/>
          <w:szCs w:val="32"/>
          <w:lang w:val="en-US" w:eastAsia="zh-CN"/>
        </w:rPr>
        <w:t>进行整改</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进一步</w:t>
      </w:r>
      <w:r>
        <w:rPr>
          <w:rFonts w:hint="default" w:ascii="Times New Roman" w:hAnsi="Times New Roman" w:eastAsia="仿宋_GB2312" w:cs="Times New Roman"/>
          <w:sz w:val="32"/>
          <w:szCs w:val="32"/>
        </w:rPr>
        <w:t>规范部门预</w:t>
      </w:r>
      <w:r>
        <w:rPr>
          <w:rFonts w:hint="eastAsia" w:ascii="Times New Roman" w:hAnsi="Times New Roman" w:eastAsia="仿宋_GB2312" w:cs="Times New Roman"/>
          <w:sz w:val="32"/>
          <w:szCs w:val="32"/>
          <w:lang w:val="en-US" w:eastAsia="zh-CN"/>
        </w:rPr>
        <w:t>决</w:t>
      </w:r>
      <w:r>
        <w:rPr>
          <w:rFonts w:hint="default" w:ascii="Times New Roman" w:hAnsi="Times New Roman" w:eastAsia="仿宋_GB2312" w:cs="Times New Roman"/>
          <w:sz w:val="32"/>
          <w:szCs w:val="32"/>
        </w:rPr>
        <w:t>算编制、资金审批、账务核算全流程管理，</w:t>
      </w:r>
      <w:r>
        <w:rPr>
          <w:rFonts w:hint="eastAsia" w:ascii="Times New Roman" w:hAnsi="Times New Roman" w:eastAsia="仿宋_GB2312" w:cs="Times New Roman"/>
          <w:sz w:val="32"/>
          <w:szCs w:val="32"/>
          <w:lang w:eastAsia="zh-CN"/>
        </w:rPr>
        <w:t>规范部门财经秩序，筑牢基层财务管理防线。</w:t>
      </w:r>
    </w:p>
    <w:p w14:paraId="32AB555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在重大政策措施落实方面，审计反映问题</w:t>
      </w:r>
      <w:r>
        <w:rPr>
          <w:rFonts w:hint="eastAsia" w:ascii="Times New Roman" w:hAnsi="Times New Roman" w:eastAsia="仿宋_GB2312" w:cs="Times New Roman"/>
          <w:sz w:val="32"/>
          <w:szCs w:val="32"/>
          <w:lang w:val="en-US" w:eastAsia="zh-CN"/>
        </w:rPr>
        <w:t>15</w:t>
      </w:r>
      <w:r>
        <w:rPr>
          <w:rFonts w:hint="default" w:ascii="Times New Roman" w:hAnsi="Times New Roman" w:eastAsia="仿宋_GB2312" w:cs="Times New Roman"/>
          <w:sz w:val="32"/>
          <w:szCs w:val="32"/>
          <w:lang w:val="en-US" w:eastAsia="zh-CN"/>
        </w:rPr>
        <w:t>个，</w:t>
      </w:r>
      <w:r>
        <w:rPr>
          <w:rFonts w:hint="default" w:ascii="Times New Roman" w:hAnsi="Times New Roman" w:eastAsia="仿宋_GB2312" w:cs="Times New Roman"/>
          <w:sz w:val="32"/>
          <w:szCs w:val="32"/>
        </w:rPr>
        <w:t>已</w:t>
      </w:r>
      <w:r>
        <w:rPr>
          <w:rFonts w:hint="default" w:ascii="Times New Roman" w:hAnsi="Times New Roman" w:eastAsia="仿宋_GB2312" w:cs="Times New Roman"/>
          <w:sz w:val="32"/>
          <w:szCs w:val="32"/>
          <w:lang w:val="en-US" w:eastAsia="zh-CN"/>
        </w:rPr>
        <w:t>全部</w:t>
      </w:r>
      <w:r>
        <w:rPr>
          <w:rFonts w:hint="eastAsia" w:ascii="Times New Roman" w:hAnsi="Times New Roman" w:eastAsia="仿宋_GB2312" w:cs="Times New Roman"/>
          <w:sz w:val="32"/>
          <w:szCs w:val="32"/>
          <w:lang w:val="en-US" w:eastAsia="zh-CN"/>
        </w:rPr>
        <w:t>整改到位</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重点</w:t>
      </w:r>
      <w:r>
        <w:rPr>
          <w:rFonts w:hint="eastAsia" w:ascii="Times New Roman" w:hAnsi="Times New Roman" w:eastAsia="仿宋_GB2312" w:cs="Times New Roman"/>
          <w:sz w:val="32"/>
          <w:szCs w:val="32"/>
          <w:lang w:val="en-US" w:eastAsia="zh-CN"/>
        </w:rPr>
        <w:t>围绕</w:t>
      </w:r>
      <w:r>
        <w:rPr>
          <w:rFonts w:hint="default" w:ascii="Times New Roman" w:hAnsi="Times New Roman" w:eastAsia="仿宋_GB2312" w:cs="Times New Roman"/>
          <w:sz w:val="32"/>
          <w:szCs w:val="32"/>
          <w:lang w:eastAsia="zh-CN"/>
        </w:rPr>
        <w:t>健康养老服务提升行动政策落实</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“百千万工程”政策</w:t>
      </w:r>
      <w:r>
        <w:rPr>
          <w:rFonts w:hint="eastAsia" w:ascii="Times New Roman" w:hAnsi="Times New Roman" w:eastAsia="仿宋_GB2312" w:cs="Times New Roman"/>
          <w:sz w:val="32"/>
          <w:szCs w:val="32"/>
          <w:lang w:eastAsia="zh-CN"/>
        </w:rPr>
        <w:t>执行及</w:t>
      </w:r>
      <w:r>
        <w:rPr>
          <w:rFonts w:hint="default" w:ascii="Times New Roman" w:hAnsi="Times New Roman" w:eastAsia="仿宋_GB2312" w:cs="Times New Roman"/>
          <w:sz w:val="32"/>
          <w:szCs w:val="32"/>
          <w:lang w:eastAsia="zh-CN"/>
        </w:rPr>
        <w:t>资金管理使用等</w:t>
      </w:r>
      <w:r>
        <w:rPr>
          <w:rFonts w:hint="eastAsia" w:ascii="Times New Roman" w:hAnsi="Times New Roman" w:eastAsia="仿宋_GB2312" w:cs="Times New Roman"/>
          <w:sz w:val="32"/>
          <w:szCs w:val="32"/>
          <w:lang w:eastAsia="zh-CN"/>
        </w:rPr>
        <w:t>关键领域开展</w:t>
      </w:r>
      <w:r>
        <w:rPr>
          <w:rFonts w:hint="default" w:ascii="Times New Roman" w:hAnsi="Times New Roman" w:eastAsia="仿宋_GB2312" w:cs="Times New Roman"/>
          <w:sz w:val="32"/>
          <w:szCs w:val="32"/>
          <w:lang w:eastAsia="zh-CN"/>
        </w:rPr>
        <w:t>整改，</w:t>
      </w:r>
      <w:r>
        <w:rPr>
          <w:rFonts w:hint="eastAsia" w:ascii="Times New Roman" w:hAnsi="Times New Roman" w:eastAsia="仿宋_GB2312" w:cs="Times New Roman"/>
          <w:sz w:val="32"/>
          <w:szCs w:val="32"/>
          <w:lang w:val="en-US" w:eastAsia="zh-CN"/>
        </w:rPr>
        <w:t>进一步规范专项资金使用管理，严格项目建设全流程监管，</w:t>
      </w:r>
      <w:r>
        <w:rPr>
          <w:rFonts w:hint="default" w:ascii="Times New Roman" w:hAnsi="Times New Roman" w:eastAsia="仿宋_GB2312" w:cs="Times New Roman"/>
          <w:sz w:val="32"/>
          <w:szCs w:val="32"/>
          <w:lang w:eastAsia="zh-CN"/>
        </w:rPr>
        <w:t>切实发挥惠民利民政策效能。</w:t>
      </w:r>
    </w:p>
    <w:p w14:paraId="6C92969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在</w:t>
      </w:r>
      <w:r>
        <w:rPr>
          <w:rFonts w:hint="default" w:ascii="Times New Roman" w:hAnsi="Times New Roman" w:eastAsia="仿宋_GB2312" w:cs="Times New Roman"/>
          <w:sz w:val="32"/>
          <w:szCs w:val="32"/>
        </w:rPr>
        <w:t>重点民生项目</w:t>
      </w:r>
      <w:r>
        <w:rPr>
          <w:rFonts w:hint="default" w:ascii="Times New Roman" w:hAnsi="Times New Roman" w:eastAsia="仿宋_GB2312" w:cs="Times New Roman"/>
          <w:sz w:val="32"/>
          <w:szCs w:val="32"/>
          <w:lang w:val="en-US" w:eastAsia="zh-CN"/>
        </w:rPr>
        <w:t>方面</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审计反映问题</w:t>
      </w:r>
      <w:r>
        <w:rPr>
          <w:rFonts w:hint="eastAsia" w:ascii="Times New Roman" w:hAnsi="Times New Roman" w:eastAsia="仿宋_GB2312" w:cs="Times New Roman"/>
          <w:sz w:val="32"/>
          <w:szCs w:val="32"/>
          <w:lang w:val="en-US" w:eastAsia="zh-CN"/>
        </w:rPr>
        <w:t>13</w:t>
      </w:r>
      <w:r>
        <w:rPr>
          <w:rFonts w:hint="default" w:ascii="Times New Roman" w:hAnsi="Times New Roman" w:eastAsia="仿宋_GB2312" w:cs="Times New Roman"/>
          <w:sz w:val="32"/>
          <w:szCs w:val="32"/>
        </w:rPr>
        <w:t>个，</w:t>
      </w:r>
      <w:r>
        <w:rPr>
          <w:rFonts w:hint="default" w:ascii="Times New Roman" w:hAnsi="Times New Roman" w:eastAsia="仿宋_GB2312" w:cs="Times New Roman"/>
          <w:sz w:val="32"/>
          <w:szCs w:val="32"/>
          <w:lang w:eastAsia="zh-CN"/>
        </w:rPr>
        <w:t>已整改到位</w:t>
      </w:r>
      <w:r>
        <w:rPr>
          <w:rFonts w:hint="eastAsia"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lang w:eastAsia="zh-CN"/>
        </w:rPr>
        <w:t>个。</w:t>
      </w:r>
      <w:r>
        <w:rPr>
          <w:rFonts w:hint="default" w:ascii="Times New Roman" w:hAnsi="Times New Roman" w:eastAsia="仿宋_GB2312" w:cs="Times New Roman"/>
          <w:sz w:val="32"/>
          <w:szCs w:val="32"/>
        </w:rPr>
        <w:t>重点针对</w:t>
      </w:r>
      <w:r>
        <w:rPr>
          <w:rFonts w:hint="default" w:ascii="Times New Roman" w:hAnsi="Times New Roman" w:eastAsia="仿宋_GB2312" w:cs="Times New Roman"/>
          <w:sz w:val="32"/>
          <w:szCs w:val="32"/>
          <w:lang w:val="en-US" w:eastAsia="zh-CN"/>
        </w:rPr>
        <w:t>公立幼儿园建设资金管理使用</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乡村产业发展</w:t>
      </w:r>
      <w:r>
        <w:rPr>
          <w:rFonts w:hint="default" w:ascii="Times New Roman" w:hAnsi="Times New Roman" w:eastAsia="仿宋_GB2312" w:cs="Times New Roman"/>
          <w:sz w:val="32"/>
          <w:szCs w:val="32"/>
        </w:rPr>
        <w:t>等</w:t>
      </w:r>
      <w:r>
        <w:rPr>
          <w:rFonts w:hint="eastAsia" w:ascii="Times New Roman" w:hAnsi="Times New Roman" w:eastAsia="仿宋_GB2312" w:cs="Times New Roman"/>
          <w:sz w:val="32"/>
          <w:szCs w:val="32"/>
          <w:lang w:eastAsia="zh-CN"/>
        </w:rPr>
        <w:t>民生领域</w:t>
      </w:r>
      <w:r>
        <w:rPr>
          <w:rFonts w:hint="default" w:ascii="Times New Roman" w:hAnsi="Times New Roman" w:eastAsia="仿宋_GB2312" w:cs="Times New Roman"/>
          <w:sz w:val="32"/>
          <w:szCs w:val="32"/>
        </w:rPr>
        <w:t>问题进行整改，</w:t>
      </w:r>
      <w:r>
        <w:rPr>
          <w:rFonts w:hint="eastAsia" w:ascii="Times New Roman" w:hAnsi="Times New Roman" w:eastAsia="仿宋_GB2312" w:cs="Times New Roman"/>
          <w:sz w:val="32"/>
          <w:szCs w:val="32"/>
          <w:lang w:val="en-US" w:eastAsia="zh-CN"/>
        </w:rPr>
        <w:t>进一步</w:t>
      </w:r>
      <w:r>
        <w:rPr>
          <w:rFonts w:hint="default" w:ascii="Times New Roman" w:hAnsi="Times New Roman" w:eastAsia="仿宋_GB2312" w:cs="Times New Roman"/>
          <w:sz w:val="32"/>
          <w:szCs w:val="32"/>
        </w:rPr>
        <w:t>规范民生项目建设管理、资金使用、运营运维全流程，持续提升民生工程建设</w:t>
      </w:r>
      <w:r>
        <w:rPr>
          <w:rFonts w:hint="eastAsia" w:ascii="Times New Roman" w:hAnsi="Times New Roman" w:eastAsia="仿宋_GB2312" w:cs="Times New Roman"/>
          <w:sz w:val="32"/>
          <w:szCs w:val="32"/>
          <w:lang w:eastAsia="zh-CN"/>
        </w:rPr>
        <w:t>质量</w:t>
      </w:r>
      <w:r>
        <w:rPr>
          <w:rFonts w:hint="default" w:ascii="Times New Roman" w:hAnsi="Times New Roman" w:eastAsia="仿宋_GB2312" w:cs="Times New Roman"/>
          <w:sz w:val="32"/>
          <w:szCs w:val="32"/>
        </w:rPr>
        <w:t>和乡村产业发展赋能实效。</w:t>
      </w:r>
    </w:p>
    <w:p w14:paraId="142ED97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在政府投资项目方面，</w:t>
      </w:r>
      <w:r>
        <w:rPr>
          <w:rFonts w:hint="default" w:ascii="Times New Roman" w:hAnsi="Times New Roman" w:eastAsia="仿宋_GB2312" w:cs="Times New Roman"/>
          <w:sz w:val="32"/>
          <w:szCs w:val="32"/>
        </w:rPr>
        <w:t>审计反映问题</w:t>
      </w:r>
      <w:r>
        <w:rPr>
          <w:rFonts w:hint="default" w:ascii="Times New Roman" w:hAnsi="Times New Roman" w:eastAsia="仿宋_GB2312" w:cs="Times New Roman"/>
          <w:sz w:val="32"/>
          <w:szCs w:val="32"/>
          <w:lang w:val="en-US" w:eastAsia="zh-CN"/>
        </w:rPr>
        <w:t>27</w:t>
      </w:r>
      <w:r>
        <w:rPr>
          <w:rFonts w:hint="default" w:ascii="Times New Roman" w:hAnsi="Times New Roman" w:eastAsia="仿宋_GB2312" w:cs="Times New Roman"/>
          <w:sz w:val="32"/>
          <w:szCs w:val="32"/>
        </w:rPr>
        <w:t>个，已整改到位</w:t>
      </w:r>
      <w:r>
        <w:rPr>
          <w:rFonts w:hint="eastAsia" w:ascii="Times New Roman" w:hAnsi="Times New Roman" w:eastAsia="仿宋_GB2312" w:cs="Times New Roman"/>
          <w:sz w:val="32"/>
          <w:szCs w:val="32"/>
          <w:lang w:val="en-US" w:eastAsia="zh-CN"/>
        </w:rPr>
        <w:t>20</w:t>
      </w:r>
      <w:r>
        <w:rPr>
          <w:rFonts w:hint="default" w:ascii="Times New Roman" w:hAnsi="Times New Roman" w:eastAsia="仿宋_GB2312" w:cs="Times New Roman"/>
          <w:sz w:val="32"/>
          <w:szCs w:val="32"/>
        </w:rPr>
        <w:t>个。重点</w:t>
      </w:r>
      <w:r>
        <w:rPr>
          <w:rFonts w:hint="eastAsia" w:ascii="Times New Roman" w:hAnsi="Times New Roman" w:eastAsia="仿宋_GB2312" w:cs="Times New Roman"/>
          <w:sz w:val="32"/>
          <w:szCs w:val="32"/>
          <w:lang w:eastAsia="zh-CN"/>
        </w:rPr>
        <w:t>围绕</w:t>
      </w:r>
      <w:r>
        <w:rPr>
          <w:rFonts w:hint="default" w:ascii="Times New Roman" w:hAnsi="Times New Roman" w:eastAsia="仿宋_GB2312" w:cs="Times New Roman"/>
          <w:sz w:val="32"/>
          <w:szCs w:val="32"/>
          <w:lang w:val="en-US" w:eastAsia="zh-CN"/>
        </w:rPr>
        <w:t>项目建设</w:t>
      </w:r>
      <w:r>
        <w:rPr>
          <w:rFonts w:hint="eastAsia" w:ascii="Times New Roman" w:hAnsi="Times New Roman" w:eastAsia="仿宋_GB2312" w:cs="Times New Roman"/>
          <w:sz w:val="32"/>
          <w:szCs w:val="32"/>
          <w:lang w:val="en-US" w:eastAsia="zh-CN"/>
        </w:rPr>
        <w:t>管理、</w:t>
      </w:r>
      <w:r>
        <w:rPr>
          <w:rFonts w:hint="default" w:ascii="Times New Roman" w:hAnsi="Times New Roman" w:eastAsia="仿宋_GB2312" w:cs="Times New Roman"/>
          <w:sz w:val="32"/>
          <w:szCs w:val="32"/>
          <w:lang w:val="en-US" w:eastAsia="zh-CN"/>
        </w:rPr>
        <w:t>招投标</w:t>
      </w:r>
      <w:r>
        <w:rPr>
          <w:rFonts w:hint="eastAsia" w:ascii="Times New Roman" w:hAnsi="Times New Roman" w:eastAsia="仿宋_GB2312" w:cs="Times New Roman"/>
          <w:sz w:val="32"/>
          <w:szCs w:val="32"/>
          <w:lang w:val="en-US" w:eastAsia="zh-CN"/>
        </w:rPr>
        <w:t>管理、</w:t>
      </w:r>
      <w:r>
        <w:rPr>
          <w:rFonts w:hint="default" w:ascii="Times New Roman" w:hAnsi="Times New Roman" w:eastAsia="仿宋_GB2312" w:cs="Times New Roman"/>
          <w:sz w:val="32"/>
          <w:szCs w:val="32"/>
          <w:lang w:val="en-US" w:eastAsia="zh-CN"/>
        </w:rPr>
        <w:t>资金结算</w:t>
      </w:r>
      <w:r>
        <w:rPr>
          <w:rFonts w:hint="eastAsia" w:ascii="Times New Roman" w:hAnsi="Times New Roman" w:eastAsia="仿宋_GB2312" w:cs="Times New Roman"/>
          <w:sz w:val="32"/>
          <w:szCs w:val="32"/>
          <w:lang w:val="en-US" w:eastAsia="zh-CN"/>
        </w:rPr>
        <w:t>管理、</w:t>
      </w:r>
      <w:r>
        <w:rPr>
          <w:rFonts w:hint="default" w:ascii="Times New Roman" w:hAnsi="Times New Roman" w:eastAsia="仿宋_GB2312" w:cs="Times New Roman"/>
          <w:sz w:val="32"/>
          <w:szCs w:val="32"/>
          <w:lang w:val="en-US" w:eastAsia="zh-CN"/>
        </w:rPr>
        <w:t>工程质量</w:t>
      </w:r>
      <w:r>
        <w:rPr>
          <w:rFonts w:hint="default" w:ascii="Times New Roman" w:hAnsi="Times New Roman" w:eastAsia="仿宋_GB2312" w:cs="Times New Roman"/>
          <w:sz w:val="32"/>
          <w:szCs w:val="32"/>
        </w:rPr>
        <w:t>等</w:t>
      </w:r>
      <w:r>
        <w:rPr>
          <w:rFonts w:hint="eastAsia" w:ascii="Times New Roman" w:hAnsi="Times New Roman" w:eastAsia="仿宋_GB2312" w:cs="Times New Roman"/>
          <w:sz w:val="32"/>
          <w:szCs w:val="32"/>
          <w:lang w:eastAsia="zh-CN"/>
        </w:rPr>
        <w:t>关键环节开展</w:t>
      </w:r>
      <w:r>
        <w:rPr>
          <w:rFonts w:hint="default" w:ascii="Times New Roman" w:hAnsi="Times New Roman" w:eastAsia="仿宋_GB2312" w:cs="Times New Roman"/>
          <w:sz w:val="32"/>
          <w:szCs w:val="32"/>
        </w:rPr>
        <w:t>整改，</w:t>
      </w:r>
      <w:r>
        <w:rPr>
          <w:rFonts w:hint="eastAsia" w:ascii="Times New Roman" w:hAnsi="Times New Roman" w:eastAsia="仿宋_GB2312" w:cs="Times New Roman"/>
          <w:sz w:val="32"/>
          <w:szCs w:val="32"/>
          <w:lang w:val="en-US" w:eastAsia="zh-CN"/>
        </w:rPr>
        <w:t>进一步</w:t>
      </w:r>
      <w:r>
        <w:rPr>
          <w:rFonts w:hint="default" w:ascii="Times New Roman" w:hAnsi="Times New Roman" w:eastAsia="仿宋_GB2312" w:cs="Times New Roman"/>
          <w:sz w:val="32"/>
          <w:szCs w:val="32"/>
        </w:rPr>
        <w:t>健全政府投资项目全生命周期管理制度，防范工程建设和资金使用风险，持续提升政府投资项目建设规范化水平和财政资金使用效益。</w:t>
      </w:r>
    </w:p>
    <w:p w14:paraId="3ECCF9F6">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后续安排明确</w:t>
      </w:r>
    </w:p>
    <w:p w14:paraId="12ADF17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对尚未完成整改的问题，有关部门和单位已对后续整改工作作出安排。一是压实主体责任，建立专人推进机制，逐项拆解整改任务，实行清单化管理、销号式落实；二是聚焦堵点难点，统筹多方资源破解历史遗留、跨部门协同等整改难题；三是健全长效机制，深挖问题根源，完善制度流程，强化跟踪督办，严防问题反弹回潮，确保整改落地见效。下来，县审计局将按照县委、县政府的部署要求，认真落实县人大常委会审议意见，持续加强对审计查出问题整改的督促指导和跟踪检查，紧盯不放，推动审计整改落实到位，切实做好审计整改“下半篇文章”。</w:t>
      </w:r>
    </w:p>
    <w:sectPr>
      <w:footerReference r:id="rId3" w:type="default"/>
      <w:pgSz w:w="11906" w:h="16838"/>
      <w:pgMar w:top="1440" w:right="1800" w:bottom="1440" w:left="180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国标黑体">
    <w:panose1 w:val="02000500000000000000"/>
    <w:charset w:val="86"/>
    <w:family w:val="auto"/>
    <w:pitch w:val="default"/>
    <w:sig w:usb0="00000001" w:usb1="08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MathJax_Vector">
    <w:panose1 w:val="02000603000000000000"/>
    <w:charset w:val="00"/>
    <w:family w:val="auto"/>
    <w:pitch w:val="default"/>
    <w:sig w:usb0="00000001" w:usb1="00000020" w:usb2="00000000" w:usb3="00000000" w:csb0="00000001" w:csb1="00000000"/>
  </w:font>
  <w:font w:name="DejaVu Sans">
    <w:panose1 w:val="020B0603030804020204"/>
    <w:charset w:val="00"/>
    <w:family w:val="auto"/>
    <w:pitch w:val="default"/>
    <w:sig w:usb0="E7006EFF" w:usb1="D200FDFF" w:usb2="0A246029" w:usb3="0400200C" w:csb0="600001FF" w:csb1="DFFF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300575">
    <w:pPr>
      <w:pStyle w:val="2"/>
      <w:rPr>
        <w:rFonts w:hint="eastAsia" w:asciiTheme="minorEastAsia" w:hAnsiTheme="minorEastAsia" w:eastAsiaTheme="minorEastAsia" w:cstheme="minorEastAsia"/>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4ACD1E4">
                          <w:pPr>
                            <w:pStyle w:val="2"/>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UuKWy90CAAAkBgAADgAAAAAAAAABACAAAAAfAQAAZHJzL2Uyb0RvYy54bWxQSwUG&#10;AAAAAAYABgBZAQAAbgYAAAAA&#10;">
              <v:fill on="f" focussize="0,0"/>
              <v:stroke on="f" weight="0.5pt"/>
              <v:imagedata o:title=""/>
              <o:lock v:ext="edit" aspectratio="f"/>
              <v:textbox inset="0mm,0mm,0mm,0mm" style="mso-fit-shape-to-text:t;">
                <w:txbxContent>
                  <w:p w14:paraId="54ACD1E4">
                    <w:pPr>
                      <w:pStyle w:val="2"/>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EAB6D0"/>
    <w:multiLevelType w:val="singleLevel"/>
    <w:tmpl w:val="98EAB6D0"/>
    <w:lvl w:ilvl="0" w:tentative="0">
      <w:start w:val="1"/>
      <w:numFmt w:val="chineseCounting"/>
      <w:suff w:val="nothing"/>
      <w:lvlText w:val="%1、"/>
      <w:lvlJc w:val="left"/>
      <w:pPr>
        <w:ind w:left="0" w:firstLine="420"/>
      </w:pPr>
      <w:rPr>
        <w:rFonts w:hint="eastAsia"/>
      </w:rPr>
    </w:lvl>
  </w:abstractNum>
  <w:abstractNum w:abstractNumId="1">
    <w:nsid w:val="3F6DD0AA"/>
    <w:multiLevelType w:val="singleLevel"/>
    <w:tmpl w:val="3F6DD0AA"/>
    <w:lvl w:ilvl="0" w:tentative="0">
      <w:start w:val="1"/>
      <w:numFmt w:val="chineseCounting"/>
      <w:suff w:val="nothing"/>
      <w:lvlText w:val="（%1）"/>
      <w:lvlJc w:val="left"/>
      <w:pPr>
        <w:ind w:left="0" w:firstLine="420"/>
      </w:pPr>
      <w:rPr>
        <w:rFonts w:hint="eastAsia" w:ascii="楷体" w:hAnsi="楷体" w:eastAsia="楷体" w:cs="楷体"/>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090CC4"/>
    <w:rsid w:val="0F42347B"/>
    <w:rsid w:val="1C115BA2"/>
    <w:rsid w:val="25A33F6C"/>
    <w:rsid w:val="28E05B40"/>
    <w:rsid w:val="2C9805ED"/>
    <w:rsid w:val="2D3B0E7A"/>
    <w:rsid w:val="309913DA"/>
    <w:rsid w:val="46734D5C"/>
    <w:rsid w:val="48E307FF"/>
    <w:rsid w:val="49CC433A"/>
    <w:rsid w:val="4E25746C"/>
    <w:rsid w:val="4EF120B3"/>
    <w:rsid w:val="52645BD4"/>
    <w:rsid w:val="52EA4E4F"/>
    <w:rsid w:val="68C366DF"/>
    <w:rsid w:val="6BD149A6"/>
    <w:rsid w:val="6CD62AB6"/>
    <w:rsid w:val="7240323B"/>
    <w:rsid w:val="74370D14"/>
    <w:rsid w:val="FBDFAD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xmlns="http://schemas.wps.cn/vas-ai-hub/contract-review"/>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1652b96-924f-4789-87d4-a65033b0ab13}">
  <ds:schemaRefs/>
</ds:datastoreItem>
</file>

<file path=docProps/app.xml><?xml version="1.0" encoding="utf-8"?>
<Properties xmlns="http://schemas.openxmlformats.org/officeDocument/2006/extended-properties" xmlns:vt="http://schemas.openxmlformats.org/officeDocument/2006/docPropsVTypes">
  <Template>Normal.dotm</Template>
  <Pages>4</Pages>
  <Words>2063</Words>
  <Characters>2109</Characters>
  <Lines>0</Lines>
  <Paragraphs>0</Paragraphs>
  <TotalTime>23</TotalTime>
  <ScaleCrop>false</ScaleCrop>
  <LinksUpToDate>false</LinksUpToDate>
  <CharactersWithSpaces>2109</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2026-06-30T14:26:00Z</dcterms:created>
  <dc:creator>pxy</dc:creator>
  <cp:lastModifiedBy>niu</cp:lastModifiedBy>
  <dcterms:modified xsi:type="dcterms:W3CDTF">2026-07-17T11:07:36Z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KSOTemplateDocerSaveRecord">
    <vt:lpwstr>eyJoZGlkIjoiMWJkZGUyNjZkZTQ2NWU5MzhjNTkwYjFlZGVkYmUyM2QiLCJ1c2VySWQiOiIyOTc4MzI2ODcifQ==</vt:lpwstr>
  </property>
  <property fmtid="{D5CDD505-2E9C-101B-9397-08002B2CF9AE}" pid="4" name="ICV">
    <vt:lpwstr>CA56CA246DCC4EF0AB63AABABECBF3B0_12</vt:lpwstr>
  </property>
</Properties>
</file>