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FCD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陆河县2023年度县级预算执行和其他财政收支审计查出问题整改情况的报告解读</w:t>
      </w:r>
    </w:p>
    <w:p w14:paraId="3ABE411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6E5AE5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2025年7</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31</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县第九届人民代表大会常务委员会第三十二次会议</w:t>
      </w:r>
      <w:r>
        <w:rPr>
          <w:rFonts w:hint="default" w:ascii="Times New Roman" w:hAnsi="Times New Roman" w:eastAsia="仿宋_GB2312" w:cs="Times New Roman"/>
          <w:sz w:val="32"/>
          <w:szCs w:val="32"/>
        </w:rPr>
        <w:t>听取和审议了《陆河县人民政府关于2023年度县级预算执行和其他财政收支审计查出问题整改情况的报告》（以下简称《审计整改报告》）。《审计整改报告》全面客观反映了我</w:t>
      </w:r>
      <w:r>
        <w:rPr>
          <w:rFonts w:hint="default"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审计整改工作部署、措施和成效，主要呈现以下特点：</w:t>
      </w:r>
    </w:p>
    <w:p w14:paraId="397F213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420" w:firstLineChars="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组织</w:t>
      </w:r>
      <w:r>
        <w:rPr>
          <w:rFonts w:hint="eastAsia" w:ascii="黑体" w:hAnsi="黑体" w:eastAsia="黑体" w:cs="黑体"/>
          <w:sz w:val="32"/>
          <w:szCs w:val="32"/>
        </w:rPr>
        <w:t>部署有力</w:t>
      </w:r>
    </w:p>
    <w:p w14:paraId="2DA82FF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县委、县政府高度重视审计查出问题的整改工作，</w:t>
      </w:r>
      <w:r>
        <w:rPr>
          <w:rFonts w:hint="default" w:ascii="Times New Roman" w:hAnsi="Times New Roman" w:eastAsia="仿宋_GB2312" w:cs="Times New Roman"/>
          <w:sz w:val="32"/>
          <w:szCs w:val="32"/>
          <w:lang w:val="en-US" w:eastAsia="zh-CN"/>
        </w:rPr>
        <w:t>2025年</w:t>
      </w:r>
      <w:r>
        <w:rPr>
          <w:rFonts w:hint="default" w:ascii="Times New Roman" w:hAnsi="Times New Roman" w:eastAsia="仿宋_GB2312" w:cs="Times New Roman"/>
          <w:sz w:val="32"/>
          <w:szCs w:val="32"/>
        </w:rPr>
        <w:t>以来，先后召开县委常委会会议、县委审计委员会会议、县政府常务会议，专题研究审计整改工作，认真学习贯彻习近平总书记关于审计和审计整改工作的重要讲话和重要指示批示精神，聚焦问题整改，坚持多措并举，高位推动审计整改工作扎实开展。程永东书记要求被审计单位要切实履行审计整改主体责任，主要负责同志亲自抓、负总责，研究部署审计整改工作，制定具体整改措施，明确问题、目标、责任“三张清单”，确保整改落到实处。郑志坚常务副县长强调要突出标本兼治，建立健全审计整改长效机制，全面梳理制度漏洞和管理薄弱环节，及时修订完善相关制度，巩固审计整改成果。</w:t>
      </w:r>
    </w:p>
    <w:p w14:paraId="5119F46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420" w:firstLineChars="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工作</w:t>
      </w:r>
      <w:r>
        <w:rPr>
          <w:rFonts w:hint="eastAsia" w:ascii="黑体" w:hAnsi="黑体" w:eastAsia="黑体" w:cs="黑体"/>
          <w:sz w:val="32"/>
          <w:szCs w:val="32"/>
        </w:rPr>
        <w:t>亮点突出</w:t>
      </w:r>
    </w:p>
    <w:p w14:paraId="4609A245">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420" w:firstLineChars="0"/>
        <w:jc w:val="both"/>
        <w:textAlignment w:val="auto"/>
        <w:rPr>
          <w:rFonts w:hint="default" w:ascii="Times New Roman" w:hAnsi="Times New Roman" w:eastAsia="仿宋_GB2312" w:cs="Times New Roman"/>
          <w:sz w:val="32"/>
          <w:szCs w:val="32"/>
          <w:lang w:val="en-US" w:eastAsia="zh-CN"/>
        </w:rPr>
      </w:pPr>
      <w:r>
        <w:rPr>
          <w:rFonts w:hint="eastAsia" w:ascii="楷体" w:hAnsi="楷体" w:eastAsia="楷体" w:cs="楷体"/>
          <w:b w:val="0"/>
          <w:bCs w:val="0"/>
          <w:sz w:val="32"/>
          <w:szCs w:val="32"/>
          <w:lang w:val="en-US" w:eastAsia="zh-CN"/>
        </w:rPr>
        <w:t>党管审计引领作用进一步凸显。</w:t>
      </w:r>
      <w:r>
        <w:rPr>
          <w:rFonts w:hint="default" w:ascii="Times New Roman" w:hAnsi="Times New Roman" w:eastAsia="仿宋_GB2312" w:cs="Times New Roman"/>
          <w:sz w:val="32"/>
          <w:szCs w:val="32"/>
          <w:lang w:val="en-US" w:eastAsia="zh-CN"/>
        </w:rPr>
        <w:t>县委、县政府高度重视审计整改工作，切实把督促整改落实作为重大政治任务来抓。县委、县政府组织召开县委审计委员会会议、县政府常务会议、全县审计工作会议听取审计整改情况汇报，研究部署审计整改工作，推动审计发现问题的整改落实。县委、县政府主要领导先后多次对审计专报、审计报告等作出整改批示，要求各部门各单位按照审计建议，切实抓好问题整改。</w:t>
      </w:r>
    </w:p>
    <w:p w14:paraId="10EF6551">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420" w:firstLineChars="0"/>
        <w:jc w:val="both"/>
        <w:textAlignment w:val="auto"/>
        <w:rPr>
          <w:rFonts w:hint="default" w:ascii="Times New Roman" w:hAnsi="Times New Roman" w:eastAsia="仿宋_GB2312" w:cs="Times New Roman"/>
          <w:sz w:val="32"/>
          <w:szCs w:val="32"/>
          <w:lang w:val="en-US" w:eastAsia="zh-CN"/>
        </w:rPr>
      </w:pPr>
      <w:r>
        <w:rPr>
          <w:rFonts w:hint="default" w:ascii="楷体" w:hAnsi="楷体" w:eastAsia="楷体" w:cs="楷体"/>
          <w:b w:val="0"/>
          <w:bCs w:val="0"/>
          <w:sz w:val="32"/>
          <w:szCs w:val="32"/>
          <w:lang w:val="en-US" w:eastAsia="zh-CN"/>
        </w:rPr>
        <w:t>整改主体责任体系进一步筑牢。</w:t>
      </w:r>
      <w:r>
        <w:rPr>
          <w:rFonts w:hint="default" w:ascii="Times New Roman" w:hAnsi="Times New Roman" w:eastAsia="仿宋_GB2312" w:cs="Times New Roman"/>
          <w:sz w:val="32"/>
          <w:szCs w:val="32"/>
          <w:lang w:val="en-US" w:eastAsia="zh-CN"/>
        </w:rPr>
        <w:t>被审计单位严格落实审计整改主体责任，对标审计查出问题及整改建议，建立整改任务清单和责任清单，细化整改措施。相关行业主管部门切实履行监督管理责任，统筹协调相关责任单位分工协作，推动问题源头治理。审计机关认真履行审计监督职责，强化审计整改督促检查，积极构建全面整改、专项整改、重点督办的审计整改工作机制。县审计局联合县委审计办成立了整改监督检查组，对19个单位开展了审计整改“回头看”专项监督检查，推动审计整改“下半篇文章”取得实效。</w:t>
      </w:r>
    </w:p>
    <w:p w14:paraId="12E469E7">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420" w:firstLineChars="0"/>
        <w:jc w:val="both"/>
        <w:textAlignment w:val="auto"/>
        <w:rPr>
          <w:rFonts w:hint="default" w:ascii="Times New Roman" w:hAnsi="Times New Roman" w:eastAsia="仿宋_GB2312" w:cs="Times New Roman"/>
          <w:sz w:val="32"/>
          <w:szCs w:val="32"/>
          <w:lang w:val="en-US" w:eastAsia="zh-CN"/>
        </w:rPr>
      </w:pPr>
      <w:r>
        <w:rPr>
          <w:rFonts w:hint="default" w:ascii="楷体" w:hAnsi="楷体" w:eastAsia="楷体" w:cs="楷体"/>
          <w:b w:val="0"/>
          <w:bCs w:val="0"/>
          <w:sz w:val="32"/>
          <w:szCs w:val="32"/>
          <w:lang w:val="en-US" w:eastAsia="zh-CN"/>
        </w:rPr>
        <w:t>跨部门协同整改合力进一步凝聚。</w:t>
      </w:r>
      <w:r>
        <w:rPr>
          <w:rFonts w:hint="default" w:ascii="Times New Roman" w:hAnsi="Times New Roman" w:eastAsia="仿宋_GB2312" w:cs="Times New Roman"/>
          <w:sz w:val="32"/>
          <w:szCs w:val="32"/>
          <w:lang w:val="en-US" w:eastAsia="zh-CN"/>
        </w:rPr>
        <w:t>认真探索审计监督与其他监督力量贯通协同的新路径，在多元监督合力中推进凝聚更大效能。人大部门对重点部门、领域问题开展跟踪督导，县委、县政府对重点问题纳入督查督办事项，2024年县审计局对《陆河县审计局审计移送管理办法》进行修订，推动审计监督与纪检监察等其他监督的贯通协作，加大线索移送力度，充分发挥监督合力。2024年县审计局向纪检监察机关和有关主管部门共移送审计发现问题线索6条。</w:t>
      </w:r>
    </w:p>
    <w:p w14:paraId="534B26E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420" w:firstLineChars="0"/>
        <w:jc w:val="both"/>
        <w:textAlignment w:val="auto"/>
        <w:rPr>
          <w:rFonts w:hint="default" w:ascii="黑体" w:hAnsi="黑体" w:eastAsia="黑体" w:cs="黑体"/>
          <w:sz w:val="32"/>
          <w:szCs w:val="32"/>
        </w:rPr>
      </w:pPr>
      <w:r>
        <w:rPr>
          <w:rFonts w:hint="eastAsia" w:ascii="黑体" w:hAnsi="黑体" w:eastAsia="黑体" w:cs="黑体"/>
          <w:sz w:val="32"/>
          <w:szCs w:val="32"/>
          <w:lang w:val="en-US" w:eastAsia="zh-CN"/>
        </w:rPr>
        <w:t>整改成效明显</w:t>
      </w:r>
      <w:bookmarkStart w:id="0" w:name="_GoBack"/>
      <w:bookmarkEnd w:id="0"/>
    </w:p>
    <w:p w14:paraId="51CB0D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各相关单位行动坚决、多措并举，采取编实编细部门预算、规范财务行为、加快工程进度、建立和完善规章制度等措施，推动整改工作取得成效。截至2025年6月，《审计工作报告》反映的57个问题，已整改到位51个，整改到位率89.47%，其中要求立行立改的53个问题有48个已整改到位，整改到位率90.57%；要求分阶段整改的4个问题有3个已整改到位，其余问题已制定整改计划或具体措施，取得了阶段性整改成效。</w:t>
      </w:r>
    </w:p>
    <w:p w14:paraId="18D8CA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在财政管理方面，</w:t>
      </w:r>
      <w:r>
        <w:rPr>
          <w:rFonts w:hint="default" w:ascii="Times New Roman" w:hAnsi="Times New Roman" w:eastAsia="仿宋_GB2312" w:cs="Times New Roman"/>
          <w:sz w:val="32"/>
          <w:szCs w:val="32"/>
        </w:rPr>
        <w:t>审计反映问题12个</w:t>
      </w:r>
      <w:r>
        <w:rPr>
          <w:rFonts w:hint="default" w:ascii="Times New Roman" w:hAnsi="Times New Roman" w:eastAsia="仿宋_GB2312" w:cs="Times New Roman"/>
          <w:sz w:val="32"/>
          <w:szCs w:val="32"/>
          <w:lang w:eastAsia="zh-CN"/>
        </w:rPr>
        <w:t>，已整改到位问题8个。重点针对</w:t>
      </w:r>
      <w:r>
        <w:rPr>
          <w:rFonts w:hint="default" w:ascii="Times New Roman" w:hAnsi="Times New Roman" w:eastAsia="仿宋_GB2312" w:cs="Times New Roman"/>
          <w:sz w:val="32"/>
          <w:szCs w:val="32"/>
          <w:lang w:val="en-US" w:eastAsia="zh-CN"/>
        </w:rPr>
        <w:t>预算编制、财政运行、财政收支、重大资金及重大项目管理等方面存在的问题进行整改，进一步规范财政收支管理，加大欠费追缴力度，提升财政资金使用效益，保障县域财政平稳有序运行。</w:t>
      </w:r>
    </w:p>
    <w:p w14:paraId="648613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w:t>
      </w:r>
      <w:r>
        <w:rPr>
          <w:rFonts w:hint="default" w:ascii="Times New Roman" w:hAnsi="Times New Roman" w:eastAsia="仿宋_GB2312" w:cs="Times New Roman"/>
          <w:sz w:val="32"/>
          <w:szCs w:val="32"/>
        </w:rPr>
        <w:t>部门预算执行</w:t>
      </w:r>
      <w:r>
        <w:rPr>
          <w:rFonts w:hint="default" w:ascii="Times New Roman" w:hAnsi="Times New Roman" w:eastAsia="仿宋_GB2312" w:cs="Times New Roman"/>
          <w:sz w:val="32"/>
          <w:szCs w:val="32"/>
          <w:lang w:val="en-US" w:eastAsia="zh-CN"/>
        </w:rPr>
        <w:t>方面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审计反映问题12个，已</w:t>
      </w:r>
      <w:r>
        <w:rPr>
          <w:rFonts w:hint="default" w:ascii="Times New Roman" w:hAnsi="Times New Roman" w:eastAsia="仿宋_GB2312" w:cs="Times New Roman"/>
          <w:sz w:val="32"/>
          <w:szCs w:val="32"/>
          <w:lang w:val="en-US" w:eastAsia="zh-CN"/>
        </w:rPr>
        <w:t>全部</w:t>
      </w:r>
      <w:r>
        <w:rPr>
          <w:rFonts w:hint="eastAsia" w:ascii="Times New Roman" w:hAnsi="Times New Roman" w:eastAsia="仿宋_GB2312" w:cs="Times New Roman"/>
          <w:sz w:val="32"/>
          <w:szCs w:val="32"/>
          <w:lang w:val="en-US" w:eastAsia="zh-CN"/>
        </w:rPr>
        <w:t>整改到位</w:t>
      </w:r>
      <w:r>
        <w:rPr>
          <w:rFonts w:hint="default" w:ascii="Times New Roman" w:hAnsi="Times New Roman" w:eastAsia="仿宋_GB2312" w:cs="Times New Roman"/>
          <w:sz w:val="32"/>
          <w:szCs w:val="32"/>
        </w:rPr>
        <w:t>。重点</w:t>
      </w:r>
      <w:r>
        <w:rPr>
          <w:rFonts w:hint="default" w:ascii="Times New Roman" w:hAnsi="Times New Roman" w:eastAsia="仿宋_GB2312" w:cs="Times New Roman"/>
          <w:sz w:val="32"/>
          <w:szCs w:val="32"/>
          <w:lang w:val="en-US" w:eastAsia="zh-CN"/>
        </w:rPr>
        <w:t>针对</w:t>
      </w:r>
      <w:r>
        <w:rPr>
          <w:rFonts w:hint="default" w:ascii="Times New Roman" w:hAnsi="Times New Roman" w:eastAsia="仿宋_GB2312" w:cs="Times New Roman"/>
          <w:sz w:val="32"/>
          <w:szCs w:val="32"/>
        </w:rPr>
        <w:t>资金管理使用、预算管理、会计核算</w:t>
      </w:r>
      <w:r>
        <w:rPr>
          <w:rFonts w:hint="default" w:ascii="Times New Roman" w:hAnsi="Times New Roman" w:eastAsia="仿宋_GB2312" w:cs="Times New Roman"/>
          <w:sz w:val="32"/>
          <w:szCs w:val="32"/>
          <w:lang w:val="en-US" w:eastAsia="zh-CN"/>
        </w:rPr>
        <w:t>等方面存在的问题进行整改</w:t>
      </w:r>
      <w:r>
        <w:rPr>
          <w:rFonts w:hint="default" w:ascii="Times New Roman" w:hAnsi="Times New Roman" w:eastAsia="仿宋_GB2312" w:cs="Times New Roman"/>
          <w:sz w:val="32"/>
          <w:szCs w:val="32"/>
        </w:rPr>
        <w:t>，压实各单位预算管理主体责任，完善内控制度，切实提升部门预算执行与会计核算规范化水平。</w:t>
      </w:r>
    </w:p>
    <w:p w14:paraId="4937F5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在重大政策措施落实方面，审计反映问题13个，已整改到位问题12个。重点针对农村路桥升级改造、城镇老旧小区改造政策落实和资金管理使用、农村生活污水治理、深化供销合作社综合改革</w:t>
      </w:r>
      <w:r>
        <w:rPr>
          <w:rFonts w:hint="default" w:ascii="Times New Roman" w:hAnsi="Times New Roman" w:eastAsia="仿宋_GB2312" w:cs="Times New Roman"/>
          <w:sz w:val="32"/>
          <w:szCs w:val="32"/>
          <w:lang w:eastAsia="zh-CN"/>
        </w:rPr>
        <w:t>等方面存在的问题进行整改，规范工程项目建设管理，健全设施运维机制，推动乡村建设各项政策落地见效</w:t>
      </w:r>
      <w:r>
        <w:rPr>
          <w:rFonts w:hint="default" w:ascii="Times New Roman" w:hAnsi="Times New Roman" w:eastAsia="仿宋_GB2312" w:cs="Times New Roman"/>
          <w:sz w:val="32"/>
          <w:szCs w:val="32"/>
          <w:lang w:val="en-US" w:eastAsia="zh-CN"/>
        </w:rPr>
        <w:t>。</w:t>
      </w:r>
    </w:p>
    <w:p w14:paraId="6C9296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在</w:t>
      </w:r>
      <w:r>
        <w:rPr>
          <w:rFonts w:hint="default" w:ascii="Times New Roman" w:hAnsi="Times New Roman" w:eastAsia="仿宋_GB2312" w:cs="Times New Roman"/>
          <w:sz w:val="32"/>
          <w:szCs w:val="32"/>
        </w:rPr>
        <w:t>重点民生项目</w:t>
      </w:r>
      <w:r>
        <w:rPr>
          <w:rFonts w:hint="default" w:ascii="Times New Roman" w:hAnsi="Times New Roman" w:eastAsia="仿宋_GB2312" w:cs="Times New Roman"/>
          <w:sz w:val="32"/>
          <w:szCs w:val="32"/>
          <w:lang w:val="en-US" w:eastAsia="zh-CN"/>
        </w:rPr>
        <w:t>方面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审计反映问题</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个，已全部整改到位。重点针对医疗保险基金管理使用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福利彩票基金管理使用等方面存在的问题进行整改，从严监管民生基金，规范采购流程，足额落实公益金分配，筑牢民生保障防线。</w:t>
      </w:r>
    </w:p>
    <w:p w14:paraId="39DE2E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在国有自然资源方面，</w:t>
      </w:r>
      <w:r>
        <w:rPr>
          <w:rFonts w:hint="default" w:ascii="Times New Roman" w:hAnsi="Times New Roman" w:eastAsia="仿宋_GB2312" w:cs="Times New Roman"/>
          <w:sz w:val="32"/>
          <w:szCs w:val="32"/>
        </w:rPr>
        <w:t>审计反映问题</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个，已全部整改到位。重点针对林业资源资产管理使用方面存在的问题进行整改，健全林业灾害监测防控体系，强化防火管护，提升自然资源生态保护水平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筑牢县域生态安全屏障。</w:t>
      </w:r>
    </w:p>
    <w:p w14:paraId="142ED9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在政府投资项目方面，</w:t>
      </w:r>
      <w:r>
        <w:rPr>
          <w:rFonts w:hint="default" w:ascii="Times New Roman" w:hAnsi="Times New Roman" w:eastAsia="仿宋_GB2312" w:cs="Times New Roman"/>
          <w:sz w:val="32"/>
          <w:szCs w:val="32"/>
        </w:rPr>
        <w:t>审计反映问题</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个，已整改到位问题</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个。重点针</w:t>
      </w:r>
      <w:r>
        <w:rPr>
          <w:rFonts w:hint="default" w:ascii="Times New Roman" w:hAnsi="Times New Roman" w:eastAsia="仿宋_GB2312" w:cs="Times New Roman"/>
          <w:sz w:val="32"/>
          <w:szCs w:val="32"/>
          <w:lang w:val="en-US" w:eastAsia="zh-CN"/>
        </w:rPr>
        <w:t>对基建程序履行不到位、项目进度滞后、项目建设不规范等</w:t>
      </w:r>
      <w:r>
        <w:rPr>
          <w:rFonts w:hint="default" w:ascii="Times New Roman" w:hAnsi="Times New Roman" w:eastAsia="仿宋_GB2312" w:cs="Times New Roman"/>
          <w:sz w:val="32"/>
          <w:szCs w:val="32"/>
        </w:rPr>
        <w:t>问题进行整改，严格项目建设全流程管控，压实参建各方责任，提升政府投资项目管理质效。</w:t>
      </w:r>
    </w:p>
    <w:p w14:paraId="3ECCF9F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420" w:firstLineChars="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后续安排明确</w:t>
      </w:r>
    </w:p>
    <w:p w14:paraId="12ADF1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对尚未完成整改的问题，相关部门和单位已对后续整改工作作出安排。一是压实审计整改责任。被审计单位强化审计整改主体意识，严格落实审计整改要求和建议，深挖问题产生根源，着力解决堵点难点问题。主管部门全面落实监管责任，指导被审计单位落实整改方案，系统解决普遍性、苗头性、倾向性问题。二是分类施策抓好整改。对立行立改类问题，加大跟踪督促力度，采取有效措施确保整改到位；对分阶段整改类问题，制定整改方案，落实整改现阶段可完成事项，并细化长效整改工作举措，督促从制度层面规范管理、堵塞漏洞，全面整改到位。三是强化部门协同配合。加强统筹协调、上下联动和督查督办，协调解决跨部门或存在时间长、历史原因复杂、整改难度大的重要问题。下来，县政府将督促相关单位进一步压实整改责任，切切实实拿出真举措，推进问题整改动真格、改到位。审计机关将紧盯不放，持续加强跟踪督促检查，推动审计查出问题全面彻底、扎实有效整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EAB6D0"/>
    <w:multiLevelType w:val="singleLevel"/>
    <w:tmpl w:val="98EAB6D0"/>
    <w:lvl w:ilvl="0" w:tentative="0">
      <w:start w:val="1"/>
      <w:numFmt w:val="chineseCounting"/>
      <w:suff w:val="nothing"/>
      <w:lvlText w:val="%1、"/>
      <w:lvlJc w:val="left"/>
      <w:pPr>
        <w:ind w:left="0" w:firstLine="420"/>
      </w:pPr>
      <w:rPr>
        <w:rFonts w:hint="eastAsia"/>
      </w:rPr>
    </w:lvl>
  </w:abstractNum>
  <w:abstractNum w:abstractNumId="1">
    <w:nsid w:val="3F6DD0AA"/>
    <w:multiLevelType w:val="singleLevel"/>
    <w:tmpl w:val="3F6DD0AA"/>
    <w:lvl w:ilvl="0" w:tentative="0">
      <w:start w:val="1"/>
      <w:numFmt w:val="chineseCounting"/>
      <w:suff w:val="nothing"/>
      <w:lvlText w:val="（%1）"/>
      <w:lvlJc w:val="left"/>
      <w:pPr>
        <w:ind w:left="0" w:firstLine="420"/>
      </w:pPr>
      <w:rPr>
        <w:rFonts w:hint="eastAsia" w:ascii="楷体" w:hAnsi="楷体" w:eastAsia="楷体" w:cs="楷体"/>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115BA2"/>
    <w:rsid w:val="309913DA"/>
    <w:rsid w:val="48E307FF"/>
    <w:rsid w:val="4EF120B3"/>
    <w:rsid w:val="52EA4E4F"/>
    <w:rsid w:val="68C366DF"/>
    <w:rsid w:val="6BD149A6"/>
    <w:rsid w:val="724032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51652b96-924f-4789-87d4-a65033b0ab13}">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2304</Words>
  <Characters>2346</Characters>
  <Lines>0</Lines>
  <Paragraphs>0</Paragraphs>
  <TotalTime>13</TotalTime>
  <ScaleCrop>false</ScaleCrop>
  <LinksUpToDate>false</LinksUpToDate>
  <CharactersWithSpaces>2346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2026-06-30T06:26:00Z</dcterms:created>
  <dc:creator>pxy</dc:creator>
  <cp:lastModifiedBy>韵</cp:lastModifiedBy>
  <dcterms:modified xsi:type="dcterms:W3CDTF">2026-07-01T09:05:22Z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eyJoZGlkIjoiMWJkZGUyNjZkZTQ2NWU5MzhjNTkwYjFlZGVkYmUyM2QiLCJ1c2VySWQiOiIyOTc4MzI2ODcifQ==</vt:lpwstr>
  </property>
  <property fmtid="{D5CDD505-2E9C-101B-9397-08002B2CF9AE}" pid="4" name="ICV">
    <vt:lpwstr>CA56CA246DCC4EF0AB63AABABECBF3B0_12</vt:lpwstr>
  </property>
</Properties>
</file>