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附件1：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试点领域标准目录责任分工表</w:t>
      </w:r>
    </w:p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181"/>
        <w:gridCol w:w="4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序号</w:t>
            </w:r>
          </w:p>
        </w:tc>
        <w:tc>
          <w:tcPr>
            <w:tcW w:w="3181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ascii="仿宋_GB2312" w:hAnsi="仿宋_GB2312" w:eastAsia="仿宋_GB2312"/>
                <w:sz w:val="32"/>
              </w:rPr>
              <w:t>标准目录</w:t>
            </w:r>
            <w:r>
              <w:rPr>
                <w:rFonts w:hint="eastAsia" w:ascii="仿宋_GB2312" w:hAnsi="仿宋_GB2312" w:eastAsia="仿宋_GB2312"/>
                <w:sz w:val="32"/>
              </w:rPr>
              <w:t>名称</w:t>
            </w:r>
          </w:p>
        </w:tc>
        <w:tc>
          <w:tcPr>
            <w:tcW w:w="4902" w:type="dxa"/>
          </w:tcPr>
          <w:p>
            <w:pPr>
              <w:spacing w:line="56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重大建设项目领域基层政务公开标准目录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发改局牵头，会同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县科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工局、自然资源局、生态环境局、住建局、交通运输局、水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务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局、农业农村局、卫健局、市场监管局、林业局等部门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公共资源交易领域基层政务公开标准目录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政务数据管理局牵头，会同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发改局、自然资源局、财政局、住建局、国资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局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义务教育领域基层政务公开标准目录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教育局牵头，会同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财政局、人社局等部门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户籍管理领域基层政务公开标准目录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公安局牵头，会同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县直有关部门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社会救助领域基层政务公开标准目录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民政局牵头，会同有关部门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养老服务领域基层政务公开标准目录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县民政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局牵头，会同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财政局等部门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公共法律服务领域基层政务公开标准目录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司法局牵头，会同有关部门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财政预决算领域基层政务公开标准目录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财政局牵头，会同有关部门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就业领域基层政务公开标准目录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人社局牵头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，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社会保险领域基层政务公开标准目录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人社局牵头，会同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财政局等部门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11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城乡规划领域基层政务公开标准目录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自然资源局牵头，会同有关部门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12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农村集体土地征收基层政务公开标准目录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自然资源局牵头，会同有关部门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13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生态环境领域基层政务公开标准目录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生态环境局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陆河分局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14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保障性住房领域基层政务公开标准目录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住建局牵头，会同有关部门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15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国有土地上房屋征收与补偿领域基层政务公开标准目录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住建局牵头，会同有关部门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16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农村危房改造领域基层政务公开标准目录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住建局牵头，会同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财政局等有关部门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17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市政服务领域基层政务公开标准目录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住建局牵头，会同有关部门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18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城市综合执法领域基层政务公开标准目录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住建局牵头，会同有关部门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19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涉农补贴领域基层政务公开标准目录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农业农村局牵头，会同有关部门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20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公共文化服务领域基层政务公开标准目录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文广旅体局牵头，会同有关部门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21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卫生健康领域基层政务公开标准目录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卫健局牵头，会同有关部门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22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安全生产领域基层政务公开标准目录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应急管理局牵头，会同有关部门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23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救灾生产领域基层政务公开标准目录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应急管理局牵头，会同有关部门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24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食品药品监管领域基层政务公开标准目录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市场监管局牵头，会同有关部门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25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税收管理领域基层政务公开标准目录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税务局牵头，会同有关部门负责细化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2" w:type="dxa"/>
            <w:vAlign w:val="center"/>
          </w:tcPr>
          <w:p>
            <w:pPr>
              <w:spacing w:line="430" w:lineRule="exact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26</w:t>
            </w:r>
          </w:p>
        </w:tc>
        <w:tc>
          <w:tcPr>
            <w:tcW w:w="3181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0"/>
                <w:szCs w:val="30"/>
              </w:rPr>
              <w:t>扶贫领域基层政务公开标准目录</w:t>
            </w:r>
          </w:p>
        </w:tc>
        <w:tc>
          <w:tcPr>
            <w:tcW w:w="4902" w:type="dxa"/>
            <w:vAlign w:val="center"/>
          </w:tcPr>
          <w:p>
            <w:pPr>
              <w:spacing w:line="430" w:lineRule="exac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县农业农村局（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扶贫办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）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>牵头，会同有关部门</w:t>
            </w:r>
          </w:p>
        </w:tc>
      </w:tr>
    </w:tbl>
    <w:p>
      <w:pPr>
        <w:rPr>
          <w:rFonts w:ascii="仿宋_GB2312" w:hAnsi="仿宋_GB2312" w:eastAsia="仿宋_GB2312"/>
          <w:sz w:val="10"/>
          <w:szCs w:val="10"/>
        </w:rPr>
      </w:pPr>
    </w:p>
    <w:sectPr>
      <w:pgSz w:w="11906" w:h="16838"/>
      <w:pgMar w:top="1701" w:right="1531" w:bottom="1134" w:left="1531" w:header="851" w:footer="992" w:gutter="0"/>
      <w:pgNumType w:fmt="numberInDash" w:start="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73098"/>
    <w:rsid w:val="006335F5"/>
    <w:rsid w:val="00983E7B"/>
    <w:rsid w:val="00D760E7"/>
    <w:rsid w:val="15EB5890"/>
    <w:rsid w:val="29302DB4"/>
    <w:rsid w:val="382D7CD7"/>
    <w:rsid w:val="390B1710"/>
    <w:rsid w:val="4F867600"/>
    <w:rsid w:val="53C56D3B"/>
    <w:rsid w:val="5BCE01E5"/>
    <w:rsid w:val="63025070"/>
    <w:rsid w:val="68CA76B8"/>
    <w:rsid w:val="74980F1D"/>
    <w:rsid w:val="7882288F"/>
    <w:rsid w:val="7C69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161</Words>
  <Characters>923</Characters>
  <Lines>7</Lines>
  <Paragraphs>2</Paragraphs>
  <TotalTime>0</TotalTime>
  <ScaleCrop>false</ScaleCrop>
  <LinksUpToDate>false</LinksUpToDate>
  <CharactersWithSpaces>1082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lhxzfbmsg</cp:lastModifiedBy>
  <cp:lastPrinted>2020-07-30T02:59:00Z</cp:lastPrinted>
  <dcterms:modified xsi:type="dcterms:W3CDTF">2020-08-28T01:45:04Z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  <property fmtid="{D5CDD505-2E9C-101B-9397-08002B2CF9AE}" pid="3" name="ribbonExt">
    <vt:lpwstr>{"WPSExtOfficeTab":{"OnGetEnabled":false,"OnGetVisible":false}}</vt:lpwstr>
  </property>
</Properties>
</file>