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9E54F">
      <w:pPr>
        <w:widowControl/>
        <w:spacing w:line="580" w:lineRule="exact"/>
        <w:jc w:val="center"/>
        <w:rPr>
          <w:rFonts w:hint="eastAsia" w:ascii="方正小标宋简体" w:hAnsi="方正小标宋简体" w:eastAsia="方正小标宋简体" w:cs="方正小标宋简体"/>
          <w:sz w:val="44"/>
          <w:szCs w:val="44"/>
          <w:lang w:bidi="ar"/>
        </w:rPr>
      </w:pPr>
      <w:r>
        <w:rPr>
          <w:rFonts w:hint="eastAsia" w:ascii="方正小标宋简体" w:hAnsi="方正小标宋简体" w:eastAsia="方正小标宋简体" w:cs="方正小标宋简体"/>
          <w:sz w:val="44"/>
          <w:szCs w:val="44"/>
          <w:lang w:bidi="ar"/>
        </w:rPr>
        <w:t>汕尾市</w:t>
      </w:r>
      <w:r>
        <w:rPr>
          <w:rFonts w:hint="eastAsia" w:eastAsia="方正小标宋简体" w:cs="方正小标宋简体"/>
          <w:color w:val="000000"/>
          <w:sz w:val="44"/>
          <w:szCs w:val="44"/>
        </w:rPr>
        <w:t>成品油</w:t>
      </w:r>
      <w:r>
        <w:rPr>
          <w:rFonts w:hint="eastAsia" w:ascii="方正小标宋简体" w:hAnsi="方正小标宋简体" w:eastAsia="方正小标宋简体" w:cs="方正小标宋简体"/>
          <w:sz w:val="44"/>
          <w:szCs w:val="44"/>
          <w:lang w:bidi="ar"/>
        </w:rPr>
        <w:t>产品质量监督抽查</w:t>
      </w:r>
    </w:p>
    <w:p w14:paraId="690EC703">
      <w:pPr>
        <w:widowControl/>
        <w:spacing w:line="580" w:lineRule="exact"/>
        <w:jc w:val="center"/>
        <w:rPr>
          <w:rFonts w:hint="eastAsia" w:eastAsia="方正小标宋简体" w:cs="方正小标宋简体"/>
          <w:sz w:val="44"/>
          <w:szCs w:val="44"/>
        </w:rPr>
      </w:pPr>
      <w:r>
        <w:rPr>
          <w:rFonts w:hint="eastAsia" w:eastAsia="方正小标宋简体" w:cs="方正小标宋简体"/>
          <w:sz w:val="44"/>
          <w:szCs w:val="44"/>
        </w:rPr>
        <w:t>（快速检测）实施细则</w:t>
      </w:r>
    </w:p>
    <w:p w14:paraId="3175FF26">
      <w:pPr>
        <w:keepNext w:val="0"/>
        <w:keepLines w:val="0"/>
        <w:widowControl w:val="0"/>
        <w:suppressLineNumbers w:val="0"/>
        <w:spacing w:before="0" w:beforeAutospacing="0" w:after="0" w:afterAutospacing="0" w:line="440" w:lineRule="exact"/>
        <w:ind w:left="0" w:right="0"/>
        <w:jc w:val="center"/>
        <w:rPr>
          <w:rFonts w:hint="default" w:ascii="Times New Roman" w:hAnsi="Times New Roman" w:eastAsia="楷体_GB2312" w:cs="Times New Roman"/>
          <w:kern w:val="2"/>
          <w:sz w:val="32"/>
          <w:szCs w:val="32"/>
        </w:rPr>
      </w:pPr>
      <w:r>
        <w:rPr>
          <w:rFonts w:hint="default" w:ascii="楷体_GB2312" w:hAnsi="Times New Roman" w:eastAsia="楷体_GB2312" w:cs="楷体_GB2312"/>
          <w:kern w:val="2"/>
          <w:sz w:val="32"/>
          <w:szCs w:val="32"/>
          <w:lang w:val="en-US" w:eastAsia="zh-CN" w:bidi="ar"/>
        </w:rPr>
        <w:t>（</w:t>
      </w:r>
      <w:r>
        <w:rPr>
          <w:rFonts w:hint="default" w:ascii="Times New Roman" w:hAnsi="Times New Roman" w:eastAsia="楷体_GB2312" w:cs="Times New Roman"/>
          <w:kern w:val="2"/>
          <w:sz w:val="32"/>
          <w:szCs w:val="32"/>
          <w:lang w:val="en-US" w:eastAsia="zh-CN" w:bidi="ar"/>
        </w:rPr>
        <w:t>2024</w:t>
      </w:r>
      <w:r>
        <w:rPr>
          <w:rFonts w:hint="default" w:ascii="楷体_GB2312" w:hAnsi="Times New Roman" w:eastAsia="楷体_GB2312" w:cs="楷体_GB2312"/>
          <w:kern w:val="2"/>
          <w:sz w:val="32"/>
          <w:szCs w:val="32"/>
          <w:lang w:val="en-US" w:eastAsia="zh-CN" w:bidi="ar"/>
        </w:rPr>
        <w:t>年版）</w:t>
      </w:r>
    </w:p>
    <w:p w14:paraId="609B9425">
      <w:pPr>
        <w:pStyle w:val="2"/>
      </w:pPr>
      <w:bookmarkStart w:id="0" w:name="_GoBack"/>
      <w:bookmarkEnd w:id="0"/>
    </w:p>
    <w:p w14:paraId="50E28B97">
      <w:pPr>
        <w:snapToGrid w:val="0"/>
        <w:spacing w:line="440" w:lineRule="exact"/>
        <w:rPr>
          <w:rFonts w:eastAsia="黑体"/>
          <w:sz w:val="21"/>
          <w:szCs w:val="21"/>
        </w:rPr>
      </w:pPr>
    </w:p>
    <w:p w14:paraId="1E12059C">
      <w:pPr>
        <w:autoSpaceDE w:val="0"/>
        <w:snapToGrid w:val="0"/>
        <w:spacing w:line="560" w:lineRule="exact"/>
        <w:rPr>
          <w:rFonts w:eastAsia="黑体"/>
          <w:szCs w:val="32"/>
        </w:rPr>
      </w:pPr>
      <w:r>
        <w:rPr>
          <w:rFonts w:hint="eastAsia" w:eastAsia="黑体"/>
          <w:szCs w:val="32"/>
          <w:lang w:bidi="ar"/>
        </w:rPr>
        <w:t xml:space="preserve">    </w:t>
      </w:r>
      <w:r>
        <w:rPr>
          <w:rFonts w:eastAsia="黑体"/>
          <w:szCs w:val="32"/>
          <w:lang w:bidi="ar"/>
        </w:rPr>
        <w:t xml:space="preserve">1 </w:t>
      </w:r>
      <w:r>
        <w:rPr>
          <w:rFonts w:hint="eastAsia" w:ascii="黑体" w:hAnsi="宋体" w:eastAsia="黑体" w:cs="黑体"/>
          <w:szCs w:val="32"/>
          <w:lang w:bidi="ar"/>
        </w:rPr>
        <w:t>抽样方法</w:t>
      </w:r>
    </w:p>
    <w:p w14:paraId="346DFEC6">
      <w:pPr>
        <w:widowControl/>
        <w:spacing w:line="580" w:lineRule="exact"/>
        <w:ind w:firstLine="640" w:firstLineChars="200"/>
        <w:rPr>
          <w:color w:val="000000"/>
          <w:kern w:val="0"/>
          <w:szCs w:val="32"/>
        </w:rPr>
      </w:pPr>
      <w:r>
        <w:rPr>
          <w:color w:val="000000"/>
          <w:kern w:val="0"/>
          <w:szCs w:val="32"/>
        </w:rPr>
        <w:t>以随机抽样的方式在被抽样经营者的待销产品中抽取。</w:t>
      </w:r>
    </w:p>
    <w:p w14:paraId="7AD3C83E">
      <w:pPr>
        <w:widowControl/>
        <w:spacing w:line="580" w:lineRule="exact"/>
        <w:ind w:firstLine="640" w:firstLineChars="200"/>
        <w:rPr>
          <w:color w:val="000000"/>
          <w:kern w:val="0"/>
          <w:szCs w:val="32"/>
        </w:rPr>
      </w:pPr>
      <w:r>
        <w:rPr>
          <w:color w:val="000000"/>
          <w:kern w:val="0"/>
          <w:szCs w:val="32"/>
        </w:rPr>
        <w:t>随机数一般可使用随机数表等方法产生。</w:t>
      </w:r>
    </w:p>
    <w:p w14:paraId="29B5FC51">
      <w:pPr>
        <w:widowControl/>
        <w:spacing w:line="580" w:lineRule="exact"/>
        <w:ind w:firstLine="640" w:firstLineChars="200"/>
        <w:rPr>
          <w:color w:val="000000"/>
          <w:szCs w:val="32"/>
        </w:rPr>
      </w:pPr>
      <w:r>
        <w:rPr>
          <w:color w:val="000000"/>
          <w:kern w:val="0"/>
          <w:szCs w:val="32"/>
        </w:rPr>
        <w:t>抽查数量：</w:t>
      </w:r>
      <w:r>
        <w:rPr>
          <w:rFonts w:hint="eastAsia"/>
          <w:color w:val="000000"/>
          <w:kern w:val="0"/>
          <w:szCs w:val="32"/>
        </w:rPr>
        <w:t>每款产品抽取1组样本，每组样品量不少于3</w:t>
      </w:r>
      <w:r>
        <w:rPr>
          <w:color w:val="000000"/>
          <w:kern w:val="0"/>
          <w:szCs w:val="32"/>
        </w:rPr>
        <w:t>00</w:t>
      </w:r>
      <w:r>
        <w:rPr>
          <w:rFonts w:hint="eastAsia"/>
          <w:color w:val="000000"/>
          <w:kern w:val="0"/>
          <w:szCs w:val="32"/>
        </w:rPr>
        <w:t>m</w:t>
      </w:r>
      <w:r>
        <w:rPr>
          <w:color w:val="000000"/>
          <w:kern w:val="0"/>
          <w:szCs w:val="32"/>
        </w:rPr>
        <w:t>L</w:t>
      </w:r>
      <w:r>
        <w:rPr>
          <w:rFonts w:hint="eastAsia"/>
          <w:color w:val="000000"/>
          <w:kern w:val="0"/>
          <w:szCs w:val="32"/>
        </w:rPr>
        <w:t>。</w:t>
      </w:r>
      <w:r>
        <w:rPr>
          <w:rFonts w:hint="eastAsia"/>
          <w:color w:val="000000"/>
          <w:szCs w:val="32"/>
        </w:rPr>
        <w:t>具体抽样数量和方法如下</w:t>
      </w:r>
      <w:r>
        <w:rPr>
          <w:color w:val="000000"/>
          <w:szCs w:val="32"/>
        </w:rPr>
        <w:t>：</w:t>
      </w:r>
    </w:p>
    <w:p w14:paraId="459D8AC3">
      <w:pPr>
        <w:pStyle w:val="7"/>
        <w:spacing w:line="580" w:lineRule="exact"/>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在生产企业（油库）抽样时，按GB/T 4756-2015《石油液体手工取样法》规定的方法抽取样本；在加油站抽样时，直接在加油机加油枪出口处随机抽取样本。</w:t>
      </w:r>
    </w:p>
    <w:p w14:paraId="47E144CA">
      <w:pPr>
        <w:autoSpaceDE w:val="0"/>
        <w:snapToGrid w:val="0"/>
        <w:spacing w:line="560" w:lineRule="exact"/>
        <w:ind w:firstLine="640" w:firstLineChars="200"/>
        <w:rPr>
          <w:color w:val="000000"/>
          <w:szCs w:val="32"/>
        </w:rPr>
      </w:pPr>
      <w:r>
        <w:rPr>
          <w:rFonts w:hint="eastAsia"/>
          <w:color w:val="000000"/>
          <w:szCs w:val="32"/>
        </w:rPr>
        <w:t>抽取样本前，通过油枪或油管将至少4L油品放出，清洗加油管，避免加油管污染样品，同时清洗取样容器至少3次。</w:t>
      </w:r>
    </w:p>
    <w:p w14:paraId="2818CD14">
      <w:pPr>
        <w:autoSpaceDE w:val="0"/>
        <w:snapToGrid w:val="0"/>
        <w:spacing w:line="560" w:lineRule="exact"/>
        <w:ind w:firstLine="640"/>
        <w:rPr>
          <w:rFonts w:hint="eastAsia" w:ascii="黑体" w:hAnsi="宋体" w:eastAsia="黑体" w:cs="黑体"/>
          <w:szCs w:val="32"/>
          <w:lang w:bidi="ar"/>
        </w:rPr>
      </w:pPr>
      <w:r>
        <w:rPr>
          <w:rFonts w:eastAsia="黑体"/>
          <w:szCs w:val="32"/>
          <w:lang w:bidi="ar"/>
        </w:rPr>
        <w:t xml:space="preserve">2 </w:t>
      </w:r>
      <w:r>
        <w:rPr>
          <w:rFonts w:hint="eastAsia" w:ascii="黑体" w:hAnsi="宋体" w:eastAsia="黑体" w:cs="黑体"/>
          <w:szCs w:val="32"/>
          <w:lang w:bidi="ar"/>
        </w:rPr>
        <w:t>检验依据</w:t>
      </w:r>
    </w:p>
    <w:p w14:paraId="5A804DFB">
      <w:pPr>
        <w:pStyle w:val="7"/>
        <w:spacing w:line="580" w:lineRule="exact"/>
        <w:ind w:firstLine="640"/>
        <w:rPr>
          <w:rFonts w:ascii="Times New Roman" w:hAnsi="Times New Roman" w:eastAsia="楷体_GB2312" w:cs="楷体_GB2312"/>
          <w:color w:val="000000"/>
          <w:sz w:val="32"/>
          <w:szCs w:val="32"/>
        </w:rPr>
      </w:pPr>
      <w:r>
        <w:rPr>
          <w:rFonts w:hint="eastAsia" w:ascii="Times New Roman" w:hAnsi="Times New Roman" w:eastAsia="楷体_GB2312" w:cs="楷体_GB2312"/>
          <w:color w:val="000000"/>
          <w:sz w:val="32"/>
          <w:szCs w:val="32"/>
        </w:rPr>
        <w:t>（一）车用汽油</w:t>
      </w:r>
    </w:p>
    <w:tbl>
      <w:tblPr>
        <w:tblStyle w:val="5"/>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3175"/>
        <w:gridCol w:w="4908"/>
      </w:tblGrid>
      <w:tr w14:paraId="1071E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tcPr>
          <w:p w14:paraId="073C8E99">
            <w:pPr>
              <w:autoSpaceDE w:val="0"/>
              <w:snapToGrid w:val="0"/>
              <w:spacing w:line="340" w:lineRule="exact"/>
              <w:jc w:val="center"/>
              <w:rPr>
                <w:rFonts w:hint="eastAsia" w:ascii="黑体" w:hAnsi="宋体" w:eastAsia="黑体" w:cs="黑体"/>
                <w:sz w:val="21"/>
                <w:szCs w:val="21"/>
              </w:rPr>
            </w:pPr>
            <w:r>
              <w:rPr>
                <w:rFonts w:hint="eastAsia" w:ascii="黑体" w:hAnsi="宋体" w:eastAsia="黑体" w:cs="黑体"/>
                <w:sz w:val="21"/>
                <w:szCs w:val="21"/>
                <w:lang w:bidi="ar"/>
              </w:rPr>
              <w:t>序号</w:t>
            </w:r>
          </w:p>
        </w:tc>
        <w:tc>
          <w:tcPr>
            <w:tcW w:w="3175" w:type="dxa"/>
            <w:tcBorders>
              <w:top w:val="single" w:color="auto" w:sz="4" w:space="0"/>
              <w:left w:val="single" w:color="auto" w:sz="4" w:space="0"/>
              <w:bottom w:val="single" w:color="auto" w:sz="4" w:space="0"/>
              <w:right w:val="single" w:color="auto" w:sz="4" w:space="0"/>
            </w:tcBorders>
          </w:tcPr>
          <w:p w14:paraId="39373316">
            <w:pPr>
              <w:autoSpaceDE w:val="0"/>
              <w:snapToGrid w:val="0"/>
              <w:spacing w:line="340" w:lineRule="exact"/>
              <w:jc w:val="center"/>
              <w:rPr>
                <w:rFonts w:hint="eastAsia" w:ascii="黑体" w:hAnsi="宋体" w:eastAsia="黑体" w:cs="黑体"/>
                <w:sz w:val="21"/>
                <w:szCs w:val="21"/>
              </w:rPr>
            </w:pPr>
            <w:r>
              <w:rPr>
                <w:rFonts w:hint="eastAsia" w:ascii="黑体" w:hAnsi="宋体" w:eastAsia="黑体" w:cs="黑体"/>
                <w:sz w:val="21"/>
                <w:szCs w:val="21"/>
                <w:lang w:bidi="ar"/>
              </w:rPr>
              <w:t>检验项目</w:t>
            </w:r>
          </w:p>
        </w:tc>
        <w:tc>
          <w:tcPr>
            <w:tcW w:w="4908" w:type="dxa"/>
            <w:tcBorders>
              <w:top w:val="single" w:color="auto" w:sz="4" w:space="0"/>
              <w:left w:val="single" w:color="auto" w:sz="4" w:space="0"/>
              <w:bottom w:val="single" w:color="auto" w:sz="4" w:space="0"/>
              <w:right w:val="single" w:color="auto" w:sz="4" w:space="0"/>
            </w:tcBorders>
          </w:tcPr>
          <w:p w14:paraId="15AFB2FA">
            <w:pPr>
              <w:autoSpaceDE w:val="0"/>
              <w:snapToGrid w:val="0"/>
              <w:spacing w:line="340" w:lineRule="exact"/>
              <w:jc w:val="center"/>
              <w:rPr>
                <w:rFonts w:hint="eastAsia" w:ascii="黑体" w:hAnsi="宋体" w:eastAsia="黑体" w:cs="黑体"/>
                <w:sz w:val="21"/>
                <w:szCs w:val="21"/>
              </w:rPr>
            </w:pPr>
            <w:r>
              <w:rPr>
                <w:rFonts w:hint="eastAsia" w:ascii="黑体" w:hAnsi="宋体" w:eastAsia="黑体" w:cs="黑体"/>
                <w:sz w:val="21"/>
                <w:szCs w:val="21"/>
                <w:lang w:bidi="ar"/>
              </w:rPr>
              <w:t>检验方法</w:t>
            </w:r>
          </w:p>
        </w:tc>
      </w:tr>
      <w:tr w14:paraId="32789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7DD56C25">
            <w:pPr>
              <w:autoSpaceDE w:val="0"/>
              <w:snapToGrid w:val="0"/>
              <w:spacing w:line="340" w:lineRule="exact"/>
              <w:jc w:val="center"/>
              <w:rPr>
                <w:rFonts w:eastAsia="宋体"/>
                <w:sz w:val="21"/>
                <w:szCs w:val="21"/>
              </w:rPr>
            </w:pPr>
            <w:r>
              <w:rPr>
                <w:rFonts w:eastAsia="宋体"/>
                <w:sz w:val="21"/>
                <w:szCs w:val="21"/>
                <w:lang w:bidi="ar"/>
              </w:rPr>
              <w:t>1</w:t>
            </w:r>
          </w:p>
        </w:tc>
        <w:tc>
          <w:tcPr>
            <w:tcW w:w="3175" w:type="dxa"/>
            <w:tcBorders>
              <w:top w:val="single" w:color="auto" w:sz="4" w:space="0"/>
              <w:left w:val="single" w:color="auto" w:sz="4" w:space="0"/>
              <w:bottom w:val="single" w:color="auto" w:sz="4" w:space="0"/>
              <w:right w:val="single" w:color="auto" w:sz="4" w:space="0"/>
            </w:tcBorders>
            <w:vAlign w:val="center"/>
          </w:tcPr>
          <w:p w14:paraId="7FA2B462">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研究法辛烷值</w:t>
            </w:r>
          </w:p>
        </w:tc>
        <w:tc>
          <w:tcPr>
            <w:tcW w:w="4908" w:type="dxa"/>
            <w:vMerge w:val="restart"/>
            <w:tcBorders>
              <w:top w:val="single" w:color="auto" w:sz="4" w:space="0"/>
              <w:left w:val="single" w:color="auto" w:sz="4" w:space="0"/>
              <w:right w:val="single" w:color="auto" w:sz="4" w:space="0"/>
            </w:tcBorders>
            <w:vAlign w:val="center"/>
          </w:tcPr>
          <w:p w14:paraId="1FEF1801">
            <w:pPr>
              <w:autoSpaceDE w:val="0"/>
              <w:spacing w:line="340" w:lineRule="exact"/>
              <w:jc w:val="center"/>
              <w:rPr>
                <w:rFonts w:eastAsia="宋体"/>
                <w:sz w:val="21"/>
                <w:szCs w:val="21"/>
              </w:rPr>
            </w:pPr>
            <w:r>
              <w:rPr>
                <w:rFonts w:ascii="仿宋_GB2312" w:hAnsi="仿宋"/>
                <w:color w:val="000000"/>
                <w:sz w:val="21"/>
              </w:rPr>
              <w:t>T</w:t>
            </w:r>
            <w:r>
              <w:rPr>
                <w:rFonts w:hint="eastAsia" w:ascii="仿宋_GB2312" w:hAnsi="仿宋"/>
                <w:color w:val="000000"/>
                <w:sz w:val="21"/>
              </w:rPr>
              <w:t>/</w:t>
            </w:r>
            <w:r>
              <w:rPr>
                <w:rFonts w:ascii="仿宋_GB2312" w:hAnsi="仿宋"/>
                <w:color w:val="000000"/>
                <w:sz w:val="21"/>
              </w:rPr>
              <w:t>CAQI 232-2021</w:t>
            </w:r>
            <w:r>
              <w:rPr>
                <w:rFonts w:hint="eastAsia" w:ascii="仿宋_GB2312" w:hAnsi="仿宋"/>
                <w:color w:val="000000"/>
                <w:sz w:val="21"/>
              </w:rPr>
              <w:t>、</w:t>
            </w:r>
            <w:r>
              <w:rPr>
                <w:rFonts w:ascii="仿宋_GB2312" w:hAnsi="仿宋"/>
                <w:color w:val="000000"/>
                <w:sz w:val="21"/>
              </w:rPr>
              <w:t>ZDS JS2025-2022</w:t>
            </w:r>
          </w:p>
        </w:tc>
      </w:tr>
      <w:tr w14:paraId="21400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5646395D">
            <w:pPr>
              <w:autoSpaceDE w:val="0"/>
              <w:snapToGrid w:val="0"/>
              <w:spacing w:line="340" w:lineRule="exact"/>
              <w:jc w:val="center"/>
              <w:rPr>
                <w:rFonts w:eastAsia="宋体"/>
                <w:sz w:val="21"/>
                <w:szCs w:val="21"/>
              </w:rPr>
            </w:pPr>
            <w:r>
              <w:rPr>
                <w:rFonts w:eastAsia="宋体"/>
                <w:sz w:val="21"/>
                <w:szCs w:val="21"/>
                <w:lang w:bidi="ar"/>
              </w:rPr>
              <w:t>2</w:t>
            </w:r>
          </w:p>
        </w:tc>
        <w:tc>
          <w:tcPr>
            <w:tcW w:w="3175" w:type="dxa"/>
            <w:tcBorders>
              <w:top w:val="single" w:color="auto" w:sz="4" w:space="0"/>
              <w:left w:val="single" w:color="auto" w:sz="4" w:space="0"/>
              <w:bottom w:val="single" w:color="auto" w:sz="4" w:space="0"/>
              <w:right w:val="single" w:color="auto" w:sz="4" w:space="0"/>
            </w:tcBorders>
            <w:vAlign w:val="center"/>
          </w:tcPr>
          <w:p w14:paraId="5F1383DE">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抗爆指数</w:t>
            </w:r>
          </w:p>
        </w:tc>
        <w:tc>
          <w:tcPr>
            <w:tcW w:w="4908" w:type="dxa"/>
            <w:vMerge w:val="continue"/>
            <w:tcBorders>
              <w:left w:val="single" w:color="auto" w:sz="4" w:space="0"/>
              <w:right w:val="single" w:color="auto" w:sz="4" w:space="0"/>
            </w:tcBorders>
            <w:vAlign w:val="center"/>
          </w:tcPr>
          <w:p w14:paraId="0AB6C8BF">
            <w:pPr>
              <w:autoSpaceDE w:val="0"/>
              <w:spacing w:line="340" w:lineRule="exact"/>
              <w:jc w:val="center"/>
              <w:rPr>
                <w:rFonts w:eastAsia="宋体"/>
                <w:sz w:val="21"/>
                <w:szCs w:val="21"/>
              </w:rPr>
            </w:pPr>
          </w:p>
        </w:tc>
      </w:tr>
      <w:tr w14:paraId="3C68F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3139A2EC">
            <w:pPr>
              <w:autoSpaceDE w:val="0"/>
              <w:snapToGrid w:val="0"/>
              <w:spacing w:line="340" w:lineRule="exact"/>
              <w:jc w:val="center"/>
              <w:rPr>
                <w:rFonts w:eastAsia="宋体"/>
                <w:sz w:val="21"/>
                <w:szCs w:val="21"/>
              </w:rPr>
            </w:pPr>
            <w:r>
              <w:rPr>
                <w:rFonts w:eastAsia="宋体"/>
                <w:sz w:val="21"/>
                <w:szCs w:val="21"/>
                <w:lang w:bidi="ar"/>
              </w:rPr>
              <w:t>3</w:t>
            </w:r>
          </w:p>
        </w:tc>
        <w:tc>
          <w:tcPr>
            <w:tcW w:w="3175" w:type="dxa"/>
            <w:tcBorders>
              <w:top w:val="single" w:color="auto" w:sz="4" w:space="0"/>
              <w:left w:val="single" w:color="auto" w:sz="4" w:space="0"/>
              <w:bottom w:val="single" w:color="auto" w:sz="4" w:space="0"/>
              <w:right w:val="single" w:color="auto" w:sz="4" w:space="0"/>
            </w:tcBorders>
            <w:vAlign w:val="center"/>
          </w:tcPr>
          <w:p w14:paraId="0B2BF328">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苯含量</w:t>
            </w:r>
          </w:p>
        </w:tc>
        <w:tc>
          <w:tcPr>
            <w:tcW w:w="4908" w:type="dxa"/>
            <w:vMerge w:val="continue"/>
            <w:tcBorders>
              <w:left w:val="single" w:color="auto" w:sz="4" w:space="0"/>
              <w:right w:val="single" w:color="auto" w:sz="4" w:space="0"/>
            </w:tcBorders>
            <w:vAlign w:val="center"/>
          </w:tcPr>
          <w:p w14:paraId="301BFA95">
            <w:pPr>
              <w:autoSpaceDE w:val="0"/>
              <w:spacing w:line="340" w:lineRule="exact"/>
              <w:jc w:val="center"/>
              <w:rPr>
                <w:rFonts w:eastAsia="宋体"/>
                <w:sz w:val="21"/>
                <w:szCs w:val="21"/>
              </w:rPr>
            </w:pPr>
          </w:p>
        </w:tc>
      </w:tr>
      <w:tr w14:paraId="23DE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20E63926">
            <w:pPr>
              <w:autoSpaceDE w:val="0"/>
              <w:snapToGrid w:val="0"/>
              <w:spacing w:line="340" w:lineRule="exact"/>
              <w:jc w:val="center"/>
              <w:rPr>
                <w:rFonts w:eastAsia="宋体"/>
                <w:sz w:val="21"/>
                <w:szCs w:val="21"/>
              </w:rPr>
            </w:pPr>
            <w:r>
              <w:rPr>
                <w:rFonts w:eastAsia="宋体"/>
                <w:sz w:val="21"/>
                <w:szCs w:val="21"/>
                <w:lang w:bidi="ar"/>
              </w:rPr>
              <w:t>4</w:t>
            </w:r>
          </w:p>
        </w:tc>
        <w:tc>
          <w:tcPr>
            <w:tcW w:w="3175" w:type="dxa"/>
            <w:tcBorders>
              <w:top w:val="single" w:color="auto" w:sz="4" w:space="0"/>
              <w:left w:val="single" w:color="auto" w:sz="4" w:space="0"/>
              <w:bottom w:val="single" w:color="auto" w:sz="4" w:space="0"/>
              <w:right w:val="single" w:color="auto" w:sz="4" w:space="0"/>
            </w:tcBorders>
            <w:vAlign w:val="center"/>
          </w:tcPr>
          <w:p w14:paraId="3B2B3CE6">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芳烃含量</w:t>
            </w:r>
          </w:p>
        </w:tc>
        <w:tc>
          <w:tcPr>
            <w:tcW w:w="4908" w:type="dxa"/>
            <w:vMerge w:val="continue"/>
            <w:tcBorders>
              <w:left w:val="single" w:color="auto" w:sz="4" w:space="0"/>
              <w:right w:val="single" w:color="auto" w:sz="4" w:space="0"/>
            </w:tcBorders>
            <w:vAlign w:val="center"/>
          </w:tcPr>
          <w:p w14:paraId="04CC1215">
            <w:pPr>
              <w:autoSpaceDE w:val="0"/>
              <w:spacing w:line="340" w:lineRule="exact"/>
              <w:jc w:val="center"/>
              <w:rPr>
                <w:rFonts w:eastAsia="宋体"/>
                <w:sz w:val="21"/>
                <w:szCs w:val="21"/>
              </w:rPr>
            </w:pPr>
          </w:p>
        </w:tc>
      </w:tr>
      <w:tr w14:paraId="1F3DE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279DBCB0">
            <w:pPr>
              <w:autoSpaceDE w:val="0"/>
              <w:snapToGrid w:val="0"/>
              <w:spacing w:line="340" w:lineRule="exact"/>
              <w:jc w:val="center"/>
              <w:rPr>
                <w:rFonts w:eastAsia="宋体"/>
                <w:sz w:val="21"/>
                <w:szCs w:val="21"/>
              </w:rPr>
            </w:pPr>
            <w:r>
              <w:rPr>
                <w:rFonts w:eastAsia="宋体"/>
                <w:sz w:val="21"/>
                <w:szCs w:val="21"/>
                <w:lang w:bidi="ar"/>
              </w:rPr>
              <w:t>5</w:t>
            </w:r>
          </w:p>
        </w:tc>
        <w:tc>
          <w:tcPr>
            <w:tcW w:w="3175" w:type="dxa"/>
            <w:tcBorders>
              <w:top w:val="single" w:color="auto" w:sz="4" w:space="0"/>
              <w:left w:val="single" w:color="auto" w:sz="4" w:space="0"/>
              <w:bottom w:val="single" w:color="auto" w:sz="4" w:space="0"/>
              <w:right w:val="single" w:color="auto" w:sz="4" w:space="0"/>
            </w:tcBorders>
            <w:vAlign w:val="center"/>
          </w:tcPr>
          <w:p w14:paraId="695C67F4">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烯烃含量</w:t>
            </w:r>
          </w:p>
        </w:tc>
        <w:tc>
          <w:tcPr>
            <w:tcW w:w="4908" w:type="dxa"/>
            <w:vMerge w:val="continue"/>
            <w:tcBorders>
              <w:left w:val="single" w:color="auto" w:sz="4" w:space="0"/>
              <w:right w:val="single" w:color="auto" w:sz="4" w:space="0"/>
            </w:tcBorders>
            <w:vAlign w:val="center"/>
          </w:tcPr>
          <w:p w14:paraId="190CE870">
            <w:pPr>
              <w:autoSpaceDE w:val="0"/>
              <w:spacing w:line="340" w:lineRule="exact"/>
              <w:jc w:val="center"/>
              <w:rPr>
                <w:rFonts w:eastAsia="宋体"/>
                <w:sz w:val="21"/>
                <w:szCs w:val="21"/>
              </w:rPr>
            </w:pPr>
          </w:p>
        </w:tc>
      </w:tr>
      <w:tr w14:paraId="5CAE0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23DF9FCA">
            <w:pPr>
              <w:autoSpaceDE w:val="0"/>
              <w:snapToGrid w:val="0"/>
              <w:spacing w:line="340" w:lineRule="exact"/>
              <w:jc w:val="center"/>
              <w:rPr>
                <w:rFonts w:eastAsia="宋体"/>
                <w:sz w:val="21"/>
                <w:szCs w:val="21"/>
              </w:rPr>
            </w:pPr>
            <w:r>
              <w:rPr>
                <w:rFonts w:eastAsia="宋体"/>
                <w:sz w:val="21"/>
                <w:szCs w:val="21"/>
                <w:lang w:bidi="ar"/>
              </w:rPr>
              <w:t>6</w:t>
            </w:r>
          </w:p>
        </w:tc>
        <w:tc>
          <w:tcPr>
            <w:tcW w:w="3175" w:type="dxa"/>
            <w:tcBorders>
              <w:top w:val="single" w:color="auto" w:sz="4" w:space="0"/>
              <w:left w:val="single" w:color="auto" w:sz="4" w:space="0"/>
              <w:bottom w:val="single" w:color="auto" w:sz="4" w:space="0"/>
              <w:right w:val="single" w:color="auto" w:sz="4" w:space="0"/>
            </w:tcBorders>
            <w:vAlign w:val="center"/>
          </w:tcPr>
          <w:p w14:paraId="5501C24D">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氧含量</w:t>
            </w:r>
          </w:p>
        </w:tc>
        <w:tc>
          <w:tcPr>
            <w:tcW w:w="4908" w:type="dxa"/>
            <w:vMerge w:val="continue"/>
            <w:tcBorders>
              <w:left w:val="single" w:color="auto" w:sz="4" w:space="0"/>
              <w:right w:val="single" w:color="auto" w:sz="4" w:space="0"/>
            </w:tcBorders>
            <w:vAlign w:val="center"/>
          </w:tcPr>
          <w:p w14:paraId="3F87ED79">
            <w:pPr>
              <w:autoSpaceDE w:val="0"/>
              <w:spacing w:line="340" w:lineRule="exact"/>
              <w:jc w:val="center"/>
              <w:rPr>
                <w:rFonts w:eastAsia="宋体"/>
                <w:sz w:val="21"/>
                <w:szCs w:val="21"/>
              </w:rPr>
            </w:pPr>
          </w:p>
        </w:tc>
      </w:tr>
      <w:tr w14:paraId="23E5A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1BF0B856">
            <w:pPr>
              <w:autoSpaceDE w:val="0"/>
              <w:snapToGrid w:val="0"/>
              <w:spacing w:line="340" w:lineRule="exact"/>
              <w:jc w:val="center"/>
              <w:rPr>
                <w:rFonts w:eastAsia="宋体"/>
                <w:sz w:val="21"/>
                <w:szCs w:val="21"/>
              </w:rPr>
            </w:pPr>
            <w:r>
              <w:rPr>
                <w:rFonts w:eastAsia="宋体"/>
                <w:sz w:val="21"/>
                <w:szCs w:val="21"/>
                <w:lang w:bidi="ar"/>
              </w:rPr>
              <w:t>7</w:t>
            </w:r>
          </w:p>
        </w:tc>
        <w:tc>
          <w:tcPr>
            <w:tcW w:w="3175" w:type="dxa"/>
            <w:tcBorders>
              <w:top w:val="single" w:color="auto" w:sz="4" w:space="0"/>
              <w:left w:val="single" w:color="auto" w:sz="4" w:space="0"/>
              <w:bottom w:val="single" w:color="auto" w:sz="4" w:space="0"/>
              <w:right w:val="single" w:color="auto" w:sz="4" w:space="0"/>
            </w:tcBorders>
            <w:vAlign w:val="center"/>
          </w:tcPr>
          <w:p w14:paraId="7CDC8B0A">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甲醇</w:t>
            </w:r>
          </w:p>
        </w:tc>
        <w:tc>
          <w:tcPr>
            <w:tcW w:w="4908" w:type="dxa"/>
            <w:vMerge w:val="continue"/>
            <w:tcBorders>
              <w:left w:val="single" w:color="auto" w:sz="4" w:space="0"/>
              <w:right w:val="single" w:color="auto" w:sz="4" w:space="0"/>
            </w:tcBorders>
            <w:vAlign w:val="center"/>
          </w:tcPr>
          <w:p w14:paraId="33CEE9A2">
            <w:pPr>
              <w:autoSpaceDE w:val="0"/>
              <w:spacing w:line="340" w:lineRule="exact"/>
              <w:jc w:val="center"/>
              <w:rPr>
                <w:rFonts w:eastAsia="宋体"/>
                <w:sz w:val="21"/>
                <w:szCs w:val="21"/>
              </w:rPr>
            </w:pPr>
          </w:p>
        </w:tc>
      </w:tr>
      <w:tr w14:paraId="598B1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3D5191D7">
            <w:pPr>
              <w:autoSpaceDE w:val="0"/>
              <w:snapToGrid w:val="0"/>
              <w:spacing w:line="340" w:lineRule="exact"/>
              <w:jc w:val="center"/>
              <w:rPr>
                <w:rFonts w:eastAsia="宋体"/>
                <w:sz w:val="21"/>
                <w:szCs w:val="21"/>
              </w:rPr>
            </w:pPr>
            <w:r>
              <w:rPr>
                <w:rFonts w:eastAsia="宋体"/>
                <w:sz w:val="21"/>
                <w:szCs w:val="21"/>
                <w:lang w:bidi="ar"/>
              </w:rPr>
              <w:t>8</w:t>
            </w:r>
          </w:p>
        </w:tc>
        <w:tc>
          <w:tcPr>
            <w:tcW w:w="3175" w:type="dxa"/>
            <w:tcBorders>
              <w:top w:val="single" w:color="auto" w:sz="4" w:space="0"/>
              <w:left w:val="single" w:color="auto" w:sz="4" w:space="0"/>
              <w:bottom w:val="single" w:color="auto" w:sz="4" w:space="0"/>
              <w:right w:val="single" w:color="auto" w:sz="4" w:space="0"/>
            </w:tcBorders>
            <w:vAlign w:val="center"/>
          </w:tcPr>
          <w:p w14:paraId="7D54BC65">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硫含量</w:t>
            </w:r>
          </w:p>
        </w:tc>
        <w:tc>
          <w:tcPr>
            <w:tcW w:w="4908" w:type="dxa"/>
            <w:vMerge w:val="continue"/>
            <w:tcBorders>
              <w:left w:val="single" w:color="auto" w:sz="4" w:space="0"/>
              <w:bottom w:val="single" w:color="auto" w:sz="4" w:space="0"/>
              <w:right w:val="single" w:color="auto" w:sz="4" w:space="0"/>
            </w:tcBorders>
            <w:vAlign w:val="center"/>
          </w:tcPr>
          <w:p w14:paraId="36CC5FFC">
            <w:pPr>
              <w:autoSpaceDE w:val="0"/>
              <w:spacing w:line="340" w:lineRule="exact"/>
              <w:jc w:val="center"/>
              <w:rPr>
                <w:rFonts w:eastAsia="宋体"/>
                <w:sz w:val="21"/>
                <w:szCs w:val="21"/>
              </w:rPr>
            </w:pPr>
          </w:p>
        </w:tc>
      </w:tr>
      <w:tr w14:paraId="7736C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47555F6F">
            <w:pPr>
              <w:autoSpaceDE w:val="0"/>
              <w:snapToGrid w:val="0"/>
              <w:spacing w:line="340" w:lineRule="exact"/>
              <w:jc w:val="center"/>
              <w:rPr>
                <w:rFonts w:eastAsia="宋体"/>
                <w:sz w:val="21"/>
                <w:szCs w:val="21"/>
              </w:rPr>
            </w:pPr>
            <w:r>
              <w:rPr>
                <w:rFonts w:eastAsia="宋体"/>
                <w:sz w:val="21"/>
                <w:szCs w:val="21"/>
                <w:lang w:bidi="ar"/>
              </w:rPr>
              <w:t>9</w:t>
            </w:r>
          </w:p>
        </w:tc>
        <w:tc>
          <w:tcPr>
            <w:tcW w:w="3175" w:type="dxa"/>
            <w:tcBorders>
              <w:top w:val="single" w:color="auto" w:sz="4" w:space="0"/>
              <w:left w:val="single" w:color="auto" w:sz="4" w:space="0"/>
              <w:bottom w:val="single" w:color="auto" w:sz="4" w:space="0"/>
              <w:right w:val="single" w:color="auto" w:sz="4" w:space="0"/>
            </w:tcBorders>
            <w:vAlign w:val="center"/>
          </w:tcPr>
          <w:p w14:paraId="313AF5B9">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蒸气压</w:t>
            </w:r>
          </w:p>
        </w:tc>
        <w:tc>
          <w:tcPr>
            <w:tcW w:w="4908" w:type="dxa"/>
            <w:vMerge w:val="restart"/>
            <w:tcBorders>
              <w:top w:val="single" w:color="auto" w:sz="4" w:space="0"/>
              <w:left w:val="single" w:color="auto" w:sz="4" w:space="0"/>
              <w:right w:val="single" w:color="auto" w:sz="4" w:space="0"/>
            </w:tcBorders>
            <w:vAlign w:val="center"/>
          </w:tcPr>
          <w:p w14:paraId="3DF1903A">
            <w:pPr>
              <w:autoSpaceDE w:val="0"/>
              <w:spacing w:line="340" w:lineRule="exact"/>
              <w:jc w:val="center"/>
              <w:rPr>
                <w:rFonts w:eastAsia="宋体"/>
                <w:sz w:val="21"/>
                <w:szCs w:val="21"/>
              </w:rPr>
            </w:pPr>
            <w:r>
              <w:rPr>
                <w:rFonts w:ascii="仿宋_GB2312" w:hAnsi="仿宋"/>
                <w:color w:val="000000"/>
                <w:sz w:val="21"/>
              </w:rPr>
              <w:t>ZDS JS2025-2022</w:t>
            </w:r>
            <w:r>
              <w:rPr>
                <w:rFonts w:eastAsia="宋体"/>
                <w:sz w:val="21"/>
                <w:szCs w:val="21"/>
              </w:rPr>
              <w:t xml:space="preserve"> </w:t>
            </w:r>
          </w:p>
        </w:tc>
      </w:tr>
      <w:tr w14:paraId="5AA3E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7E432BE6">
            <w:pPr>
              <w:autoSpaceDE w:val="0"/>
              <w:snapToGrid w:val="0"/>
              <w:spacing w:line="340" w:lineRule="exact"/>
              <w:jc w:val="center"/>
              <w:rPr>
                <w:rFonts w:hint="eastAsia" w:eastAsia="宋体"/>
                <w:sz w:val="21"/>
                <w:szCs w:val="21"/>
                <w:lang w:bidi="ar"/>
              </w:rPr>
            </w:pPr>
            <w:r>
              <w:rPr>
                <w:rFonts w:hint="eastAsia" w:eastAsia="宋体"/>
                <w:sz w:val="21"/>
                <w:szCs w:val="21"/>
                <w:lang w:bidi="ar"/>
              </w:rPr>
              <w:t>10</w:t>
            </w:r>
          </w:p>
        </w:tc>
        <w:tc>
          <w:tcPr>
            <w:tcW w:w="3175" w:type="dxa"/>
            <w:tcBorders>
              <w:top w:val="single" w:color="auto" w:sz="4" w:space="0"/>
              <w:left w:val="single" w:color="auto" w:sz="4" w:space="0"/>
              <w:bottom w:val="single" w:color="auto" w:sz="4" w:space="0"/>
              <w:right w:val="single" w:color="auto" w:sz="4" w:space="0"/>
            </w:tcBorders>
            <w:vAlign w:val="center"/>
          </w:tcPr>
          <w:p w14:paraId="71F81A6D">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密度（20℃）</w:t>
            </w:r>
          </w:p>
        </w:tc>
        <w:tc>
          <w:tcPr>
            <w:tcW w:w="4908" w:type="dxa"/>
            <w:vMerge w:val="continue"/>
            <w:tcBorders>
              <w:left w:val="single" w:color="auto" w:sz="4" w:space="0"/>
              <w:bottom w:val="single" w:color="auto" w:sz="4" w:space="0"/>
              <w:right w:val="single" w:color="auto" w:sz="4" w:space="0"/>
            </w:tcBorders>
            <w:vAlign w:val="center"/>
          </w:tcPr>
          <w:p w14:paraId="561ABBCF">
            <w:pPr>
              <w:autoSpaceDE w:val="0"/>
              <w:spacing w:line="340" w:lineRule="exact"/>
              <w:jc w:val="center"/>
              <w:rPr>
                <w:rFonts w:ascii="仿宋_GB2312" w:hAnsi="仿宋"/>
                <w:color w:val="000000"/>
                <w:sz w:val="21"/>
              </w:rPr>
            </w:pPr>
          </w:p>
        </w:tc>
      </w:tr>
    </w:tbl>
    <w:p w14:paraId="0BBB8DE0">
      <w:pPr>
        <w:pStyle w:val="7"/>
        <w:spacing w:line="590" w:lineRule="exact"/>
        <w:ind w:firstLine="640"/>
        <w:rPr>
          <w:rFonts w:ascii="Times New Roman" w:hAnsi="Times New Roman" w:eastAsia="楷体_GB2312" w:cs="楷体_GB2312"/>
          <w:color w:val="000000"/>
          <w:sz w:val="32"/>
          <w:szCs w:val="32"/>
        </w:rPr>
      </w:pPr>
      <w:r>
        <w:rPr>
          <w:rFonts w:hint="eastAsia" w:ascii="Times New Roman" w:hAnsi="Times New Roman" w:eastAsia="楷体_GB2312" w:cs="楷体_GB2312"/>
          <w:color w:val="000000"/>
          <w:sz w:val="32"/>
          <w:szCs w:val="32"/>
        </w:rPr>
        <w:t>（二）车用柴油</w:t>
      </w:r>
    </w:p>
    <w:p w14:paraId="2461F23D">
      <w:pPr>
        <w:pStyle w:val="7"/>
        <w:spacing w:line="590" w:lineRule="exact"/>
        <w:ind w:firstLine="640"/>
        <w:rPr>
          <w:rFonts w:hint="eastAsia" w:ascii="Times New Roman" w:hAnsi="Times New Roman" w:eastAsia="楷体_GB2312" w:cs="楷体_GB2312"/>
          <w:color w:val="000000"/>
          <w:sz w:val="32"/>
          <w:szCs w:val="32"/>
        </w:rPr>
      </w:pPr>
    </w:p>
    <w:tbl>
      <w:tblPr>
        <w:tblStyle w:val="5"/>
        <w:tblW w:w="90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3177"/>
        <w:gridCol w:w="4847"/>
      </w:tblGrid>
      <w:tr w14:paraId="7C669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blHeader/>
          <w:jc w:val="center"/>
        </w:trPr>
        <w:tc>
          <w:tcPr>
            <w:tcW w:w="1020" w:type="dxa"/>
            <w:vAlign w:val="center"/>
          </w:tcPr>
          <w:p w14:paraId="353E85A5">
            <w:pPr>
              <w:spacing w:line="340" w:lineRule="exact"/>
              <w:jc w:val="center"/>
              <w:rPr>
                <w:rFonts w:eastAsia="宋体"/>
                <w:b/>
                <w:bCs/>
                <w:sz w:val="21"/>
              </w:rPr>
            </w:pPr>
            <w:r>
              <w:rPr>
                <w:rFonts w:eastAsia="宋体"/>
                <w:b/>
                <w:bCs/>
                <w:sz w:val="21"/>
              </w:rPr>
              <w:t>序号</w:t>
            </w:r>
          </w:p>
        </w:tc>
        <w:tc>
          <w:tcPr>
            <w:tcW w:w="3177" w:type="dxa"/>
            <w:vAlign w:val="center"/>
          </w:tcPr>
          <w:p w14:paraId="3A99D86B">
            <w:pPr>
              <w:spacing w:line="340" w:lineRule="exact"/>
              <w:jc w:val="center"/>
              <w:rPr>
                <w:rFonts w:eastAsia="宋体"/>
                <w:b/>
                <w:bCs/>
                <w:sz w:val="21"/>
              </w:rPr>
            </w:pPr>
            <w:r>
              <w:rPr>
                <w:rFonts w:eastAsia="宋体"/>
                <w:b/>
                <w:bCs/>
                <w:sz w:val="21"/>
              </w:rPr>
              <w:t>检验项目</w:t>
            </w:r>
          </w:p>
        </w:tc>
        <w:tc>
          <w:tcPr>
            <w:tcW w:w="4847" w:type="dxa"/>
            <w:vAlign w:val="center"/>
          </w:tcPr>
          <w:p w14:paraId="3B1053AB">
            <w:pPr>
              <w:spacing w:line="340" w:lineRule="exact"/>
              <w:jc w:val="center"/>
              <w:rPr>
                <w:rFonts w:eastAsia="宋体"/>
                <w:b/>
                <w:bCs/>
                <w:sz w:val="21"/>
              </w:rPr>
            </w:pPr>
            <w:r>
              <w:rPr>
                <w:rFonts w:eastAsia="宋体"/>
                <w:b/>
                <w:bCs/>
                <w:sz w:val="24"/>
              </w:rPr>
              <w:t>检验方法</w:t>
            </w:r>
          </w:p>
        </w:tc>
      </w:tr>
      <w:tr w14:paraId="345B8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1020" w:type="dxa"/>
            <w:vAlign w:val="center"/>
          </w:tcPr>
          <w:p w14:paraId="0693420E">
            <w:pPr>
              <w:widowControl/>
              <w:spacing w:line="340" w:lineRule="exact"/>
              <w:jc w:val="center"/>
              <w:rPr>
                <w:rFonts w:eastAsia="宋体"/>
                <w:sz w:val="21"/>
              </w:rPr>
            </w:pPr>
            <w:r>
              <w:rPr>
                <w:rFonts w:eastAsia="宋体"/>
                <w:sz w:val="21"/>
              </w:rPr>
              <w:t>1</w:t>
            </w:r>
          </w:p>
        </w:tc>
        <w:tc>
          <w:tcPr>
            <w:tcW w:w="3177" w:type="dxa"/>
            <w:vAlign w:val="center"/>
          </w:tcPr>
          <w:p w14:paraId="5A59BE2B">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硫含量</w:t>
            </w:r>
          </w:p>
        </w:tc>
        <w:tc>
          <w:tcPr>
            <w:tcW w:w="4847" w:type="dxa"/>
            <w:vMerge w:val="restart"/>
            <w:vAlign w:val="center"/>
          </w:tcPr>
          <w:p w14:paraId="3FE16278">
            <w:pPr>
              <w:pStyle w:val="8"/>
              <w:spacing w:before="0" w:after="0" w:line="340" w:lineRule="exact"/>
              <w:rPr>
                <w:rFonts w:ascii="仿宋_GB2312" w:hAnsi="仿宋" w:eastAsia="仿宋_GB2312"/>
                <w:color w:val="000000"/>
                <w:kern w:val="2"/>
                <w:sz w:val="21"/>
                <w:szCs w:val="24"/>
              </w:rPr>
            </w:pPr>
            <w:r>
              <w:rPr>
                <w:rFonts w:ascii="仿宋_GB2312" w:hAnsi="仿宋" w:eastAsia="仿宋_GB2312"/>
                <w:color w:val="000000"/>
                <w:kern w:val="2"/>
                <w:sz w:val="21"/>
                <w:szCs w:val="24"/>
              </w:rPr>
              <w:t>T</w:t>
            </w:r>
            <w:r>
              <w:rPr>
                <w:rFonts w:hint="eastAsia" w:ascii="仿宋_GB2312" w:hAnsi="仿宋" w:eastAsia="仿宋_GB2312"/>
                <w:color w:val="000000"/>
                <w:kern w:val="2"/>
                <w:sz w:val="21"/>
                <w:szCs w:val="24"/>
              </w:rPr>
              <w:t>/</w:t>
            </w:r>
            <w:r>
              <w:rPr>
                <w:rFonts w:ascii="仿宋_GB2312" w:hAnsi="仿宋" w:eastAsia="仿宋_GB2312"/>
                <w:color w:val="000000"/>
                <w:kern w:val="2"/>
                <w:sz w:val="21"/>
                <w:szCs w:val="24"/>
              </w:rPr>
              <w:t>CAQI 23</w:t>
            </w:r>
            <w:r>
              <w:rPr>
                <w:rFonts w:hint="eastAsia" w:ascii="仿宋_GB2312" w:hAnsi="仿宋" w:eastAsia="仿宋_GB2312"/>
                <w:color w:val="000000"/>
                <w:kern w:val="2"/>
                <w:sz w:val="21"/>
                <w:szCs w:val="24"/>
              </w:rPr>
              <w:t>3</w:t>
            </w:r>
            <w:r>
              <w:rPr>
                <w:rFonts w:ascii="仿宋_GB2312" w:hAnsi="仿宋" w:eastAsia="仿宋_GB2312"/>
                <w:color w:val="000000"/>
                <w:kern w:val="2"/>
                <w:sz w:val="21"/>
                <w:szCs w:val="24"/>
              </w:rPr>
              <w:t>-2021</w:t>
            </w:r>
            <w:r>
              <w:rPr>
                <w:rFonts w:hint="eastAsia" w:ascii="仿宋_GB2312" w:hAnsi="仿宋" w:eastAsia="仿宋_GB2312"/>
                <w:color w:val="000000"/>
                <w:kern w:val="2"/>
                <w:sz w:val="21"/>
                <w:szCs w:val="24"/>
              </w:rPr>
              <w:t>、</w:t>
            </w:r>
          </w:p>
          <w:p w14:paraId="448B702F">
            <w:pPr>
              <w:pStyle w:val="8"/>
              <w:spacing w:before="0" w:after="0" w:line="340" w:lineRule="exact"/>
              <w:rPr>
                <w:rFonts w:ascii="Times New Roman" w:eastAsia="宋体"/>
                <w:kern w:val="2"/>
                <w:sz w:val="21"/>
                <w:szCs w:val="24"/>
              </w:rPr>
            </w:pPr>
            <w:r>
              <w:rPr>
                <w:rFonts w:ascii="仿宋_GB2312" w:hAnsi="仿宋" w:eastAsia="仿宋_GB2312"/>
                <w:color w:val="000000"/>
                <w:kern w:val="2"/>
                <w:sz w:val="21"/>
                <w:szCs w:val="24"/>
              </w:rPr>
              <w:t>ZDS JS2025-2022</w:t>
            </w:r>
          </w:p>
        </w:tc>
      </w:tr>
      <w:tr w14:paraId="78B83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1020" w:type="dxa"/>
            <w:vAlign w:val="center"/>
          </w:tcPr>
          <w:p w14:paraId="362520EF">
            <w:pPr>
              <w:widowControl/>
              <w:spacing w:line="340" w:lineRule="exact"/>
              <w:jc w:val="center"/>
              <w:rPr>
                <w:rFonts w:eastAsia="宋体"/>
                <w:sz w:val="21"/>
              </w:rPr>
            </w:pPr>
            <w:r>
              <w:rPr>
                <w:rFonts w:hint="eastAsia" w:eastAsia="宋体"/>
                <w:sz w:val="21"/>
              </w:rPr>
              <w:t>2</w:t>
            </w:r>
          </w:p>
        </w:tc>
        <w:tc>
          <w:tcPr>
            <w:tcW w:w="3177" w:type="dxa"/>
            <w:vAlign w:val="center"/>
          </w:tcPr>
          <w:p w14:paraId="496D42CC">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闪点（闭口）</w:t>
            </w:r>
          </w:p>
        </w:tc>
        <w:tc>
          <w:tcPr>
            <w:tcW w:w="4847" w:type="dxa"/>
            <w:vMerge w:val="continue"/>
            <w:vAlign w:val="center"/>
          </w:tcPr>
          <w:p w14:paraId="7FA85B01">
            <w:pPr>
              <w:pStyle w:val="8"/>
              <w:spacing w:before="0" w:after="0" w:line="340" w:lineRule="exact"/>
              <w:rPr>
                <w:rFonts w:hint="eastAsia" w:ascii="宋体" w:hAnsi="宋体" w:eastAsia="宋体" w:cs="宋体"/>
                <w:sz w:val="21"/>
                <w:szCs w:val="21"/>
              </w:rPr>
            </w:pPr>
          </w:p>
        </w:tc>
      </w:tr>
      <w:tr w14:paraId="593F0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1020" w:type="dxa"/>
            <w:vAlign w:val="center"/>
          </w:tcPr>
          <w:p w14:paraId="4F759BA1">
            <w:pPr>
              <w:widowControl/>
              <w:spacing w:line="340" w:lineRule="exact"/>
              <w:jc w:val="center"/>
              <w:rPr>
                <w:rFonts w:eastAsia="宋体"/>
                <w:sz w:val="21"/>
              </w:rPr>
            </w:pPr>
            <w:r>
              <w:rPr>
                <w:rFonts w:hint="eastAsia" w:eastAsia="宋体"/>
                <w:sz w:val="21"/>
              </w:rPr>
              <w:t>3</w:t>
            </w:r>
          </w:p>
        </w:tc>
        <w:tc>
          <w:tcPr>
            <w:tcW w:w="3177" w:type="dxa"/>
            <w:vAlign w:val="center"/>
          </w:tcPr>
          <w:p w14:paraId="6DE053D1">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凝点</w:t>
            </w:r>
          </w:p>
        </w:tc>
        <w:tc>
          <w:tcPr>
            <w:tcW w:w="4847" w:type="dxa"/>
            <w:vMerge w:val="continue"/>
            <w:vAlign w:val="center"/>
          </w:tcPr>
          <w:p w14:paraId="51FC5B15">
            <w:pPr>
              <w:pStyle w:val="8"/>
              <w:spacing w:before="0" w:after="0" w:line="340" w:lineRule="exact"/>
              <w:rPr>
                <w:rFonts w:hint="eastAsia" w:ascii="宋体" w:hAnsi="宋体" w:eastAsia="宋体" w:cs="宋体"/>
                <w:sz w:val="21"/>
                <w:szCs w:val="21"/>
              </w:rPr>
            </w:pPr>
          </w:p>
        </w:tc>
      </w:tr>
      <w:tr w14:paraId="078D3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1020" w:type="dxa"/>
            <w:vAlign w:val="center"/>
          </w:tcPr>
          <w:p w14:paraId="62D5E65E">
            <w:pPr>
              <w:widowControl/>
              <w:spacing w:line="340" w:lineRule="exact"/>
              <w:jc w:val="center"/>
              <w:rPr>
                <w:rFonts w:eastAsia="宋体"/>
                <w:sz w:val="21"/>
              </w:rPr>
            </w:pPr>
            <w:r>
              <w:rPr>
                <w:rFonts w:eastAsia="宋体"/>
                <w:sz w:val="21"/>
              </w:rPr>
              <w:t>4</w:t>
            </w:r>
          </w:p>
        </w:tc>
        <w:tc>
          <w:tcPr>
            <w:tcW w:w="3177" w:type="dxa"/>
            <w:vAlign w:val="center"/>
          </w:tcPr>
          <w:p w14:paraId="42F393B8">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十六烷值</w:t>
            </w:r>
          </w:p>
        </w:tc>
        <w:tc>
          <w:tcPr>
            <w:tcW w:w="4847" w:type="dxa"/>
            <w:vMerge w:val="continue"/>
            <w:vAlign w:val="center"/>
          </w:tcPr>
          <w:p w14:paraId="1576BF15">
            <w:pPr>
              <w:pStyle w:val="8"/>
              <w:spacing w:before="0" w:after="0" w:line="340" w:lineRule="exact"/>
              <w:rPr>
                <w:rFonts w:hint="eastAsia" w:ascii="宋体" w:hAnsi="宋体" w:eastAsia="宋体" w:cs="宋体"/>
                <w:sz w:val="21"/>
                <w:szCs w:val="21"/>
              </w:rPr>
            </w:pPr>
          </w:p>
        </w:tc>
      </w:tr>
      <w:tr w14:paraId="09EA9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1020" w:type="dxa"/>
            <w:vAlign w:val="center"/>
          </w:tcPr>
          <w:p w14:paraId="4F563458">
            <w:pPr>
              <w:widowControl/>
              <w:spacing w:line="340" w:lineRule="exact"/>
              <w:jc w:val="center"/>
              <w:rPr>
                <w:rFonts w:eastAsia="宋体"/>
                <w:sz w:val="21"/>
              </w:rPr>
            </w:pPr>
            <w:r>
              <w:rPr>
                <w:rFonts w:eastAsia="宋体"/>
                <w:sz w:val="21"/>
              </w:rPr>
              <w:t>5</w:t>
            </w:r>
          </w:p>
        </w:tc>
        <w:tc>
          <w:tcPr>
            <w:tcW w:w="3177" w:type="dxa"/>
            <w:vAlign w:val="center"/>
          </w:tcPr>
          <w:p w14:paraId="3922EE42">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十六烷指数</w:t>
            </w:r>
          </w:p>
        </w:tc>
        <w:tc>
          <w:tcPr>
            <w:tcW w:w="4847" w:type="dxa"/>
            <w:vMerge w:val="continue"/>
            <w:vAlign w:val="center"/>
          </w:tcPr>
          <w:p w14:paraId="0C1B2F19">
            <w:pPr>
              <w:pStyle w:val="8"/>
              <w:spacing w:before="0" w:after="0" w:line="340" w:lineRule="exact"/>
              <w:rPr>
                <w:rFonts w:hint="eastAsia" w:ascii="宋体" w:hAnsi="宋体" w:eastAsia="宋体" w:cs="宋体"/>
                <w:sz w:val="21"/>
                <w:szCs w:val="21"/>
              </w:rPr>
            </w:pPr>
          </w:p>
        </w:tc>
      </w:tr>
      <w:tr w14:paraId="047BF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1020" w:type="dxa"/>
            <w:vAlign w:val="center"/>
          </w:tcPr>
          <w:p w14:paraId="070C79DD">
            <w:pPr>
              <w:widowControl/>
              <w:spacing w:line="340" w:lineRule="exact"/>
              <w:jc w:val="center"/>
              <w:rPr>
                <w:rFonts w:eastAsia="宋体"/>
                <w:sz w:val="21"/>
              </w:rPr>
            </w:pPr>
            <w:r>
              <w:rPr>
                <w:rFonts w:eastAsia="宋体"/>
                <w:sz w:val="21"/>
              </w:rPr>
              <w:t>6</w:t>
            </w:r>
          </w:p>
        </w:tc>
        <w:tc>
          <w:tcPr>
            <w:tcW w:w="3177" w:type="dxa"/>
            <w:vAlign w:val="center"/>
          </w:tcPr>
          <w:p w14:paraId="04ABC9E9">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密度(20℃)</w:t>
            </w:r>
          </w:p>
        </w:tc>
        <w:tc>
          <w:tcPr>
            <w:tcW w:w="4847" w:type="dxa"/>
            <w:vMerge w:val="continue"/>
            <w:vAlign w:val="center"/>
          </w:tcPr>
          <w:p w14:paraId="4D6DB314">
            <w:pPr>
              <w:pStyle w:val="8"/>
              <w:spacing w:before="0" w:after="0" w:line="340" w:lineRule="exact"/>
              <w:rPr>
                <w:rFonts w:hint="eastAsia" w:ascii="宋体" w:hAnsi="宋体" w:eastAsia="宋体" w:cs="宋体"/>
                <w:sz w:val="21"/>
                <w:szCs w:val="21"/>
              </w:rPr>
            </w:pPr>
          </w:p>
        </w:tc>
      </w:tr>
      <w:tr w14:paraId="0ACE6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1020" w:type="dxa"/>
            <w:vAlign w:val="center"/>
          </w:tcPr>
          <w:p w14:paraId="220E9DED">
            <w:pPr>
              <w:widowControl/>
              <w:spacing w:line="340" w:lineRule="exact"/>
              <w:jc w:val="center"/>
              <w:rPr>
                <w:rFonts w:eastAsia="宋体"/>
                <w:sz w:val="21"/>
              </w:rPr>
            </w:pPr>
            <w:r>
              <w:rPr>
                <w:rFonts w:eastAsia="宋体"/>
                <w:sz w:val="21"/>
              </w:rPr>
              <w:t>7</w:t>
            </w:r>
          </w:p>
        </w:tc>
        <w:tc>
          <w:tcPr>
            <w:tcW w:w="3177" w:type="dxa"/>
            <w:vAlign w:val="center"/>
          </w:tcPr>
          <w:p w14:paraId="25CD5E66">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冷滤点</w:t>
            </w:r>
          </w:p>
        </w:tc>
        <w:tc>
          <w:tcPr>
            <w:tcW w:w="4847" w:type="dxa"/>
            <w:vMerge w:val="continue"/>
            <w:vAlign w:val="center"/>
          </w:tcPr>
          <w:p w14:paraId="52AB259A">
            <w:pPr>
              <w:pStyle w:val="8"/>
              <w:spacing w:before="0" w:after="0" w:line="340" w:lineRule="exact"/>
              <w:rPr>
                <w:rFonts w:hint="eastAsia" w:ascii="宋体" w:hAnsi="宋体" w:eastAsia="宋体" w:cs="宋体"/>
                <w:sz w:val="21"/>
                <w:szCs w:val="21"/>
              </w:rPr>
            </w:pPr>
          </w:p>
        </w:tc>
      </w:tr>
      <w:tr w14:paraId="2BF78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1020" w:type="dxa"/>
            <w:vAlign w:val="center"/>
          </w:tcPr>
          <w:p w14:paraId="2B70072D">
            <w:pPr>
              <w:widowControl/>
              <w:spacing w:line="340" w:lineRule="exact"/>
              <w:jc w:val="center"/>
              <w:rPr>
                <w:rFonts w:eastAsia="宋体"/>
                <w:sz w:val="21"/>
              </w:rPr>
            </w:pPr>
            <w:r>
              <w:rPr>
                <w:rFonts w:eastAsia="宋体"/>
                <w:sz w:val="21"/>
              </w:rPr>
              <w:t>8</w:t>
            </w:r>
          </w:p>
        </w:tc>
        <w:tc>
          <w:tcPr>
            <w:tcW w:w="3177" w:type="dxa"/>
            <w:vAlign w:val="center"/>
          </w:tcPr>
          <w:p w14:paraId="03D00093">
            <w:pPr>
              <w:autoSpaceDE w:val="0"/>
              <w:snapToGrid w:val="0"/>
              <w:spacing w:line="340" w:lineRule="exact"/>
              <w:jc w:val="center"/>
              <w:rPr>
                <w:rFonts w:hint="eastAsia" w:ascii="黑体" w:hAnsi="宋体" w:eastAsia="黑体" w:cs="黑体"/>
                <w:sz w:val="21"/>
                <w:szCs w:val="21"/>
                <w:lang w:bidi="ar"/>
              </w:rPr>
            </w:pPr>
            <w:r>
              <w:rPr>
                <w:rFonts w:hint="eastAsia" w:ascii="黑体" w:hAnsi="宋体" w:eastAsia="黑体" w:cs="黑体"/>
                <w:sz w:val="21"/>
                <w:szCs w:val="21"/>
                <w:lang w:bidi="ar"/>
              </w:rPr>
              <w:t>多环芳烃</w:t>
            </w:r>
          </w:p>
        </w:tc>
        <w:tc>
          <w:tcPr>
            <w:tcW w:w="4847" w:type="dxa"/>
            <w:vMerge w:val="continue"/>
            <w:vAlign w:val="center"/>
          </w:tcPr>
          <w:p w14:paraId="5DB2B5DB">
            <w:pPr>
              <w:pStyle w:val="8"/>
              <w:spacing w:before="0" w:after="0" w:line="340" w:lineRule="exact"/>
              <w:rPr>
                <w:rFonts w:hint="eastAsia" w:ascii="宋体" w:hAnsi="宋体" w:eastAsia="宋体" w:cs="宋体"/>
                <w:sz w:val="21"/>
                <w:szCs w:val="21"/>
              </w:rPr>
            </w:pPr>
          </w:p>
        </w:tc>
      </w:tr>
    </w:tbl>
    <w:p w14:paraId="5192ADDC">
      <w:pPr>
        <w:autoSpaceDE w:val="0"/>
        <w:adjustRightInd w:val="0"/>
        <w:snapToGrid w:val="0"/>
        <w:spacing w:line="560" w:lineRule="exact"/>
        <w:ind w:firstLine="640" w:firstLineChars="200"/>
        <w:rPr>
          <w:szCs w:val="32"/>
        </w:rPr>
      </w:pPr>
      <w:r>
        <w:rPr>
          <w:rFonts w:hint="eastAsia" w:ascii="仿宋_GB2312" w:cs="仿宋_GB2312"/>
          <w:szCs w:val="32"/>
          <w:lang w:bidi="ar"/>
        </w:rPr>
        <w:t>注：1.执行企业标准、团体标准、地方标准的产品，检验项目参照上述内容执行。</w:t>
      </w:r>
    </w:p>
    <w:p w14:paraId="0324AC6A">
      <w:pPr>
        <w:autoSpaceDE w:val="0"/>
        <w:snapToGrid w:val="0"/>
        <w:spacing w:line="560" w:lineRule="exact"/>
        <w:ind w:firstLine="640" w:firstLineChars="200"/>
        <w:rPr>
          <w:szCs w:val="32"/>
        </w:rPr>
      </w:pPr>
      <w:r>
        <w:rPr>
          <w:rFonts w:hint="eastAsia" w:ascii="仿宋_GB2312" w:cs="仿宋_GB2312"/>
          <w:szCs w:val="32"/>
          <w:lang w:bidi="ar"/>
        </w:rPr>
        <w:t>2.凡是注日期的文件，其随后所有的修改单（不包括勘误的内容）或修订版不适用于本细则。凡是不注日期的文件，其最新版本适用于本细则。</w:t>
      </w:r>
    </w:p>
    <w:p w14:paraId="30F709AB">
      <w:pPr>
        <w:autoSpaceDE w:val="0"/>
        <w:snapToGrid w:val="0"/>
        <w:spacing w:line="560" w:lineRule="exact"/>
        <w:rPr>
          <w:rFonts w:eastAsia="黑体"/>
          <w:szCs w:val="32"/>
        </w:rPr>
      </w:pPr>
      <w:r>
        <w:rPr>
          <w:rFonts w:eastAsia="黑体"/>
          <w:szCs w:val="32"/>
          <w:lang w:bidi="ar"/>
        </w:rPr>
        <w:t xml:space="preserve">    3 </w:t>
      </w:r>
      <w:r>
        <w:rPr>
          <w:rFonts w:hint="eastAsia" w:ascii="黑体" w:hAnsi="宋体" w:eastAsia="黑体" w:cs="黑体"/>
          <w:szCs w:val="32"/>
          <w:lang w:bidi="ar"/>
        </w:rPr>
        <w:t>判定规则</w:t>
      </w:r>
    </w:p>
    <w:p w14:paraId="103AB094">
      <w:pPr>
        <w:autoSpaceDE w:val="0"/>
        <w:snapToGrid w:val="0"/>
        <w:spacing w:line="560" w:lineRule="exact"/>
        <w:rPr>
          <w:szCs w:val="32"/>
        </w:rPr>
      </w:pPr>
      <w:r>
        <w:rPr>
          <w:rFonts w:hint="eastAsia"/>
          <w:szCs w:val="32"/>
          <w:lang w:bidi="ar"/>
        </w:rPr>
        <w:t xml:space="preserve">    </w:t>
      </w:r>
      <w:r>
        <w:rPr>
          <w:szCs w:val="32"/>
          <w:lang w:bidi="ar"/>
        </w:rPr>
        <w:t>3.1</w:t>
      </w:r>
      <w:r>
        <w:rPr>
          <w:rFonts w:hint="eastAsia" w:ascii="仿宋_GB2312" w:cs="仿宋_GB2312"/>
          <w:szCs w:val="32"/>
          <w:lang w:bidi="ar"/>
        </w:rPr>
        <w:t>依据标准</w:t>
      </w:r>
    </w:p>
    <w:p w14:paraId="3694E4E0">
      <w:pPr>
        <w:spacing w:line="520" w:lineRule="exact"/>
        <w:ind w:firstLine="640" w:firstLineChars="200"/>
        <w:jc w:val="left"/>
        <w:rPr>
          <w:rFonts w:eastAsia="楷体_GB2312" w:cs="楷体_GB2312"/>
          <w:kern w:val="0"/>
          <w:szCs w:val="32"/>
        </w:rPr>
      </w:pPr>
      <w:r>
        <w:rPr>
          <w:rFonts w:hint="eastAsia" w:eastAsia="楷体_GB2312" w:cs="楷体_GB2312"/>
          <w:szCs w:val="32"/>
        </w:rPr>
        <w:t>（一）</w:t>
      </w:r>
      <w:r>
        <w:rPr>
          <w:rFonts w:hint="eastAsia" w:eastAsia="楷体_GB2312" w:cs="楷体_GB2312"/>
          <w:kern w:val="0"/>
          <w:szCs w:val="32"/>
        </w:rPr>
        <w:t>依据标准</w:t>
      </w:r>
    </w:p>
    <w:p w14:paraId="091D2751">
      <w:pPr>
        <w:pStyle w:val="7"/>
        <w:spacing w:line="52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GB 17930-2016 车用汽油</w:t>
      </w:r>
    </w:p>
    <w:p w14:paraId="3E79FBE8">
      <w:pPr>
        <w:pStyle w:val="7"/>
        <w:spacing w:line="52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GB 19147-2016 车用柴油</w:t>
      </w:r>
    </w:p>
    <w:p w14:paraId="68C1D6EF">
      <w:pPr>
        <w:pStyle w:val="7"/>
        <w:spacing w:line="52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GB 19147-2016 车用柴油 第1号修改单</w:t>
      </w:r>
    </w:p>
    <w:p w14:paraId="6F5F7EFD">
      <w:pPr>
        <w:pStyle w:val="7"/>
        <w:spacing w:line="60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广东省人民政府关于全面推广使用国ⅥB车用汽油的通知（粤府函〔2022〕159号）</w:t>
      </w:r>
    </w:p>
    <w:p w14:paraId="3D97ACE4">
      <w:pPr>
        <w:spacing w:line="520" w:lineRule="exact"/>
        <w:ind w:firstLine="640" w:firstLineChars="200"/>
        <w:rPr>
          <w:szCs w:val="32"/>
        </w:rPr>
      </w:pPr>
      <w:r>
        <w:rPr>
          <w:rFonts w:hint="eastAsia"/>
          <w:szCs w:val="32"/>
        </w:rPr>
        <w:t>现行有效的企业标准、团体标准、地方标准及产品明示质量要求</w:t>
      </w:r>
    </w:p>
    <w:p w14:paraId="7ED07FC4">
      <w:pPr>
        <w:autoSpaceDE w:val="0"/>
        <w:snapToGrid w:val="0"/>
        <w:spacing w:line="560" w:lineRule="exact"/>
        <w:rPr>
          <w:szCs w:val="32"/>
        </w:rPr>
      </w:pPr>
      <w:r>
        <w:rPr>
          <w:rFonts w:hint="eastAsia"/>
          <w:szCs w:val="32"/>
          <w:lang w:bidi="ar"/>
        </w:rPr>
        <w:t xml:space="preserve">    </w:t>
      </w:r>
      <w:r>
        <w:rPr>
          <w:szCs w:val="32"/>
          <w:lang w:bidi="ar"/>
        </w:rPr>
        <w:t>3.2</w:t>
      </w:r>
      <w:r>
        <w:rPr>
          <w:rFonts w:hint="eastAsia" w:ascii="仿宋_GB2312" w:cs="仿宋_GB2312"/>
          <w:szCs w:val="32"/>
          <w:lang w:bidi="ar"/>
        </w:rPr>
        <w:t>判定原则</w:t>
      </w:r>
    </w:p>
    <w:p w14:paraId="1FC27359">
      <w:pPr>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经检验，检验项目全部合格，判定为抽取的样本所检项目未检出不合格；检验项目中任一项或一项以上不合格，判定为被抽查产品疑似不合格。</w:t>
      </w:r>
    </w:p>
    <w:p w14:paraId="01CFDB9A">
      <w:pPr>
        <w:pStyle w:val="7"/>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当被检样品明示的质量要求优于监督抽查实施细则中依据的标准要求时，应按被检样品明示的质量要求判定；</w:t>
      </w:r>
    </w:p>
    <w:p w14:paraId="1E285440">
      <w:pPr>
        <w:pStyle w:val="7"/>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当被检样品明示的质量要求劣于或不包含监督抽查实施细则中依据的强制性标准要求时，应按照强制性标准要求判定；</w:t>
      </w:r>
    </w:p>
    <w:p w14:paraId="0C34E2AA">
      <w:pPr>
        <w:pStyle w:val="7"/>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14:paraId="63E83BD8">
      <w:pPr>
        <w:pStyle w:val="7"/>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当被检样品明示的质量要求不包含监督抽查实施细则中依据的推荐性标准要求时，该指标不参与判定，但应在检验报告中作出说明；</w:t>
      </w:r>
    </w:p>
    <w:p w14:paraId="5F4CAE20">
      <w:pPr>
        <w:pStyle w:val="7"/>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当被检样品未能提供有效的企业标准时，按相关国家或行业标准进行判定；</w:t>
      </w:r>
    </w:p>
    <w:p w14:paraId="1BC0E79B">
      <w:pPr>
        <w:pStyle w:val="7"/>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14:paraId="5281E0F3">
      <w:pPr>
        <w:pStyle w:val="7"/>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按照产品质量相关法律法规的规定判定。</w:t>
      </w:r>
    </w:p>
    <w:p w14:paraId="5B9FBA98">
      <w:pPr>
        <w:pStyle w:val="7"/>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检验中发现因样品失效或者其他原因致使检验无法进行的，检验人员应如实记录，并提供相关证明材料，报送组织监督抽查的市场监管部门。</w:t>
      </w:r>
    </w:p>
    <w:p w14:paraId="19C63DC6">
      <w:pPr>
        <w:widowControl/>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5A317683"/>
    <w:rsid w:val="0002657F"/>
    <w:rsid w:val="003D2601"/>
    <w:rsid w:val="00523E7E"/>
    <w:rsid w:val="00532925"/>
    <w:rsid w:val="005666DE"/>
    <w:rsid w:val="006709DA"/>
    <w:rsid w:val="007F5F8F"/>
    <w:rsid w:val="00A16ECD"/>
    <w:rsid w:val="00B50038"/>
    <w:rsid w:val="00D45F64"/>
    <w:rsid w:val="00D91137"/>
    <w:rsid w:val="00F9494B"/>
    <w:rsid w:val="258738F7"/>
    <w:rsid w:val="4EDC3FCB"/>
    <w:rsid w:val="5A317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宋体"/>
      <w:sz w:val="21"/>
      <w:szCs w:val="21"/>
    </w:r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tabs>
        <w:tab w:val="center" w:pos="4153"/>
        <w:tab w:val="right" w:pos="8306"/>
      </w:tabs>
      <w:snapToGrid w:val="0"/>
      <w:jc w:val="center"/>
    </w:pPr>
    <w:rPr>
      <w:sz w:val="18"/>
      <w:szCs w:val="18"/>
    </w:rPr>
  </w:style>
  <w:style w:type="paragraph" w:customStyle="1" w:styleId="7">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paragraph" w:customStyle="1" w:styleId="8">
    <w:name w:val="目次、标准名称标题"/>
    <w:basedOn w:val="1"/>
    <w:next w:val="7"/>
    <w:qFormat/>
    <w:uiPriority w:val="0"/>
    <w:pPr>
      <w:keepNext/>
      <w:pageBreakBefore/>
      <w:widowControl/>
      <w:shd w:val="clear" w:color="FFFFFF" w:fill="FFFFFF"/>
      <w:spacing w:before="640" w:after="560" w:line="460" w:lineRule="exact"/>
      <w:jc w:val="center"/>
      <w:outlineLvl w:val="0"/>
    </w:pPr>
    <w:rPr>
      <w:rFonts w:ascii="黑体" w:eastAsia="黑体"/>
      <w:kern w:val="0"/>
      <w:sz w:val="30"/>
      <w:szCs w:val="20"/>
    </w:rPr>
  </w:style>
  <w:style w:type="character" w:customStyle="1" w:styleId="9">
    <w:name w:val="页眉 字符"/>
    <w:basedOn w:val="6"/>
    <w:link w:val="4"/>
    <w:uiPriority w:val="0"/>
    <w:rPr>
      <w:rFonts w:eastAsia="仿宋_GB2312"/>
      <w:kern w:val="2"/>
      <w:sz w:val="18"/>
      <w:szCs w:val="18"/>
    </w:rPr>
  </w:style>
  <w:style w:type="character" w:customStyle="1" w:styleId="10">
    <w:name w:val="页脚 字符"/>
    <w:basedOn w:val="6"/>
    <w:link w:val="3"/>
    <w:uiPriority w:val="0"/>
    <w:rPr>
      <w:rFonts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1082</Words>
  <Characters>1204</Characters>
  <Lines>9</Lines>
  <Paragraphs>2</Paragraphs>
  <TotalTime>0</TotalTime>
  <ScaleCrop>false</ScaleCrop>
  <LinksUpToDate>false</LinksUpToDate>
  <CharactersWithSpaces>1237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2024-07-16T09:52:00Z</dcterms:created>
  <dc:creator>wanghy</dc:creator>
  <cp:lastModifiedBy>王华燕</cp:lastModifiedBy>
  <dcterms:modified xsi:type="dcterms:W3CDTF">2024-07-19T05:58:12Z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BC5001011C584B148882BDF59FEA5A70_11</vt:lpwstr>
  </property>
</Properties>
</file>