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eastAsia" w:ascii="黑体" w:hAnsi="黑体" w:eastAsia="黑体" w:cs="黑体"/>
          <w:b w:val="0"/>
          <w:sz w:val="32"/>
          <w:szCs w:val="32"/>
          <w:lang w:eastAsia="zh-CN"/>
        </w:rPr>
      </w:pPr>
      <w:bookmarkStart w:id="0" w:name="_Toc348224265"/>
      <w:bookmarkStart w:id="1" w:name="_Toc348184972"/>
      <w:r>
        <w:rPr>
          <w:rFonts w:hint="eastAsia" w:ascii="黑体" w:hAnsi="黑体" w:eastAsia="黑体" w:cs="黑体"/>
          <w:b w:val="0"/>
          <w:sz w:val="32"/>
          <w:szCs w:val="32"/>
        </w:rPr>
        <w:t>附件</w:t>
      </w:r>
      <w:r>
        <w:rPr>
          <w:rFonts w:hint="eastAsia" w:ascii="黑体" w:hAnsi="黑体" w:eastAsia="黑体" w:cs="黑体"/>
          <w:b w:val="0"/>
          <w:sz w:val="32"/>
          <w:szCs w:val="32"/>
          <w:lang w:val="en-US" w:eastAsia="zh-CN"/>
        </w:rPr>
        <w:t>1</w:t>
      </w:r>
    </w:p>
    <w:p>
      <w:pPr>
        <w:rPr>
          <w:rFonts w:hint="eastAsia"/>
        </w:rPr>
      </w:pPr>
    </w:p>
    <w:p>
      <w:pPr>
        <w:pStyle w:val="3"/>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lang w:val="en-US" w:eastAsia="zh-CN"/>
        </w:rPr>
      </w:pPr>
      <w:r>
        <w:rPr>
          <w:rFonts w:hint="eastAsia" w:ascii="Times New Roman" w:hAnsi="Times New Roman"/>
          <w:b w:val="0"/>
        </w:rPr>
        <w:t>陆河县</w:t>
      </w:r>
      <w:r>
        <w:rPr>
          <w:rFonts w:ascii="Times New Roman" w:hAnsi="Times New Roman"/>
          <w:b w:val="0"/>
        </w:rPr>
        <w:t>教育基础攻坚战实施方</w:t>
      </w:r>
      <w:r>
        <w:rPr>
          <w:rFonts w:hint="eastAsia" w:ascii="方正小标宋简体" w:hAnsi="方正小标宋简体" w:eastAsia="方正小标宋简体" w:cs="方正小标宋简体"/>
          <w:b w:val="0"/>
        </w:rPr>
        <w:t>案</w:t>
      </w:r>
    </w:p>
    <w:p>
      <w:pPr>
        <w:pStyle w:val="3"/>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b w:val="0"/>
        </w:rPr>
      </w:pPr>
      <w:r>
        <w:rPr>
          <w:rFonts w:ascii="Times New Roman" w:hAnsi="Times New Roman"/>
          <w:b w:val="0"/>
        </w:rPr>
        <w:t>（</w:t>
      </w:r>
      <w:r>
        <w:rPr>
          <w:rFonts w:hint="eastAsia" w:ascii="方正小标宋简体" w:hAnsi="方正小标宋简体" w:eastAsia="方正小标宋简体" w:cs="方正小标宋简体"/>
          <w:b w:val="0"/>
          <w:lang w:val="en-US" w:eastAsia="zh-CN"/>
        </w:rPr>
        <w:t>2023</w:t>
      </w:r>
      <w:r>
        <w:rPr>
          <w:rFonts w:hint="eastAsia" w:ascii="Times New Roman" w:hAnsi="Times New Roman"/>
          <w:b w:val="0"/>
        </w:rPr>
        <w:t>—</w:t>
      </w:r>
      <w:r>
        <w:rPr>
          <w:rFonts w:hint="eastAsia" w:ascii="方正小标宋简体" w:hAnsi="方正小标宋简体" w:eastAsia="方正小标宋简体" w:cs="方正小标宋简体"/>
          <w:b w:val="0"/>
          <w:lang w:val="en-US" w:eastAsia="zh-CN"/>
        </w:rPr>
        <w:t>202</w:t>
      </w:r>
      <w:r>
        <w:rPr>
          <w:rFonts w:hint="eastAsia" w:ascii="方正小标宋简体" w:hAnsi="方正小标宋简体" w:cs="方正小标宋简体"/>
          <w:b w:val="0"/>
          <w:lang w:val="en-US" w:eastAsia="zh-CN"/>
        </w:rPr>
        <w:t>5</w:t>
      </w:r>
      <w:r>
        <w:rPr>
          <w:rFonts w:ascii="Times New Roman" w:hAnsi="Times New Roman"/>
          <w:b w:val="0"/>
        </w:rPr>
        <w:t>年）</w:t>
      </w:r>
    </w:p>
    <w:p>
      <w:pPr>
        <w:spacing w:line="600" w:lineRule="exact"/>
        <w:ind w:firstLine="640" w:firstLineChars="200"/>
        <w:rPr>
          <w:rFonts w:eastAsia="仿宋_GB2312"/>
          <w:sz w:val="32"/>
          <w:szCs w:val="32"/>
        </w:rPr>
      </w:pP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深入贯彻落实党的二十大精神，加大基础教育设施设备建设力度，加快补齐优质教育资源不足突出短板，有效应对城乡人口变化、新型城镇化等带来的教育新需求，推动教育优质均衡发展，提升群众对教育的获得感和满意度，结合我县实际，制定本方案。</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一、指导思想</w:t>
      </w:r>
    </w:p>
    <w:p>
      <w:pPr>
        <w:pStyle w:val="8"/>
        <w:keepNext w:val="0"/>
        <w:keepLines w:val="0"/>
        <w:pageBreakBefore w:val="0"/>
        <w:widowControl w:val="0"/>
        <w:shd w:val="clear" w:color="auto" w:fill="FFFFFF"/>
        <w:kinsoku/>
        <w:wordWrap/>
        <w:overflowPunct/>
        <w:topLinePunct w:val="0"/>
        <w:autoSpaceDE/>
        <w:autoSpaceDN/>
        <w:bidi w:val="0"/>
        <w:spacing w:beforeAutospacing="0" w:afterAutospacing="0"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w:t>
      </w:r>
      <w:r>
        <w:rPr>
          <w:rFonts w:hint="eastAsia" w:ascii="仿宋_GB2312" w:hAnsi="仿宋_GB2312" w:eastAsia="仿宋_GB2312" w:cs="仿宋_GB2312"/>
          <w:color w:val="000000" w:themeColor="text1"/>
          <w:kern w:val="2"/>
          <w:sz w:val="32"/>
          <w:szCs w:val="32"/>
          <w14:textFill>
            <w14:solidFill>
              <w14:schemeClr w14:val="tx1"/>
            </w14:solidFill>
          </w14:textFill>
        </w:rPr>
        <w:t>以习近平新时代中国特色社会主义思想为指导，全面贯彻党的二十大精神，深入贯彻习近平总书记对广东系列重要讲话和重要指示精神，认真贯彻落实全省、全市高质量发展大会精神，主动适应陆河经济社会发展需求，聚焦陆河教育基础设施设备建设滞后问题，</w:t>
      </w:r>
      <w:r>
        <w:rPr>
          <w:rFonts w:hint="eastAsia" w:ascii="仿宋_GB2312" w:hAnsi="仿宋_GB2312" w:eastAsia="仿宋_GB2312" w:cs="仿宋_GB2312"/>
          <w:sz w:val="32"/>
          <w:szCs w:val="32"/>
        </w:rPr>
        <w:t>着力优化公办学位供给，优化基础教育资源配置，提升教育硬件水平，主动适应人民群众日益增长的优质教育需求，切实办好人民满意的教育。</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二、基本原则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方正楷体_GB2312" w:hAnsi="方正楷体_GB2312" w:eastAsia="方正楷体_GB2312" w:cs="方正楷体_GB2312"/>
          <w:kern w:val="0"/>
          <w:sz w:val="32"/>
          <w:szCs w:val="32"/>
        </w:rPr>
        <w:t>（一）坚持优先发展。</w:t>
      </w:r>
      <w:r>
        <w:rPr>
          <w:rFonts w:hint="eastAsia" w:ascii="仿宋_GB2312" w:hAnsi="仿宋_GB2312" w:eastAsia="仿宋_GB2312" w:cs="仿宋_GB2312"/>
          <w:kern w:val="0"/>
          <w:sz w:val="32"/>
          <w:szCs w:val="32"/>
        </w:rPr>
        <w:t>深入实施科教兴国战略，</w:t>
      </w:r>
      <w:r>
        <w:rPr>
          <w:rFonts w:hint="eastAsia" w:ascii="仿宋_GB2312" w:hAnsi="仿宋_GB2312" w:eastAsia="仿宋_GB2312" w:cs="仿宋_GB2312"/>
          <w:color w:val="000000"/>
          <w:kern w:val="0"/>
          <w:sz w:val="32"/>
          <w:szCs w:val="32"/>
        </w:rPr>
        <w:t>坚持把教育摆在优先发展的战略地位，经济社会发展规划优先安排教育发展、财政资金优先保障教育投入、公共资源优先满足教育和人才资源开发需要，为教育高质量发展奠定坚实基础。</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方正楷体_GB2312" w:hAnsi="方正楷体_GB2312" w:eastAsia="方正楷体_GB2312" w:cs="方正楷体_GB2312"/>
          <w:kern w:val="0"/>
          <w:sz w:val="32"/>
          <w:szCs w:val="32"/>
        </w:rPr>
        <w:t>（二）坚持科学规划。</w:t>
      </w:r>
      <w:r>
        <w:rPr>
          <w:rFonts w:hint="eastAsia" w:ascii="仿宋_GB2312" w:hAnsi="仿宋_GB2312" w:eastAsia="仿宋_GB2312" w:cs="仿宋_GB2312"/>
          <w:kern w:val="0"/>
          <w:sz w:val="32"/>
          <w:szCs w:val="32"/>
        </w:rPr>
        <w:t>综合考虑城乡人口变化</w:t>
      </w:r>
      <w:r>
        <w:rPr>
          <w:rFonts w:hint="eastAsia" w:ascii="仿宋_GB2312" w:hAnsi="仿宋_GB2312" w:eastAsia="仿宋_GB2312" w:cs="仿宋_GB2312"/>
          <w:sz w:val="32"/>
          <w:szCs w:val="32"/>
        </w:rPr>
        <w:t>、城镇化进程、产业发展等因素，结合城乡义务教育一体化发展、公民办义务教育结构调整等刚性要求，科学规划新增教育设</w:t>
      </w:r>
      <w:r>
        <w:rPr>
          <w:rFonts w:hint="eastAsia" w:ascii="仿宋_GB2312" w:hAnsi="仿宋_GB2312" w:eastAsia="仿宋_GB2312" w:cs="仿宋_GB2312"/>
          <w:kern w:val="0"/>
          <w:sz w:val="32"/>
          <w:szCs w:val="32"/>
        </w:rPr>
        <w:t>施布点，确保满足当地适龄儿童入学入园需求。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000000"/>
          <w:sz w:val="32"/>
          <w:szCs w:val="32"/>
          <w:shd w:val="clear" w:color="auto" w:fill="FFFFFF"/>
        </w:rPr>
      </w:pPr>
      <w:r>
        <w:rPr>
          <w:rFonts w:hint="eastAsia" w:ascii="方正楷体_GB2312" w:hAnsi="方正楷体_GB2312" w:eastAsia="方正楷体_GB2312" w:cs="方正楷体_GB2312"/>
          <w:kern w:val="0"/>
          <w:sz w:val="32"/>
          <w:szCs w:val="32"/>
        </w:rPr>
        <w:t>（三）坚持分步推进。</w:t>
      </w:r>
      <w:r>
        <w:rPr>
          <w:rFonts w:hint="eastAsia" w:ascii="仿宋_GB2312" w:hAnsi="仿宋_GB2312" w:eastAsia="仿宋_GB2312" w:cs="仿宋_GB2312"/>
          <w:color w:val="000000"/>
          <w:sz w:val="32"/>
          <w:szCs w:val="32"/>
          <w:shd w:val="clear" w:color="auto" w:fill="FFFFFF"/>
        </w:rPr>
        <w:t>按照“一年启动、两年见效、三年建成”的要求，从实际出发，根据轻重缓急，结合城市建设进程，分年度组织实施。</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三、工作目标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方正楷体_GB2312" w:hAnsi="方正楷体_GB2312" w:eastAsia="方正楷体_GB2312" w:cs="方正楷体_GB2312"/>
          <w:kern w:val="0"/>
          <w:sz w:val="32"/>
          <w:szCs w:val="32"/>
        </w:rPr>
      </w:pPr>
      <w:r>
        <w:rPr>
          <w:rFonts w:hint="eastAsia" w:ascii="方正楷体_GB2312" w:hAnsi="方正楷体_GB2312" w:eastAsia="方正楷体_GB2312" w:cs="方正楷体_GB2312"/>
          <w:kern w:val="0"/>
          <w:sz w:val="32"/>
          <w:szCs w:val="32"/>
        </w:rPr>
        <w:t>（一）学位建设</w:t>
      </w:r>
    </w:p>
    <w:p>
      <w:pPr>
        <w:pStyle w:val="8"/>
        <w:keepNext w:val="0"/>
        <w:keepLines w:val="0"/>
        <w:pageBreakBefore w:val="0"/>
        <w:widowControl w:val="0"/>
        <w:kinsoku/>
        <w:wordWrap/>
        <w:overflowPunct/>
        <w:topLinePunct w:val="0"/>
        <w:autoSpaceDE/>
        <w:autoSpaceDN/>
        <w:bidi w:val="0"/>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根据需求，</w:t>
      </w:r>
      <w:r>
        <w:rPr>
          <w:rFonts w:hint="eastAsia" w:ascii="仿宋_GB2312" w:hAnsi="仿宋_GB2312" w:eastAsia="仿宋_GB2312" w:cs="仿宋_GB2312"/>
          <w:color w:val="000000"/>
          <w:sz w:val="32"/>
          <w:szCs w:val="32"/>
        </w:rPr>
        <w:t>以增加县城和镇中心区域</w:t>
      </w:r>
      <w:r>
        <w:rPr>
          <w:rFonts w:hint="eastAsia" w:ascii="仿宋_GB2312" w:hAnsi="仿宋_GB2312" w:eastAsia="仿宋_GB2312" w:cs="仿宋_GB2312"/>
          <w:sz w:val="32"/>
          <w:szCs w:val="32"/>
        </w:rPr>
        <w:t>人口</w:t>
      </w:r>
      <w:r>
        <w:rPr>
          <w:rFonts w:hint="eastAsia" w:ascii="仿宋_GB2312" w:hAnsi="仿宋_GB2312" w:eastAsia="仿宋_GB2312" w:cs="仿宋_GB2312"/>
          <w:color w:val="000000"/>
          <w:sz w:val="32"/>
          <w:szCs w:val="32"/>
        </w:rPr>
        <w:t>流入地学位供给为重点，</w:t>
      </w:r>
      <w:r>
        <w:rPr>
          <w:rFonts w:hint="eastAsia" w:ascii="仿宋_GB2312" w:hAnsi="仿宋_GB2312" w:eastAsia="仿宋_GB2312" w:cs="仿宋_GB2312"/>
          <w:sz w:val="32"/>
          <w:szCs w:val="32"/>
        </w:rPr>
        <w:t>2023年前计划推动已建成的5所幼儿园开园办学，新增公办幼儿园学位1860个；2023年前新改扩建义务教育学校4所，新增公办义务教育学位1550个。到2025年，共规划新建和改扩建幼儿园10所、义务教育学校15所，高中学校1所，新增公办幼儿园学位2760个，公办义务教育学位6720个，高中学位300个；全县学前教育三年毛入园率达到100%，公办幼儿园在园幼儿占比达到</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以上，公办幼儿园和普惠性民办幼儿园在园幼儿占比达到</w:t>
      </w:r>
      <w:r>
        <w:rPr>
          <w:rFonts w:hint="eastAsia" w:ascii="仿宋_GB2312" w:hAnsi="仿宋_GB2312" w:eastAsia="仿宋_GB2312" w:cs="仿宋_GB2312"/>
          <w:color w:val="000000" w:themeColor="text1"/>
          <w:sz w:val="32"/>
          <w:szCs w:val="32"/>
          <w14:textFill>
            <w14:solidFill>
              <w14:schemeClr w14:val="tx1"/>
            </w14:solidFill>
          </w14:textFill>
        </w:rPr>
        <w:t>85%</w:t>
      </w:r>
      <w:r>
        <w:rPr>
          <w:rFonts w:hint="eastAsia" w:ascii="仿宋_GB2312" w:hAnsi="仿宋_GB2312" w:eastAsia="仿宋_GB2312" w:cs="仿宋_GB2312"/>
          <w:sz w:val="32"/>
          <w:szCs w:val="32"/>
        </w:rPr>
        <w:t>以上；九年义务教育巩固率达到96%以上，全面消除中小学大班额。（具体建设计划详见附件1、附件2。）</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方正楷体_GB2312" w:hAnsi="方正楷体_GB2312" w:eastAsia="方正楷体_GB2312" w:cs="方正楷体_GB2312"/>
          <w:kern w:val="0"/>
          <w:sz w:val="32"/>
          <w:szCs w:val="32"/>
        </w:rPr>
      </w:pPr>
      <w:r>
        <w:rPr>
          <w:rFonts w:hint="eastAsia" w:ascii="方正楷体_GB2312" w:hAnsi="方正楷体_GB2312" w:eastAsia="方正楷体_GB2312" w:cs="方正楷体_GB2312"/>
          <w:kern w:val="0"/>
          <w:sz w:val="32"/>
          <w:szCs w:val="32"/>
        </w:rPr>
        <w:t>（二）教育信息化建设</w:t>
      </w:r>
    </w:p>
    <w:p>
      <w:pPr>
        <w:pStyle w:val="8"/>
        <w:keepNext w:val="0"/>
        <w:keepLines w:val="0"/>
        <w:pageBreakBefore w:val="0"/>
        <w:widowControl w:val="0"/>
        <w:kinsoku/>
        <w:wordWrap/>
        <w:overflowPunct/>
        <w:topLinePunct w:val="0"/>
        <w:autoSpaceDE/>
        <w:autoSpaceDN/>
        <w:bidi w:val="0"/>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贯彻落实《</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"https://baike.baidu.com/item/%E6%95%99%E8%82%B2%E4%BF%A1%E6%81%AF%E5%8C%962.0%E8%A1%8C%E5%8A%A8%E8%AE%A1%E5%88%92/22501991?fromModule=lemma_inlink" \t "https://baike.baidu.com/item/%E4%B8%89%E5%85%A8%E4%B8%A4%E9%AB%98%E4%B8%80%E5%A4%A7/_blank"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教育信息化2.0行动计划</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夯实教育信息化基础设施，实施宽带网络扩容提速、教室多媒体更新换代、教师用终端全覆盖、无线网络进校园等工程，为实现“三全两高一大”目标打下坚实基础。目前，我县中小学校园网覆盖率100%，满足日常办公和教学需求，所有课室均能接入互联网；中小学教学课室多媒体平台覆盖率84%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到2025年覆盖率100%；中小学教师配备专用计算机（或者手持终端）比例90%，到2025年比例100%；2023年中小学计算机室建设达标率63%以上，到2025年达标率100%；建成一批市级“智慧校园”示范校，努力构建“互联网+”条件下的人才培养、教育服务和教育治理新模式。（具体建设计划详见附件3。）</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方正楷体_GB2312" w:hAnsi="方正楷体_GB2312" w:eastAsia="方正楷体_GB2312" w:cs="方正楷体_GB2312"/>
          <w:kern w:val="0"/>
          <w:sz w:val="32"/>
          <w:szCs w:val="32"/>
        </w:rPr>
      </w:pPr>
      <w:r>
        <w:rPr>
          <w:rFonts w:hint="eastAsia" w:ascii="方正楷体_GB2312" w:hAnsi="方正楷体_GB2312" w:eastAsia="方正楷体_GB2312" w:cs="方正楷体_GB2312"/>
          <w:kern w:val="0"/>
          <w:sz w:val="32"/>
          <w:szCs w:val="32"/>
        </w:rPr>
        <w:t>（三）实验室建设</w:t>
      </w:r>
    </w:p>
    <w:p>
      <w:pPr>
        <w:pStyle w:val="8"/>
        <w:keepNext w:val="0"/>
        <w:keepLines w:val="0"/>
        <w:pageBreakBefore w:val="0"/>
        <w:widowControl w:val="0"/>
        <w:kinsoku/>
        <w:wordWrap/>
        <w:overflowPunct/>
        <w:topLinePunct w:val="0"/>
        <w:autoSpaceDE/>
        <w:autoSpaceDN/>
        <w:bidi w:val="0"/>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围绕保障实验教学和实验操作考试条件，加强和改进实验教学活动，让学生达成学科核心素养发展目标。各校按照标准和实际需求建设实验教学场所，落实教育部颁布的学科教学装备配置标准，保质保量配置并及时更新教学仪器设备，确保消耗性实验材料的补充与供给，满足实验教学基本需求。2023年新增中学理化生实验室、仪器室（探究室）15间，至2025年新增中学理化生实验室、仪器室、实验员准备室等共70间，确保基本实验开出率100%，拓展性实验（除了课程标准要求的基本实验外的实践活动）比例不少于50%。（具体建设计划详见附件4。）</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四、工作措施</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000000"/>
          <w:sz w:val="32"/>
          <w:szCs w:val="32"/>
        </w:rPr>
      </w:pPr>
      <w:r>
        <w:rPr>
          <w:rFonts w:hint="eastAsia" w:ascii="方正楷体_GB2312" w:hAnsi="方正楷体_GB2312" w:eastAsia="方正楷体_GB2312" w:cs="方正楷体_GB2312"/>
          <w:kern w:val="0"/>
          <w:sz w:val="32"/>
          <w:szCs w:val="32"/>
        </w:rPr>
        <w:t>（一）加强教育用地统筹。</w:t>
      </w:r>
      <w:r>
        <w:rPr>
          <w:rFonts w:hint="eastAsia" w:ascii="仿宋_GB2312" w:hAnsi="仿宋_GB2312" w:eastAsia="仿宋_GB2312" w:cs="仿宋_GB2312"/>
          <w:color w:val="000000"/>
          <w:sz w:val="32"/>
          <w:szCs w:val="32"/>
        </w:rPr>
        <w:t>落实教育设施专项规划与国土空间规划的衔接，保障教育用地空间，确保优先建设。县在编制和调整国土空间规划、控制性详细规划时应充分征求同级教育行政部门意见，在城镇建设中同步考虑学校布局建设，按规划人口预留教育用地，同时要在我县重点发展的开发区、园区（</w:t>
      </w:r>
      <w:r>
        <w:rPr>
          <w:rFonts w:hint="eastAsia" w:ascii="仿宋_GB2312" w:hAnsi="仿宋_GB2312" w:eastAsia="仿宋_GB2312" w:cs="仿宋_GB2312"/>
          <w:color w:val="000000"/>
          <w:sz w:val="32"/>
          <w:szCs w:val="32"/>
          <w:lang w:val="en-US" w:eastAsia="zh-CN"/>
        </w:rPr>
        <w:t>汕尾市陆河高新技术产业开发区</w:t>
      </w:r>
      <w:r>
        <w:rPr>
          <w:rFonts w:hint="eastAsia" w:ascii="仿宋_GB2312" w:hAnsi="仿宋_GB2312" w:eastAsia="仿宋_GB2312" w:cs="仿宋_GB2312"/>
          <w:color w:val="000000"/>
          <w:sz w:val="32"/>
          <w:szCs w:val="32"/>
        </w:rPr>
        <w:t>）留足教育用地空间，不得随意变更教育用地规划，并优先保障学校建设用地需求。</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000000"/>
          <w:sz w:val="32"/>
          <w:szCs w:val="32"/>
        </w:rPr>
      </w:pPr>
      <w:r>
        <w:rPr>
          <w:rFonts w:hint="eastAsia" w:ascii="方正楷体_GB2312" w:hAnsi="方正楷体_GB2312" w:eastAsia="方正楷体_GB2312" w:cs="方正楷体_GB2312"/>
          <w:kern w:val="0"/>
          <w:sz w:val="32"/>
          <w:szCs w:val="32"/>
        </w:rPr>
        <w:t>（二）落实配套园建设责任。</w:t>
      </w:r>
      <w:r>
        <w:rPr>
          <w:rFonts w:hint="eastAsia" w:ascii="仿宋_GB2312" w:hAnsi="仿宋_GB2312" w:eastAsia="仿宋_GB2312" w:cs="仿宋_GB2312"/>
          <w:color w:val="000000"/>
          <w:sz w:val="32"/>
          <w:szCs w:val="32"/>
        </w:rPr>
        <w:t>落实《广东省加强住宅小区配套幼儿园建设和管理工作的指导意见》，开发总量达4500人的住宅小区应按标准配建幼儿园，所配建的幼儿园须举办为公办幼儿园，并坚持配套幼儿园同步规划、同步设计、同步建设、同步竣工、同步交付使用的原则，扎实推进城镇小区配套幼儿园治理。达不到配建标准要求的住宅小区，须承担与其居住区人口规模（户数）相适应的配套幼儿园建设与用地成本，可以联合多个达不到配建标准要求的住宅小区规划共建一所配套幼儿园，原则上布局在其中较大区块内；可以按照学位成本（含建设与用地费用）和需配建学位数出资，由政府统筹解决学位问题。</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方正楷体_GB2312" w:hAnsi="方正楷体_GB2312" w:eastAsia="方正楷体_GB2312" w:cs="方正楷体_GB2312"/>
          <w:kern w:val="0"/>
          <w:sz w:val="32"/>
          <w:szCs w:val="32"/>
        </w:rPr>
        <w:t>（三）强化多元经费保障</w:t>
      </w:r>
      <w:r>
        <w:rPr>
          <w:rFonts w:hint="eastAsia" w:ascii="方正楷体_GB2312" w:hAnsi="方正楷体_GB2312" w:eastAsia="方正楷体_GB2312" w:cs="方正楷体_GB2312"/>
          <w:sz w:val="32"/>
          <w:szCs w:val="32"/>
        </w:rPr>
        <w:t>。</w:t>
      </w:r>
      <w:r>
        <w:rPr>
          <w:rFonts w:hint="eastAsia" w:ascii="仿宋_GB2312" w:hAnsi="仿宋_GB2312" w:eastAsia="仿宋_GB2312" w:cs="仿宋_GB2312"/>
          <w:sz w:val="32"/>
          <w:szCs w:val="32"/>
        </w:rPr>
        <w:t>切实履行基础教育办学主体责任，努力争取省级教育发展专项资金的支持，落</w:t>
      </w:r>
      <w:r>
        <w:rPr>
          <w:rFonts w:hint="eastAsia" w:ascii="仿宋_GB2312" w:hAnsi="仿宋_GB2312" w:eastAsia="仿宋_GB2312" w:cs="仿宋_GB2312"/>
          <w:color w:val="000000"/>
          <w:sz w:val="32"/>
          <w:szCs w:val="32"/>
        </w:rPr>
        <w:t>实一般公共预算教育经费“两个只增不减”要求，统筹使用好地方政府新增债券、教育费附加、地方教育附加、土地出让收益、城市基础设施配套收入等用于基础教育设施建设。落实项目前期工作经费，尽早完成项目立项、初步设计概算等前期工作。</w:t>
      </w:r>
      <w:r>
        <w:rPr>
          <w:rFonts w:hint="eastAsia" w:ascii="仿宋_GB2312" w:hAnsi="仿宋_GB2312" w:eastAsia="仿宋_GB2312" w:cs="仿宋_GB2312"/>
          <w:sz w:val="32"/>
          <w:szCs w:val="32"/>
        </w:rPr>
        <w:t>鼓励教育基金会、企业融资等多渠道筹措教育资金。</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000000"/>
          <w:sz w:val="32"/>
          <w:szCs w:val="32"/>
        </w:rPr>
      </w:pPr>
      <w:r>
        <w:rPr>
          <w:rFonts w:hint="eastAsia" w:ascii="方正楷体_GB2312" w:hAnsi="方正楷体_GB2312" w:eastAsia="方正楷体_GB2312" w:cs="方正楷体_GB2312"/>
          <w:kern w:val="0"/>
          <w:sz w:val="32"/>
          <w:szCs w:val="32"/>
        </w:rPr>
        <w:t>（四）提高项目报建效</w:t>
      </w:r>
      <w:r>
        <w:rPr>
          <w:rFonts w:hint="eastAsia" w:ascii="方正楷体_GB2312" w:hAnsi="方正楷体_GB2312" w:eastAsia="方正楷体_GB2312" w:cs="方正楷体_GB2312"/>
          <w:sz w:val="32"/>
          <w:szCs w:val="32"/>
        </w:rPr>
        <w:t>率。</w:t>
      </w:r>
      <w:r>
        <w:rPr>
          <w:rFonts w:hint="eastAsia" w:ascii="仿宋_GB2312" w:hAnsi="仿宋_GB2312" w:eastAsia="仿宋_GB2312" w:cs="仿宋_GB2312"/>
          <w:sz w:val="32"/>
          <w:szCs w:val="32"/>
        </w:rPr>
        <w:t>县相关职能部门对本方</w:t>
      </w:r>
      <w:r>
        <w:rPr>
          <w:rFonts w:hint="eastAsia" w:ascii="仿宋_GB2312" w:hAnsi="仿宋_GB2312" w:eastAsia="仿宋_GB2312" w:cs="仿宋_GB2312"/>
          <w:color w:val="000000"/>
          <w:sz w:val="32"/>
          <w:szCs w:val="32"/>
        </w:rPr>
        <w:t>案涉及的建设项目开辟“绿色通道”，提高审批效率，压缩办理时间。协调相关部门落实专员业务指导、并联审批、“一网通办”、告知承诺制、联合审图、联合验收等改革措施，实行审批手续容缺服务制，加快办理教育设施建设审批事项。</w:t>
      </w:r>
    </w:p>
    <w:bookmarkEnd w:id="0"/>
    <w:bookmarkEnd w:id="1"/>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五、加强保障</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方正楷体_GB2312" w:hAnsi="方正楷体_GB2312" w:eastAsia="方正楷体_GB2312" w:cs="方正楷体_GB2312"/>
          <w:kern w:val="0"/>
          <w:sz w:val="32"/>
          <w:szCs w:val="32"/>
        </w:rPr>
        <w:t>（一）加强领导，压实</w:t>
      </w:r>
      <w:r>
        <w:rPr>
          <w:rFonts w:hint="eastAsia" w:ascii="方正楷体_GB2312" w:hAnsi="方正楷体_GB2312" w:eastAsia="方正楷体_GB2312" w:cs="方正楷体_GB2312"/>
          <w:sz w:val="32"/>
          <w:szCs w:val="32"/>
        </w:rPr>
        <w:t>责任。</w:t>
      </w:r>
      <w:r>
        <w:rPr>
          <w:rFonts w:hint="eastAsia" w:ascii="仿宋_GB2312" w:hAnsi="仿宋_GB2312" w:eastAsia="仿宋_GB2312" w:cs="仿宋_GB2312"/>
          <w:sz w:val="32"/>
          <w:szCs w:val="32"/>
          <w:lang w:val="en-US" w:eastAsia="zh-CN"/>
        </w:rPr>
        <w:t>各级</w:t>
      </w:r>
      <w:r>
        <w:rPr>
          <w:rFonts w:hint="eastAsia" w:ascii="仿宋_GB2312" w:hAnsi="仿宋_GB2312" w:eastAsia="仿宋_GB2312" w:cs="仿宋_GB2312"/>
          <w:sz w:val="32"/>
          <w:szCs w:val="32"/>
        </w:rPr>
        <w:t>政府</w:t>
      </w:r>
      <w:r>
        <w:rPr>
          <w:rFonts w:hint="eastAsia" w:ascii="仿宋_GB2312" w:hAnsi="仿宋_GB2312" w:eastAsia="仿宋_GB2312" w:cs="仿宋_GB2312"/>
          <w:sz w:val="32"/>
          <w:szCs w:val="32"/>
          <w:lang w:val="en-US" w:eastAsia="zh-CN"/>
        </w:rPr>
        <w:t>要</w:t>
      </w:r>
      <w:r>
        <w:rPr>
          <w:rFonts w:hint="eastAsia" w:ascii="仿宋_GB2312" w:hAnsi="仿宋_GB2312" w:eastAsia="仿宋_GB2312" w:cs="仿宋_GB2312"/>
          <w:sz w:val="32"/>
          <w:szCs w:val="32"/>
        </w:rPr>
        <w:t>将基础教育设施建设工作摆在重要议事日程，建立联席会议制度，定期召开工作会议，开展专项督查。各有关部门建立会商机制，统筹调配土地、资金等要素资源，特事特办、急事急办，推动全县教育设施建设工作形成规划科学、制度完备、保障有力的工作格局。</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方正楷体_GB2312" w:hAnsi="方正楷体_GB2312" w:eastAsia="方正楷体_GB2312" w:cs="方正楷体_GB2312"/>
          <w:kern w:val="0"/>
          <w:sz w:val="32"/>
          <w:szCs w:val="32"/>
        </w:rPr>
        <w:t>（二）协调联动，发挥合力。</w:t>
      </w:r>
      <w:r>
        <w:rPr>
          <w:rFonts w:hint="eastAsia" w:ascii="仿宋_GB2312" w:hAnsi="仿宋_GB2312" w:eastAsia="仿宋_GB2312" w:cs="仿宋_GB2312"/>
          <w:sz w:val="32"/>
          <w:szCs w:val="32"/>
          <w:lang w:val="en-US" w:eastAsia="zh-CN"/>
        </w:rPr>
        <w:t>县发展改革</w:t>
      </w:r>
      <w:r>
        <w:rPr>
          <w:rFonts w:hint="eastAsia" w:ascii="仿宋_GB2312" w:hAnsi="仿宋_GB2312" w:eastAsia="仿宋_GB2312" w:cs="仿宋_GB2312"/>
          <w:sz w:val="32"/>
          <w:szCs w:val="32"/>
        </w:rPr>
        <w:t>、教育、财政、机构编制、</w:t>
      </w:r>
      <w:r>
        <w:rPr>
          <w:rFonts w:hint="eastAsia" w:ascii="仿宋_GB2312" w:hAnsi="仿宋_GB2312" w:eastAsia="仿宋_GB2312" w:cs="仿宋_GB2312"/>
          <w:sz w:val="32"/>
          <w:szCs w:val="32"/>
          <w:lang w:val="en-US" w:eastAsia="zh-CN"/>
        </w:rPr>
        <w:t>人力资源和社会保障</w:t>
      </w:r>
      <w:r>
        <w:rPr>
          <w:rFonts w:hint="eastAsia" w:ascii="仿宋_GB2312" w:hAnsi="仿宋_GB2312" w:eastAsia="仿宋_GB2312" w:cs="仿宋_GB2312"/>
          <w:sz w:val="32"/>
          <w:szCs w:val="32"/>
        </w:rPr>
        <w:t>、自然资源、</w:t>
      </w:r>
      <w:r>
        <w:rPr>
          <w:rFonts w:hint="eastAsia" w:ascii="仿宋_GB2312" w:hAnsi="仿宋_GB2312" w:eastAsia="仿宋_GB2312" w:cs="仿宋_GB2312"/>
          <w:sz w:val="32"/>
          <w:szCs w:val="32"/>
          <w:lang w:val="en-US" w:eastAsia="zh-CN"/>
        </w:rPr>
        <w:t>住房城乡建设</w:t>
      </w:r>
      <w:r>
        <w:rPr>
          <w:rFonts w:hint="eastAsia" w:ascii="仿宋_GB2312" w:hAnsi="仿宋_GB2312" w:eastAsia="仿宋_GB2312" w:cs="仿宋_GB2312"/>
          <w:sz w:val="32"/>
          <w:szCs w:val="32"/>
        </w:rPr>
        <w:t>、代建中心等部门和各镇人民政府要加强沟通、密切配合，加强对教育设施建设标准、开工准备、建设管理、验收移交等全过程、各环节的指导、监督和管理。要创新工作方式方法，对纳入年度建设任务的项目实行清单管理，制定建设进度图表，实行“挂图作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销号督办”，任务逐一销号，提高工作效率。</w:t>
      </w:r>
    </w:p>
    <w:p>
      <w:pPr>
        <w:pStyle w:val="8"/>
        <w:keepNext w:val="0"/>
        <w:keepLines w:val="0"/>
        <w:pageBreakBefore w:val="0"/>
        <w:widowControl w:val="0"/>
        <w:kinsoku/>
        <w:wordWrap/>
        <w:overflowPunct/>
        <w:topLinePunct w:val="0"/>
        <w:autoSpaceDE/>
        <w:autoSpaceDN/>
        <w:bidi w:val="0"/>
        <w:spacing w:beforeAutospacing="0" w:afterAutospacing="0" w:line="560" w:lineRule="exact"/>
        <w:ind w:left="0" w:leftChars="0" w:firstLine="640"/>
        <w:textAlignment w:val="auto"/>
        <w:rPr>
          <w:rFonts w:hint="eastAsia" w:ascii="仿宋_GB2312" w:hAnsi="仿宋_GB2312" w:eastAsia="仿宋_GB2312" w:cs="仿宋_GB2312"/>
          <w:sz w:val="32"/>
          <w:szCs w:val="32"/>
        </w:rPr>
      </w:pPr>
      <w:r>
        <w:rPr>
          <w:rFonts w:hint="eastAsia" w:ascii="方正楷体_GB2312" w:hAnsi="方正楷体_GB2312" w:eastAsia="方正楷体_GB2312" w:cs="方正楷体_GB2312"/>
          <w:sz w:val="32"/>
          <w:szCs w:val="32"/>
        </w:rPr>
        <w:t>（三）强化督导，加快进度。</w:t>
      </w:r>
      <w:r>
        <w:rPr>
          <w:rFonts w:hint="eastAsia" w:ascii="仿宋_GB2312" w:hAnsi="仿宋_GB2312" w:eastAsia="仿宋_GB2312" w:cs="仿宋_GB2312"/>
          <w:sz w:val="32"/>
          <w:szCs w:val="32"/>
        </w:rPr>
        <w:t>将此次规划建设任务纳入县人民政府履行教育职责的重要考核内容，开展常态化跟踪督导，加快建</w:t>
      </w:r>
      <w:r>
        <w:rPr>
          <w:rFonts w:hint="eastAsia" w:ascii="仿宋_GB2312" w:hAnsi="仿宋_GB2312" w:eastAsia="仿宋_GB2312" w:cs="仿宋_GB2312"/>
          <w:kern w:val="2"/>
          <w:sz w:val="32"/>
          <w:szCs w:val="32"/>
        </w:rPr>
        <w:t>设进度。建立健全通报督查机制，对</w:t>
      </w:r>
      <w:r>
        <w:rPr>
          <w:rFonts w:hint="eastAsia" w:ascii="仿宋_GB2312" w:hAnsi="仿宋_GB2312" w:eastAsia="仿宋_GB2312" w:cs="仿宋_GB2312"/>
          <w:sz w:val="32"/>
          <w:szCs w:val="32"/>
        </w:rPr>
        <w:t>督导检查发现的问题限期整改，对工作推进不力或进展缓慢的严肃问责。</w:t>
      </w:r>
    </w:p>
    <w:p>
      <w:pPr>
        <w:pStyle w:val="8"/>
        <w:keepNext w:val="0"/>
        <w:keepLines w:val="0"/>
        <w:pageBreakBefore w:val="0"/>
        <w:widowControl w:val="0"/>
        <w:kinsoku/>
        <w:wordWrap/>
        <w:overflowPunct/>
        <w:topLinePunct w:val="0"/>
        <w:autoSpaceDE/>
        <w:autoSpaceDN/>
        <w:bidi w:val="0"/>
        <w:spacing w:beforeAutospacing="0" w:afterAutospacing="0" w:line="560" w:lineRule="exact"/>
        <w:ind w:left="0" w:leftChars="0"/>
        <w:textAlignment w:val="auto"/>
        <w:rPr>
          <w:rFonts w:hint="eastAsia" w:ascii="仿宋_GB2312" w:hAnsi="仿宋_GB2312" w:eastAsia="仿宋_GB2312" w:cs="仿宋_GB2312"/>
          <w:sz w:val="32"/>
          <w:szCs w:val="32"/>
        </w:rPr>
      </w:pPr>
    </w:p>
    <w:p>
      <w:pPr>
        <w:pStyle w:val="8"/>
        <w:keepNext w:val="0"/>
        <w:keepLines w:val="0"/>
        <w:pageBreakBefore w:val="0"/>
        <w:widowControl w:val="0"/>
        <w:kinsoku/>
        <w:wordWrap/>
        <w:overflowPunct/>
        <w:topLinePunct w:val="0"/>
        <w:autoSpaceDE/>
        <w:autoSpaceDN/>
        <w:bidi w:val="0"/>
        <w:spacing w:beforeAutospacing="0" w:afterAutospacing="0" w:line="560" w:lineRule="exact"/>
        <w:ind w:left="2238" w:leftChars="304" w:hanging="1600" w:hanging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w w:val="95"/>
          <w:sz w:val="32"/>
          <w:szCs w:val="32"/>
          <w:lang w:val="en-US" w:eastAsia="zh-CN"/>
        </w:rPr>
        <w:t>1</w:t>
      </w:r>
      <w:r>
        <w:rPr>
          <w:rFonts w:hint="eastAsia" w:ascii="仿宋_GB2312" w:hAnsi="仿宋_GB2312" w:eastAsia="仿宋_GB2312" w:cs="仿宋_GB2312"/>
          <w:w w:val="95"/>
          <w:sz w:val="32"/>
          <w:szCs w:val="32"/>
        </w:rPr>
        <w:t>-1.陆河县2023—2025年幼儿园公办学位建设项目计划表</w:t>
      </w:r>
    </w:p>
    <w:p>
      <w:pPr>
        <w:pStyle w:val="8"/>
        <w:keepNext w:val="0"/>
        <w:keepLines w:val="0"/>
        <w:pageBreakBefore w:val="0"/>
        <w:widowControl w:val="0"/>
        <w:kinsoku/>
        <w:wordWrap/>
        <w:overflowPunct/>
        <w:topLinePunct w:val="0"/>
        <w:autoSpaceDE/>
        <w:autoSpaceDN/>
        <w:bidi w:val="0"/>
        <w:spacing w:beforeAutospacing="0" w:afterAutospacing="0" w:line="560" w:lineRule="exact"/>
        <w:ind w:left="2236" w:leftChars="760" w:hanging="640" w:hanging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-2.陆河县2023—2025年义务教育公办学位建设项目计划表</w:t>
      </w:r>
    </w:p>
    <w:p>
      <w:pPr>
        <w:pStyle w:val="8"/>
        <w:keepNext w:val="0"/>
        <w:keepLines w:val="0"/>
        <w:pageBreakBefore w:val="0"/>
        <w:widowControl w:val="0"/>
        <w:kinsoku/>
        <w:wordWrap/>
        <w:overflowPunct/>
        <w:topLinePunct w:val="0"/>
        <w:autoSpaceDE/>
        <w:autoSpaceDN/>
        <w:bidi w:val="0"/>
        <w:spacing w:beforeAutospacing="0" w:afterAutospacing="0" w:line="560" w:lineRule="exact"/>
        <w:ind w:left="2236" w:leftChars="760" w:hanging="640" w:hanging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-3.陆河县2023—2025年教育信息化建设项目计划表</w:t>
      </w:r>
    </w:p>
    <w:p>
      <w:pPr>
        <w:pStyle w:val="8"/>
        <w:keepNext w:val="0"/>
        <w:keepLines w:val="0"/>
        <w:pageBreakBefore w:val="0"/>
        <w:widowControl w:val="0"/>
        <w:kinsoku/>
        <w:wordWrap/>
        <w:overflowPunct/>
        <w:topLinePunct w:val="0"/>
        <w:autoSpaceDE/>
        <w:autoSpaceDN/>
        <w:bidi w:val="0"/>
        <w:spacing w:beforeAutospacing="0" w:afterAutospacing="0" w:line="560" w:lineRule="exact"/>
        <w:ind w:left="2236" w:leftChars="760" w:hanging="640" w:hangingChars="200"/>
        <w:textAlignment w:val="auto"/>
        <w:rPr>
          <w:rFonts w:hint="eastAsia" w:ascii="仿宋_GB2312" w:hAnsi="仿宋_GB2312" w:eastAsia="仿宋_GB2312" w:cs="仿宋_GB2312"/>
          <w:sz w:val="32"/>
          <w:szCs w:val="32"/>
        </w:rPr>
        <w:sectPr>
          <w:headerReference r:id="rId3" w:type="default"/>
          <w:footerReference r:id="rId4" w:type="default"/>
          <w:pgSz w:w="11906" w:h="16838"/>
          <w:pgMar w:top="2098" w:right="1474" w:bottom="1984" w:left="1587" w:header="851" w:footer="992" w:gutter="0"/>
          <w:pgNumType w:fmt="decimal"/>
          <w:cols w:space="0" w:num="1"/>
          <w:docGrid w:type="lines" w:linePitch="312" w:charSpace="0"/>
        </w:sect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-4.陆河县2023—2025年中学实验室建设项目计划表</w:t>
      </w:r>
    </w:p>
    <w:tbl>
      <w:tblPr>
        <w:tblStyle w:val="10"/>
        <w:tblW w:w="15682" w:type="dxa"/>
        <w:tblInd w:w="-9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7"/>
        <w:gridCol w:w="1191"/>
        <w:gridCol w:w="1490"/>
        <w:gridCol w:w="1723"/>
        <w:gridCol w:w="905"/>
        <w:gridCol w:w="1027"/>
        <w:gridCol w:w="927"/>
        <w:gridCol w:w="2627"/>
        <w:gridCol w:w="855"/>
        <w:gridCol w:w="864"/>
        <w:gridCol w:w="945"/>
        <w:gridCol w:w="23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28" w:type="dxa"/>
            <w:gridSpan w:val="2"/>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 w:cs="Times New Roman"/>
                <w:i w:val="0"/>
                <w:color w:val="000000"/>
                <w:sz w:val="18"/>
                <w:szCs w:val="18"/>
                <w:u w:val="none"/>
              </w:rPr>
            </w:pPr>
            <w:r>
              <w:rPr>
                <w:rFonts w:hint="eastAsia" w:ascii="黑体" w:hAnsi="黑体" w:eastAsia="黑体" w:cs="黑体"/>
                <w:i w:val="0"/>
                <w:color w:val="000000"/>
                <w:kern w:val="0"/>
                <w:sz w:val="32"/>
                <w:szCs w:val="32"/>
                <w:u w:val="none"/>
                <w:lang w:val="en-US" w:eastAsia="zh-CN" w:bidi="ar"/>
              </w:rPr>
              <w:t>附件1-1</w:t>
            </w:r>
          </w:p>
        </w:tc>
        <w:tc>
          <w:tcPr>
            <w:tcW w:w="149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eastAsia="仿宋" w:cs="Times New Roman"/>
                <w:i w:val="0"/>
                <w:color w:val="000000"/>
                <w:sz w:val="22"/>
                <w:szCs w:val="22"/>
                <w:u w:val="none"/>
              </w:rPr>
            </w:pPr>
          </w:p>
        </w:tc>
        <w:tc>
          <w:tcPr>
            <w:tcW w:w="1723"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Times New Roman" w:hAnsi="Times New Roman" w:eastAsia="仿宋" w:cs="Times New Roman"/>
                <w:i w:val="0"/>
                <w:color w:val="000000"/>
                <w:sz w:val="22"/>
                <w:szCs w:val="22"/>
                <w:u w:val="none"/>
              </w:rPr>
            </w:pPr>
          </w:p>
        </w:tc>
        <w:tc>
          <w:tcPr>
            <w:tcW w:w="905"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eastAsia="仿宋" w:cs="Times New Roman"/>
                <w:i w:val="0"/>
                <w:color w:val="000000"/>
                <w:sz w:val="22"/>
                <w:szCs w:val="22"/>
                <w:u w:val="none"/>
              </w:rPr>
            </w:pPr>
          </w:p>
        </w:tc>
        <w:tc>
          <w:tcPr>
            <w:tcW w:w="1027"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Times New Roman" w:hAnsi="Times New Roman" w:eastAsia="仿宋" w:cs="Times New Roman"/>
                <w:i w:val="0"/>
                <w:color w:val="000000"/>
                <w:sz w:val="22"/>
                <w:szCs w:val="22"/>
                <w:u w:val="none"/>
              </w:rPr>
            </w:pPr>
          </w:p>
        </w:tc>
        <w:tc>
          <w:tcPr>
            <w:tcW w:w="927"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Times New Roman" w:hAnsi="Times New Roman" w:eastAsia="仿宋" w:cs="Times New Roman"/>
                <w:i w:val="0"/>
                <w:color w:val="000000"/>
                <w:sz w:val="22"/>
                <w:szCs w:val="22"/>
                <w:u w:val="none"/>
              </w:rPr>
            </w:pPr>
          </w:p>
        </w:tc>
        <w:tc>
          <w:tcPr>
            <w:tcW w:w="2627"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eastAsia="仿宋" w:cs="Times New Roman"/>
                <w:i w:val="0"/>
                <w:color w:val="000000"/>
                <w:sz w:val="22"/>
                <w:szCs w:val="22"/>
                <w:u w:val="none"/>
              </w:rPr>
            </w:pPr>
          </w:p>
        </w:tc>
        <w:tc>
          <w:tcPr>
            <w:tcW w:w="85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Times New Roman" w:hAnsi="Times New Roman" w:eastAsia="仿宋" w:cs="Times New Roman"/>
                <w:i w:val="0"/>
                <w:color w:val="000000"/>
                <w:sz w:val="22"/>
                <w:szCs w:val="22"/>
                <w:u w:val="none"/>
              </w:rPr>
            </w:pPr>
          </w:p>
        </w:tc>
        <w:tc>
          <w:tcPr>
            <w:tcW w:w="864"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Times New Roman" w:hAnsi="Times New Roman" w:eastAsia="仿宋" w:cs="Times New Roman"/>
                <w:i w:val="0"/>
                <w:color w:val="000000"/>
                <w:sz w:val="22"/>
                <w:szCs w:val="22"/>
                <w:u w:val="none"/>
              </w:rPr>
            </w:pPr>
          </w:p>
        </w:tc>
        <w:tc>
          <w:tcPr>
            <w:tcW w:w="94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Times New Roman" w:hAnsi="Times New Roman" w:eastAsia="仿宋" w:cs="Times New Roman"/>
                <w:i w:val="0"/>
                <w:color w:val="000000"/>
                <w:sz w:val="22"/>
                <w:szCs w:val="22"/>
                <w:u w:val="none"/>
              </w:rPr>
            </w:pPr>
          </w:p>
        </w:tc>
        <w:tc>
          <w:tcPr>
            <w:tcW w:w="2391"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default" w:ascii="Times New Roman" w:hAnsi="Times New Roman" w:eastAsia="仿宋"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8" w:hRule="atLeast"/>
        </w:trPr>
        <w:tc>
          <w:tcPr>
            <w:tcW w:w="15682" w:type="dxa"/>
            <w:gridSpan w:val="12"/>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方正小标宋简体" w:cs="Times New Roman"/>
                <w:i w:val="0"/>
                <w:color w:val="000000"/>
                <w:sz w:val="36"/>
                <w:szCs w:val="36"/>
                <w:u w:val="none"/>
              </w:rPr>
            </w:pPr>
            <w:r>
              <w:rPr>
                <w:rFonts w:hint="eastAsia" w:eastAsia="方正小标宋简体" w:cs="Times New Roman"/>
                <w:i w:val="0"/>
                <w:color w:val="000000"/>
                <w:kern w:val="0"/>
                <w:sz w:val="36"/>
                <w:szCs w:val="36"/>
                <w:u w:val="none"/>
                <w:lang w:val="en-US" w:eastAsia="zh-CN" w:bidi="ar"/>
              </w:rPr>
              <w:t>陆河县</w:t>
            </w:r>
            <w:r>
              <w:rPr>
                <w:rFonts w:hint="default" w:ascii="Times New Roman" w:hAnsi="Times New Roman" w:eastAsia="方正小标宋简体" w:cs="Times New Roman"/>
                <w:i w:val="0"/>
                <w:color w:val="000000"/>
                <w:kern w:val="0"/>
                <w:sz w:val="36"/>
                <w:szCs w:val="36"/>
                <w:u w:val="none"/>
                <w:lang w:val="en-US" w:eastAsia="zh-CN" w:bidi="ar"/>
              </w:rPr>
              <w:t>2023</w:t>
            </w:r>
            <w:r>
              <w:rPr>
                <w:rFonts w:hint="eastAsia" w:eastAsia="方正小标宋简体" w:cs="Times New Roman"/>
                <w:i w:val="0"/>
                <w:color w:val="000000"/>
                <w:kern w:val="0"/>
                <w:sz w:val="36"/>
                <w:szCs w:val="36"/>
                <w:u w:val="none"/>
                <w:lang w:val="en-US" w:eastAsia="zh-CN" w:bidi="ar"/>
              </w:rPr>
              <w:t>—</w:t>
            </w:r>
            <w:r>
              <w:rPr>
                <w:rFonts w:hint="default" w:ascii="Times New Roman" w:hAnsi="Times New Roman" w:eastAsia="方正小标宋简体" w:cs="Times New Roman"/>
                <w:i w:val="0"/>
                <w:color w:val="000000"/>
                <w:kern w:val="0"/>
                <w:sz w:val="36"/>
                <w:szCs w:val="36"/>
                <w:u w:val="none"/>
                <w:lang w:val="en-US" w:eastAsia="zh-CN" w:bidi="ar"/>
              </w:rPr>
              <w:t>2025年幼儿园公办学位建设项目计划表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2" w:hRule="atLeast"/>
        </w:trPr>
        <w:tc>
          <w:tcPr>
            <w:tcW w:w="73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序号</w:t>
            </w:r>
          </w:p>
        </w:tc>
        <w:tc>
          <w:tcPr>
            <w:tcW w:w="119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区域</w:t>
            </w:r>
          </w:p>
        </w:tc>
        <w:tc>
          <w:tcPr>
            <w:tcW w:w="14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项目名称</w:t>
            </w:r>
          </w:p>
        </w:tc>
        <w:tc>
          <w:tcPr>
            <w:tcW w:w="172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学位建设途径（新建、改扩建、回收回购、扩班增容或推动已完工项目开园办学等）</w:t>
            </w:r>
          </w:p>
        </w:tc>
        <w:tc>
          <w:tcPr>
            <w:tcW w:w="9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选址</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办园规模（班数）</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可增加学位数（个）</w:t>
            </w:r>
          </w:p>
        </w:tc>
        <w:tc>
          <w:tcPr>
            <w:tcW w:w="26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主要建设内容及规模</w:t>
            </w:r>
          </w:p>
        </w:tc>
        <w:tc>
          <w:tcPr>
            <w:tcW w:w="8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计划总投入（万元）</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建设年度</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预计投入使用时间</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i w:val="0"/>
                <w:color w:val="auto"/>
                <w:sz w:val="24"/>
                <w:szCs w:val="24"/>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b/>
                <w:i w:val="0"/>
                <w:color w:val="auto"/>
                <w:kern w:val="0"/>
                <w:sz w:val="24"/>
                <w:szCs w:val="24"/>
                <w:u w:val="none"/>
                <w:lang w:val="en-US" w:eastAsia="zh-CN" w:bidi="ar"/>
              </w:rPr>
              <w:t>陆河县</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i w:val="0"/>
                <w:color w:val="auto"/>
                <w:sz w:val="24"/>
                <w:szCs w:val="24"/>
                <w:u w:val="none"/>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i w:val="0"/>
                <w:color w:val="auto"/>
                <w:sz w:val="24"/>
                <w:szCs w:val="24"/>
                <w:u w:val="none"/>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i w:val="0"/>
                <w:color w:val="auto"/>
                <w:kern w:val="0"/>
                <w:sz w:val="24"/>
                <w:szCs w:val="24"/>
                <w:u w:val="none"/>
                <w:lang w:val="en-US" w:eastAsia="zh-CN" w:bidi="ar"/>
              </w:rPr>
              <w:t>2760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15000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i w:val="0"/>
                <w:color w:val="auto"/>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i w:val="0"/>
                <w:color w:val="auto"/>
                <w:sz w:val="24"/>
                <w:szCs w:val="24"/>
                <w:u w:val="none"/>
              </w:rPr>
            </w:pP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当前公办在园生数3655人，到2025年新增2760</w:t>
            </w:r>
            <w:bookmarkStart w:id="2" w:name="_GoBack"/>
            <w:bookmarkEnd w:id="2"/>
            <w:r>
              <w:rPr>
                <w:rFonts w:hint="eastAsia" w:ascii="仿宋_GB2312" w:hAnsi="仿宋_GB2312" w:eastAsia="仿宋_GB2312" w:cs="仿宋_GB2312"/>
                <w:i w:val="0"/>
                <w:color w:val="auto"/>
                <w:kern w:val="0"/>
                <w:sz w:val="24"/>
                <w:szCs w:val="24"/>
                <w:u w:val="none"/>
                <w:lang w:val="en-US" w:eastAsia="zh-CN" w:bidi="ar"/>
              </w:rPr>
              <w:t>公办学位后，陆河公办学位数为6415个，公办园在园生数比例可达到61.87%（在园生总数10369人）。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i w:val="0"/>
                <w:color w:val="auto"/>
                <w:kern w:val="0"/>
                <w:sz w:val="24"/>
                <w:szCs w:val="24"/>
                <w:u w:val="none"/>
                <w:lang w:val="en-US" w:eastAsia="zh-CN" w:bidi="ar"/>
              </w:rPr>
              <w:t>上护镇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陆河县乡镇公立幼儿园建设项目（上护镇中心幼儿园）</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新建</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上护镇护南村高社埔</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i w:val="0"/>
                <w:color w:val="auto"/>
                <w:kern w:val="0"/>
                <w:sz w:val="24"/>
                <w:szCs w:val="24"/>
                <w:u w:val="none"/>
                <w:lang w:val="en-US" w:eastAsia="zh-CN" w:bidi="ar"/>
              </w:rPr>
              <w:t>10</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i w:val="0"/>
                <w:color w:val="auto"/>
                <w:kern w:val="0"/>
                <w:sz w:val="24"/>
                <w:szCs w:val="24"/>
                <w:u w:val="none"/>
                <w:lang w:val="en-US" w:eastAsia="zh-CN" w:bidi="ar"/>
              </w:rPr>
              <w:t>300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建设幼儿活动用房、服务用房和附属用房，总建筑面积1802.5平方米。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1200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5"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i w:val="0"/>
                <w:color w:val="auto"/>
                <w:sz w:val="24"/>
                <w:szCs w:val="24"/>
                <w:u w:val="none"/>
                <w:lang w:val="en-US" w:eastAsia="zh-CN"/>
              </w:rPr>
            </w:pPr>
            <w:r>
              <w:rPr>
                <w:rFonts w:hint="eastAsia" w:ascii="仿宋_GB2312" w:hAnsi="仿宋_GB2312" w:eastAsia="仿宋_GB2312" w:cs="仿宋_GB2312"/>
                <w:i w:val="0"/>
                <w:color w:val="auto"/>
                <w:kern w:val="0"/>
                <w:sz w:val="24"/>
                <w:szCs w:val="24"/>
                <w:u w:val="none"/>
                <w:lang w:val="en-US" w:eastAsia="zh-CN" w:bidi="ar"/>
              </w:rPr>
              <w:t>东坑镇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陆河县乡镇公立幼儿园建设项目（东坑镇中心幼儿园）</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新建</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东坑镇开发区大夫塘</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12</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360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建设幼儿活动用房、服务用房和附属用房，总建筑面积4187.75平方米。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1900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kern w:val="0"/>
                <w:sz w:val="24"/>
                <w:szCs w:val="24"/>
                <w:u w:val="none"/>
                <w:lang w:val="en-US" w:eastAsia="zh-CN" w:bidi="ar"/>
              </w:rPr>
              <w:t>河田镇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陆河县乡镇公立幼儿园建设项目（河田镇中心幼儿园）</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新建</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河田镇宝河路南侧</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i w:val="0"/>
                <w:color w:val="auto"/>
                <w:kern w:val="0"/>
                <w:sz w:val="24"/>
                <w:szCs w:val="24"/>
                <w:u w:val="none"/>
                <w:lang w:val="en-US" w:eastAsia="zh-CN" w:bidi="ar"/>
              </w:rPr>
              <w:t>16</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480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建设幼儿活动用房、服务用房和附属用房，总建筑面积4706.22平方米。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2100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i w:val="0"/>
                <w:color w:val="auto"/>
                <w:kern w:val="0"/>
                <w:sz w:val="24"/>
                <w:szCs w:val="24"/>
                <w:u w:val="none"/>
                <w:lang w:val="en-US" w:eastAsia="zh-CN" w:bidi="ar"/>
              </w:rPr>
              <w:t>螺溪镇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陆河县乡镇公立幼儿园建设项目（螺溪镇中心幼儿园）</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新建</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螺溪镇茶坑桥</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12</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360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建设幼儿活动用房、服务用房和附属用房，总建筑面积4571.55平方米。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1900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5</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新田镇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陆河县乡镇公立幼儿园建设项目（新田镇中心幼儿园）</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新建</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新田镇新田村山塘下</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12</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360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建设幼儿活动用房、服务用房和附属用房，总建筑面积4322.8平方米。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1900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上护镇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陆河县公立幼儿园补短板建设项目（上护镇第二幼儿园）</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新建</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上护镇樟河</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180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建设幼儿活动用房、服务用房和附属用房，总建筑面积2664平方米。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1200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2024</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7</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水唇镇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陆河县公立幼儿园补短板建设项目（仑岭幼儿园）</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新建</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水唇镇仑岭</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180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建设幼儿活动用房、服务用房和附属用房，总建筑面积2664平方米。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1200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2024</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8</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水唇镇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陆河县公立幼儿园补短板建设项目（黄塘幼儿园）</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新建</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水唇镇黄塘</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180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建设幼儿活动用房、服务用房和附属用房，总建筑面积2664平方米。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1200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2024</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9</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河口镇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陆河县公立幼儿园补短板建设项目（麦湖幼儿园）</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新建</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河口镇麦湖</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180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建设幼儿活动用房、服务用房和附属用房，总建筑面积2664平方米。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1200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2025</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10</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水唇镇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陆河县公立幼儿园补短板建设项目（吉龙幼儿园）</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新建</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水唇镇吉龙</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180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建设幼儿活动用房、服务用房和附属用房，总建筑面积2664平方米。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1200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2025</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仿宋_GB2312" w:hAnsi="仿宋_GB2312" w:eastAsia="仿宋_GB2312" w:cs="仿宋_GB2312"/>
                <w:i w:val="0"/>
                <w:color w:val="auto"/>
                <w:sz w:val="24"/>
                <w:szCs w:val="24"/>
                <w:u w:val="none"/>
              </w:rPr>
            </w:pP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br w:type="page"/>
      </w:r>
    </w:p>
    <w:tbl>
      <w:tblPr>
        <w:tblStyle w:val="10"/>
        <w:tblW w:w="15629" w:type="dxa"/>
        <w:tblInd w:w="-9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9"/>
        <w:gridCol w:w="945"/>
        <w:gridCol w:w="2565"/>
        <w:gridCol w:w="1144"/>
        <w:gridCol w:w="1246"/>
        <w:gridCol w:w="923"/>
        <w:gridCol w:w="2931"/>
        <w:gridCol w:w="1217"/>
        <w:gridCol w:w="856"/>
        <w:gridCol w:w="30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1" w:hRule="atLeast"/>
        </w:trPr>
        <w:tc>
          <w:tcPr>
            <w:tcW w:w="15629" w:type="dxa"/>
            <w:gridSpan w:val="10"/>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仿宋_GB2312" w:cs="Times New Roman"/>
                <w:i w:val="0"/>
                <w:color w:val="auto"/>
                <w:sz w:val="24"/>
                <w:szCs w:val="24"/>
                <w:u w:val="none"/>
              </w:rPr>
            </w:pPr>
            <w:r>
              <w:rPr>
                <w:rFonts w:hint="eastAsia" w:ascii="黑体" w:hAnsi="黑体" w:eastAsia="黑体" w:cs="黑体"/>
                <w:i w:val="0"/>
                <w:color w:val="auto"/>
                <w:kern w:val="0"/>
                <w:sz w:val="32"/>
                <w:szCs w:val="32"/>
                <w:u w:val="none"/>
                <w:lang w:val="en-US" w:eastAsia="zh-CN" w:bidi="ar"/>
              </w:rPr>
              <w:t>附件1-2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5629" w:type="dxa"/>
            <w:gridSpan w:val="10"/>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color w:val="auto"/>
                <w:sz w:val="24"/>
                <w:szCs w:val="24"/>
                <w:u w:val="none"/>
              </w:rPr>
            </w:pPr>
            <w:r>
              <w:rPr>
                <w:rFonts w:hint="eastAsia" w:ascii="方正小标宋简体" w:hAnsi="方正小标宋简体" w:eastAsia="方正小标宋简体" w:cs="方正小标宋简体"/>
                <w:i w:val="0"/>
                <w:color w:val="auto"/>
                <w:kern w:val="0"/>
                <w:sz w:val="44"/>
                <w:szCs w:val="44"/>
                <w:u w:val="none"/>
                <w:lang w:val="en-US" w:eastAsia="zh-CN" w:bidi="ar"/>
              </w:rPr>
              <w:t>陆河县2023—2025年义务教育公办学位建设项目计划表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序号</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区域</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项目名称</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建设性质</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选址</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办学规模（学位）</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主要建设内容及规模</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计划总投入（万元）</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建设年度</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val="0"/>
                <w:bCs/>
                <w:i w:val="0"/>
                <w:color w:val="auto"/>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陆河县</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left"/>
              <w:rPr>
                <w:rFonts w:hint="eastAsia" w:ascii="仿宋_GB2312" w:hAnsi="仿宋_GB2312" w:eastAsia="仿宋_GB2312" w:cs="仿宋_GB2312"/>
                <w:b w:val="0"/>
                <w:bCs/>
                <w:i w:val="0"/>
                <w:color w:val="auto"/>
                <w:sz w:val="24"/>
                <w:szCs w:val="24"/>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val="0"/>
                <w:bCs/>
                <w:i w:val="0"/>
                <w:color w:val="auto"/>
                <w:sz w:val="24"/>
                <w:szCs w:val="24"/>
                <w:u w:val="none"/>
              </w:rPr>
            </w:pP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val="0"/>
                <w:bCs/>
                <w:i w:val="0"/>
                <w:color w:val="auto"/>
                <w:sz w:val="24"/>
                <w:szCs w:val="24"/>
                <w:u w:val="none"/>
              </w:rPr>
            </w:pP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rPr>
            </w:pPr>
            <w:r>
              <w:rPr>
                <w:rFonts w:hint="eastAsia" w:ascii="仿宋_GB2312" w:hAnsi="仿宋_GB2312" w:eastAsia="仿宋_GB2312" w:cs="仿宋_GB2312"/>
                <w:b w:val="0"/>
                <w:bCs/>
                <w:i w:val="0"/>
                <w:color w:val="auto"/>
                <w:kern w:val="0"/>
                <w:sz w:val="24"/>
                <w:szCs w:val="24"/>
                <w:u w:val="none"/>
                <w:lang w:val="en-US" w:eastAsia="zh-CN" w:bidi="ar"/>
              </w:rPr>
              <w:t>16320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left"/>
              <w:rPr>
                <w:rFonts w:hint="eastAsia" w:ascii="仿宋_GB2312" w:hAnsi="仿宋_GB2312" w:eastAsia="仿宋_GB2312" w:cs="仿宋_GB2312"/>
                <w:b w:val="0"/>
                <w:bCs/>
                <w:i w:val="0"/>
                <w:color w:val="auto"/>
                <w:sz w:val="24"/>
                <w:szCs w:val="24"/>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rPr>
            </w:pPr>
            <w:r>
              <w:rPr>
                <w:rFonts w:hint="eastAsia" w:ascii="仿宋_GB2312" w:hAnsi="仿宋_GB2312" w:eastAsia="仿宋_GB2312" w:cs="仿宋_GB2312"/>
                <w:b w:val="0"/>
                <w:bCs/>
                <w:i w:val="0"/>
                <w:color w:val="auto"/>
                <w:kern w:val="0"/>
                <w:sz w:val="24"/>
                <w:szCs w:val="24"/>
                <w:u w:val="none"/>
                <w:lang w:val="en-US" w:eastAsia="zh-CN" w:bidi="ar"/>
              </w:rPr>
              <w:t>52170</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val="0"/>
                <w:bCs/>
                <w:i w:val="0"/>
                <w:color w:val="auto"/>
                <w:sz w:val="24"/>
                <w:szCs w:val="24"/>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陆河县义务教育公办在校生数36818人，到2025年新增6720公办学位后，陆河公办学位数为43538个，义务教育公办在校生数比例可达到95%以上（义务教育在校生总数38752人）。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1</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河口镇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河口镇昂塘小学重建教学楼及配套设施工程</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河口镇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昂塘小学</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270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在原址新建一幢占地面积734.86㎡、建筑面积2506.8㎡的四层教学楼，以及新建大门、围墙等配套设施。</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600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2023</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河口镇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河口镇河口屯小学新建教学</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楼工程</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河口镇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河口屯小学</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540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在原址新建一幢占地面积485.66㎡、</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建筑总面积1906.64㎡的四层教学楼，以及室外安装配套工程。</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500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2023</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3</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县城</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陆河县第三中学（实验中学迁建）新建项目</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新建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河田镇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九丫塘</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2400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项目总用地40727㎡，总建筑面积47685㎡。项目分两期建设，一期建设内容为2栋教学楼、1栋体育馆、1栋阶梯教室、1栋综合楼、校门等项目；二期建设内容为2栋学生宿舍楼、1栋人才公寓、2栋综合楼、运动场等项目。</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25000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2023</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4</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上护镇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樟河中学新建教学楼项目</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上护镇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樟河中学</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600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新建一栋四层教学楼，占地面积约490㎡，建筑总面积约1960㎡。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550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2023</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螺溪镇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螺溪镇新良小学教学楼建设项目</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螺溪镇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新良小学</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540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拆除危楼两栋，在原址上新建一栋四层教学楼，占地面积约470㎡，建筑总面积约1968㎡。</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520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2024</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6</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河田镇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河田镇宝山希望小学改扩建工程（二期）及配套附属工程建设</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河田镇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宝山村委</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1620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新建一栋约3300平方米的艺术综合楼；建设校道及宝山希望小学校门口连接市政道路；完善校园文化及其他配套设施项目。</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rPr>
            </w:pPr>
            <w:r>
              <w:rPr>
                <w:rFonts w:hint="eastAsia" w:ascii="仿宋_GB2312" w:hAnsi="仿宋_GB2312" w:eastAsia="仿宋_GB2312" w:cs="仿宋_GB2312"/>
                <w:b w:val="0"/>
                <w:bCs/>
                <w:i w:val="0"/>
                <w:color w:val="auto"/>
                <w:kern w:val="0"/>
                <w:sz w:val="24"/>
                <w:szCs w:val="24"/>
                <w:u w:val="none"/>
                <w:lang w:val="en-US" w:eastAsia="zh-CN" w:bidi="ar"/>
              </w:rPr>
              <w:t>1000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2024</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7</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河田镇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陆河县县城小学建设项目（砂坑小学新建）</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新建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河田镇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砂坑村委</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1620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占地面积16000㎡，校舍总建筑面积11664㎡。</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4500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2024</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8</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河田镇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陆河县县城小学建设项目（城南小学迁建）</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新建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河田镇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城南社区</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1350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占地面积12000㎡，校舍总建筑面积9720㎡。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4000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2024</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9</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河田镇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陆河县县城小学建设项目（河东小学改扩建）</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河田镇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河东村委</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2160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占地面积18000㎡，改扩建后总建筑面积9300㎡。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3800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2024</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螺溪镇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陆河县教育系统补短板建设项目（螺溪中学）</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螺溪镇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螺溪中学</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900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新建学生宿舍、食堂7800㎡、新建校门（含门卫室）100㎡、新建围墙400m。</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2300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2025</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11</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水唇镇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陆河县教育系统补短板建设项目（水唇中学）</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水唇镇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水唇中学</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1050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新建学生宿舍、食堂8000㎡、新建校门（含门卫室）100㎡、新建围墙500m、室外混凝土地坪3000㎡。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2400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2025</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12</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rPr>
            </w:pPr>
            <w:r>
              <w:rPr>
                <w:rFonts w:hint="eastAsia" w:ascii="仿宋_GB2312" w:hAnsi="仿宋_GB2312" w:eastAsia="仿宋_GB2312" w:cs="仿宋_GB2312"/>
                <w:b w:val="0"/>
                <w:bCs/>
                <w:i w:val="0"/>
                <w:color w:val="auto"/>
                <w:kern w:val="0"/>
                <w:sz w:val="24"/>
                <w:szCs w:val="24"/>
                <w:u w:val="none"/>
                <w:lang w:val="en-US" w:eastAsia="zh-CN" w:bidi="ar"/>
              </w:rPr>
              <w:t>河口镇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陆河县教育系统补短板建设项目（河口中学）</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河口镇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河口中学</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1200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新建学生宿舍、食堂7700㎡及附属工程。</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2600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2025</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13</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rPr>
            </w:pPr>
            <w:r>
              <w:rPr>
                <w:rFonts w:hint="eastAsia" w:ascii="仿宋_GB2312" w:hAnsi="仿宋_GB2312" w:eastAsia="仿宋_GB2312" w:cs="仿宋_GB2312"/>
                <w:b w:val="0"/>
                <w:bCs/>
                <w:i w:val="0"/>
                <w:color w:val="auto"/>
                <w:kern w:val="0"/>
                <w:sz w:val="24"/>
                <w:szCs w:val="24"/>
                <w:u w:val="none"/>
                <w:lang w:val="en-US" w:eastAsia="zh-CN" w:bidi="ar"/>
              </w:rPr>
              <w:t>新田镇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陆河县教育系统补短板建设项目（新田中学）</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新田镇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新田中学</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1200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新建学生宿舍、食堂11470㎡、挡土墙长180m。</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2500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2025</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14</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上护镇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陆河县教育系统补短板建设项目（上护中学）</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上护镇</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上护中学</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600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新建学生宿舍、食堂3520㎡、新建围墙400m、土方工程10万元、挡土墙400m以及教学楼修缮。</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1400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2025</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rPr>
            </w:pPr>
            <w:r>
              <w:rPr>
                <w:rFonts w:hint="eastAsia" w:ascii="仿宋_GB2312" w:hAnsi="仿宋_GB2312" w:eastAsia="仿宋_GB2312" w:cs="仿宋_GB2312"/>
                <w:b w:val="0"/>
                <w:bCs/>
                <w:i w:val="0"/>
                <w:color w:val="auto"/>
                <w:kern w:val="0"/>
                <w:sz w:val="24"/>
                <w:szCs w:val="24"/>
                <w:u w:val="none"/>
                <w:lang w:val="en-US" w:eastAsia="zh-CN" w:bidi="ar"/>
              </w:rPr>
              <w:t>15</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河田镇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河田镇河北小学教学楼建设项目</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改扩建</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河田镇</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sz w:val="24"/>
                <w:szCs w:val="24"/>
                <w:u w:val="none"/>
                <w:lang w:eastAsia="zh-CN"/>
              </w:rPr>
              <w:t>河北小学</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rPr>
            </w:pPr>
            <w:r>
              <w:rPr>
                <w:rFonts w:hint="eastAsia" w:ascii="仿宋_GB2312" w:hAnsi="仿宋_GB2312" w:eastAsia="仿宋_GB2312" w:cs="仿宋_GB2312"/>
                <w:b w:val="0"/>
                <w:bCs/>
                <w:i w:val="0"/>
                <w:color w:val="auto"/>
                <w:kern w:val="0"/>
                <w:sz w:val="24"/>
                <w:szCs w:val="24"/>
                <w:u w:val="none"/>
                <w:lang w:val="en-US" w:eastAsia="zh-CN" w:bidi="ar"/>
              </w:rPr>
              <w:t>270</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新建一栋四层教学楼，占地面积约450㎡，建筑总面积约1800㎡。</w:t>
            </w:r>
          </w:p>
        </w:tc>
        <w:tc>
          <w:tcPr>
            <w:tcW w:w="1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lang w:val="en-US"/>
              </w:rPr>
            </w:pPr>
            <w:r>
              <w:rPr>
                <w:rFonts w:hint="eastAsia" w:ascii="仿宋_GB2312" w:hAnsi="仿宋_GB2312" w:eastAsia="仿宋_GB2312" w:cs="仿宋_GB2312"/>
                <w:b w:val="0"/>
                <w:bCs/>
                <w:i w:val="0"/>
                <w:color w:val="auto"/>
                <w:kern w:val="0"/>
                <w:sz w:val="24"/>
                <w:szCs w:val="24"/>
                <w:u w:val="none"/>
                <w:lang w:val="en-US" w:eastAsia="zh-CN" w:bidi="ar"/>
              </w:rPr>
              <w:t>500</w:t>
            </w:r>
          </w:p>
        </w:tc>
        <w:tc>
          <w:tcPr>
            <w:tcW w:w="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2025</w:t>
            </w:r>
          </w:p>
        </w:tc>
        <w:tc>
          <w:tcPr>
            <w:tcW w:w="3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rPr>
                <w:rFonts w:hint="eastAsia" w:ascii="仿宋_GB2312" w:hAnsi="仿宋_GB2312" w:eastAsia="仿宋_GB2312" w:cs="仿宋_GB2312"/>
                <w:b w:val="0"/>
                <w:bCs/>
                <w:i w:val="0"/>
                <w:color w:val="auto"/>
                <w:sz w:val="24"/>
                <w:szCs w:val="24"/>
                <w:u w:val="none"/>
              </w:rPr>
            </w:pP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br w:type="page"/>
      </w:r>
    </w:p>
    <w:tbl>
      <w:tblPr>
        <w:tblStyle w:val="10"/>
        <w:tblW w:w="15437" w:type="dxa"/>
        <w:tblInd w:w="-9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4"/>
        <w:gridCol w:w="3967"/>
        <w:gridCol w:w="1490"/>
        <w:gridCol w:w="1381"/>
        <w:gridCol w:w="1325"/>
        <w:gridCol w:w="1215"/>
        <w:gridCol w:w="1087"/>
        <w:gridCol w:w="1694"/>
        <w:gridCol w:w="22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951" w:type="dxa"/>
            <w:gridSpan w:val="2"/>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rPr>
                <w:rFonts w:hint="default" w:ascii="Times New Roman" w:hAnsi="Times New Roman" w:eastAsia="仿宋_GB2312" w:cs="Times New Roman"/>
                <w:i w:val="0"/>
                <w:color w:val="auto"/>
                <w:sz w:val="24"/>
                <w:szCs w:val="24"/>
                <w:u w:val="none"/>
              </w:rPr>
            </w:pPr>
            <w:r>
              <w:rPr>
                <w:rFonts w:hint="eastAsia" w:ascii="黑体" w:hAnsi="黑体" w:eastAsia="黑体" w:cs="黑体"/>
                <w:i w:val="0"/>
                <w:color w:val="auto"/>
                <w:kern w:val="0"/>
                <w:sz w:val="32"/>
                <w:szCs w:val="32"/>
                <w:u w:val="none"/>
                <w:lang w:val="en-US" w:eastAsia="zh-CN" w:bidi="ar"/>
              </w:rPr>
              <w:t>附件1-3</w:t>
            </w:r>
          </w:p>
        </w:tc>
        <w:tc>
          <w:tcPr>
            <w:tcW w:w="1490" w:type="dxa"/>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Pr>
                <w:rFonts w:hint="default" w:ascii="Times New Roman" w:hAnsi="Times New Roman" w:eastAsia="仿宋_GB2312" w:cs="Times New Roman"/>
                <w:i w:val="0"/>
                <w:color w:val="auto"/>
                <w:sz w:val="24"/>
                <w:szCs w:val="24"/>
                <w:u w:val="none"/>
              </w:rPr>
            </w:pPr>
          </w:p>
        </w:tc>
        <w:tc>
          <w:tcPr>
            <w:tcW w:w="1381" w:type="dxa"/>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Pr>
                <w:rFonts w:hint="default" w:ascii="Times New Roman" w:hAnsi="Times New Roman" w:eastAsia="仿宋_GB2312" w:cs="Times New Roman"/>
                <w:i w:val="0"/>
                <w:color w:val="auto"/>
                <w:sz w:val="24"/>
                <w:szCs w:val="24"/>
                <w:u w:val="none"/>
              </w:rPr>
            </w:pPr>
          </w:p>
        </w:tc>
        <w:tc>
          <w:tcPr>
            <w:tcW w:w="1325" w:type="dxa"/>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Pr>
                <w:rFonts w:hint="default" w:ascii="Times New Roman" w:hAnsi="Times New Roman" w:eastAsia="仿宋_GB2312" w:cs="Times New Roman"/>
                <w:i w:val="0"/>
                <w:color w:val="auto"/>
                <w:sz w:val="24"/>
                <w:szCs w:val="24"/>
                <w:u w:val="none"/>
              </w:rPr>
            </w:pPr>
          </w:p>
        </w:tc>
        <w:tc>
          <w:tcPr>
            <w:tcW w:w="1215" w:type="dxa"/>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Pr>
                <w:rFonts w:hint="default" w:ascii="Times New Roman" w:hAnsi="Times New Roman" w:eastAsia="仿宋_GB2312" w:cs="Times New Roman"/>
                <w:i w:val="0"/>
                <w:color w:val="auto"/>
                <w:sz w:val="24"/>
                <w:szCs w:val="24"/>
                <w:u w:val="none"/>
              </w:rPr>
            </w:pPr>
          </w:p>
        </w:tc>
        <w:tc>
          <w:tcPr>
            <w:tcW w:w="1087" w:type="dxa"/>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Pr>
                <w:rFonts w:hint="default" w:ascii="Times New Roman" w:hAnsi="Times New Roman" w:eastAsia="仿宋_GB2312" w:cs="Times New Roman"/>
                <w:i w:val="0"/>
                <w:color w:val="auto"/>
                <w:sz w:val="24"/>
                <w:szCs w:val="24"/>
                <w:u w:val="none"/>
              </w:rPr>
            </w:pPr>
          </w:p>
        </w:tc>
        <w:tc>
          <w:tcPr>
            <w:tcW w:w="1694" w:type="dxa"/>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Pr>
                <w:rFonts w:hint="default" w:ascii="Times New Roman" w:hAnsi="Times New Roman" w:eastAsia="仿宋_GB2312" w:cs="Times New Roman"/>
                <w:i w:val="0"/>
                <w:color w:val="auto"/>
                <w:sz w:val="24"/>
                <w:szCs w:val="24"/>
                <w:u w:val="none"/>
              </w:rPr>
            </w:pPr>
          </w:p>
        </w:tc>
        <w:tc>
          <w:tcPr>
            <w:tcW w:w="2294" w:type="dxa"/>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Pr>
                <w:rFonts w:hint="default" w:ascii="Times New Roman" w:hAnsi="Times New Roman" w:eastAsia="仿宋_GB2312" w:cs="Times New Roman"/>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6" w:hRule="atLeast"/>
        </w:trPr>
        <w:tc>
          <w:tcPr>
            <w:tcW w:w="15437" w:type="dxa"/>
            <w:gridSpan w:val="9"/>
            <w:tcBorders>
              <w:top w:val="nil"/>
              <w:left w:val="nil"/>
              <w:bottom w:val="nil"/>
              <w:right w:val="nil"/>
            </w:tcBorders>
            <w:shd w:val="clear" w:color="auto" w:fill="auto"/>
            <w:noWrap/>
            <w:vAlign w:val="center"/>
          </w:tcPr>
          <w:p>
            <w:pPr>
              <w:keepNext w:val="0"/>
              <w:keepLines w:val="0"/>
              <w:pageBreakBefore w:val="0"/>
              <w:widowControl w:val="0"/>
              <w:tabs>
                <w:tab w:val="left" w:pos="4437"/>
              </w:tabs>
              <w:kinsoku/>
              <w:wordWrap/>
              <w:overflowPunct/>
              <w:topLinePunct w:val="0"/>
              <w:autoSpaceDE/>
              <w:autoSpaceDN/>
              <w:bidi w:val="0"/>
              <w:adjustRightInd/>
              <w:snapToGrid/>
              <w:spacing w:line="560" w:lineRule="exact"/>
              <w:ind w:left="0" w:leftChars="0"/>
              <w:jc w:val="center"/>
              <w:rPr>
                <w:rFonts w:hint="eastAsia" w:ascii="Times New Roman" w:hAnsi="Times New Roman" w:eastAsia="仿宋_GB2312" w:cs="Times New Roman"/>
                <w:i w:val="0"/>
                <w:color w:val="auto"/>
                <w:sz w:val="24"/>
                <w:szCs w:val="24"/>
                <w:u w:val="none"/>
                <w:lang w:eastAsia="zh-CN"/>
              </w:rPr>
            </w:pPr>
            <w:r>
              <w:rPr>
                <w:rFonts w:hint="eastAsia" w:ascii="方正小标宋简体" w:hAnsi="方正小标宋简体" w:eastAsia="方正小标宋简体" w:cs="方正小标宋简体"/>
                <w:i w:val="0"/>
                <w:color w:val="auto"/>
                <w:kern w:val="0"/>
                <w:sz w:val="44"/>
                <w:szCs w:val="44"/>
                <w:u w:val="none"/>
                <w:lang w:val="en-US" w:eastAsia="zh-CN" w:bidi="ar"/>
              </w:rPr>
              <w:t>陆河县2023—2025年教育信息化建设项目计划表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84"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序号</w:t>
            </w:r>
          </w:p>
        </w:tc>
        <w:tc>
          <w:tcPr>
            <w:tcW w:w="396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目标任务</w:t>
            </w:r>
          </w:p>
        </w:tc>
        <w:tc>
          <w:tcPr>
            <w:tcW w:w="149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现达标率</w:t>
            </w:r>
          </w:p>
        </w:tc>
        <w:tc>
          <w:tcPr>
            <w:tcW w:w="392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三年分步建设任务完成比率</w:t>
            </w:r>
          </w:p>
        </w:tc>
        <w:tc>
          <w:tcPr>
            <w:tcW w:w="10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计划总投入（万元）</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经费渠道</w:t>
            </w:r>
          </w:p>
        </w:tc>
        <w:tc>
          <w:tcPr>
            <w:tcW w:w="229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4" w:hRule="atLeast"/>
        </w:trPr>
        <w:tc>
          <w:tcPr>
            <w:tcW w:w="984"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default" w:ascii="Times New Roman" w:hAnsi="Times New Roman" w:eastAsia="仿宋_GB2312" w:cs="Times New Roman"/>
                <w:i w:val="0"/>
                <w:color w:val="auto"/>
                <w:sz w:val="24"/>
                <w:szCs w:val="24"/>
                <w:u w:val="none"/>
              </w:rPr>
            </w:pPr>
          </w:p>
        </w:tc>
        <w:tc>
          <w:tcPr>
            <w:tcW w:w="39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default" w:ascii="Times New Roman" w:hAnsi="Times New Roman" w:eastAsia="仿宋_GB2312" w:cs="Times New Roman"/>
                <w:i w:val="0"/>
                <w:color w:val="auto"/>
                <w:sz w:val="24"/>
                <w:szCs w:val="24"/>
                <w:u w:val="none"/>
              </w:rPr>
            </w:pPr>
          </w:p>
        </w:tc>
        <w:tc>
          <w:tcPr>
            <w:tcW w:w="149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default" w:ascii="Times New Roman" w:hAnsi="Times New Roman" w:eastAsia="仿宋_GB2312" w:cs="Times New Roman"/>
                <w:i w:val="0"/>
                <w:color w:val="auto"/>
                <w:sz w:val="24"/>
                <w:szCs w:val="24"/>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2023年</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2024年</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bidi="ar"/>
              </w:rPr>
              <w:t>2025年</w:t>
            </w:r>
          </w:p>
        </w:tc>
        <w:tc>
          <w:tcPr>
            <w:tcW w:w="10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default" w:ascii="Times New Roman" w:hAnsi="Times New Roman" w:eastAsia="仿宋_GB2312" w:cs="Times New Roman"/>
                <w:i w:val="0"/>
                <w:color w:val="auto"/>
                <w:sz w:val="24"/>
                <w:szCs w:val="24"/>
                <w:u w:val="none"/>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default" w:ascii="Times New Roman" w:hAnsi="Times New Roman" w:eastAsia="仿宋_GB2312" w:cs="Times New Roman"/>
                <w:i w:val="0"/>
                <w:color w:val="auto"/>
                <w:sz w:val="24"/>
                <w:szCs w:val="24"/>
                <w:u w:val="none"/>
              </w:rPr>
            </w:pPr>
          </w:p>
        </w:tc>
        <w:tc>
          <w:tcPr>
            <w:tcW w:w="229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default" w:ascii="Times New Roman" w:hAnsi="Times New Roman" w:eastAsia="仿宋_GB2312" w:cs="Times New Roman"/>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w:t>
            </w:r>
          </w:p>
        </w:tc>
        <w:tc>
          <w:tcPr>
            <w:tcW w:w="39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中小学组建校园网覆盖率100%，满足日常办公和教学需求，所有课室均能接入互联网。</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100%</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w:t>
            </w:r>
          </w:p>
        </w:tc>
        <w:tc>
          <w:tcPr>
            <w:tcW w:w="1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w:t>
            </w:r>
          </w:p>
        </w:tc>
        <w:tc>
          <w:tcPr>
            <w:tcW w:w="22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3" w:hRule="atLeast"/>
        </w:trPr>
        <w:tc>
          <w:tcPr>
            <w:tcW w:w="98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2</w:t>
            </w:r>
          </w:p>
        </w:tc>
        <w:tc>
          <w:tcPr>
            <w:tcW w:w="396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中小学教学课室多媒体平台覆盖率100%</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84%</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sz w:val="24"/>
                <w:szCs w:val="24"/>
                <w:u w:val="none"/>
                <w:lang w:val="en-US" w:eastAsia="zh-CN"/>
              </w:rPr>
              <w:t>92</w:t>
            </w:r>
            <w:r>
              <w:rPr>
                <w:rFonts w:hint="eastAsia" w:ascii="仿宋_GB2312" w:hAnsi="仿宋_GB2312" w:eastAsia="仿宋_GB2312" w:cs="仿宋_GB2312"/>
                <w:i w:val="0"/>
                <w:color w:val="auto"/>
                <w:kern w:val="0"/>
                <w:sz w:val="24"/>
                <w:szCs w:val="24"/>
                <w:u w:val="none"/>
                <w:lang w:val="en-US" w:eastAsia="zh-CN" w:bidi="ar"/>
              </w:rPr>
              <w:t>%</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100%</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sz w:val="24"/>
                <w:szCs w:val="24"/>
                <w:u w:val="none"/>
                <w:lang w:val="en-US" w:eastAsia="zh-CN"/>
              </w:rPr>
              <w:t>300</w:t>
            </w:r>
          </w:p>
        </w:tc>
        <w:tc>
          <w:tcPr>
            <w:tcW w:w="1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本级资金与上级资金</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3</w:t>
            </w:r>
          </w:p>
        </w:tc>
        <w:tc>
          <w:tcPr>
            <w:tcW w:w="39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中小学教师配备专用计算机（或者手持终端）比例100%</w:t>
            </w:r>
          </w:p>
        </w:tc>
        <w:tc>
          <w:tcPr>
            <w:tcW w:w="149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90%</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95%</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100%</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144</w:t>
            </w:r>
          </w:p>
        </w:tc>
        <w:tc>
          <w:tcPr>
            <w:tcW w:w="1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本级资金与上级资金</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5" w:hRule="atLeast"/>
        </w:trPr>
        <w:tc>
          <w:tcPr>
            <w:tcW w:w="984" w:type="dxa"/>
            <w:tcBorders>
              <w:top w:val="single" w:color="auto" w:sz="4" w:space="0"/>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4</w:t>
            </w:r>
          </w:p>
        </w:tc>
        <w:tc>
          <w:tcPr>
            <w:tcW w:w="396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中小学计算机室建设达标率100%。</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43%</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63%</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83%</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100%</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2850</w:t>
            </w:r>
          </w:p>
        </w:tc>
        <w:tc>
          <w:tcPr>
            <w:tcW w:w="1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本级资金与上级资金</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0" w:hRule="atLeas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5</w:t>
            </w:r>
          </w:p>
        </w:tc>
        <w:tc>
          <w:tcPr>
            <w:tcW w:w="39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创建智慧校园示范校。陆河2023—2025年每年创建不少于2所市级智慧校园示范校。</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33%</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100%</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本级资金与上级资金</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jc w:val="center"/>
              <w:rPr>
                <w:rFonts w:hint="eastAsia" w:ascii="仿宋_GB2312" w:hAnsi="仿宋_GB2312" w:eastAsia="仿宋_GB2312" w:cs="仿宋_GB2312"/>
                <w:i w:val="0"/>
                <w:color w:val="auto"/>
                <w:sz w:val="24"/>
                <w:szCs w:val="24"/>
                <w:u w:val="none"/>
              </w:rPr>
            </w:pP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br w:type="page"/>
      </w:r>
    </w:p>
    <w:tbl>
      <w:tblPr>
        <w:tblStyle w:val="10"/>
        <w:tblW w:w="15320" w:type="dxa"/>
        <w:tblInd w:w="-9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9"/>
        <w:gridCol w:w="945"/>
        <w:gridCol w:w="447"/>
        <w:gridCol w:w="468"/>
        <w:gridCol w:w="512"/>
        <w:gridCol w:w="418"/>
        <w:gridCol w:w="443"/>
        <w:gridCol w:w="412"/>
        <w:gridCol w:w="681"/>
        <w:gridCol w:w="309"/>
        <w:gridCol w:w="514"/>
        <w:gridCol w:w="240"/>
        <w:gridCol w:w="746"/>
        <w:gridCol w:w="1766"/>
        <w:gridCol w:w="499"/>
        <w:gridCol w:w="1377"/>
        <w:gridCol w:w="1173"/>
        <w:gridCol w:w="903"/>
        <w:gridCol w:w="657"/>
        <w:gridCol w:w="327"/>
        <w:gridCol w:w="438"/>
        <w:gridCol w:w="303"/>
        <w:gridCol w:w="312"/>
        <w:gridCol w:w="6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963" w:type="dxa"/>
          <w:trHeight w:val="365" w:hRule="atLeast"/>
        </w:trPr>
        <w:tc>
          <w:tcPr>
            <w:tcW w:w="2171" w:type="dxa"/>
            <w:gridSpan w:val="3"/>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r>
              <w:rPr>
                <w:rFonts w:hint="eastAsia" w:ascii="黑体" w:hAnsi="黑体" w:eastAsia="黑体" w:cs="黑体"/>
                <w:i w:val="0"/>
                <w:color w:val="auto"/>
                <w:kern w:val="0"/>
                <w:sz w:val="32"/>
                <w:szCs w:val="32"/>
                <w:u w:val="none"/>
                <w:lang w:val="en-US" w:eastAsia="zh-CN" w:bidi="ar"/>
              </w:rPr>
              <w:t>附件1-4</w:t>
            </w:r>
          </w:p>
        </w:tc>
        <w:tc>
          <w:tcPr>
            <w:tcW w:w="980" w:type="dxa"/>
            <w:gridSpan w:val="2"/>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861" w:type="dxa"/>
            <w:gridSpan w:val="2"/>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1093" w:type="dxa"/>
            <w:gridSpan w:val="2"/>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823" w:type="dxa"/>
            <w:gridSpan w:val="2"/>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240" w:type="dxa"/>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2512" w:type="dxa"/>
            <w:gridSpan w:val="2"/>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rPr>
                <w:rFonts w:hint="default" w:ascii="Times New Roman" w:hAnsi="Times New Roman" w:eastAsia="仿宋_GB2312" w:cs="Times New Roman"/>
                <w:i w:val="0"/>
                <w:color w:val="auto"/>
                <w:sz w:val="24"/>
                <w:szCs w:val="24"/>
                <w:u w:val="none"/>
              </w:rPr>
            </w:pPr>
          </w:p>
        </w:tc>
        <w:tc>
          <w:tcPr>
            <w:tcW w:w="1876" w:type="dxa"/>
            <w:gridSpan w:val="2"/>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rPr>
                <w:rFonts w:hint="default" w:ascii="Times New Roman" w:hAnsi="Times New Roman" w:eastAsia="仿宋_GB2312" w:cs="Times New Roman"/>
                <w:i w:val="0"/>
                <w:color w:val="auto"/>
                <w:sz w:val="24"/>
                <w:szCs w:val="24"/>
                <w:u w:val="none"/>
              </w:rPr>
            </w:pPr>
          </w:p>
        </w:tc>
        <w:tc>
          <w:tcPr>
            <w:tcW w:w="1173" w:type="dxa"/>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rPr>
                <w:rFonts w:hint="default" w:ascii="Times New Roman" w:hAnsi="Times New Roman" w:eastAsia="仿宋_GB2312" w:cs="Times New Roman"/>
                <w:i w:val="0"/>
                <w:color w:val="auto"/>
                <w:sz w:val="24"/>
                <w:szCs w:val="24"/>
                <w:u w:val="none"/>
              </w:rPr>
            </w:pPr>
          </w:p>
        </w:tc>
        <w:tc>
          <w:tcPr>
            <w:tcW w:w="903" w:type="dxa"/>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rPr>
                <w:rFonts w:hint="default" w:ascii="Times New Roman" w:hAnsi="Times New Roman" w:eastAsia="仿宋_GB2312" w:cs="Times New Roman"/>
                <w:i w:val="0"/>
                <w:color w:val="auto"/>
                <w:sz w:val="24"/>
                <w:szCs w:val="24"/>
                <w:u w:val="none"/>
              </w:rPr>
            </w:pPr>
          </w:p>
        </w:tc>
        <w:tc>
          <w:tcPr>
            <w:tcW w:w="984" w:type="dxa"/>
            <w:gridSpan w:val="2"/>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rPr>
                <w:rFonts w:hint="default" w:ascii="Times New Roman" w:hAnsi="Times New Roman" w:eastAsia="仿宋_GB2312" w:cs="Times New Roman"/>
                <w:i w:val="0"/>
                <w:color w:val="auto"/>
                <w:sz w:val="24"/>
                <w:szCs w:val="24"/>
                <w:u w:val="none"/>
              </w:rPr>
            </w:pPr>
          </w:p>
        </w:tc>
        <w:tc>
          <w:tcPr>
            <w:tcW w:w="741" w:type="dxa"/>
            <w:gridSpan w:val="2"/>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240" w:lineRule="auto"/>
              <w:ind w:left="0" w:leftChars="0"/>
              <w:rPr>
                <w:rFonts w:hint="default" w:ascii="Times New Roman" w:hAnsi="Times New Roman" w:eastAsia="仿宋_GB2312" w:cs="Times New Roman"/>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5320" w:type="dxa"/>
            <w:gridSpan w:val="24"/>
            <w:tcBorders>
              <w:top w:val="nil"/>
              <w:left w:val="nil"/>
              <w:bottom w:val="nil"/>
              <w:right w:val="nil"/>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eastAsia" w:ascii="方正小标宋简体" w:hAnsi="方正小标宋简体" w:eastAsia="方正小标宋简体" w:cs="方正小标宋简体"/>
                <w:i w:val="0"/>
                <w:color w:val="auto"/>
                <w:kern w:val="0"/>
                <w:sz w:val="44"/>
                <w:szCs w:val="44"/>
                <w:u w:val="none"/>
                <w:lang w:val="en-US" w:eastAsia="zh-CN" w:bidi="ar"/>
              </w:rPr>
              <w:t>陆河县2023—2025年中学实验室建设项目计划表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17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学段</w:t>
            </w:r>
          </w:p>
        </w:tc>
        <w:tc>
          <w:tcPr>
            <w:tcW w:w="51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现状</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三年分步建设任务</w:t>
            </w:r>
          </w:p>
        </w:tc>
        <w:tc>
          <w:tcPr>
            <w:tcW w:w="7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总投入（万元）</w:t>
            </w:r>
          </w:p>
        </w:tc>
        <w:tc>
          <w:tcPr>
            <w:tcW w:w="6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经费渠道</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黑体" w:hAnsi="黑体" w:eastAsia="黑体" w:cs="黑体"/>
                <w:b w:val="0"/>
                <w:bCs w:val="0"/>
                <w:i w:val="0"/>
                <w:color w:val="auto"/>
                <w:sz w:val="24"/>
                <w:szCs w:val="24"/>
                <w:u w:val="none"/>
              </w:rPr>
            </w:pP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物理实验室（探究室）</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化学实验室（探究室）</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生物实验室（探究室）</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理化生准备室（实验员室）</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理化生仪器室</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化、生药品室</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2023年</w:t>
            </w:r>
          </w:p>
        </w:tc>
        <w:tc>
          <w:tcPr>
            <w:tcW w:w="2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2024年</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黑体" w:hAnsi="黑体" w:eastAsia="黑体" w:cs="黑体"/>
                <w:b w:val="0"/>
                <w:bCs w:val="0"/>
                <w:i w:val="0"/>
                <w:color w:val="auto"/>
                <w:sz w:val="24"/>
                <w:szCs w:val="24"/>
                <w:u w:val="none"/>
              </w:rPr>
            </w:pPr>
            <w:r>
              <w:rPr>
                <w:rFonts w:hint="eastAsia" w:ascii="黑体" w:hAnsi="黑体" w:eastAsia="黑体" w:cs="黑体"/>
                <w:b w:val="0"/>
                <w:bCs w:val="0"/>
                <w:i w:val="0"/>
                <w:color w:val="auto"/>
                <w:kern w:val="0"/>
                <w:sz w:val="24"/>
                <w:szCs w:val="24"/>
                <w:u w:val="none"/>
                <w:lang w:val="en-US" w:eastAsia="zh-CN" w:bidi="ar"/>
              </w:rPr>
              <w:t>2025年</w:t>
            </w:r>
          </w:p>
        </w:tc>
        <w:tc>
          <w:tcPr>
            <w:tcW w:w="7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6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2"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初中</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现有（间）</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16</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14</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11</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0</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39</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10</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新增物理实验室（探究室）4间、生物实验室（探究室）9间</w:t>
            </w:r>
          </w:p>
        </w:tc>
        <w:tc>
          <w:tcPr>
            <w:tcW w:w="2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新增化学实验室（探究室）6间、化、生药品室（探究室）3间</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新增理化生准备室（实验员室）39间</w:t>
            </w:r>
          </w:p>
        </w:tc>
        <w:tc>
          <w:tcPr>
            <w:tcW w:w="7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316</w:t>
            </w:r>
          </w:p>
        </w:tc>
        <w:tc>
          <w:tcPr>
            <w:tcW w:w="6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缺口</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（间）</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9</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39</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2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7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6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高中</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现有</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（间）</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新增物理实验室（探究室）1间、化学实验室（探究室）1间</w:t>
            </w:r>
          </w:p>
        </w:tc>
        <w:tc>
          <w:tcPr>
            <w:tcW w:w="2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新增生物实验室（探究室）3间、理化生准备室（实验员室）4间</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left"/>
              <w:rPr>
                <w:rFonts w:hint="eastAsia" w:ascii="仿宋_GB2312" w:hAnsi="仿宋_GB2312" w:eastAsia="仿宋_GB2312" w:cs="仿宋_GB2312"/>
                <w:i w:val="0"/>
                <w:color w:val="auto"/>
                <w:sz w:val="24"/>
                <w:szCs w:val="24"/>
                <w:u w:val="none"/>
              </w:rPr>
            </w:pPr>
          </w:p>
        </w:tc>
        <w:tc>
          <w:tcPr>
            <w:tcW w:w="7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62</w:t>
            </w:r>
          </w:p>
        </w:tc>
        <w:tc>
          <w:tcPr>
            <w:tcW w:w="6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缺口</w:t>
            </w:r>
            <w:r>
              <w:rPr>
                <w:rFonts w:hint="default" w:ascii="Times New Roman" w:hAnsi="Times New Roman" w:eastAsia="仿宋_GB2312" w:cs="Times New Roman"/>
                <w:i w:val="0"/>
                <w:color w:val="auto"/>
                <w:kern w:val="0"/>
                <w:sz w:val="24"/>
                <w:szCs w:val="24"/>
                <w:u w:val="none"/>
                <w:lang w:val="en-US" w:eastAsia="zh-CN" w:bidi="ar"/>
              </w:rPr>
              <w:br w:type="textWrapping"/>
            </w:r>
            <w:r>
              <w:rPr>
                <w:rFonts w:hint="default" w:ascii="Times New Roman" w:hAnsi="Times New Roman" w:eastAsia="仿宋_GB2312" w:cs="Times New Roman"/>
                <w:i w:val="0"/>
                <w:color w:val="auto"/>
                <w:kern w:val="0"/>
                <w:sz w:val="24"/>
                <w:szCs w:val="24"/>
                <w:u w:val="none"/>
                <w:lang w:val="en-US" w:eastAsia="zh-CN" w:bidi="ar"/>
              </w:rPr>
              <w:t>（间）</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1</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1</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4</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0</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0</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2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7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6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缺口</w:t>
            </w:r>
            <w:r>
              <w:rPr>
                <w:rFonts w:hint="default" w:ascii="Times New Roman" w:hAnsi="Times New Roman" w:eastAsia="仿宋_GB2312" w:cs="Times New Roman"/>
                <w:i w:val="0"/>
                <w:color w:val="auto"/>
                <w:kern w:val="0"/>
                <w:sz w:val="24"/>
                <w:szCs w:val="24"/>
                <w:u w:val="none"/>
                <w:lang w:val="en-US" w:eastAsia="zh-CN" w:bidi="ar"/>
              </w:rPr>
              <w:br w:type="textWrapping"/>
            </w:r>
            <w:r>
              <w:rPr>
                <w:rFonts w:hint="default" w:ascii="Times New Roman" w:hAnsi="Times New Roman" w:eastAsia="仿宋_GB2312" w:cs="Times New Roman"/>
                <w:i w:val="0"/>
                <w:color w:val="auto"/>
                <w:kern w:val="0"/>
                <w:sz w:val="24"/>
                <w:szCs w:val="24"/>
                <w:u w:val="none"/>
                <w:lang w:val="en-US" w:eastAsia="zh-CN" w:bidi="ar"/>
              </w:rPr>
              <w:t>（间）</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0</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0</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jc w:val="center"/>
              <w:textAlignment w:val="center"/>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0"/>
                <w:sz w:val="24"/>
                <w:szCs w:val="24"/>
                <w:u w:val="none"/>
                <w:lang w:val="en-US" w:eastAsia="zh-CN" w:bidi="ar"/>
              </w:rPr>
              <w:t>0</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2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7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6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default" w:ascii="Times New Roman" w:hAnsi="Times New Roman" w:eastAsia="仿宋_GB2312" w:cs="Times New Roman"/>
                <w:i w:val="0"/>
                <w:color w:val="auto"/>
                <w:sz w:val="24"/>
                <w:szCs w:val="24"/>
                <w:u w:val="none"/>
              </w:rPr>
            </w:pPr>
          </w:p>
        </w:tc>
      </w:tr>
    </w:tbl>
    <w:p>
      <w:pPr>
        <w:pStyle w:val="8"/>
        <w:keepNext w:val="0"/>
        <w:keepLines w:val="0"/>
        <w:pageBreakBefore w:val="0"/>
        <w:widowControl/>
        <w:kinsoku/>
        <w:wordWrap/>
        <w:overflowPunct/>
        <w:topLinePunct w:val="0"/>
        <w:autoSpaceDE/>
        <w:autoSpaceDN/>
        <w:bidi w:val="0"/>
        <w:adjustRightInd/>
        <w:snapToGrid/>
        <w:spacing w:beforeAutospacing="0" w:afterAutospacing="0" w:line="20" w:lineRule="exact"/>
        <w:textAlignment w:val="auto"/>
        <w:rPr>
          <w:rFonts w:ascii="Times New Roman" w:hAnsi="Times New Roman" w:eastAsia="仿宋_GB2312"/>
          <w:sz w:val="32"/>
          <w:szCs w:val="32"/>
        </w:rPr>
      </w:pPr>
    </w:p>
    <w:sectPr>
      <w:footerReference r:id="rId5" w:type="default"/>
      <w:pgSz w:w="16838" w:h="11906" w:orient="landscape"/>
      <w:pgMar w:top="2211" w:right="1531" w:bottom="2098" w:left="1644" w:header="851" w:footer="992" w:gutter="0"/>
      <w:pgNumType w:fmt="decimal" w:start="1"/>
      <w:cols w:space="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FFFB71-A41E-40F6-BBC4-AF553D322A5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4A4CE587-D25C-4155-BEC7-903FAA87A5DD}"/>
  </w:font>
  <w:font w:name="仿宋_GB2312">
    <w:panose1 w:val="02010609030101010101"/>
    <w:charset w:val="86"/>
    <w:family w:val="auto"/>
    <w:pitch w:val="default"/>
    <w:sig w:usb0="00000001" w:usb1="080E0000" w:usb2="00000000" w:usb3="00000000" w:csb0="00040000" w:csb1="00000000"/>
    <w:embedRegular r:id="rId3" w:fontKey="{5AD2DBDC-1270-40AA-91E5-3C4B2721B8EC}"/>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方正楷体_GB2312">
    <w:panose1 w:val="02000000000000000000"/>
    <w:charset w:val="86"/>
    <w:family w:val="auto"/>
    <w:pitch w:val="default"/>
    <w:sig w:usb0="A00002BF" w:usb1="184F6CFA" w:usb2="00000012" w:usb3="00000000" w:csb0="00040001" w:csb1="00000000"/>
    <w:embedRegular r:id="rId4" w:fontKey="{EB859ED0-9806-4E18-9D50-40C0BA216791}"/>
  </w:font>
  <w:font w:name="仿宋">
    <w:panose1 w:val="02010609060101010101"/>
    <w:charset w:val="86"/>
    <w:family w:val="modern"/>
    <w:pitch w:val="default"/>
    <w:sig w:usb0="800002BF" w:usb1="38CF7CFA" w:usb2="00000016" w:usb3="00000000" w:csb0="00040001" w:csb1="00000000"/>
    <w:embedRegular r:id="rId5" w:fontKey="{C61CEFE6-00B1-4F42-BE02-F2B168AD788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L1fV2TQAQAAogMAAA4AAAAAAAAAAQAgAAAAHwEAAGRy&#10;cy9lMm9Eb2MueG1sUEsFBgAAAAAGAAYAWQEAAGEFA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 xml:space="preserve">— </w:t>
                          </w:r>
                          <w:r>
                            <w:rPr>
                              <w:rFonts w:asciiTheme="minorEastAsia" w:hAnsiTheme="minorEastAsia" w:eastAsiaTheme="minorEastAsia" w:cstheme="minorEastAsia"/>
                              <w:sz w:val="28"/>
                              <w:szCs w:val="28"/>
                            </w:rPr>
                            <w:fldChar w:fldCharType="begin"/>
                          </w:r>
                          <w:r>
                            <w:rPr>
                              <w:rFonts w:asciiTheme="minorEastAsia" w:hAnsiTheme="minorEastAsia" w:eastAsiaTheme="minorEastAsia" w:cstheme="minorEastAsia"/>
                              <w:sz w:val="28"/>
                              <w:szCs w:val="28"/>
                            </w:rPr>
                            <w:instrText xml:space="preserve"> PAGE  \* MERGEFORMAT </w:instrText>
                          </w:r>
                          <w:r>
                            <w:rPr>
                              <w:rFonts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1</w:t>
                          </w:r>
                          <w:r>
                            <w:rPr>
                              <w:rFonts w:asciiTheme="minorEastAsia" w:hAnsiTheme="minorEastAsia" w:eastAsiaTheme="minorEastAsia" w:cstheme="minorEastAsia"/>
                              <w:sz w:val="28"/>
                              <w:szCs w:val="28"/>
                            </w:rPr>
                            <w:fldChar w:fldCharType="end"/>
                          </w:r>
                          <w:r>
                            <w:rPr>
                              <w:rFonts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qmWP70QEAAKIDAAAOAAAAAAAAAAEAIAAAAB8BAABk&#10;cnMvZTJvRG9jLnhtbFBLBQYAAAAABgAGAFkBAABiBQAAAAA=&#10;">
              <v:fill on="f" focussize="0,0"/>
              <v:stroke on="f" weight="0.5pt"/>
              <v:imagedata o:title=""/>
              <o:lock v:ext="edit" aspectratio="f"/>
              <v:textbox inset="0mm,0mm,0mm,0mm" style="mso-fit-shape-to-text:t;">
                <w:txbxContent>
                  <w:p>
                    <w:pPr>
                      <w:pStyle w:val="6"/>
                      <w:rPr>
                        <w:rFonts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 xml:space="preserve">— </w:t>
                    </w:r>
                    <w:r>
                      <w:rPr>
                        <w:rFonts w:asciiTheme="minorEastAsia" w:hAnsiTheme="minorEastAsia" w:eastAsiaTheme="minorEastAsia" w:cstheme="minorEastAsia"/>
                        <w:sz w:val="28"/>
                        <w:szCs w:val="28"/>
                      </w:rPr>
                      <w:fldChar w:fldCharType="begin"/>
                    </w:r>
                    <w:r>
                      <w:rPr>
                        <w:rFonts w:asciiTheme="minorEastAsia" w:hAnsiTheme="minorEastAsia" w:eastAsiaTheme="minorEastAsia" w:cstheme="minorEastAsia"/>
                        <w:sz w:val="28"/>
                        <w:szCs w:val="28"/>
                      </w:rPr>
                      <w:instrText xml:space="preserve"> PAGE  \* MERGEFORMAT </w:instrText>
                    </w:r>
                    <w:r>
                      <w:rPr>
                        <w:rFonts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1</w:t>
                    </w:r>
                    <w:r>
                      <w:rPr>
                        <w:rFonts w:asciiTheme="minorEastAsia" w:hAnsiTheme="minorEastAsia" w:eastAsiaTheme="minorEastAsia" w:cstheme="minorEastAsia"/>
                        <w:sz w:val="28"/>
                        <w:szCs w:val="28"/>
                      </w:rPr>
                      <w:fldChar w:fldCharType="end"/>
                    </w:r>
                    <w:r>
                      <w:rPr>
                        <w:rFonts w:asciiTheme="minorEastAsia" w:hAnsiTheme="minorEastAsia" w:eastAsiaTheme="minorEastAsia" w:cstheme="minorEastAsia"/>
                        <w:sz w:val="28"/>
                        <w:szCs w:val="28"/>
                      </w:rPr>
                      <w:t xml:space="preserve"> —</w:t>
                    </w:r>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trackRevisions w:val="1"/>
  <w:documentProtection w:enforcement="0"/>
  <w:defaultTabStop w:val="420"/>
  <w:drawingGridVerticalSpacing w:val="16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4YzllMjQ4YTc1NWExNDQ2ZGU0ODE2MjRkMjFkYzkifQ=="/>
    <w:docVar w:name="KSO_WPS_MARK_KEY" w:val="822e7ac6-7e48-4b50-9f28-b834fe34aee0"/>
  </w:docVars>
  <w:rsids>
    <w:rsidRoot w:val="12912983"/>
    <w:rsid w:val="00017497"/>
    <w:rsid w:val="000569D4"/>
    <w:rsid w:val="0014526E"/>
    <w:rsid w:val="001C64E9"/>
    <w:rsid w:val="00206CDB"/>
    <w:rsid w:val="002D1FE7"/>
    <w:rsid w:val="003D1904"/>
    <w:rsid w:val="00420852"/>
    <w:rsid w:val="004D067D"/>
    <w:rsid w:val="00670A83"/>
    <w:rsid w:val="007766F9"/>
    <w:rsid w:val="009677CA"/>
    <w:rsid w:val="009F6A0B"/>
    <w:rsid w:val="00ED2E42"/>
    <w:rsid w:val="00EF5B46"/>
    <w:rsid w:val="00F12145"/>
    <w:rsid w:val="00F616C6"/>
    <w:rsid w:val="02CD1F13"/>
    <w:rsid w:val="03E77005"/>
    <w:rsid w:val="065E23D3"/>
    <w:rsid w:val="07163FA0"/>
    <w:rsid w:val="088A71B1"/>
    <w:rsid w:val="0A026946"/>
    <w:rsid w:val="0ABE2142"/>
    <w:rsid w:val="0BE077AD"/>
    <w:rsid w:val="0BE439B0"/>
    <w:rsid w:val="0C334198"/>
    <w:rsid w:val="0CCB0F0F"/>
    <w:rsid w:val="0CDD696A"/>
    <w:rsid w:val="0D560379"/>
    <w:rsid w:val="0DB84267"/>
    <w:rsid w:val="0E740E97"/>
    <w:rsid w:val="0FFF3C94"/>
    <w:rsid w:val="104430E9"/>
    <w:rsid w:val="12912983"/>
    <w:rsid w:val="155F2151"/>
    <w:rsid w:val="15F1786F"/>
    <w:rsid w:val="168C5A7F"/>
    <w:rsid w:val="1A18361C"/>
    <w:rsid w:val="1D826CE0"/>
    <w:rsid w:val="20140D2A"/>
    <w:rsid w:val="229710BE"/>
    <w:rsid w:val="2322375E"/>
    <w:rsid w:val="23A925F9"/>
    <w:rsid w:val="23C25A02"/>
    <w:rsid w:val="244D6AEA"/>
    <w:rsid w:val="262C7CAC"/>
    <w:rsid w:val="26C4004D"/>
    <w:rsid w:val="28BC3D0D"/>
    <w:rsid w:val="29AE2ACE"/>
    <w:rsid w:val="2A4B359A"/>
    <w:rsid w:val="2B90428D"/>
    <w:rsid w:val="2CDB16C3"/>
    <w:rsid w:val="2D433566"/>
    <w:rsid w:val="31093734"/>
    <w:rsid w:val="313F54DB"/>
    <w:rsid w:val="3236068C"/>
    <w:rsid w:val="338813BB"/>
    <w:rsid w:val="36273046"/>
    <w:rsid w:val="3660023F"/>
    <w:rsid w:val="36753345"/>
    <w:rsid w:val="374B0846"/>
    <w:rsid w:val="37E34BD0"/>
    <w:rsid w:val="38F512A1"/>
    <w:rsid w:val="39C90037"/>
    <w:rsid w:val="39D04AAA"/>
    <w:rsid w:val="39DF45E8"/>
    <w:rsid w:val="3BA0301A"/>
    <w:rsid w:val="3D654C40"/>
    <w:rsid w:val="3DBF68AE"/>
    <w:rsid w:val="3EFEB35A"/>
    <w:rsid w:val="3F3F81D5"/>
    <w:rsid w:val="40534AFF"/>
    <w:rsid w:val="42853B77"/>
    <w:rsid w:val="43340554"/>
    <w:rsid w:val="43A833B4"/>
    <w:rsid w:val="443643AB"/>
    <w:rsid w:val="44B31520"/>
    <w:rsid w:val="45EC3A2B"/>
    <w:rsid w:val="47467044"/>
    <w:rsid w:val="48DA2C66"/>
    <w:rsid w:val="48E56510"/>
    <w:rsid w:val="48F922DD"/>
    <w:rsid w:val="4C2F4C6C"/>
    <w:rsid w:val="5058790E"/>
    <w:rsid w:val="51395D7D"/>
    <w:rsid w:val="51EE9AC4"/>
    <w:rsid w:val="53927CBB"/>
    <w:rsid w:val="53B77FAA"/>
    <w:rsid w:val="54F621D1"/>
    <w:rsid w:val="556F71C3"/>
    <w:rsid w:val="55FF6A01"/>
    <w:rsid w:val="57D9496D"/>
    <w:rsid w:val="58D37AB8"/>
    <w:rsid w:val="5AC174FB"/>
    <w:rsid w:val="5F1F3736"/>
    <w:rsid w:val="5FC91CB1"/>
    <w:rsid w:val="5FD1F9AC"/>
    <w:rsid w:val="5FED5F7E"/>
    <w:rsid w:val="5FEF68D4"/>
    <w:rsid w:val="60E23609"/>
    <w:rsid w:val="61E5205D"/>
    <w:rsid w:val="62513687"/>
    <w:rsid w:val="62EF539A"/>
    <w:rsid w:val="65C34423"/>
    <w:rsid w:val="65EF38DD"/>
    <w:rsid w:val="661E2DFA"/>
    <w:rsid w:val="67B4FE98"/>
    <w:rsid w:val="697F058F"/>
    <w:rsid w:val="6BFFD3BA"/>
    <w:rsid w:val="6CCA44BA"/>
    <w:rsid w:val="6CDF5BFC"/>
    <w:rsid w:val="6F1145E5"/>
    <w:rsid w:val="70F664C8"/>
    <w:rsid w:val="73823083"/>
    <w:rsid w:val="74D7BB56"/>
    <w:rsid w:val="76B928AB"/>
    <w:rsid w:val="77373315"/>
    <w:rsid w:val="77DF6B0F"/>
    <w:rsid w:val="77DFDC9C"/>
    <w:rsid w:val="781F0851"/>
    <w:rsid w:val="799B65F3"/>
    <w:rsid w:val="79D76D0F"/>
    <w:rsid w:val="7A4659E5"/>
    <w:rsid w:val="7B5074C6"/>
    <w:rsid w:val="7B5B0B08"/>
    <w:rsid w:val="7BE424D4"/>
    <w:rsid w:val="7D1E4C74"/>
    <w:rsid w:val="7D851A94"/>
    <w:rsid w:val="7DFFAB2C"/>
    <w:rsid w:val="7E6F5AA4"/>
    <w:rsid w:val="7F302597"/>
    <w:rsid w:val="7F4C286A"/>
    <w:rsid w:val="7FDCF169"/>
    <w:rsid w:val="93EB6CB0"/>
    <w:rsid w:val="96FD0AD4"/>
    <w:rsid w:val="99FF0358"/>
    <w:rsid w:val="9FEFC89B"/>
    <w:rsid w:val="BBBF6CF8"/>
    <w:rsid w:val="BDAED907"/>
    <w:rsid w:val="BDCF7DD8"/>
    <w:rsid w:val="BDFFF2C3"/>
    <w:rsid w:val="CC67CCD4"/>
    <w:rsid w:val="DE4FD2E6"/>
    <w:rsid w:val="DF9E3635"/>
    <w:rsid w:val="DFBB6E05"/>
    <w:rsid w:val="EDFF6C58"/>
    <w:rsid w:val="EE3F0BEA"/>
    <w:rsid w:val="EF7B580C"/>
    <w:rsid w:val="F4DCA477"/>
    <w:rsid w:val="F6973F4B"/>
    <w:rsid w:val="F76B1624"/>
    <w:rsid w:val="F7727501"/>
    <w:rsid w:val="F99F5818"/>
    <w:rsid w:val="FBED7809"/>
    <w:rsid w:val="FDD99F2D"/>
    <w:rsid w:val="FFBAAE0E"/>
    <w:rsid w:val="FFBB2EE9"/>
    <w:rsid w:val="FFC34217"/>
    <w:rsid w:val="FFDAB6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line="578" w:lineRule="auto"/>
      <w:outlineLvl w:val="0"/>
    </w:pPr>
    <w:rPr>
      <w:rFonts w:ascii="Calibri" w:hAnsi="Calibri" w:eastAsia="方正小标宋简体"/>
      <w:b/>
      <w:bCs/>
      <w:kern w:val="44"/>
      <w:sz w:val="44"/>
      <w:szCs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unhideWhenUsed/>
    <w:qFormat/>
    <w:uiPriority w:val="99"/>
    <w:pPr>
      <w:ind w:firstLine="630"/>
    </w:pPr>
    <w:rPr>
      <w:rFonts w:eastAsia="仿宋_GB2312"/>
      <w:color w:val="333333"/>
      <w:sz w:val="32"/>
      <w:szCs w:val="32"/>
    </w:rPr>
  </w:style>
  <w:style w:type="paragraph" w:styleId="5">
    <w:name w:val="Body Text"/>
    <w:basedOn w:val="1"/>
    <w:qFormat/>
    <w:uiPriority w:val="1"/>
    <w:pPr>
      <w:autoSpaceDE w:val="0"/>
      <w:autoSpaceDN w:val="0"/>
      <w:jc w:val="left"/>
    </w:pPr>
    <w:rPr>
      <w:rFonts w:ascii="宋体" w:hAnsi="宋体" w:cs="宋体"/>
      <w:kern w:val="0"/>
      <w:sz w:val="32"/>
      <w:szCs w:val="32"/>
      <w:lang w:val="zh-CN" w:bidi="zh-CN"/>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Theme="minorHAnsi" w:hAnsiTheme="minorHAnsi" w:eastAsiaTheme="minorEastAsia"/>
      <w:kern w:val="0"/>
      <w:sz w:val="24"/>
    </w:rPr>
  </w:style>
  <w:style w:type="paragraph" w:styleId="9">
    <w:name w:val="Title"/>
    <w:basedOn w:val="1"/>
    <w:next w:val="1"/>
    <w:qFormat/>
    <w:uiPriority w:val="0"/>
    <w:pPr>
      <w:widowControl/>
      <w:snapToGrid w:val="0"/>
      <w:spacing w:before="240" w:after="60"/>
      <w:jc w:val="center"/>
      <w:outlineLvl w:val="0"/>
    </w:pPr>
    <w:rPr>
      <w:rFonts w:ascii="Cambria" w:hAnsi="Cambria" w:eastAsia="方正小标宋简体"/>
      <w:b/>
      <w:bCs/>
      <w:sz w:val="44"/>
      <w:szCs w:val="32"/>
    </w:rPr>
  </w:style>
  <w:style w:type="character" w:styleId="12">
    <w:name w:val="Strong"/>
    <w:basedOn w:val="11"/>
    <w:qFormat/>
    <w:uiPriority w:val="0"/>
    <w:rPr>
      <w:b/>
    </w:rPr>
  </w:style>
  <w:style w:type="character" w:styleId="13">
    <w:name w:val="FollowedHyperlink"/>
    <w:basedOn w:val="11"/>
    <w:qFormat/>
    <w:uiPriority w:val="0"/>
    <w:rPr>
      <w:color w:val="771CAA"/>
      <w:u w:val="none"/>
    </w:rPr>
  </w:style>
  <w:style w:type="character" w:styleId="14">
    <w:name w:val="Emphasis"/>
    <w:basedOn w:val="11"/>
    <w:qFormat/>
    <w:uiPriority w:val="0"/>
    <w:rPr>
      <w:color w:val="F73131"/>
    </w:rPr>
  </w:style>
  <w:style w:type="character" w:styleId="15">
    <w:name w:val="Hyperlink"/>
    <w:basedOn w:val="11"/>
    <w:qFormat/>
    <w:uiPriority w:val="0"/>
    <w:rPr>
      <w:color w:val="2440B3"/>
      <w:u w:val="none"/>
      <w:shd w:val="clear" w:color="auto" w:fill="FF8547"/>
    </w:rPr>
  </w:style>
  <w:style w:type="character" w:styleId="16">
    <w:name w:val="HTML Cite"/>
    <w:basedOn w:val="11"/>
    <w:qFormat/>
    <w:uiPriority w:val="0"/>
    <w:rPr>
      <w:color w:val="008000"/>
    </w:rPr>
  </w:style>
  <w:style w:type="paragraph" w:customStyle="1" w:styleId="17">
    <w:name w:val="正文 A"/>
    <w:qFormat/>
    <w:uiPriority w:val="0"/>
    <w:pPr>
      <w:widowControl w:val="0"/>
      <w:pBdr>
        <w:top w:val="none" w:color="FFFFFF" w:sz="0" w:space="31"/>
        <w:left w:val="none" w:color="FFFFFF" w:sz="0" w:space="31"/>
        <w:bottom w:val="none" w:color="FFFFFF" w:sz="0" w:space="31"/>
        <w:right w:val="none" w:color="FFFFFF" w:sz="0" w:space="31"/>
      </w:pBdr>
      <w:jc w:val="both"/>
    </w:pPr>
    <w:rPr>
      <w:rFonts w:ascii="Arial Unicode MS" w:hAnsi="Arial Unicode MS" w:eastAsia="Times New Roman" w:cs="Arial Unicode MS"/>
      <w:color w:val="000000"/>
      <w:kern w:val="2"/>
      <w:sz w:val="21"/>
      <w:szCs w:val="21"/>
      <w:lang w:val="en-US" w:eastAsia="zh-CN" w:bidi="ar-SA"/>
    </w:rPr>
  </w:style>
  <w:style w:type="paragraph" w:styleId="18">
    <w:name w:val="List Paragraph"/>
    <w:basedOn w:val="1"/>
    <w:qFormat/>
    <w:uiPriority w:val="34"/>
    <w:pPr>
      <w:ind w:firstLine="420" w:firstLineChars="200"/>
    </w:pPr>
    <w:rPr>
      <w:rFonts w:ascii="Calibri" w:hAnsi="Calibri"/>
    </w:rPr>
  </w:style>
  <w:style w:type="character" w:customStyle="1" w:styleId="19">
    <w:name w:val="hover28"/>
    <w:basedOn w:val="11"/>
    <w:qFormat/>
    <w:uiPriority w:val="0"/>
  </w:style>
  <w:style w:type="character" w:customStyle="1" w:styleId="20">
    <w:name w:val="hover29"/>
    <w:basedOn w:val="11"/>
    <w:qFormat/>
    <w:uiPriority w:val="0"/>
    <w:rPr>
      <w:color w:val="315EFB"/>
    </w:rPr>
  </w:style>
  <w:style w:type="character" w:customStyle="1" w:styleId="21">
    <w:name w:val="hover30"/>
    <w:basedOn w:val="11"/>
    <w:qFormat/>
    <w:uiPriority w:val="0"/>
    <w:rPr>
      <w:color w:val="315EFB"/>
      <w:shd w:val="clear" w:color="auto" w:fill="F0F3FD"/>
    </w:rPr>
  </w:style>
  <w:style w:type="character" w:customStyle="1" w:styleId="22">
    <w:name w:val="hover31"/>
    <w:basedOn w:val="11"/>
    <w:qFormat/>
    <w:uiPriority w:val="0"/>
    <w:rPr>
      <w:color w:val="315EFB"/>
    </w:rPr>
  </w:style>
  <w:style w:type="character" w:customStyle="1" w:styleId="23">
    <w:name w:val="c-icon34"/>
    <w:basedOn w:val="1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1023</Words>
  <Characters>5834</Characters>
  <Lines>48</Lines>
  <Paragraphs>13</Paragraphs>
  <TotalTime>8</TotalTime>
  <ScaleCrop>false</ScaleCrop>
  <LinksUpToDate>false</LinksUpToDate>
  <CharactersWithSpaces>6844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2022-12-27T13:32:00Z</dcterms:created>
  <dc:creator>Administrator</dc:creator>
  <cp:lastModifiedBy>教育</cp:lastModifiedBy>
  <cp:lastPrinted>2023-10-23T06:31:00Z</cp:lastPrinted>
  <dcterms:modified xsi:type="dcterms:W3CDTF">2023-10-25T01:03:19Z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1DE5BC87B1E04BC4B259A80C9A9CB1BB_13</vt:lpwstr>
  </property>
</Properties>
</file>