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陆河</w:t>
      </w:r>
      <w:r>
        <w:rPr>
          <w:rFonts w:hint="eastAsia" w:ascii="方正小标宋简体" w:hAnsi="方正小标宋简体" w:eastAsia="方正小标宋简体" w:cs="方正小标宋简体"/>
          <w:sz w:val="44"/>
          <w:szCs w:val="44"/>
          <w:lang w:val="en-US" w:eastAsia="zh-CN"/>
        </w:rPr>
        <w:t>县</w:t>
      </w:r>
      <w:r>
        <w:rPr>
          <w:rFonts w:hint="eastAsia" w:ascii="方正小标宋简体" w:hAnsi="方正小标宋简体" w:eastAsia="方正小标宋简体" w:cs="方正小标宋简体"/>
          <w:sz w:val="44"/>
          <w:szCs w:val="44"/>
        </w:rPr>
        <w:t>批而未供和供而未用用地专项清查处置行动方案（2023-2025年）</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为进一步优化土地资源配置，提高土地利用效率，</w:t>
      </w:r>
      <w:r>
        <w:rPr>
          <w:rFonts w:hint="eastAsia" w:ascii="仿宋_GB2312" w:hAnsi="仿宋_GB2312" w:eastAsia="仿宋_GB2312" w:cs="仿宋_GB2312"/>
          <w:sz w:val="32"/>
          <w:szCs w:val="32"/>
          <w:lang w:val="en-US" w:eastAsia="zh-CN"/>
        </w:rPr>
        <w:t>推进我县</w:t>
      </w:r>
      <w:r>
        <w:rPr>
          <w:rFonts w:hint="eastAsia" w:ascii="仿宋_GB2312" w:hAnsi="仿宋_GB2312" w:eastAsia="仿宋_GB2312" w:cs="仿宋_GB2312"/>
          <w:sz w:val="32"/>
          <w:szCs w:val="32"/>
        </w:rPr>
        <w:t>批而未供和供而未用用地的消化处置，提高土地资源要素服务稳增长、促改革、调结构、去库存、惠民生的能力，推动我县土地开发利用各项工作再上新台阶，根据</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自然资源部办公厅关于批而未供土地处置有关问题的通知</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sz w:val="32"/>
          <w:szCs w:val="32"/>
        </w:rPr>
        <w:t>《汕尾市人民政府办公室关于印发汕尾市产业园区批而未供和供而未用工业用地专项清查处置行动方案（2023-2025年）的通知》</w:t>
      </w:r>
      <w:r>
        <w:rPr>
          <w:rFonts w:hint="eastAsia" w:ascii="仿宋_GB2312" w:hAnsi="仿宋_GB2312" w:eastAsia="仿宋_GB2312" w:cs="仿宋_GB2312"/>
          <w:sz w:val="32"/>
          <w:szCs w:val="32"/>
          <w:highlight w:val="none"/>
        </w:rPr>
        <w:t>和相关法律、法规</w:t>
      </w:r>
      <w:r>
        <w:rPr>
          <w:rFonts w:hint="eastAsia" w:ascii="仿宋_GB2312" w:hAnsi="仿宋_GB2312" w:eastAsia="仿宋_GB2312" w:cs="仿宋_GB2312"/>
          <w:sz w:val="32"/>
          <w:szCs w:val="32"/>
        </w:rPr>
        <w:t>，结合我县实际，特制定本工作方案。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（一）指导思想。</w:t>
      </w:r>
      <w:r>
        <w:rPr>
          <w:rFonts w:hint="eastAsia" w:ascii="仿宋_GB2312" w:hAnsi="仿宋_GB2312" w:eastAsia="仿宋_GB2312" w:cs="仿宋_GB2312"/>
          <w:sz w:val="32"/>
          <w:szCs w:val="32"/>
        </w:rPr>
        <w:t>以习近平新时代中国特色社会主义思想为指导，认真贯彻落实最严格的节约集约用地制度，通过批而未供和供而未用</w:t>
      </w:r>
      <w:r>
        <w:rPr>
          <w:rFonts w:hint="eastAsia" w:ascii="仿宋_GB2312" w:hAnsi="仿宋_GB2312" w:eastAsia="仿宋_GB2312" w:cs="仿宋_GB2312"/>
          <w:sz w:val="32"/>
          <w:szCs w:val="32"/>
          <w:lang w:val="en-US" w:eastAsia="zh-CN"/>
        </w:rPr>
        <w:t>土</w:t>
      </w:r>
      <w:r>
        <w:rPr>
          <w:rFonts w:hint="eastAsia" w:ascii="仿宋_GB2312" w:hAnsi="仿宋_GB2312" w:eastAsia="仿宋_GB2312" w:cs="仿宋_GB2312"/>
          <w:sz w:val="32"/>
          <w:szCs w:val="32"/>
        </w:rPr>
        <w:t>地清理、处置，进一步规范用地行为，提高</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利用效益，推进土地节约集约利用，提升自然资源管理水平与资源保障能力。</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（二）工作原则。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1.分类处置，突出重点。</w:t>
      </w:r>
      <w:r>
        <w:rPr>
          <w:rFonts w:hint="eastAsia" w:ascii="仿宋_GB2312" w:hAnsi="仿宋_GB2312" w:eastAsia="仿宋_GB2312" w:cs="仿宋_GB2312"/>
          <w:sz w:val="32"/>
          <w:szCs w:val="32"/>
        </w:rPr>
        <w:t>摸清底数，坚持具体问题具体分析，分门别类确定处置意见；全力推进</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的批而未供和供而未用土地处置利用。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2.由近及远，先易后难。</w:t>
      </w:r>
      <w:r>
        <w:rPr>
          <w:rFonts w:hint="eastAsia" w:ascii="仿宋_GB2312" w:hAnsi="仿宋_GB2312" w:eastAsia="仿宋_GB2312" w:cs="仿宋_GB2312"/>
          <w:sz w:val="32"/>
          <w:szCs w:val="32"/>
        </w:rPr>
        <w:t>综合运用调整利用、简化审批等措施，从严从快处置批而未供和供而未用土地，加快提高供地率和闲置土地处置到位率。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3.各负其责，上下联动。</w:t>
      </w:r>
      <w:r>
        <w:rPr>
          <w:rFonts w:hint="eastAsia" w:ascii="仿宋_GB2312" w:hAnsi="仿宋_GB2312" w:eastAsia="仿宋_GB2312" w:cs="仿宋_GB2312"/>
          <w:sz w:val="32"/>
          <w:szCs w:val="32"/>
        </w:rPr>
        <w:t>明确责任主体，落实部门分工，上下联动，密切配合，协同作战，共同完成专项工作目标任务。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二、工作范围</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24"/>
        </w:rPr>
        <w:t>（一）加快“批而未供”土地消化处置。</w:t>
      </w:r>
      <w:r>
        <w:rPr>
          <w:rFonts w:hint="eastAsia" w:ascii="仿宋_GB2312" w:hAnsi="仿宋_GB2312" w:eastAsia="仿宋_GB2312" w:cs="仿宋_GB2312"/>
          <w:sz w:val="32"/>
          <w:szCs w:val="32"/>
        </w:rPr>
        <w:t>陆河</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已批准“农转用”，至今尚未供地的土地。</w:t>
      </w:r>
    </w:p>
    <w:p>
      <w:pPr>
        <w:pStyle w:val="4"/>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仿宋_GB2312" w:hAnsi="仿宋_GB2312" w:eastAsia="仿宋_GB2312" w:cs="仿宋_GB2312"/>
        </w:rPr>
      </w:pPr>
      <w:r>
        <w:rPr>
          <w:rFonts w:hint="eastAsia" w:ascii="楷体_GB2312" w:hAnsi="楷体_GB2312" w:eastAsia="楷体_GB2312" w:cs="楷体_GB2312"/>
          <w:b/>
          <w:bCs/>
          <w:szCs w:val="24"/>
        </w:rPr>
        <w:t>（二）加快“供而未用”土地消化处置。</w:t>
      </w:r>
      <w:r>
        <w:rPr>
          <w:rFonts w:hint="eastAsia" w:ascii="仿宋_GB2312" w:hAnsi="仿宋_GB2312" w:eastAsia="仿宋_GB2312" w:cs="仿宋_GB2312"/>
        </w:rPr>
        <w:t>一是历年来已供地，未按照出让合同或划拨决定书约定开工时间开发建设使用，但尚未按程序调查认定为闲置的土地，包含已开工建设土地开发建设面积比例小于1/3的土地。二是历年来已供地，未按要求开工建设，并经过县自然资源局闲置土地调查，认定为闲置土地的土地，重点清理</w:t>
      </w:r>
      <w:r>
        <w:rPr>
          <w:rFonts w:hint="eastAsia" w:ascii="仿宋_GB2312" w:eastAsia="仿宋_GB2312"/>
        </w:rPr>
        <w:t>土地市场动态监测监管系统闲置任务基数清单和新增闲置土地。</w:t>
      </w:r>
    </w:p>
    <w:p>
      <w:pPr>
        <w:pStyle w:val="4"/>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仿宋_GB2312" w:hAnsi="仿宋_GB2312" w:eastAsia="仿宋_GB2312" w:cs="仿宋_GB2312"/>
        </w:rPr>
      </w:pPr>
      <w:r>
        <w:rPr>
          <w:rFonts w:hint="eastAsia" w:ascii="楷体_GB2312" w:hAnsi="楷体_GB2312" w:eastAsia="楷体_GB2312" w:cs="楷体_GB2312"/>
          <w:b/>
          <w:bCs/>
          <w:szCs w:val="24"/>
        </w:rPr>
        <w:t>（三）加快“用而未尽”土地消化处置。</w:t>
      </w:r>
      <w:r>
        <w:rPr>
          <w:rFonts w:hint="eastAsia" w:ascii="仿宋_GB2312" w:hAnsi="仿宋_GB2312" w:eastAsia="仿宋_GB2312" w:cs="仿宋_GB2312"/>
        </w:rPr>
        <w:t>指单个项目在土地使用权出让合同建设期满，实际开发建设的总建筑面积占项目总用地面积（即约定容积率）未达到土地使用权出让合同的约定，土地开发建设面积比例超过1/3但不足7/10;或者未开发建设用地连片面积达到20亩（含）以上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三、工作目标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开展</w:t>
      </w:r>
      <w:r>
        <w:rPr>
          <w:rFonts w:hint="eastAsia" w:ascii="仿宋_GB2312" w:hAnsi="仿宋_GB2312" w:eastAsia="仿宋_GB2312" w:cs="仿宋_GB2312"/>
          <w:sz w:val="32"/>
          <w:szCs w:val="32"/>
        </w:rPr>
        <w:t>陆河</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存量建设用地调查评价，</w:t>
      </w:r>
      <w:r>
        <w:rPr>
          <w:rFonts w:ascii="仿宋_GB2312" w:eastAsia="仿宋_GB2312"/>
          <w:sz w:val="32"/>
          <w:szCs w:val="32"/>
        </w:rPr>
        <w:t>全面查清</w:t>
      </w:r>
      <w:r>
        <w:rPr>
          <w:rFonts w:hint="eastAsia" w:ascii="仿宋_GB2312" w:hAnsi="仿宋_GB2312" w:eastAsia="仿宋_GB2312" w:cs="仿宋_GB2312"/>
          <w:sz w:val="32"/>
          <w:szCs w:val="32"/>
          <w:lang w:val="en-US" w:eastAsia="zh-CN"/>
        </w:rPr>
        <w:t>全县</w:t>
      </w:r>
      <w:r>
        <w:rPr>
          <w:rFonts w:ascii="仿宋_GB2312" w:eastAsia="仿宋_GB2312"/>
          <w:sz w:val="32"/>
          <w:szCs w:val="32"/>
        </w:rPr>
        <w:t>批而未供、</w:t>
      </w:r>
      <w:r>
        <w:rPr>
          <w:rFonts w:hint="eastAsia" w:ascii="仿宋_GB2312" w:eastAsia="仿宋_GB2312"/>
          <w:sz w:val="32"/>
          <w:szCs w:val="32"/>
        </w:rPr>
        <w:t>供而未用土</w:t>
      </w:r>
      <w:r>
        <w:rPr>
          <w:rFonts w:ascii="仿宋_GB2312" w:eastAsia="仿宋_GB2312"/>
          <w:sz w:val="32"/>
          <w:szCs w:val="32"/>
        </w:rPr>
        <w:t>地情况，建立</w:t>
      </w:r>
      <w:r>
        <w:rPr>
          <w:rFonts w:hint="eastAsia" w:ascii="仿宋_GB2312" w:eastAsia="仿宋_GB2312"/>
          <w:sz w:val="32"/>
          <w:szCs w:val="32"/>
          <w:lang w:val="en-US" w:eastAsia="zh-CN"/>
        </w:rPr>
        <w:t>全县</w:t>
      </w:r>
      <w:r>
        <w:rPr>
          <w:rFonts w:ascii="仿宋_GB2312" w:eastAsia="仿宋_GB2312"/>
          <w:sz w:val="32"/>
          <w:szCs w:val="32"/>
        </w:rPr>
        <w:t>批而未供和</w:t>
      </w:r>
      <w:r>
        <w:rPr>
          <w:rFonts w:hint="eastAsia" w:ascii="仿宋_GB2312" w:eastAsia="仿宋_GB2312"/>
          <w:sz w:val="32"/>
          <w:szCs w:val="32"/>
        </w:rPr>
        <w:t>供而未用</w:t>
      </w:r>
      <w:r>
        <w:rPr>
          <w:rFonts w:ascii="仿宋_GB2312" w:eastAsia="仿宋_GB2312"/>
          <w:sz w:val="32"/>
          <w:szCs w:val="32"/>
        </w:rPr>
        <w:t>土地工作台账，形成低效土地处置清单，</w:t>
      </w:r>
      <w:r>
        <w:rPr>
          <w:rFonts w:hint="eastAsia" w:ascii="仿宋_GB2312" w:eastAsia="仿宋_GB2312"/>
          <w:sz w:val="32"/>
          <w:szCs w:val="32"/>
        </w:rPr>
        <w:t>“</w:t>
      </w:r>
      <w:r>
        <w:rPr>
          <w:rFonts w:ascii="仿宋_GB2312" w:eastAsia="仿宋_GB2312"/>
          <w:sz w:val="32"/>
          <w:szCs w:val="32"/>
        </w:rPr>
        <w:t>一地一策</w:t>
      </w:r>
      <w:r>
        <w:rPr>
          <w:rFonts w:hint="eastAsia" w:ascii="仿宋_GB2312" w:eastAsia="仿宋_GB2312"/>
          <w:sz w:val="32"/>
          <w:szCs w:val="32"/>
        </w:rPr>
        <w:t>”</w:t>
      </w:r>
      <w:r>
        <w:rPr>
          <w:rFonts w:ascii="仿宋_GB2312" w:eastAsia="仿宋_GB2312"/>
          <w:sz w:val="32"/>
          <w:szCs w:val="32"/>
        </w:rPr>
        <w:t>制定分类处置方案，依法依规开展清理处置工作</w:t>
      </w:r>
      <w:r>
        <w:rPr>
          <w:rFonts w:hint="eastAsia" w:ascii="仿宋_GB2312" w:eastAsia="仿宋_GB2312"/>
          <w:sz w:val="32"/>
          <w:szCs w:val="32"/>
        </w:rPr>
        <w:t>。到2025年底，</w:t>
      </w:r>
      <w:r>
        <w:rPr>
          <w:rFonts w:hint="eastAsia" w:ascii="仿宋_GB2312" w:hAnsi="仿宋_GB2312" w:eastAsia="仿宋_GB2312" w:cs="仿宋_GB2312"/>
          <w:sz w:val="32"/>
          <w:szCs w:val="32"/>
        </w:rPr>
        <w:t>陆河</w:t>
      </w:r>
      <w:r>
        <w:rPr>
          <w:rFonts w:hint="eastAsia" w:ascii="仿宋_GB2312" w:hAnsi="仿宋_GB2312" w:eastAsia="仿宋_GB2312" w:cs="仿宋_GB2312"/>
          <w:sz w:val="32"/>
          <w:szCs w:val="32"/>
          <w:lang w:val="en-US" w:eastAsia="zh-CN"/>
        </w:rPr>
        <w:t>县</w:t>
      </w:r>
      <w:r>
        <w:rPr>
          <w:rFonts w:hint="eastAsia" w:ascii="仿宋_GB2312" w:eastAsia="仿宋_GB2312"/>
          <w:sz w:val="32"/>
          <w:szCs w:val="32"/>
        </w:rPr>
        <w:t>处置批而未供土地</w:t>
      </w:r>
      <w:r>
        <w:rPr>
          <w:rFonts w:hint="eastAsia" w:ascii="仿宋_GB2312" w:eastAsia="仿宋_GB2312"/>
          <w:sz w:val="32"/>
          <w:szCs w:val="32"/>
          <w:lang w:val="en-US" w:eastAsia="zh-CN"/>
        </w:rPr>
        <w:t>9248</w:t>
      </w:r>
      <w:r>
        <w:rPr>
          <w:rFonts w:hint="eastAsia" w:ascii="仿宋_GB2312" w:eastAsia="仿宋_GB2312"/>
          <w:sz w:val="32"/>
          <w:szCs w:val="32"/>
        </w:rPr>
        <w:t>亩，处置供而未用土地</w:t>
      </w:r>
      <w:r>
        <w:rPr>
          <w:rFonts w:hint="eastAsia" w:ascii="仿宋_GB2312" w:eastAsia="仿宋_GB2312"/>
          <w:sz w:val="32"/>
          <w:szCs w:val="32"/>
          <w:lang w:val="en-US" w:eastAsia="zh-CN"/>
        </w:rPr>
        <w:t>2820</w:t>
      </w:r>
      <w:r>
        <w:rPr>
          <w:rFonts w:hint="eastAsia" w:ascii="仿宋_GB2312" w:eastAsia="仿宋_GB2312"/>
          <w:sz w:val="32"/>
          <w:szCs w:val="32"/>
        </w:rPr>
        <w:t>亩（详见附表），</w:t>
      </w:r>
      <w:r>
        <w:rPr>
          <w:rFonts w:ascii="仿宋_GB2312" w:eastAsia="仿宋_GB2312"/>
          <w:sz w:val="32"/>
          <w:szCs w:val="32"/>
        </w:rPr>
        <w:t>全</w:t>
      </w:r>
      <w:r>
        <w:rPr>
          <w:rFonts w:hint="eastAsia" w:ascii="仿宋_GB2312" w:eastAsia="仿宋_GB2312"/>
          <w:sz w:val="32"/>
          <w:szCs w:val="32"/>
        </w:rPr>
        <w:t>县</w:t>
      </w:r>
      <w:r>
        <w:rPr>
          <w:rFonts w:ascii="仿宋_GB2312" w:eastAsia="仿宋_GB2312"/>
          <w:sz w:val="32"/>
          <w:szCs w:val="32"/>
        </w:rPr>
        <w:t>用地亩均效益、亩均税收明显提高，节约集约用地水平全面提升，重大项目用地保障能力显著增强。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四、工作措施</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（一）实施调查建库专项行动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由县自然资源局牵头，委托第三方技术单位</w:t>
      </w:r>
      <w:r>
        <w:rPr>
          <w:rFonts w:hint="eastAsia" w:ascii="仿宋_GB2312" w:eastAsia="仿宋_GB2312"/>
          <w:sz w:val="32"/>
          <w:szCs w:val="32"/>
          <w:lang w:val="zh-CN"/>
        </w:rPr>
        <w:t>，</w:t>
      </w:r>
      <w:r>
        <w:rPr>
          <w:rFonts w:hint="eastAsia" w:ascii="仿宋_GB2312" w:eastAsia="仿宋_GB2312"/>
          <w:sz w:val="32"/>
          <w:szCs w:val="32"/>
        </w:rPr>
        <w:t>组成工作小组，制定工作方案，结合</w:t>
      </w:r>
      <w:r>
        <w:rPr>
          <w:rFonts w:hint="eastAsia" w:ascii="仿宋_GB2312" w:hAnsi="仿宋_GB2312" w:eastAsia="仿宋_GB2312" w:cs="仿宋_GB2312"/>
          <w:sz w:val="32"/>
          <w:szCs w:val="32"/>
        </w:rPr>
        <w:t>陆河高新区</w:t>
      </w:r>
      <w:r>
        <w:rPr>
          <w:rFonts w:hint="eastAsia" w:ascii="仿宋_GB2312" w:eastAsia="仿宋_GB2312"/>
          <w:sz w:val="32"/>
          <w:szCs w:val="32"/>
        </w:rPr>
        <w:t>土地集约利用评价以及亩均效益评价开展</w:t>
      </w:r>
      <w:r>
        <w:rPr>
          <w:rFonts w:hint="eastAsia" w:ascii="仿宋_GB2312" w:hAnsi="仿宋_GB2312" w:eastAsia="仿宋_GB2312" w:cs="仿宋_GB2312"/>
          <w:sz w:val="32"/>
          <w:szCs w:val="32"/>
        </w:rPr>
        <w:t>陆河高新区</w:t>
      </w:r>
      <w:r>
        <w:rPr>
          <w:rFonts w:hint="eastAsia" w:ascii="仿宋_GB2312" w:eastAsia="仿宋_GB2312"/>
          <w:sz w:val="32"/>
          <w:szCs w:val="32"/>
        </w:rPr>
        <w:t>存量建设用地调查评价工作，在</w:t>
      </w:r>
      <w:r>
        <w:rPr>
          <w:rFonts w:hint="eastAsia" w:ascii="仿宋_GB2312" w:hAnsi="仿宋_GB2312" w:eastAsia="仿宋_GB2312" w:cs="仿宋_GB2312"/>
          <w:sz w:val="32"/>
          <w:szCs w:val="32"/>
        </w:rPr>
        <w:t>陆河</w:t>
      </w:r>
      <w:r>
        <w:rPr>
          <w:rFonts w:hint="eastAsia" w:ascii="仿宋_GB2312" w:hAnsi="仿宋_GB2312" w:eastAsia="仿宋_GB2312" w:cs="仿宋_GB2312"/>
          <w:sz w:val="32"/>
          <w:szCs w:val="32"/>
          <w:lang w:val="en-US" w:eastAsia="zh-CN"/>
        </w:rPr>
        <w:t>县内</w:t>
      </w:r>
      <w:r>
        <w:rPr>
          <w:rFonts w:hint="eastAsia" w:ascii="仿宋_GB2312" w:eastAsia="仿宋_GB2312"/>
          <w:sz w:val="32"/>
          <w:szCs w:val="32"/>
        </w:rPr>
        <w:t>开展存量建设用地现状及原因调查，查清批而未供和供而未用土地的权属、位置、面积、规划用途等情况，逐宗逐地块分析成因，</w:t>
      </w:r>
      <w:r>
        <w:rPr>
          <w:rFonts w:hint="eastAsia" w:ascii="仿宋_GB2312" w:eastAsia="仿宋_GB2312"/>
          <w:sz w:val="32"/>
          <w:szCs w:val="32"/>
          <w:lang w:val="zh-CN"/>
        </w:rPr>
        <w:t>并于</w:t>
      </w:r>
      <w:r>
        <w:rPr>
          <w:rFonts w:hint="eastAsia" w:ascii="仿宋_GB2312" w:eastAsia="仿宋_GB2312"/>
          <w:sz w:val="32"/>
          <w:szCs w:val="32"/>
          <w:lang w:val="en-US" w:eastAsia="zh-CN"/>
        </w:rPr>
        <w:t>10</w:t>
      </w:r>
      <w:r>
        <w:rPr>
          <w:rFonts w:hint="eastAsia" w:ascii="仿宋_GB2312" w:eastAsia="仿宋_GB2312"/>
          <w:sz w:val="32"/>
          <w:szCs w:val="32"/>
          <w:lang w:val="zh-CN"/>
        </w:rPr>
        <w:t>月30日前</w:t>
      </w:r>
      <w:r>
        <w:rPr>
          <w:rFonts w:hint="eastAsia" w:ascii="仿宋_GB2312" w:eastAsia="仿宋_GB2312"/>
          <w:sz w:val="32"/>
          <w:szCs w:val="32"/>
        </w:rPr>
        <w:t>形成陆河县存量建设用地情况分析报告、</w:t>
      </w:r>
      <w:r>
        <w:rPr>
          <w:rFonts w:hint="eastAsia" w:ascii="仿宋_GB2312" w:hAnsi="仿宋_GB2312" w:eastAsia="仿宋_GB2312" w:cs="仿宋_GB2312"/>
          <w:sz w:val="32"/>
          <w:szCs w:val="32"/>
        </w:rPr>
        <w:t>陆河高新区</w:t>
      </w:r>
      <w:r>
        <w:rPr>
          <w:rFonts w:hint="eastAsia" w:ascii="仿宋_GB2312" w:eastAsia="仿宋_GB2312"/>
          <w:sz w:val="32"/>
          <w:szCs w:val="32"/>
        </w:rPr>
        <w:t>存量建设用地调查评价体系构建</w:t>
      </w:r>
      <w:r>
        <w:rPr>
          <w:rFonts w:hint="eastAsia" w:ascii="仿宋_GB2312" w:eastAsia="仿宋_GB2312"/>
          <w:sz w:val="32"/>
          <w:szCs w:val="32"/>
          <w:lang w:eastAsia="zh-Hans"/>
        </w:rPr>
        <w:t>及再开发策略</w:t>
      </w:r>
      <w:r>
        <w:rPr>
          <w:rFonts w:hint="eastAsia" w:ascii="仿宋_GB2312" w:eastAsia="仿宋_GB2312"/>
          <w:sz w:val="32"/>
          <w:szCs w:val="32"/>
        </w:rPr>
        <w:t>报告和</w:t>
      </w:r>
      <w:r>
        <w:rPr>
          <w:rFonts w:hint="eastAsia" w:ascii="仿宋_GB2312" w:hAnsi="仿宋_GB2312" w:eastAsia="仿宋_GB2312" w:cs="仿宋_GB2312"/>
          <w:sz w:val="32"/>
          <w:szCs w:val="32"/>
        </w:rPr>
        <w:t>陆河高新区</w:t>
      </w:r>
      <w:r>
        <w:rPr>
          <w:rFonts w:hint="eastAsia" w:ascii="仿宋_GB2312" w:eastAsia="仿宋_GB2312"/>
          <w:sz w:val="32"/>
          <w:szCs w:val="32"/>
        </w:rPr>
        <w:t>存量建设用地调查评价数据库，</w:t>
      </w:r>
      <w:r>
        <w:rPr>
          <w:rFonts w:hint="eastAsia" w:ascii="仿宋_GB2312" w:hAnsi="仿宋_GB2312" w:eastAsia="仿宋_GB2312" w:cs="仿宋_GB2312"/>
          <w:sz w:val="32"/>
          <w:szCs w:val="32"/>
        </w:rPr>
        <w:t>陆河县</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高新区</w:t>
      </w:r>
      <w:r>
        <w:rPr>
          <w:rFonts w:hint="eastAsia" w:ascii="仿宋_GB2312" w:eastAsia="仿宋_GB2312"/>
          <w:sz w:val="32"/>
          <w:szCs w:val="32"/>
        </w:rPr>
        <w:t>“批而未供”和“供而未用”土地落在一张图上。通过存量建设用地梳理，确定指标权重，建立存量建设用地评价标准，进行存量建设用地再开发潜力分析、策略指引，构建评价指标体系。</w:t>
      </w:r>
    </w:p>
    <w:p>
      <w:pPr>
        <w:pStyle w:val="4"/>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楷体_GB2312" w:hAnsi="楷体_GB2312" w:eastAsia="楷体_GB2312" w:cs="楷体_GB2312"/>
          <w:b/>
          <w:bCs/>
        </w:rPr>
      </w:pPr>
      <w:r>
        <w:rPr>
          <w:rFonts w:hint="eastAsia" w:ascii="楷体_GB2312" w:hAnsi="楷体_GB2312" w:eastAsia="楷体_GB2312" w:cs="楷体_GB2312"/>
          <w:b/>
          <w:bCs/>
        </w:rPr>
        <w:t>（二）分类处置存量土地</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zh-CN"/>
        </w:rPr>
        <w:t>批而未供</w:t>
      </w:r>
      <w:r>
        <w:rPr>
          <w:rFonts w:hint="eastAsia" w:ascii="仿宋_GB2312" w:hAnsi="仿宋_GB2312" w:eastAsia="仿宋_GB2312" w:cs="仿宋_GB2312"/>
          <w:b/>
          <w:bCs/>
          <w:sz w:val="32"/>
          <w:szCs w:val="32"/>
        </w:rPr>
        <w:t>处置</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加大招商力度。</w:t>
      </w:r>
      <w:r>
        <w:rPr>
          <w:rFonts w:hint="eastAsia" w:ascii="仿宋_GB2312" w:hAnsi="仿宋_GB2312" w:eastAsia="仿宋_GB2312" w:cs="仿宋_GB2312"/>
          <w:sz w:val="32"/>
          <w:szCs w:val="32"/>
        </w:rPr>
        <w:t>县投资促进中心、高新区管委会等有关单位要抓紧开展招商引资工作，引导招商引资企业使用已批建设用地促进项目落地。对项目落实到位的，及时推出土地。</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做好用地批文失效、</w:t>
      </w:r>
      <w:r>
        <w:rPr>
          <w:rFonts w:hint="eastAsia" w:ascii="仿宋_GB2312" w:hAnsi="仿宋_GB2312" w:eastAsia="仿宋_GB2312" w:cs="仿宋_GB2312"/>
          <w:sz w:val="32"/>
          <w:szCs w:val="32"/>
        </w:rPr>
        <w:t>撤回</w:t>
      </w:r>
      <w:r>
        <w:rPr>
          <w:rFonts w:ascii="仿宋_GB2312" w:hAnsi="仿宋_GB2312" w:eastAsia="仿宋_GB2312" w:cs="仿宋_GB2312"/>
          <w:sz w:val="32"/>
          <w:szCs w:val="32"/>
        </w:rPr>
        <w:t>工作。</w:t>
      </w:r>
      <w:r>
        <w:rPr>
          <w:rFonts w:hint="eastAsia" w:ascii="仿宋_GB2312" w:hAnsi="仿宋_GB2312" w:eastAsia="仿宋_GB2312" w:cs="仿宋_GB2312"/>
          <w:sz w:val="32"/>
          <w:szCs w:val="32"/>
        </w:rPr>
        <w:t>县自然资源局负责</w:t>
      </w:r>
      <w:r>
        <w:rPr>
          <w:rFonts w:ascii="仿宋_GB2312" w:hAnsi="仿宋_GB2312" w:eastAsia="仿宋_GB2312" w:cs="仿宋_GB2312"/>
          <w:sz w:val="32"/>
          <w:szCs w:val="32"/>
        </w:rPr>
        <w:t>全面梳理取得用地批文及实施情况，对已失效的用地批文进行清理，并对难以实施的历史批准用地按程序开展申请</w:t>
      </w:r>
      <w:r>
        <w:rPr>
          <w:rFonts w:hint="eastAsia" w:ascii="仿宋_GB2312" w:hAnsi="仿宋_GB2312" w:eastAsia="仿宋_GB2312" w:cs="仿宋_GB2312"/>
          <w:sz w:val="32"/>
          <w:szCs w:val="32"/>
        </w:rPr>
        <w:t>撤回</w:t>
      </w:r>
      <w:r>
        <w:rPr>
          <w:rFonts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加快实施征地拆迁。</w:t>
      </w:r>
      <w:r>
        <w:rPr>
          <w:rFonts w:hint="eastAsia" w:ascii="仿宋_GB2312" w:hAnsi="仿宋_GB2312" w:eastAsia="仿宋_GB2312" w:cs="仿宋_GB2312"/>
          <w:sz w:val="32"/>
          <w:szCs w:val="32"/>
        </w:rPr>
        <w:t>各镇各相关单位要统一协调，明确责任，加大征地拆迁和政策处置力度，限期完成征地拆迁工作。对征地留用地未落实的，要通过采取货币安置、物业安置、供应土地等多种方式给予落实；对失土农民社会保障未落实的，要尽快给予解决；对征地标准要求过高的，要严格按照阳光征地程序实施征地，征地补偿费用及被征地农民社会保障费用要及时足额支付。</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加快落实规划。对城市规划未确定的，要抓紧</w:t>
      </w:r>
      <w:r>
        <w:rPr>
          <w:rFonts w:hint="eastAsia" w:ascii="仿宋_GB2312" w:hAnsi="仿宋_GB2312" w:eastAsia="仿宋_GB2312" w:cs="仿宋_GB2312"/>
          <w:sz w:val="32"/>
          <w:szCs w:val="32"/>
        </w:rPr>
        <w:t>编制控制性详细规划</w:t>
      </w:r>
      <w:r>
        <w:rPr>
          <w:rFonts w:hint="eastAsia" w:ascii="仿宋_GB2312" w:hAnsi="仿宋_GB2312" w:eastAsia="仿宋_GB2312" w:cs="仿宋_GB2312"/>
          <w:sz w:val="32"/>
          <w:szCs w:val="32"/>
          <w:lang w:val="zh-CN"/>
        </w:rPr>
        <w:t>；对批而未供面积较小无法单宗出具规划指标的，可作为边角地、夹心地，结合周边的城镇低效用地一并开发，也可作为绿化、公共停车场等公共设施用地简化手续进行供地。</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加快前期手续办理。对相关职能部门供地前置审批手续未完成的，</w:t>
      </w:r>
      <w:r>
        <w:rPr>
          <w:rFonts w:hint="eastAsia" w:ascii="仿宋_GB2312" w:hAnsi="仿宋_GB2312" w:eastAsia="仿宋_GB2312" w:cs="仿宋_GB2312"/>
          <w:sz w:val="32"/>
          <w:szCs w:val="32"/>
        </w:rPr>
        <w:t>业主单位</w:t>
      </w:r>
      <w:r>
        <w:rPr>
          <w:rFonts w:hint="eastAsia" w:ascii="仿宋_GB2312" w:hAnsi="仿宋_GB2312" w:eastAsia="仿宋_GB2312" w:cs="仿宋_GB2312"/>
          <w:sz w:val="32"/>
          <w:szCs w:val="32"/>
          <w:lang w:val="zh-CN"/>
        </w:rPr>
        <w:t>应牵头协调相关职能部门加快办理项目立项、规划许可、环评、水保等相关审批手续，要靠前主动做好服务，优化流程高效办理。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24"/>
        </w:rPr>
      </w:pPr>
      <w:r>
        <w:rPr>
          <w:rFonts w:hint="eastAsia" w:ascii="仿宋_GB2312" w:hAnsi="仿宋_GB2312" w:eastAsia="仿宋_GB2312" w:cs="仿宋_GB2312"/>
          <w:b/>
          <w:bCs/>
          <w:sz w:val="32"/>
          <w:szCs w:val="24"/>
        </w:rPr>
        <w:t>2</w:t>
      </w:r>
      <w:r>
        <w:rPr>
          <w:rFonts w:ascii="仿宋_GB2312" w:hAnsi="仿宋_GB2312" w:eastAsia="仿宋_GB2312" w:cs="仿宋_GB2312"/>
          <w:b/>
          <w:bCs/>
          <w:sz w:val="32"/>
          <w:szCs w:val="24"/>
        </w:rPr>
        <w:t>.</w:t>
      </w:r>
      <w:r>
        <w:rPr>
          <w:rFonts w:hint="eastAsia" w:ascii="仿宋_GB2312" w:hAnsi="仿宋_GB2312" w:eastAsia="仿宋_GB2312" w:cs="仿宋_GB2312"/>
          <w:b/>
          <w:bCs/>
          <w:sz w:val="32"/>
          <w:szCs w:val="24"/>
        </w:rPr>
        <w:t>供而未用土地处置</w:t>
      </w:r>
    </w:p>
    <w:p>
      <w:pPr>
        <w:pStyle w:val="4"/>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hAnsi="仿宋_GB2312" w:eastAsia="仿宋_GB2312" w:cs="仿宋_GB2312"/>
          <w:color w:val="C00000"/>
          <w:lang w:val="zh-CN"/>
        </w:rPr>
      </w:pPr>
      <w:r>
        <w:rPr>
          <w:rFonts w:hint="eastAsia" w:ascii="仿宋_GB2312" w:hAnsi="仿宋_GB2312" w:eastAsia="仿宋_GB2312" w:cs="仿宋_GB2312"/>
          <w:szCs w:val="24"/>
        </w:rPr>
        <w:t>（1）未构成土地闲置。</w:t>
      </w:r>
      <w:r>
        <w:rPr>
          <w:rFonts w:hint="eastAsia" w:ascii="仿宋_GB2312" w:hAnsi="仿宋_GB2312" w:eastAsia="仿宋_GB2312" w:cs="仿宋_GB2312"/>
        </w:rPr>
        <w:t>对于未超出约定开工期限以及虽超出约定开工期限，但尚未满一年未构成闲置土地的供而未用土地。县自然资源局</w:t>
      </w:r>
      <w:r>
        <w:rPr>
          <w:rFonts w:hint="eastAsia" w:ascii="仿宋_GB2312" w:hAnsi="仿宋_GB2312" w:eastAsia="仿宋_GB2312" w:cs="仿宋_GB2312"/>
          <w:lang w:val="zh-CN"/>
        </w:rPr>
        <w:t>要建立项目跟踪制度，及时掌握用地单位基本建设进度，</w:t>
      </w:r>
      <w:r>
        <w:rPr>
          <w:rFonts w:hint="eastAsia" w:ascii="仿宋_GB2312" w:hAnsi="仿宋_GB2312" w:eastAsia="仿宋_GB2312" w:cs="仿宋_GB2312"/>
        </w:rPr>
        <w:t>对于已开工建设的，县自然资源局要及时在</w:t>
      </w:r>
      <w:r>
        <w:rPr>
          <w:rFonts w:hint="eastAsia" w:ascii="仿宋_GB2312" w:hAnsi="仿宋_GB2312" w:eastAsia="仿宋_GB2312" w:cs="仿宋_GB2312"/>
          <w:lang w:val="en-US" w:eastAsia="zh-CN"/>
        </w:rPr>
        <w:t>土地</w:t>
      </w:r>
      <w:r>
        <w:rPr>
          <w:rFonts w:hint="eastAsia" w:ascii="仿宋_GB2312" w:hAnsi="仿宋_GB2312" w:eastAsia="仿宋_GB2312" w:cs="仿宋_GB2312"/>
        </w:rPr>
        <w:t>监测监管系统中填报开工时间和施工许可凭证；未开工建设的，各镇人民政府和高新区管委会要督促辖区范围项目抓紧动工建设，尽快报建取得施工许可证，</w:t>
      </w:r>
      <w:r>
        <w:rPr>
          <w:rFonts w:hint="eastAsia" w:ascii="仿宋_GB2312" w:hAnsi="仿宋_GB2312" w:eastAsia="仿宋_GB2312" w:cs="仿宋_GB2312"/>
          <w:lang w:val="zh-CN"/>
        </w:rPr>
        <w:t>各相关部门做好服务，</w:t>
      </w:r>
      <w:r>
        <w:rPr>
          <w:rFonts w:hint="eastAsia" w:ascii="仿宋_GB2312" w:hAnsi="仿宋_GB2312" w:eastAsia="仿宋_GB2312" w:cs="仿宋_GB2312"/>
        </w:rPr>
        <w:t>高新区管委会抓紧完成</w:t>
      </w:r>
      <w:r>
        <w:rPr>
          <w:rFonts w:hint="eastAsia" w:ascii="仿宋_GB2312" w:hAnsi="仿宋_GB2312" w:eastAsia="仿宋_GB2312" w:cs="仿宋_GB2312"/>
          <w:lang w:val="zh-CN"/>
        </w:rPr>
        <w:t>区域化评估,评估结果推送至</w:t>
      </w:r>
      <w:r>
        <w:rPr>
          <w:rFonts w:hint="eastAsia" w:ascii="仿宋_GB2312" w:hAnsi="仿宋_GB2312" w:eastAsia="仿宋_GB2312" w:cs="仿宋_GB2312"/>
        </w:rPr>
        <w:t>市</w:t>
      </w:r>
      <w:r>
        <w:rPr>
          <w:rFonts w:hint="eastAsia" w:ascii="仿宋_GB2312" w:hAnsi="仿宋_GB2312" w:eastAsia="仿宋_GB2312" w:cs="仿宋_GB2312"/>
          <w:lang w:val="zh-CN"/>
        </w:rPr>
        <w:t>工建系统中共享，对进入该区域、符合区域化评估评审结果适用条件的单体建设项目,行政审批部门要简化相关环节、申请材料或者不再进行单独评估，帮助</w:t>
      </w:r>
      <w:r>
        <w:rPr>
          <w:rFonts w:hint="eastAsia" w:ascii="仿宋_GB2312" w:hAnsi="仿宋_GB2312" w:eastAsia="仿宋_GB2312" w:cs="仿宋_GB2312"/>
        </w:rPr>
        <w:t>企业</w:t>
      </w:r>
      <w:r>
        <w:rPr>
          <w:rFonts w:hint="eastAsia" w:ascii="仿宋_GB2312" w:hAnsi="仿宋_GB2312" w:eastAsia="仿宋_GB2312" w:cs="仿宋_GB2312"/>
          <w:lang w:val="zh-CN"/>
        </w:rPr>
        <w:t>尽快办理相关手续，</w:t>
      </w:r>
      <w:r>
        <w:rPr>
          <w:rFonts w:hint="eastAsia" w:ascii="仿宋_GB2312" w:hAnsi="仿宋_GB2312" w:eastAsia="仿宋_GB2312" w:cs="仿宋_GB2312"/>
        </w:rPr>
        <w:t>消除企业动工障碍</w:t>
      </w:r>
      <w:r>
        <w:rPr>
          <w:rFonts w:hint="eastAsia" w:ascii="仿宋_GB2312" w:hAnsi="仿宋_GB2312" w:eastAsia="仿宋_GB2312" w:cs="仿宋_GB2312"/>
          <w:lang w:val="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480" w:firstLineChars="1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24"/>
        </w:rPr>
        <w:t>构成土地闲置。对于超出约定开发期限满一年的供而未用土地</w:t>
      </w:r>
      <w:r>
        <w:rPr>
          <w:rFonts w:hint="eastAsia" w:ascii="仿宋_GB2312" w:hAnsi="仿宋_GB2312" w:eastAsia="仿宋_GB2312" w:cs="仿宋_GB2312"/>
          <w:sz w:val="32"/>
          <w:szCs w:val="24"/>
          <w:lang w:val="en-US" w:eastAsia="zh-CN"/>
        </w:rPr>
        <w:t>及虽</w:t>
      </w:r>
      <w:r>
        <w:rPr>
          <w:rFonts w:hint="eastAsia" w:ascii="仿宋_GB2312" w:hAnsi="仿宋_GB2312" w:eastAsia="仿宋_GB2312" w:cs="仿宋_GB2312"/>
          <w:sz w:val="32"/>
          <w:szCs w:val="32"/>
        </w:rPr>
        <w:t>已动工开发但开发建设面积占应动工开发建设用地总面积不足三分之一或者已投资额占总投资额不足百分之二十五，中止开发建设满一年的国有建设用地</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县自然资源局要按照《闲置土地处置办法》规定，启动闲置土地调查程序，根据土地闲置原因，分类施策推动闲置土地处置。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汉仪书宋二S" w:hAnsi="汉仪书宋二S" w:eastAsia="汉仪书宋二S" w:cs="汉仪书宋二S"/>
          <w:sz w:val="32"/>
          <w:szCs w:val="32"/>
          <w:lang w:val="zh-CN"/>
        </w:rPr>
        <w:t>①</w:t>
      </w:r>
      <w:r>
        <w:rPr>
          <w:rFonts w:hint="eastAsia" w:ascii="仿宋_GB2312" w:hAnsi="仿宋_GB2312" w:eastAsia="仿宋_GB2312" w:cs="仿宋_GB2312"/>
          <w:sz w:val="32"/>
          <w:szCs w:val="32"/>
          <w:lang w:val="zh-CN"/>
        </w:rPr>
        <w:t>因政府原因造成土地闲置。</w:t>
      </w: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zh-CN"/>
        </w:rPr>
        <w:t>能在短期内恢复开工的，</w:t>
      </w:r>
      <w:r>
        <w:rPr>
          <w:rFonts w:hint="eastAsia" w:ascii="仿宋_GB2312" w:hAnsi="仿宋_GB2312" w:eastAsia="仿宋_GB2312" w:cs="仿宋_GB2312"/>
          <w:sz w:val="32"/>
          <w:szCs w:val="32"/>
        </w:rPr>
        <w:t>且与国有建设用地使用权人协商一致，可</w:t>
      </w:r>
      <w:r>
        <w:rPr>
          <w:rFonts w:hint="eastAsia" w:ascii="仿宋_GB2312" w:hAnsi="仿宋_GB2312" w:eastAsia="仿宋_GB2312" w:cs="仿宋_GB2312"/>
          <w:sz w:val="32"/>
          <w:szCs w:val="32"/>
          <w:lang w:val="zh-CN"/>
        </w:rPr>
        <w:t>通过延长动工开发期限方式进行处置</w:t>
      </w:r>
      <w:r>
        <w:rPr>
          <w:rFonts w:hint="eastAsia" w:ascii="仿宋_GB2312" w:hAnsi="仿宋_GB2312" w:eastAsia="仿宋_GB2312" w:cs="仿宋_GB2312"/>
          <w:sz w:val="32"/>
          <w:szCs w:val="32"/>
        </w:rPr>
        <w:t>，从补充协议约定动工开发日期起，延长动工开发期限最长不得超过一年</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lang w:val="zh-CN"/>
        </w:rPr>
        <w:t>不能在短期内恢复开工</w:t>
      </w:r>
      <w:r>
        <w:rPr>
          <w:rFonts w:hint="eastAsia" w:ascii="仿宋_GB2312" w:hAnsi="仿宋_GB2312" w:eastAsia="仿宋_GB2312" w:cs="仿宋_GB2312"/>
          <w:sz w:val="32"/>
          <w:szCs w:val="32"/>
        </w:rPr>
        <w:t>但与国有建设用地使用权人协商一致</w:t>
      </w:r>
      <w:r>
        <w:rPr>
          <w:rFonts w:hint="eastAsia" w:ascii="仿宋_GB2312" w:hAnsi="仿宋_GB2312" w:eastAsia="仿宋_GB2312" w:cs="仿宋_GB2312"/>
          <w:sz w:val="32"/>
          <w:szCs w:val="32"/>
          <w:lang w:val="zh-CN"/>
        </w:rPr>
        <w:t>的，</w:t>
      </w:r>
      <w:r>
        <w:rPr>
          <w:rFonts w:hint="eastAsia" w:ascii="仿宋_GB2312" w:hAnsi="仿宋_GB2312" w:eastAsia="仿宋_GB2312" w:cs="仿宋_GB2312"/>
          <w:sz w:val="32"/>
          <w:szCs w:val="32"/>
          <w:lang w:val="en-US" w:eastAsia="zh-CN"/>
        </w:rPr>
        <w:t>符合相关法律法规规定的，</w:t>
      </w:r>
      <w:r>
        <w:rPr>
          <w:rFonts w:hint="eastAsia" w:ascii="仿宋_GB2312" w:hAnsi="仿宋_GB2312" w:eastAsia="仿宋_GB2312" w:cs="仿宋_GB2312"/>
          <w:sz w:val="32"/>
          <w:szCs w:val="32"/>
          <w:lang w:val="zh-CN"/>
        </w:rPr>
        <w:t>应采用安排临时使用、协</w:t>
      </w:r>
      <w:r>
        <w:rPr>
          <w:rFonts w:hint="eastAsia" w:ascii="仿宋_GB2312" w:hAnsi="仿宋_GB2312" w:eastAsia="仿宋_GB2312" w:cs="仿宋_GB2312"/>
          <w:sz w:val="32"/>
          <w:szCs w:val="32"/>
        </w:rPr>
        <w:t>议收回、置换用地等方式进行处置，以临时安排使用处置的，从安排临时使用之日起，临时使用期限最长不得超过两年，以协议收回处置的，协议收回的价格原则上应采取评估方式确定；三是无法与国有建设用地使用权人协商一致意见的，可以提请人民法院变更或解除国有建设用地使用权出让合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sz w:val="32"/>
          <w:szCs w:val="32"/>
        </w:rPr>
      </w:pPr>
      <w:r>
        <w:rPr>
          <w:rFonts w:hint="eastAsia" w:ascii="汉仪书宋二S" w:hAnsi="汉仪书宋二S" w:eastAsia="汉仪书宋二S" w:cs="汉仪书宋二S"/>
          <w:sz w:val="32"/>
          <w:szCs w:val="32"/>
          <w:lang w:val="zh-CN"/>
        </w:rPr>
        <w:t>②</w:t>
      </w:r>
      <w:r>
        <w:rPr>
          <w:rFonts w:hint="eastAsia" w:ascii="仿宋_GB2312" w:hAnsi="仿宋_GB2312" w:eastAsia="仿宋_GB2312" w:cs="仿宋_GB2312"/>
          <w:sz w:val="32"/>
          <w:szCs w:val="32"/>
          <w:lang w:val="zh-CN"/>
        </w:rPr>
        <w:t>因企业自身原因造成土地闲置。</w:t>
      </w:r>
      <w:r>
        <w:rPr>
          <w:rFonts w:hint="eastAsia" w:ascii="仿宋_GB2312" w:hAnsi="仿宋_GB2312" w:eastAsia="仿宋_GB2312" w:cs="仿宋_GB2312"/>
          <w:sz w:val="32"/>
          <w:szCs w:val="32"/>
        </w:rPr>
        <w:t>在充分保障国有建设用地使用权人听证权利基础上，因企业自身原因造成超过约定动工时间一年以上但未满两年尚未动工建设的，或已动工开发但开发建设面积占应动工开发建设用地总面积不足三分之一或者已投资额占总投资额不足百分之二十五，中止开发建设满一年的国有建设用地，要严格收取闲置费；未动工满两年的，无偿收回国有建设用地使用权，企业若有异议，可依法提起行政复议或行政诉讼，县高新区管委会</w:t>
      </w:r>
      <w:r>
        <w:rPr>
          <w:rFonts w:hint="eastAsia" w:ascii="仿宋_GB2312" w:hAnsi="仿宋_GB2312" w:eastAsia="仿宋_GB2312" w:cs="仿宋_GB2312"/>
          <w:sz w:val="32"/>
          <w:szCs w:val="32"/>
          <w:lang w:val="en-US" w:eastAsia="zh-CN"/>
        </w:rPr>
        <w:t>配合县</w:t>
      </w:r>
      <w:r>
        <w:rPr>
          <w:rFonts w:hint="eastAsia" w:ascii="仿宋_GB2312" w:hAnsi="仿宋_GB2312" w:eastAsia="仿宋_GB2312" w:cs="仿宋_GB2312"/>
          <w:sz w:val="32"/>
          <w:szCs w:val="32"/>
        </w:rPr>
        <w:t>自然资源局做好应诉准备工作，司法部门应全力配合提供法律保障。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sz w:val="32"/>
          <w:szCs w:val="32"/>
        </w:rPr>
      </w:pPr>
      <w:r>
        <w:rPr>
          <w:rFonts w:hint="eastAsia" w:ascii="汉仪书宋二S" w:hAnsi="汉仪书宋二S" w:eastAsia="汉仪书宋二S" w:cs="汉仪书宋二S"/>
          <w:sz w:val="32"/>
          <w:szCs w:val="32"/>
          <w:lang w:val="zh-CN"/>
        </w:rPr>
        <w:t>③</w:t>
      </w:r>
      <w:r>
        <w:rPr>
          <w:rFonts w:hint="eastAsia" w:ascii="仿宋_GB2312" w:hAnsi="仿宋_GB2312" w:eastAsia="仿宋_GB2312" w:cs="仿宋_GB2312"/>
          <w:sz w:val="32"/>
          <w:szCs w:val="32"/>
          <w:lang w:val="zh-CN"/>
        </w:rPr>
        <w:t>其他原因造成土地闲置的，各地要加强沟通协调，努力消除影响土地开工的各种不利因素，促进项目正常施工。因司法查封无法动工开发的，</w:t>
      </w:r>
      <w:r>
        <w:rPr>
          <w:rFonts w:hint="eastAsia" w:ascii="仿宋_GB2312" w:hAnsi="仿宋_GB2312" w:eastAsia="仿宋_GB2312" w:cs="仿宋_GB2312"/>
          <w:sz w:val="32"/>
          <w:szCs w:val="32"/>
        </w:rPr>
        <w:t>县自然资源局</w:t>
      </w:r>
      <w:r>
        <w:rPr>
          <w:rFonts w:hint="eastAsia" w:ascii="仿宋_GB2312" w:hAnsi="仿宋_GB2312" w:eastAsia="仿宋_GB2312" w:cs="仿宋_GB2312"/>
          <w:sz w:val="32"/>
          <w:szCs w:val="32"/>
          <w:lang w:val="zh-CN"/>
        </w:rPr>
        <w:t>要主动与当地法院协调处理；因群众信访等事项无法动工开发的，在保护人民群众和土地使用权人合法权益的基础上，主动调解沟通、化解矛盾，保证项目正常建设。</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Cs w:val="24"/>
        </w:rPr>
      </w:pPr>
      <w:r>
        <w:rPr>
          <w:rFonts w:hint="eastAsia" w:ascii="仿宋_GB2312" w:hAnsi="仿宋_GB2312" w:eastAsia="仿宋_GB2312" w:cs="仿宋_GB2312"/>
          <w:b/>
          <w:bCs/>
          <w:szCs w:val="24"/>
        </w:rPr>
        <w:t>3</w:t>
      </w:r>
      <w:r>
        <w:rPr>
          <w:rFonts w:ascii="仿宋_GB2312" w:hAnsi="仿宋_GB2312" w:eastAsia="仿宋_GB2312" w:cs="仿宋_GB2312"/>
          <w:b/>
          <w:bCs/>
          <w:szCs w:val="24"/>
        </w:rPr>
        <w:t>.</w:t>
      </w:r>
      <w:r>
        <w:rPr>
          <w:rFonts w:hint="eastAsia" w:ascii="仿宋_GB2312" w:hAnsi="仿宋_GB2312" w:eastAsia="仿宋_GB2312" w:cs="仿宋_GB2312"/>
          <w:b/>
          <w:bCs/>
          <w:szCs w:val="24"/>
        </w:rPr>
        <w:t>用而未尽土地处置</w:t>
      </w:r>
    </w:p>
    <w:p>
      <w:pPr>
        <w:pStyle w:val="4"/>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hint="eastAsia" w:ascii="仿宋_GB2312" w:hAnsi="仿宋_GB2312" w:eastAsia="仿宋_GB2312" w:cs="仿宋_GB2312"/>
        </w:rPr>
      </w:pPr>
      <w:r>
        <w:rPr>
          <w:rFonts w:hint="eastAsia" w:ascii="仿宋_GB2312" w:hAnsi="仿宋_GB2312" w:eastAsia="仿宋_GB2312" w:cs="仿宋_GB2312"/>
        </w:rPr>
        <w:t>（1）对开发建设用地面积占应动工开发建设用地总面积达到三分之一且已投资额占总投资额达到百分之二十五的供而未尽土地，企业无力继续开发且有转让意愿的，在符合转让条件的情况下，鼓励企业转让土地使用权给其他企业;有条件进行地块分割且政府有收储需要的，可由各镇、高新区管委会会同县自然资源局与用地单位协商收回未开发部分土地使用权，重新组织二次出让</w:t>
      </w:r>
      <w:r>
        <w:rPr>
          <w:rFonts w:hint="eastAsia" w:ascii="仿宋_GB2312" w:hAnsi="仿宋_GB2312" w:eastAsia="仿宋_GB2312" w:cs="仿宋_GB2312"/>
          <w:lang w:eastAsia="zh-CN"/>
        </w:rPr>
        <w:t>；</w:t>
      </w:r>
      <w:r>
        <w:rPr>
          <w:rFonts w:hint="eastAsia" w:ascii="仿宋_GB2312" w:hAnsi="仿宋_GB2312" w:eastAsia="仿宋_GB2312" w:cs="仿宋_GB2312"/>
        </w:rPr>
        <w:t>若原项目业主确有实力并承诺继续追加投资的，在6个月内启动、12个月内整改到位。在符合规划、不改变用途的前提下，工业项目可通过提高容积率或建筑密度、建设多层高标准厂房、增加固定资产投入等方式，提升用地效益。</w:t>
      </w:r>
    </w:p>
    <w:p>
      <w:pPr>
        <w:pStyle w:val="4"/>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hAnsi="仿宋_GB2312" w:eastAsia="仿宋_GB2312" w:cs="仿宋_GB2312"/>
          <w:color w:val="C00000"/>
        </w:rPr>
      </w:pPr>
      <w:r>
        <w:rPr>
          <w:rFonts w:hint="eastAsia" w:ascii="仿宋_GB2312" w:hAnsi="仿宋_GB2312" w:eastAsia="仿宋_GB2312" w:cs="仿宋_GB2312"/>
        </w:rPr>
        <w:t>（2）对违反合同约定未投产或投资强度不足的土地，限企业在6个月内投产及追加投资。到期后问题仍未消除的，采取政府协议收回、企业引进收购重组、按照监管协议收取违约金等方式盘活资源，并纳入重点监管对象，对企业授信、用信有效管控。</w:t>
      </w:r>
    </w:p>
    <w:p>
      <w:pPr>
        <w:pStyle w:val="4"/>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ascii="仿宋_GB2312" w:hAnsi="仿宋_GB2312" w:eastAsia="仿宋_GB2312" w:cs="仿宋_GB2312"/>
        </w:rPr>
      </w:pPr>
      <w:r>
        <w:rPr>
          <w:rFonts w:hint="eastAsia" w:ascii="仿宋_GB2312" w:hAnsi="仿宋_GB2312" w:eastAsia="仿宋_GB2312" w:cs="仿宋_GB2312"/>
        </w:rPr>
        <w:t>（3）对亩均税收未达标的土地，建立分类分档、公开排序、动态管理的企业综合评价机制，通过完善资源要素差别化配置，推行分类指导，对低效用地企业进行帮扶升级以提质增效，以淘汰落后产能。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五、工作安排</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（一）</w:t>
      </w:r>
      <w:r>
        <w:rPr>
          <w:rFonts w:hint="eastAsia" w:ascii="楷体_GB2312" w:hAnsi="楷体_GB2312" w:eastAsia="楷体_GB2312" w:cs="楷体_GB2312"/>
          <w:b/>
          <w:bCs/>
          <w:sz w:val="32"/>
          <w:szCs w:val="32"/>
        </w:rPr>
        <w:t>摸底</w:t>
      </w: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清查</w:t>
      </w:r>
      <w:r>
        <w:rPr>
          <w:rFonts w:hint="eastAsia" w:ascii="楷体_GB2312" w:hAnsi="楷体_GB2312" w:eastAsia="楷体_GB2312" w:cs="楷体_GB2312"/>
          <w:b/>
          <w:bCs/>
          <w:sz w:val="32"/>
          <w:szCs w:val="32"/>
          <w:lang w:val="zh-CN"/>
        </w:rPr>
        <w:t>阶段（</w:t>
      </w:r>
      <w:r>
        <w:rPr>
          <w:rFonts w:hint="eastAsia" w:ascii="楷体_GB2312" w:hAnsi="楷体_GB2312" w:eastAsia="楷体_GB2312" w:cs="楷体_GB2312"/>
          <w:b/>
          <w:bCs/>
          <w:sz w:val="32"/>
          <w:szCs w:val="32"/>
        </w:rPr>
        <w:t>2023</w:t>
      </w:r>
      <w:r>
        <w:rPr>
          <w:rFonts w:hint="eastAsia" w:ascii="楷体_GB2312" w:hAnsi="楷体_GB2312" w:eastAsia="楷体_GB2312" w:cs="楷体_GB2312"/>
          <w:b/>
          <w:bCs/>
          <w:sz w:val="32"/>
          <w:szCs w:val="32"/>
          <w:lang w:val="zh-CN"/>
        </w:rPr>
        <w:t>年</w:t>
      </w:r>
      <w:r>
        <w:rPr>
          <w:rFonts w:hint="eastAsia" w:ascii="楷体_GB2312" w:hAnsi="楷体_GB2312" w:eastAsia="楷体_GB2312" w:cs="楷体_GB2312"/>
          <w:b/>
          <w:bCs/>
          <w:sz w:val="32"/>
          <w:szCs w:val="32"/>
          <w:lang w:val="en-US" w:eastAsia="zh-CN"/>
        </w:rPr>
        <w:t>10</w:t>
      </w:r>
      <w:r>
        <w:rPr>
          <w:rFonts w:hint="eastAsia" w:ascii="楷体_GB2312" w:hAnsi="楷体_GB2312" w:eastAsia="楷体_GB2312" w:cs="楷体_GB2312"/>
          <w:b/>
          <w:bCs/>
          <w:sz w:val="32"/>
          <w:szCs w:val="32"/>
          <w:lang w:val="zh-CN"/>
        </w:rPr>
        <w:t>月</w:t>
      </w:r>
      <w:r>
        <w:rPr>
          <w:rFonts w:hint="eastAsia" w:ascii="楷体_GB2312" w:hAnsi="楷体_GB2312" w:eastAsia="楷体_GB2312" w:cs="楷体_GB2312"/>
          <w:b/>
          <w:bCs/>
          <w:sz w:val="32"/>
          <w:szCs w:val="32"/>
        </w:rPr>
        <w:t>30</w:t>
      </w:r>
      <w:r>
        <w:rPr>
          <w:rFonts w:hint="eastAsia" w:ascii="楷体_GB2312" w:hAnsi="楷体_GB2312" w:eastAsia="楷体_GB2312" w:cs="楷体_GB2312"/>
          <w:b/>
          <w:bCs/>
          <w:sz w:val="32"/>
          <w:szCs w:val="32"/>
          <w:lang w:val="zh-CN"/>
        </w:rPr>
        <w:t>日前）</w:t>
      </w:r>
      <w:r>
        <w:rPr>
          <w:rFonts w:hint="eastAsia" w:ascii="楷体_GB2312" w:hAnsi="楷体_GB2312" w:eastAsia="楷体_GB2312" w:cs="楷体_GB2312"/>
          <w:b/>
          <w:bCs/>
          <w:sz w:val="32"/>
          <w:szCs w:val="32"/>
          <w:lang w:val="zh-CN" w:eastAsia="zh-CN"/>
        </w:rPr>
        <w:t>。</w:t>
      </w:r>
      <w:r>
        <w:rPr>
          <w:rFonts w:hint="eastAsia" w:ascii="仿宋_GB2312" w:hAnsi="仿宋_GB2312" w:eastAsia="仿宋_GB2312" w:cs="仿宋_GB2312"/>
          <w:sz w:val="32"/>
          <w:szCs w:val="32"/>
        </w:rPr>
        <w:t>由县自然资源局牵头，委托第三方技术单位，组成工作小组，制定工作方案，对</w:t>
      </w:r>
      <w:r>
        <w:rPr>
          <w:rFonts w:hint="eastAsia" w:ascii="仿宋_GB2312" w:hAnsi="仿宋_GB2312" w:eastAsia="仿宋_GB2312" w:cs="仿宋_GB2312"/>
          <w:sz w:val="32"/>
          <w:szCs w:val="32"/>
          <w:lang w:val="en-US" w:eastAsia="zh-CN"/>
        </w:rPr>
        <w:t>各镇和</w:t>
      </w:r>
      <w:r>
        <w:rPr>
          <w:rFonts w:hint="eastAsia" w:ascii="仿宋_GB2312" w:hAnsi="仿宋_GB2312" w:eastAsia="仿宋_GB2312" w:cs="仿宋_GB2312"/>
          <w:sz w:val="32"/>
          <w:szCs w:val="32"/>
        </w:rPr>
        <w:t>陆河高新区，</w:t>
      </w:r>
      <w:r>
        <w:rPr>
          <w:rFonts w:hint="eastAsia" w:ascii="仿宋_GB2312" w:hAnsi="仿宋_GB2312" w:eastAsia="仿宋_GB2312" w:cs="仿宋_GB2312"/>
          <w:sz w:val="32"/>
          <w:szCs w:val="32"/>
          <w:lang w:val="zh-CN"/>
        </w:rPr>
        <w:t>每宗批而未供、供而未用土地进行调查核实，逐宗查实未供未用原因，建立台账登记在册，并请于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zh-CN"/>
        </w:rPr>
        <w:t>月30日前</w:t>
      </w:r>
      <w:r>
        <w:rPr>
          <w:rFonts w:hint="eastAsia" w:ascii="仿宋_GB2312" w:hAnsi="仿宋_GB2312" w:eastAsia="仿宋_GB2312" w:cs="仿宋_GB2312"/>
          <w:sz w:val="32"/>
          <w:szCs w:val="32"/>
        </w:rPr>
        <w:t>形成调查报告，提出处置意见建议</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牵头单位：县自然资源局，配合单位：各镇人民政府、高新区管委会</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（二）</w:t>
      </w:r>
      <w:r>
        <w:rPr>
          <w:rFonts w:hint="eastAsia" w:ascii="楷体_GB2312" w:hAnsi="楷体_GB2312" w:eastAsia="楷体_GB2312" w:cs="楷体_GB2312"/>
          <w:b/>
          <w:bCs/>
          <w:sz w:val="32"/>
          <w:szCs w:val="32"/>
        </w:rPr>
        <w:t>逐宗制定处置方案</w:t>
      </w:r>
      <w:r>
        <w:rPr>
          <w:rFonts w:hint="eastAsia" w:ascii="楷体_GB2312" w:hAnsi="楷体_GB2312" w:eastAsia="楷体_GB2312" w:cs="楷体_GB2312"/>
          <w:b/>
          <w:bCs/>
          <w:sz w:val="32"/>
          <w:szCs w:val="32"/>
          <w:lang w:val="zh-CN"/>
        </w:rPr>
        <w:t>阶段（</w:t>
      </w:r>
      <w:r>
        <w:rPr>
          <w:rFonts w:hint="eastAsia" w:ascii="楷体_GB2312" w:hAnsi="楷体_GB2312" w:eastAsia="楷体_GB2312" w:cs="楷体_GB2312"/>
          <w:b/>
          <w:bCs/>
          <w:sz w:val="32"/>
          <w:szCs w:val="32"/>
        </w:rPr>
        <w:t>2023</w:t>
      </w:r>
      <w:r>
        <w:rPr>
          <w:rFonts w:hint="eastAsia" w:ascii="楷体_GB2312" w:hAnsi="楷体_GB2312" w:eastAsia="楷体_GB2312" w:cs="楷体_GB2312"/>
          <w:b/>
          <w:bCs/>
          <w:sz w:val="32"/>
          <w:szCs w:val="32"/>
          <w:lang w:val="zh-CN"/>
        </w:rPr>
        <w:t>年</w:t>
      </w: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lang w:val="zh-CN"/>
        </w:rPr>
        <w:t>月至</w:t>
      </w:r>
      <w:r>
        <w:rPr>
          <w:rFonts w:hint="eastAsia" w:ascii="楷体_GB2312" w:hAnsi="楷体_GB2312" w:eastAsia="楷体_GB2312" w:cs="楷体_GB2312"/>
          <w:b/>
          <w:bCs/>
          <w:sz w:val="32"/>
          <w:szCs w:val="32"/>
        </w:rPr>
        <w:t>12</w:t>
      </w:r>
      <w:r>
        <w:rPr>
          <w:rFonts w:hint="eastAsia" w:ascii="楷体_GB2312" w:hAnsi="楷体_GB2312" w:eastAsia="楷体_GB2312" w:cs="楷体_GB2312"/>
          <w:b/>
          <w:bCs/>
          <w:sz w:val="32"/>
          <w:szCs w:val="32"/>
          <w:lang w:val="zh-CN"/>
        </w:rPr>
        <w:t>月底）。</w:t>
      </w:r>
      <w:r>
        <w:rPr>
          <w:rFonts w:hint="eastAsia" w:ascii="仿宋_GB2312" w:hAnsi="仿宋_GB2312" w:eastAsia="仿宋_GB2312" w:cs="仿宋_GB2312"/>
          <w:sz w:val="32"/>
          <w:szCs w:val="32"/>
          <w:lang w:val="en-US" w:eastAsia="zh-CN"/>
        </w:rPr>
        <w:t>各镇人民政府、</w:t>
      </w:r>
      <w:r>
        <w:rPr>
          <w:rFonts w:hint="eastAsia" w:ascii="仿宋_GB2312" w:hAnsi="仿宋_GB2312" w:eastAsia="仿宋_GB2312" w:cs="仿宋_GB2312"/>
          <w:sz w:val="32"/>
          <w:szCs w:val="32"/>
        </w:rPr>
        <w:t>高新区管委会</w:t>
      </w:r>
      <w:r>
        <w:rPr>
          <w:rFonts w:hint="eastAsia" w:ascii="仿宋_GB2312" w:hAnsi="仿宋_GB2312" w:eastAsia="仿宋_GB2312" w:cs="仿宋_GB2312"/>
          <w:sz w:val="32"/>
          <w:szCs w:val="32"/>
          <w:lang w:val="zh-CN"/>
        </w:rPr>
        <w:t>要组织工作力量，</w:t>
      </w:r>
      <w:r>
        <w:rPr>
          <w:rFonts w:hint="eastAsia" w:ascii="仿宋_GB2312" w:hAnsi="仿宋_GB2312" w:eastAsia="仿宋_GB2312" w:cs="仿宋_GB2312"/>
          <w:sz w:val="32"/>
          <w:szCs w:val="32"/>
        </w:rPr>
        <w:t>结合调查报告和处置意见建议，进一步深入</w:t>
      </w:r>
      <w:r>
        <w:rPr>
          <w:rFonts w:hint="eastAsia" w:ascii="仿宋_GB2312" w:hAnsi="仿宋_GB2312" w:eastAsia="仿宋_GB2312" w:cs="仿宋_GB2312"/>
          <w:sz w:val="32"/>
          <w:szCs w:val="32"/>
          <w:lang w:val="zh-CN"/>
        </w:rPr>
        <w:t>分析各自辖区范围内批而未供、供而未用、</w:t>
      </w:r>
      <w:r>
        <w:rPr>
          <w:rFonts w:hint="eastAsia" w:ascii="仿宋_GB2312" w:hAnsi="仿宋_GB2312" w:eastAsia="仿宋_GB2312" w:cs="仿宋_GB2312"/>
          <w:sz w:val="32"/>
          <w:szCs w:val="32"/>
        </w:rPr>
        <w:t>用而未尽</w:t>
      </w:r>
      <w:r>
        <w:rPr>
          <w:rFonts w:hint="eastAsia" w:ascii="仿宋_GB2312" w:hAnsi="仿宋_GB2312" w:eastAsia="仿宋_GB2312" w:cs="仿宋_GB2312"/>
          <w:sz w:val="32"/>
          <w:szCs w:val="32"/>
          <w:lang w:val="zh-CN"/>
        </w:rPr>
        <w:t>土地原因，根据每宗用地情况，逐宗制定具体消化处置方案，</w:t>
      </w:r>
      <w:r>
        <w:rPr>
          <w:rFonts w:hint="eastAsia" w:ascii="仿宋_GB2312" w:hAnsi="仿宋_GB2312" w:eastAsia="仿宋_GB2312" w:cs="仿宋_GB2312"/>
          <w:sz w:val="32"/>
          <w:szCs w:val="32"/>
        </w:rPr>
        <w:t>并将处置方案于2023年12月底前经县政府同意后</w:t>
      </w:r>
      <w:r>
        <w:rPr>
          <w:rFonts w:hint="eastAsia" w:ascii="仿宋_GB2312" w:hAnsi="仿宋_GB2312" w:eastAsia="仿宋_GB2312" w:cs="仿宋_GB2312"/>
          <w:sz w:val="32"/>
          <w:szCs w:val="32"/>
          <w:lang w:val="zh-CN"/>
        </w:rPr>
        <w:t>报</w:t>
      </w:r>
      <w:r>
        <w:rPr>
          <w:rFonts w:hint="eastAsia" w:ascii="仿宋_GB2312" w:hAnsi="仿宋_GB2312" w:eastAsia="仿宋_GB2312" w:cs="仿宋_GB2312"/>
          <w:sz w:val="32"/>
          <w:szCs w:val="32"/>
        </w:rPr>
        <w:t>送至市政府审定，县自然资源局做好政策解读、指导工作</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牵头单位：各镇人民政府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高新区管委会，配合单位：县自然资源局</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rPr>
        <w:t>（三）依法依规处置</w:t>
      </w:r>
      <w:r>
        <w:rPr>
          <w:rFonts w:hint="eastAsia" w:ascii="楷体_GB2312" w:hAnsi="楷体_GB2312" w:eastAsia="楷体_GB2312" w:cs="楷体_GB2312"/>
          <w:b/>
          <w:bCs/>
          <w:sz w:val="32"/>
          <w:szCs w:val="32"/>
          <w:lang w:val="zh-CN"/>
        </w:rPr>
        <w:t>阶段（2024年1月至2025年10月底）。</w:t>
      </w:r>
      <w:r>
        <w:rPr>
          <w:rFonts w:hint="eastAsia" w:ascii="仿宋_GB2312" w:hAnsi="仿宋_GB2312" w:eastAsia="仿宋_GB2312" w:cs="仿宋_GB2312"/>
          <w:sz w:val="32"/>
          <w:szCs w:val="32"/>
          <w:lang w:val="zh-CN"/>
        </w:rPr>
        <w:t>各镇人民政府、</w:t>
      </w:r>
      <w:r>
        <w:rPr>
          <w:rFonts w:hint="eastAsia" w:ascii="仿宋_GB2312" w:hAnsi="仿宋_GB2312" w:eastAsia="仿宋_GB2312" w:cs="仿宋_GB2312"/>
          <w:sz w:val="32"/>
          <w:szCs w:val="32"/>
        </w:rPr>
        <w:t>高新区管委会</w:t>
      </w:r>
      <w:r>
        <w:rPr>
          <w:rFonts w:hint="eastAsia" w:ascii="仿宋_GB2312" w:hAnsi="仿宋_GB2312" w:eastAsia="仿宋_GB2312" w:cs="仿宋_GB2312"/>
          <w:sz w:val="32"/>
          <w:szCs w:val="32"/>
          <w:lang w:val="zh-CN"/>
        </w:rPr>
        <w:t>要</w:t>
      </w:r>
      <w:r>
        <w:rPr>
          <w:rFonts w:hint="eastAsia" w:ascii="仿宋_GB2312" w:hAnsi="仿宋_GB2312" w:eastAsia="仿宋_GB2312" w:cs="仿宋_GB2312"/>
          <w:sz w:val="32"/>
          <w:szCs w:val="32"/>
        </w:rPr>
        <w:t>对照批而未供、供而未用、用而未尽土地消化处置方案，对</w:t>
      </w:r>
      <w:r>
        <w:rPr>
          <w:rFonts w:hint="eastAsia" w:ascii="仿宋_GB2312" w:eastAsia="仿宋_GB2312"/>
          <w:sz w:val="32"/>
          <w:szCs w:val="32"/>
        </w:rPr>
        <w:t>园</w:t>
      </w:r>
      <w:r>
        <w:rPr>
          <w:rFonts w:hint="eastAsia" w:ascii="仿宋_GB2312" w:hAnsi="仿宋_GB2312" w:eastAsia="仿宋_GB2312" w:cs="仿宋_GB2312"/>
          <w:sz w:val="32"/>
          <w:szCs w:val="32"/>
        </w:rPr>
        <w:t>区存量土地开展分类处置，采取有效措施推动处置工作，并于每月</w:t>
      </w:r>
      <w:r>
        <w:rPr>
          <w:rFonts w:hint="eastAsia" w:ascii="仿宋_GB2312" w:hAnsi="仿宋_GB2312" w:eastAsia="仿宋_GB2312" w:cs="仿宋_GB2312"/>
          <w:sz w:val="32"/>
          <w:szCs w:val="32"/>
          <w:lang w:val="zh-CN"/>
        </w:rPr>
        <w:t>30日前将各辖区范围内</w:t>
      </w:r>
      <w:r>
        <w:rPr>
          <w:rFonts w:hint="eastAsia" w:ascii="仿宋_GB2312" w:hAnsi="仿宋_GB2312" w:eastAsia="仿宋_GB2312" w:cs="仿宋_GB2312"/>
          <w:sz w:val="32"/>
          <w:szCs w:val="32"/>
        </w:rPr>
        <w:t>批而未供、供而未用、用而未尽</w:t>
      </w:r>
      <w:r>
        <w:rPr>
          <w:rFonts w:hint="eastAsia" w:ascii="仿宋_GB2312" w:hAnsi="仿宋_GB2312" w:eastAsia="仿宋_GB2312" w:cs="仿宋_GB2312"/>
          <w:sz w:val="32"/>
          <w:szCs w:val="32"/>
          <w:lang w:val="zh-CN"/>
        </w:rPr>
        <w:t>土地消化处置进展情况、主要做法、存在问题及下一步工作计划报</w:t>
      </w:r>
      <w:r>
        <w:rPr>
          <w:rFonts w:hint="eastAsia" w:ascii="仿宋_GB2312" w:hAnsi="仿宋_GB2312" w:eastAsia="仿宋_GB2312" w:cs="仿宋_GB2312"/>
          <w:sz w:val="32"/>
          <w:szCs w:val="32"/>
        </w:rPr>
        <w:t>送至</w:t>
      </w:r>
      <w:r>
        <w:rPr>
          <w:rFonts w:hint="eastAsia" w:ascii="仿宋_GB2312" w:hAnsi="仿宋_GB2312" w:eastAsia="仿宋_GB2312" w:cs="仿宋_GB2312"/>
          <w:sz w:val="32"/>
          <w:szCs w:val="32"/>
          <w:lang w:val="zh-CN"/>
        </w:rPr>
        <w:t>县</w:t>
      </w:r>
      <w:r>
        <w:rPr>
          <w:rFonts w:hint="eastAsia" w:ascii="仿宋_GB2312" w:hAnsi="仿宋_GB2312" w:eastAsia="仿宋_GB2312" w:cs="仿宋_GB2312"/>
          <w:sz w:val="32"/>
          <w:szCs w:val="32"/>
        </w:rPr>
        <w:t>自然资源局，由县自然资源局上报至市自然资源局</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牵头单位：各镇人民政府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高新区管委会，配合单位：县自然资源局</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val="zh-CN"/>
        </w:rPr>
        <w:t>）总结巩固阶段（2025年12月）。</w:t>
      </w:r>
      <w:r>
        <w:rPr>
          <w:rFonts w:hint="eastAsia" w:ascii="仿宋_GB2312" w:hAnsi="仿宋_GB2312" w:eastAsia="仿宋_GB2312" w:cs="仿宋_GB2312"/>
          <w:sz w:val="32"/>
          <w:szCs w:val="32"/>
          <w:lang w:val="zh-CN"/>
        </w:rPr>
        <w:t>各镇人民政府、</w:t>
      </w:r>
      <w:r>
        <w:rPr>
          <w:rFonts w:hint="eastAsia" w:ascii="仿宋_GB2312" w:hAnsi="仿宋_GB2312" w:eastAsia="仿宋_GB2312" w:cs="仿宋_GB2312"/>
          <w:sz w:val="32"/>
          <w:szCs w:val="32"/>
        </w:rPr>
        <w:t>高新区管委会</w:t>
      </w:r>
      <w:r>
        <w:rPr>
          <w:rFonts w:hint="eastAsia" w:ascii="仿宋_GB2312" w:hAnsi="仿宋_GB2312" w:eastAsia="仿宋_GB2312" w:cs="仿宋_GB2312"/>
          <w:sz w:val="32"/>
          <w:szCs w:val="32"/>
          <w:lang w:val="zh-CN"/>
        </w:rPr>
        <w:t>对批而未供和供而未用土地专项处置行动的工作措施和消化处置结果进行全面总结，完善管理制度，建立健全长效机制。专项处置行动总结报告于202</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zh-CN"/>
        </w:rPr>
        <w:t>日前报</w:t>
      </w:r>
      <w:r>
        <w:rPr>
          <w:rFonts w:hint="eastAsia" w:ascii="仿宋_GB2312" w:hAnsi="仿宋_GB2312" w:eastAsia="仿宋_GB2312" w:cs="仿宋_GB2312"/>
          <w:sz w:val="32"/>
          <w:szCs w:val="32"/>
        </w:rPr>
        <w:t>送至</w:t>
      </w:r>
      <w:r>
        <w:rPr>
          <w:rFonts w:hint="eastAsia" w:ascii="仿宋_GB2312" w:hAnsi="仿宋_GB2312" w:eastAsia="仿宋_GB2312" w:cs="仿宋_GB2312"/>
          <w:sz w:val="32"/>
          <w:szCs w:val="32"/>
          <w:lang w:val="zh-CN"/>
        </w:rPr>
        <w:t>县</w:t>
      </w:r>
      <w:r>
        <w:rPr>
          <w:rFonts w:hint="eastAsia" w:ascii="仿宋_GB2312" w:hAnsi="仿宋_GB2312" w:eastAsia="仿宋_GB2312" w:cs="仿宋_GB2312"/>
          <w:sz w:val="32"/>
          <w:szCs w:val="32"/>
        </w:rPr>
        <w:t>自然资源局，由县自然资源局上报至市自然资源局</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牵头单位：县自然资源局，配合单位：高新区管委会、各镇人民政府</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lang w:val="zh-CN"/>
        </w:rPr>
      </w:pPr>
      <w:r>
        <w:rPr>
          <w:rFonts w:hint="eastAsia" w:ascii="黑体" w:hAnsi="黑体" w:eastAsia="黑体" w:cs="黑体"/>
          <w:sz w:val="32"/>
          <w:szCs w:val="32"/>
        </w:rPr>
        <w:t>六</w:t>
      </w:r>
      <w:r>
        <w:rPr>
          <w:rFonts w:hint="eastAsia" w:ascii="黑体" w:hAnsi="黑体" w:eastAsia="黑体" w:cs="黑体"/>
          <w:sz w:val="32"/>
          <w:szCs w:val="32"/>
          <w:lang w:val="zh-CN"/>
        </w:rPr>
        <w:t>、工作要求</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（一）提高思想认识。</w:t>
      </w:r>
      <w:r>
        <w:rPr>
          <w:rFonts w:hint="eastAsia" w:ascii="仿宋_GB2312" w:hAnsi="仿宋_GB2312" w:eastAsia="仿宋_GB2312" w:cs="仿宋_GB2312"/>
          <w:sz w:val="32"/>
          <w:szCs w:val="32"/>
          <w:lang w:val="zh-CN"/>
        </w:rPr>
        <w:t>根据省厅考核要求，批而未供和闲置土地处置工作与各地新增建设用地指标挂钩，各镇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高新区管委会</w:t>
      </w:r>
      <w:r>
        <w:rPr>
          <w:rFonts w:hint="eastAsia" w:ascii="仿宋_GB2312" w:hAnsi="仿宋_GB2312" w:eastAsia="仿宋_GB2312" w:cs="仿宋_GB2312"/>
          <w:sz w:val="32"/>
          <w:szCs w:val="32"/>
          <w:lang w:val="zh-CN"/>
        </w:rPr>
        <w:t>必须高度重视，充分认识本次专项处置行动的必要性，克服畏难情绪和敷衍塞责思想，处置过程必须事实清楚、程序合法、处置适当和适用法律法规准确，统筹做好资金、技术、人员等方面保障，确保完成县委县</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val="zh-CN"/>
        </w:rPr>
        <w:t>和市自然资源</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zh-CN"/>
        </w:rPr>
        <w:t>下达</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zh-CN"/>
        </w:rPr>
        <w:t>处置任务。</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（二）建立联动机制。</w:t>
      </w:r>
      <w:r>
        <w:rPr>
          <w:rFonts w:hint="eastAsia" w:ascii="仿宋_GB2312" w:hAnsi="仿宋_GB2312" w:eastAsia="仿宋_GB2312" w:cs="仿宋_GB2312"/>
          <w:sz w:val="32"/>
          <w:szCs w:val="32"/>
          <w:lang w:val="zh-CN"/>
        </w:rPr>
        <w:t>批而未供和供而未用土地处置是一项系统工程，涉及政府的多个职能部门，需要多个部门相互配合，</w:t>
      </w:r>
      <w:r>
        <w:rPr>
          <w:rFonts w:hint="eastAsia" w:ascii="仿宋_GB2312" w:hAnsi="仿宋_GB2312" w:eastAsia="仿宋_GB2312" w:cs="仿宋_GB2312"/>
          <w:sz w:val="32"/>
          <w:szCs w:val="32"/>
        </w:rPr>
        <w:t>县自然资源局、高新区管委会</w:t>
      </w:r>
      <w:r>
        <w:rPr>
          <w:rFonts w:hint="eastAsia" w:ascii="仿宋_GB2312" w:hAnsi="仿宋_GB2312" w:eastAsia="仿宋_GB2312" w:cs="仿宋_GB2312"/>
          <w:sz w:val="32"/>
          <w:szCs w:val="32"/>
          <w:lang w:val="zh-CN"/>
        </w:rPr>
        <w:t>、各镇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val="zh-CN"/>
        </w:rPr>
        <w:t>必须加强部门联动，联合住建、发改、生态环境、文物保护、财政、税务等部门，加快办理批而未供和供而未用土地处置涉及的有关审查审批手续，</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val="zh-CN"/>
        </w:rPr>
        <w:t>加强工作对接，及时通报情况，研究解决地块利用中存在的问题，协同推进处置工作，</w:t>
      </w:r>
      <w:r>
        <w:rPr>
          <w:rFonts w:hint="eastAsia" w:ascii="仿宋_GB2312" w:hAnsi="仿宋_GB2312" w:eastAsia="仿宋_GB2312" w:cs="仿宋_GB2312"/>
          <w:sz w:val="32"/>
          <w:szCs w:val="32"/>
        </w:rPr>
        <w:t>并及时将已认定闲置地块信息抄送属地金融、纪检、司法部门，加强工作监督考核</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150"/>
        <w:textAlignment w:val="auto"/>
        <w:rPr>
          <w:rFonts w:ascii="仿宋_GB2312" w:hAnsi="仿宋_GB2312" w:eastAsia="仿宋_GB2312" w:cs="仿宋_GB2312"/>
          <w:sz w:val="32"/>
          <w:szCs w:val="32"/>
        </w:rPr>
      </w:pPr>
      <w:r>
        <w:rPr>
          <w:rFonts w:hint="eastAsia" w:ascii="楷体_GB2312" w:hAnsi="楷体_GB2312" w:eastAsia="楷体_GB2312" w:cs="楷体_GB2312"/>
          <w:b/>
          <w:bCs/>
          <w:dstrike w:val="0"/>
          <w:sz w:val="32"/>
          <w:szCs w:val="32"/>
          <w:lang w:val="zh-CN"/>
        </w:rPr>
        <w:t>（三）</w:t>
      </w:r>
      <w:r>
        <w:rPr>
          <w:rFonts w:hint="eastAsia" w:ascii="楷体_GB2312" w:hAnsi="楷体_GB2312" w:eastAsia="楷体_GB2312" w:cs="楷体_GB2312"/>
          <w:b/>
          <w:bCs/>
          <w:sz w:val="32"/>
          <w:szCs w:val="32"/>
          <w:lang w:val="zh-CN"/>
        </w:rPr>
        <w:t>建立长效机制。</w:t>
      </w:r>
      <w:r>
        <w:rPr>
          <w:rFonts w:hint="eastAsia" w:ascii="仿宋_GB2312" w:hAnsi="仿宋_GB2312" w:eastAsia="仿宋_GB2312" w:cs="仿宋_GB2312"/>
          <w:sz w:val="32"/>
          <w:szCs w:val="32"/>
          <w:lang w:val="zh-CN"/>
        </w:rPr>
        <w:t>加快建设用地供应，提高建设用地开发利用效率，推进土地节约集约利用是全社会的共同责任。要以本次清理处置工作为契机，建立源头防范和建设用地批后实施征地、供地和监管的全程跟踪动态监管机制，切实提高土地资源的利用效率，促进土地管理工作规范化、精细化。</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附：陆河城镇低效用地盘活情况统计表（2023-2025年）</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rPr>
      </w:pPr>
    </w:p>
    <w:p>
      <w:pPr>
        <w:pStyle w:val="4"/>
        <w:spacing w:line="600" w:lineRule="exact"/>
        <w:ind w:firstLine="640" w:firstLineChars="200"/>
        <w:rPr>
          <w:rFonts w:ascii="仿宋_GB2312" w:hAnsi="仿宋_GB2312" w:eastAsia="仿宋_GB2312" w:cs="仿宋_GB2312"/>
        </w:rPr>
      </w:pPr>
    </w:p>
    <w:p>
      <w:pPr>
        <w:rPr>
          <w:rFonts w:hint="eastAsia" w:ascii="黑体" w:hAnsi="黑体" w:eastAsia="黑体" w:cs="黑体"/>
          <w:kern w:val="0"/>
          <w:sz w:val="36"/>
          <w:szCs w:val="36"/>
          <w:lang w:eastAsia="zh-CN" w:bidi="ar"/>
        </w:rPr>
        <w:sectPr>
          <w:footerReference r:id="rId3" w:type="default"/>
          <w:pgSz w:w="11906" w:h="16838"/>
          <w:pgMar w:top="2098" w:right="1474" w:bottom="1984" w:left="1587" w:header="851" w:footer="1134" w:gutter="0"/>
          <w:pgNumType w:fmt="numberInDash"/>
          <w:cols w:space="720" w:num="1"/>
          <w:docGrid w:type="lines" w:linePitch="312" w:charSpace="0"/>
        </w:sectPr>
      </w:pPr>
    </w:p>
    <w:p>
      <w:pPr>
        <w:rPr>
          <w:rFonts w:ascii="仿宋_GB2312" w:hAnsi="仿宋_GB2312" w:eastAsia="仿宋_GB2312" w:cs="仿宋_GB2312"/>
          <w:sz w:val="32"/>
          <w:szCs w:val="32"/>
        </w:rPr>
      </w:pPr>
      <w:r>
        <w:rPr>
          <w:rFonts w:hint="eastAsia" w:ascii="黑体" w:hAnsi="黑体" w:eastAsia="黑体" w:cs="黑体"/>
          <w:kern w:val="0"/>
          <w:sz w:val="36"/>
          <w:szCs w:val="36"/>
          <w:lang w:bidi="ar"/>
        </w:rPr>
        <w:t>陆河县城镇低效用地盘活情况统计表（2023-2025年）</w:t>
      </w:r>
    </w:p>
    <w:tbl>
      <w:tblPr>
        <w:tblStyle w:val="9"/>
        <w:tblW w:w="14617" w:type="dxa"/>
        <w:tblInd w:w="-165" w:type="dxa"/>
        <w:tblLayout w:type="fixed"/>
        <w:tblCellMar>
          <w:top w:w="0" w:type="dxa"/>
          <w:left w:w="108" w:type="dxa"/>
          <w:bottom w:w="0" w:type="dxa"/>
          <w:right w:w="108" w:type="dxa"/>
        </w:tblCellMar>
      </w:tblPr>
      <w:tblGrid>
        <w:gridCol w:w="2142"/>
        <w:gridCol w:w="950"/>
        <w:gridCol w:w="1167"/>
        <w:gridCol w:w="1008"/>
        <w:gridCol w:w="981"/>
        <w:gridCol w:w="915"/>
        <w:gridCol w:w="1096"/>
        <w:gridCol w:w="876"/>
        <w:gridCol w:w="1096"/>
        <w:gridCol w:w="876"/>
        <w:gridCol w:w="1096"/>
        <w:gridCol w:w="945"/>
        <w:gridCol w:w="1469"/>
      </w:tblGrid>
      <w:tr>
        <w:tblPrEx>
          <w:tblCellMar>
            <w:top w:w="0" w:type="dxa"/>
            <w:left w:w="108" w:type="dxa"/>
            <w:bottom w:w="0" w:type="dxa"/>
            <w:right w:w="108" w:type="dxa"/>
          </w:tblCellMar>
        </w:tblPrEx>
        <w:trPr>
          <w:trHeight w:val="270" w:hRule="atLeast"/>
        </w:trPr>
        <w:tc>
          <w:tcPr>
            <w:tcW w:w="214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宋体" w:hAnsi="宋体" w:cs="宋体"/>
                <w:sz w:val="22"/>
                <w:szCs w:val="22"/>
              </w:rPr>
            </w:pPr>
            <w:r>
              <w:rPr>
                <w:rFonts w:hint="eastAsia" w:ascii="宋体" w:hAnsi="宋体" w:cs="宋体"/>
                <w:kern w:val="0"/>
                <w:sz w:val="22"/>
                <w:szCs w:val="22"/>
                <w:lang w:bidi="ar"/>
              </w:rPr>
              <w:t>行政区</w:t>
            </w:r>
          </w:p>
        </w:tc>
        <w:tc>
          <w:tcPr>
            <w:tcW w:w="6117"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宋体" w:hAnsi="宋体" w:cs="宋体"/>
                <w:sz w:val="22"/>
                <w:szCs w:val="22"/>
              </w:rPr>
            </w:pPr>
            <w:r>
              <w:rPr>
                <w:rFonts w:hint="eastAsia" w:ascii="宋体" w:hAnsi="宋体" w:cs="宋体"/>
                <w:kern w:val="0"/>
                <w:sz w:val="22"/>
                <w:szCs w:val="22"/>
                <w:lang w:bidi="ar"/>
              </w:rPr>
              <w:t>盘活“批而未供”土地（亩）</w:t>
            </w:r>
          </w:p>
        </w:tc>
        <w:tc>
          <w:tcPr>
            <w:tcW w:w="6358" w:type="dxa"/>
            <w:gridSpan w:val="6"/>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宋体" w:hAnsi="宋体" w:cs="宋体"/>
                <w:sz w:val="22"/>
                <w:szCs w:val="22"/>
              </w:rPr>
            </w:pPr>
            <w:r>
              <w:rPr>
                <w:rFonts w:hint="eastAsia" w:ascii="宋体" w:hAnsi="宋体" w:cs="宋体"/>
                <w:kern w:val="0"/>
                <w:sz w:val="22"/>
                <w:szCs w:val="22"/>
                <w:lang w:bidi="ar"/>
              </w:rPr>
              <w:t>消化“供而未用”土地（亩）</w:t>
            </w:r>
          </w:p>
        </w:tc>
      </w:tr>
      <w:tr>
        <w:tblPrEx>
          <w:tblCellMar>
            <w:top w:w="0" w:type="dxa"/>
            <w:left w:w="108" w:type="dxa"/>
            <w:bottom w:w="0" w:type="dxa"/>
            <w:right w:w="108" w:type="dxa"/>
          </w:tblCellMar>
        </w:tblPrEx>
        <w:trPr>
          <w:trHeight w:val="270" w:hRule="atLeast"/>
        </w:trPr>
        <w:tc>
          <w:tcPr>
            <w:tcW w:w="214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宋体" w:hAnsi="宋体" w:cs="宋体"/>
                <w:sz w:val="22"/>
                <w:szCs w:val="22"/>
              </w:rPr>
            </w:pPr>
          </w:p>
        </w:tc>
        <w:tc>
          <w:tcPr>
            <w:tcW w:w="211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宋体" w:hAnsi="宋体" w:cs="宋体"/>
                <w:sz w:val="22"/>
                <w:szCs w:val="22"/>
              </w:rPr>
            </w:pPr>
            <w:r>
              <w:rPr>
                <w:rFonts w:hint="eastAsia" w:ascii="宋体" w:hAnsi="宋体" w:cs="宋体"/>
                <w:kern w:val="0"/>
                <w:sz w:val="22"/>
                <w:szCs w:val="22"/>
                <w:lang w:bidi="ar"/>
              </w:rPr>
              <w:t>2023年</w:t>
            </w:r>
          </w:p>
        </w:tc>
        <w:tc>
          <w:tcPr>
            <w:tcW w:w="1989"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宋体" w:hAnsi="宋体" w:cs="宋体"/>
                <w:sz w:val="22"/>
                <w:szCs w:val="22"/>
              </w:rPr>
            </w:pPr>
            <w:r>
              <w:rPr>
                <w:rFonts w:hint="eastAsia" w:ascii="宋体" w:hAnsi="宋体" w:cs="宋体"/>
                <w:kern w:val="0"/>
                <w:sz w:val="22"/>
                <w:szCs w:val="22"/>
                <w:lang w:bidi="ar"/>
              </w:rPr>
              <w:t>2024年</w:t>
            </w:r>
          </w:p>
        </w:tc>
        <w:tc>
          <w:tcPr>
            <w:tcW w:w="2011"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宋体" w:hAnsi="宋体" w:cs="宋体"/>
                <w:sz w:val="22"/>
                <w:szCs w:val="22"/>
              </w:rPr>
            </w:pPr>
            <w:r>
              <w:rPr>
                <w:rFonts w:hint="eastAsia" w:ascii="宋体" w:hAnsi="宋体" w:cs="宋体"/>
                <w:kern w:val="0"/>
                <w:sz w:val="22"/>
                <w:szCs w:val="22"/>
                <w:lang w:bidi="ar"/>
              </w:rPr>
              <w:t>2025年</w:t>
            </w:r>
          </w:p>
        </w:tc>
        <w:tc>
          <w:tcPr>
            <w:tcW w:w="19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宋体" w:hAnsi="宋体" w:cs="宋体"/>
                <w:sz w:val="22"/>
                <w:szCs w:val="22"/>
              </w:rPr>
            </w:pPr>
            <w:r>
              <w:rPr>
                <w:rFonts w:hint="eastAsia" w:ascii="宋体" w:hAnsi="宋体" w:cs="宋体"/>
                <w:kern w:val="0"/>
                <w:sz w:val="22"/>
                <w:szCs w:val="22"/>
                <w:lang w:bidi="ar"/>
              </w:rPr>
              <w:t>2023年</w:t>
            </w:r>
          </w:p>
        </w:tc>
        <w:tc>
          <w:tcPr>
            <w:tcW w:w="1972"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宋体" w:hAnsi="宋体" w:cs="宋体"/>
                <w:sz w:val="22"/>
                <w:szCs w:val="22"/>
              </w:rPr>
            </w:pPr>
            <w:r>
              <w:rPr>
                <w:rFonts w:hint="eastAsia" w:ascii="宋体" w:hAnsi="宋体" w:cs="宋体"/>
                <w:kern w:val="0"/>
                <w:sz w:val="22"/>
                <w:szCs w:val="22"/>
                <w:lang w:bidi="ar"/>
              </w:rPr>
              <w:t>2024年</w:t>
            </w:r>
          </w:p>
        </w:tc>
        <w:tc>
          <w:tcPr>
            <w:tcW w:w="2414" w:type="dxa"/>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jc w:val="center"/>
              <w:textAlignment w:val="center"/>
              <w:rPr>
                <w:rFonts w:ascii="宋体" w:hAnsi="宋体" w:cs="宋体"/>
                <w:sz w:val="22"/>
                <w:szCs w:val="22"/>
              </w:rPr>
            </w:pPr>
            <w:r>
              <w:rPr>
                <w:rFonts w:hint="eastAsia" w:ascii="宋体" w:hAnsi="宋体" w:cs="宋体"/>
                <w:kern w:val="0"/>
                <w:sz w:val="22"/>
                <w:szCs w:val="22"/>
                <w:lang w:bidi="ar"/>
              </w:rPr>
              <w:t>2025年</w:t>
            </w:r>
          </w:p>
        </w:tc>
      </w:tr>
      <w:tr>
        <w:tblPrEx>
          <w:tblCellMar>
            <w:top w:w="0" w:type="dxa"/>
            <w:left w:w="108" w:type="dxa"/>
            <w:bottom w:w="0" w:type="dxa"/>
            <w:right w:w="108" w:type="dxa"/>
          </w:tblCellMar>
        </w:tblPrEx>
        <w:trPr>
          <w:trHeight w:val="1295" w:hRule="atLeast"/>
        </w:trPr>
        <w:tc>
          <w:tcPr>
            <w:tcW w:w="2142"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600" w:lineRule="exact"/>
              <w:rPr>
                <w:rFonts w:ascii="宋体" w:hAnsi="宋体" w:cs="宋体"/>
                <w:sz w:val="22"/>
                <w:szCs w:val="22"/>
              </w:rPr>
            </w:pP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textAlignment w:val="center"/>
              <w:rPr>
                <w:rFonts w:ascii="宋体" w:hAnsi="宋体" w:cs="宋体"/>
                <w:sz w:val="22"/>
                <w:szCs w:val="22"/>
              </w:rPr>
            </w:pPr>
            <w:r>
              <w:rPr>
                <w:rFonts w:hint="eastAsia" w:ascii="宋体" w:hAnsi="宋体" w:cs="宋体"/>
                <w:kern w:val="0"/>
                <w:sz w:val="22"/>
                <w:szCs w:val="22"/>
                <w:lang w:bidi="ar"/>
              </w:rPr>
              <w:t>任务数</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cs="宋体"/>
                <w:sz w:val="22"/>
                <w:szCs w:val="22"/>
              </w:rPr>
            </w:pPr>
            <w:r>
              <w:rPr>
                <w:rFonts w:hint="eastAsia" w:ascii="宋体" w:hAnsi="宋体" w:cs="宋体"/>
                <w:kern w:val="0"/>
                <w:sz w:val="22"/>
                <w:szCs w:val="22"/>
                <w:lang w:bidi="ar"/>
              </w:rPr>
              <w:t>已完成数</w:t>
            </w:r>
          </w:p>
        </w:tc>
        <w:tc>
          <w:tcPr>
            <w:tcW w:w="1008"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textAlignment w:val="center"/>
              <w:rPr>
                <w:rFonts w:ascii="宋体" w:hAnsi="宋体" w:cs="宋体"/>
                <w:sz w:val="22"/>
                <w:szCs w:val="22"/>
              </w:rPr>
            </w:pPr>
            <w:r>
              <w:rPr>
                <w:rFonts w:hint="eastAsia" w:ascii="宋体" w:hAnsi="宋体" w:cs="宋体"/>
                <w:kern w:val="0"/>
                <w:sz w:val="22"/>
                <w:szCs w:val="22"/>
                <w:lang w:bidi="ar"/>
              </w:rPr>
              <w:t>任务数</w:t>
            </w:r>
          </w:p>
        </w:tc>
        <w:tc>
          <w:tcPr>
            <w:tcW w:w="9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宋体" w:hAnsi="宋体" w:cs="宋体"/>
                <w:sz w:val="22"/>
                <w:szCs w:val="22"/>
              </w:rPr>
            </w:pPr>
            <w:r>
              <w:rPr>
                <w:rStyle w:val="12"/>
                <w:rFonts w:hint="default"/>
                <w:color w:val="auto"/>
                <w:lang w:bidi="ar"/>
              </w:rPr>
              <w:t>截止12月底已完成数</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textAlignment w:val="center"/>
              <w:rPr>
                <w:rFonts w:ascii="宋体" w:hAnsi="宋体" w:cs="宋体"/>
                <w:sz w:val="22"/>
                <w:szCs w:val="22"/>
              </w:rPr>
            </w:pPr>
            <w:r>
              <w:rPr>
                <w:rFonts w:hint="eastAsia" w:ascii="宋体" w:hAnsi="宋体" w:cs="宋体"/>
                <w:kern w:val="0"/>
                <w:sz w:val="22"/>
                <w:szCs w:val="22"/>
                <w:lang w:bidi="ar"/>
              </w:rPr>
              <w:t>任务数</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textAlignment w:val="center"/>
              <w:rPr>
                <w:rFonts w:ascii="宋体" w:hAnsi="宋体" w:cs="宋体"/>
                <w:sz w:val="22"/>
                <w:szCs w:val="22"/>
              </w:rPr>
            </w:pPr>
            <w:r>
              <w:rPr>
                <w:rFonts w:hint="eastAsia" w:ascii="宋体" w:hAnsi="宋体" w:cs="宋体"/>
                <w:kern w:val="0"/>
                <w:sz w:val="22"/>
                <w:szCs w:val="22"/>
                <w:lang w:bidi="ar"/>
              </w:rPr>
              <w:t>已完成数</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textAlignment w:val="center"/>
              <w:rPr>
                <w:rFonts w:ascii="宋体" w:hAnsi="宋体" w:cs="宋体"/>
                <w:sz w:val="22"/>
                <w:szCs w:val="22"/>
              </w:rPr>
            </w:pPr>
            <w:r>
              <w:rPr>
                <w:rFonts w:hint="eastAsia" w:ascii="宋体" w:hAnsi="宋体" w:cs="宋体"/>
                <w:kern w:val="0"/>
                <w:sz w:val="22"/>
                <w:szCs w:val="22"/>
                <w:lang w:bidi="ar"/>
              </w:rPr>
              <w:t>任务数</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textAlignment w:val="center"/>
              <w:rPr>
                <w:rFonts w:ascii="宋体" w:hAnsi="宋体" w:cs="宋体"/>
                <w:sz w:val="22"/>
                <w:szCs w:val="22"/>
              </w:rPr>
            </w:pPr>
            <w:r>
              <w:rPr>
                <w:rFonts w:hint="eastAsia" w:ascii="宋体" w:hAnsi="宋体" w:cs="宋体"/>
                <w:kern w:val="0"/>
                <w:sz w:val="22"/>
                <w:szCs w:val="22"/>
                <w:lang w:bidi="ar"/>
              </w:rPr>
              <w:t>已完成数</w:t>
            </w: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textAlignment w:val="center"/>
              <w:rPr>
                <w:rFonts w:ascii="宋体" w:hAnsi="宋体" w:cs="宋体"/>
                <w:sz w:val="22"/>
                <w:szCs w:val="22"/>
              </w:rPr>
            </w:pPr>
            <w:r>
              <w:rPr>
                <w:rFonts w:hint="eastAsia" w:ascii="宋体" w:hAnsi="宋体" w:cs="宋体"/>
                <w:kern w:val="0"/>
                <w:sz w:val="22"/>
                <w:szCs w:val="22"/>
                <w:lang w:bidi="ar"/>
              </w:rPr>
              <w:t>任务数</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textAlignment w:val="center"/>
              <w:rPr>
                <w:rFonts w:ascii="宋体" w:hAnsi="宋体" w:cs="宋体"/>
                <w:sz w:val="22"/>
                <w:szCs w:val="22"/>
              </w:rPr>
            </w:pPr>
            <w:r>
              <w:rPr>
                <w:rFonts w:hint="eastAsia" w:ascii="宋体" w:hAnsi="宋体" w:cs="宋体"/>
                <w:kern w:val="0"/>
                <w:sz w:val="22"/>
                <w:szCs w:val="22"/>
                <w:lang w:bidi="ar"/>
              </w:rPr>
              <w:t>已完成数</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textAlignment w:val="center"/>
              <w:rPr>
                <w:rFonts w:ascii="宋体" w:hAnsi="宋体" w:cs="宋体"/>
                <w:sz w:val="22"/>
                <w:szCs w:val="22"/>
              </w:rPr>
            </w:pPr>
            <w:r>
              <w:rPr>
                <w:rFonts w:hint="eastAsia" w:ascii="宋体" w:hAnsi="宋体" w:cs="宋体"/>
                <w:kern w:val="0"/>
                <w:sz w:val="22"/>
                <w:szCs w:val="22"/>
                <w:lang w:bidi="ar"/>
              </w:rPr>
              <w:t>任务数</w:t>
            </w:r>
          </w:p>
        </w:tc>
        <w:tc>
          <w:tcPr>
            <w:tcW w:w="1469" w:type="dxa"/>
            <w:tcBorders>
              <w:top w:val="single" w:color="000000" w:sz="4" w:space="0"/>
              <w:left w:val="single" w:color="000000" w:sz="4" w:space="0"/>
              <w:bottom w:val="single" w:color="000000" w:sz="4" w:space="0"/>
              <w:right w:val="single" w:color="000000" w:sz="4" w:space="0"/>
            </w:tcBorders>
            <w:noWrap/>
            <w:vAlign w:val="center"/>
          </w:tcPr>
          <w:p>
            <w:pPr>
              <w:widowControl/>
              <w:spacing w:line="600" w:lineRule="exact"/>
              <w:textAlignment w:val="center"/>
              <w:rPr>
                <w:rFonts w:ascii="宋体" w:hAnsi="宋体" w:cs="宋体"/>
                <w:sz w:val="22"/>
                <w:szCs w:val="22"/>
              </w:rPr>
            </w:pPr>
            <w:r>
              <w:rPr>
                <w:rFonts w:hint="eastAsia" w:ascii="宋体" w:hAnsi="宋体" w:cs="宋体"/>
                <w:kern w:val="0"/>
                <w:sz w:val="22"/>
                <w:szCs w:val="22"/>
                <w:lang w:bidi="ar"/>
              </w:rPr>
              <w:t>已完成数</w:t>
            </w:r>
          </w:p>
        </w:tc>
      </w:tr>
      <w:tr>
        <w:tblPrEx>
          <w:tblCellMar>
            <w:top w:w="0" w:type="dxa"/>
            <w:left w:w="108" w:type="dxa"/>
            <w:bottom w:w="0" w:type="dxa"/>
            <w:right w:w="108" w:type="dxa"/>
          </w:tblCellMar>
        </w:tblPrEx>
        <w:trPr>
          <w:trHeight w:val="545" w:hRule="atLeast"/>
        </w:trPr>
        <w:tc>
          <w:tcPr>
            <w:tcW w:w="2142"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河田镇</w:t>
            </w:r>
          </w:p>
        </w:tc>
        <w:tc>
          <w:tcPr>
            <w:tcW w:w="950"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672</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600</w:t>
            </w:r>
          </w:p>
        </w:tc>
        <w:tc>
          <w:tcPr>
            <w:tcW w:w="981"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600</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300</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400</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400</w:t>
            </w:r>
          </w:p>
        </w:tc>
        <w:tc>
          <w:tcPr>
            <w:tcW w:w="1469" w:type="dxa"/>
            <w:tcBorders>
              <w:top w:val="single" w:color="000000" w:sz="4" w:space="0"/>
              <w:left w:val="single" w:color="000000" w:sz="4" w:space="0"/>
              <w:bottom w:val="single" w:color="000000" w:sz="4" w:space="0"/>
              <w:right w:val="single" w:color="000000" w:sz="4" w:space="0"/>
            </w:tcBorders>
            <w:noWrap/>
            <w:vAlign w:val="center"/>
          </w:tcPr>
          <w:p>
            <w:pPr>
              <w:spacing w:line="440" w:lineRule="exact"/>
              <w:jc w:val="center"/>
              <w:rPr>
                <w:rFonts w:ascii="宋体" w:hAnsi="宋体" w:cs="宋体"/>
                <w:sz w:val="22"/>
                <w:szCs w:val="22"/>
              </w:rPr>
            </w:pPr>
          </w:p>
        </w:tc>
      </w:tr>
      <w:tr>
        <w:tblPrEx>
          <w:tblCellMar>
            <w:top w:w="0" w:type="dxa"/>
            <w:left w:w="108" w:type="dxa"/>
            <w:bottom w:w="0" w:type="dxa"/>
            <w:right w:w="108" w:type="dxa"/>
          </w:tblCellMar>
        </w:tblPrEx>
        <w:trPr>
          <w:trHeight w:val="451" w:hRule="atLeast"/>
        </w:trPr>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新田镇</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200</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3800</w:t>
            </w:r>
          </w:p>
        </w:tc>
        <w:tc>
          <w:tcPr>
            <w:tcW w:w="9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147</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200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200</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sz w:val="22"/>
                <w:szCs w:val="22"/>
              </w:rPr>
            </w:pPr>
          </w:p>
        </w:tc>
      </w:tr>
      <w:tr>
        <w:tblPrEx>
          <w:tblCellMar>
            <w:top w:w="0" w:type="dxa"/>
            <w:left w:w="108" w:type="dxa"/>
            <w:bottom w:w="0" w:type="dxa"/>
            <w:right w:w="108" w:type="dxa"/>
          </w:tblCellMar>
        </w:tblPrEx>
        <w:trPr>
          <w:trHeight w:val="338" w:hRule="atLeast"/>
        </w:trPr>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水唇镇</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71</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100</w:t>
            </w:r>
          </w:p>
        </w:tc>
        <w:tc>
          <w:tcPr>
            <w:tcW w:w="9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50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50</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sz w:val="22"/>
                <w:szCs w:val="22"/>
              </w:rPr>
            </w:pPr>
          </w:p>
        </w:tc>
      </w:tr>
      <w:tr>
        <w:tblPrEx>
          <w:tblCellMar>
            <w:top w:w="0" w:type="dxa"/>
            <w:left w:w="108" w:type="dxa"/>
            <w:bottom w:w="0" w:type="dxa"/>
            <w:right w:w="108" w:type="dxa"/>
          </w:tblCellMar>
        </w:tblPrEx>
        <w:trPr>
          <w:trHeight w:val="395" w:hRule="atLeast"/>
        </w:trPr>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东坑镇</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30</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90</w:t>
            </w:r>
          </w:p>
        </w:tc>
        <w:tc>
          <w:tcPr>
            <w:tcW w:w="9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97</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40</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sz w:val="22"/>
                <w:szCs w:val="22"/>
              </w:rPr>
            </w:pPr>
          </w:p>
        </w:tc>
      </w:tr>
      <w:tr>
        <w:tblPrEx>
          <w:tblCellMar>
            <w:top w:w="0" w:type="dxa"/>
            <w:left w:w="108" w:type="dxa"/>
            <w:bottom w:w="0" w:type="dxa"/>
            <w:right w:w="108" w:type="dxa"/>
          </w:tblCellMar>
        </w:tblPrEx>
        <w:trPr>
          <w:trHeight w:val="466" w:hRule="atLeast"/>
        </w:trPr>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上护镇</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90</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90</w:t>
            </w:r>
          </w:p>
        </w:tc>
        <w:tc>
          <w:tcPr>
            <w:tcW w:w="9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92</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30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30</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sz w:val="22"/>
                <w:szCs w:val="22"/>
              </w:rPr>
            </w:pPr>
          </w:p>
        </w:tc>
      </w:tr>
      <w:tr>
        <w:tblPrEx>
          <w:tblCellMar>
            <w:top w:w="0" w:type="dxa"/>
            <w:left w:w="108" w:type="dxa"/>
            <w:bottom w:w="0" w:type="dxa"/>
            <w:right w:w="108" w:type="dxa"/>
          </w:tblCellMar>
        </w:tblPrEx>
        <w:trPr>
          <w:trHeight w:val="481" w:hRule="atLeast"/>
        </w:trPr>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河口镇</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352</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400</w:t>
            </w:r>
          </w:p>
        </w:tc>
        <w:tc>
          <w:tcPr>
            <w:tcW w:w="9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300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50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50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50</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sz w:val="22"/>
                <w:szCs w:val="22"/>
              </w:rPr>
            </w:pPr>
          </w:p>
        </w:tc>
      </w:tr>
      <w:tr>
        <w:tblPrEx>
          <w:tblCellMar>
            <w:top w:w="0" w:type="dxa"/>
            <w:left w:w="108" w:type="dxa"/>
            <w:bottom w:w="0" w:type="dxa"/>
            <w:right w:w="108" w:type="dxa"/>
          </w:tblCellMar>
        </w:tblPrEx>
        <w:trPr>
          <w:trHeight w:val="481" w:hRule="atLeast"/>
        </w:trPr>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南万镇</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3</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宋体"/>
                <w:b/>
                <w:bCs/>
                <w:kern w:val="2"/>
                <w:sz w:val="22"/>
                <w:szCs w:val="22"/>
                <w:lang w:val="en-US" w:eastAsia="zh-CN" w:bidi="ar-SA"/>
              </w:rPr>
            </w:pPr>
          </w:p>
        </w:tc>
      </w:tr>
      <w:tr>
        <w:tblPrEx>
          <w:tblCellMar>
            <w:top w:w="0" w:type="dxa"/>
            <w:left w:w="108" w:type="dxa"/>
            <w:bottom w:w="0" w:type="dxa"/>
            <w:right w:w="108" w:type="dxa"/>
          </w:tblCellMar>
        </w:tblPrEx>
        <w:trPr>
          <w:trHeight w:val="481" w:hRule="atLeast"/>
        </w:trPr>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螺溪镇</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0</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20</w:t>
            </w:r>
          </w:p>
        </w:tc>
        <w:tc>
          <w:tcPr>
            <w:tcW w:w="9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20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eastAsia="宋体" w:cs="宋体"/>
                <w:b/>
                <w:bCs/>
                <w:kern w:val="2"/>
                <w:sz w:val="22"/>
                <w:szCs w:val="22"/>
                <w:lang w:val="en-US" w:eastAsia="zh-CN" w:bidi="ar-SA"/>
              </w:rPr>
            </w:pPr>
          </w:p>
        </w:tc>
      </w:tr>
      <w:tr>
        <w:tblPrEx>
          <w:tblCellMar>
            <w:top w:w="0" w:type="dxa"/>
            <w:left w:w="108" w:type="dxa"/>
            <w:bottom w:w="0" w:type="dxa"/>
            <w:right w:w="108" w:type="dxa"/>
          </w:tblCellMar>
        </w:tblPrEx>
        <w:trPr>
          <w:trHeight w:val="466" w:hRule="atLeast"/>
        </w:trPr>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高新区</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400</w:t>
            </w:r>
          </w:p>
        </w:tc>
        <w:tc>
          <w:tcPr>
            <w:tcW w:w="11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500</w:t>
            </w:r>
          </w:p>
        </w:tc>
        <w:tc>
          <w:tcPr>
            <w:tcW w:w="981"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474</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380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200</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宋体" w:hAnsi="宋体" w:cs="宋体"/>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kern w:val="0"/>
                <w:sz w:val="22"/>
                <w:szCs w:val="22"/>
                <w:lang w:val="en-US" w:eastAsia="zh-CN" w:bidi="ar"/>
              </w:rPr>
            </w:pPr>
            <w:r>
              <w:rPr>
                <w:rFonts w:hint="eastAsia" w:ascii="宋体" w:hAnsi="宋体" w:cs="宋体"/>
                <w:kern w:val="0"/>
                <w:sz w:val="22"/>
                <w:szCs w:val="22"/>
                <w:lang w:val="en-US" w:eastAsia="zh-CN" w:bidi="ar"/>
              </w:rPr>
              <w:t>200</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sz w:val="22"/>
                <w:szCs w:val="22"/>
              </w:rPr>
            </w:pPr>
          </w:p>
        </w:tc>
      </w:tr>
      <w:tr>
        <w:tblPrEx>
          <w:tblCellMar>
            <w:top w:w="0" w:type="dxa"/>
            <w:left w:w="108" w:type="dxa"/>
            <w:bottom w:w="0" w:type="dxa"/>
            <w:right w:w="108" w:type="dxa"/>
          </w:tblCellMar>
        </w:tblPrEx>
        <w:trPr>
          <w:trHeight w:val="502" w:hRule="atLeast"/>
        </w:trPr>
        <w:tc>
          <w:tcPr>
            <w:tcW w:w="2142"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b/>
                <w:bCs/>
                <w:kern w:val="0"/>
                <w:sz w:val="22"/>
                <w:szCs w:val="22"/>
                <w:lang w:val="en-US" w:eastAsia="zh-CN" w:bidi="ar"/>
              </w:rPr>
            </w:pPr>
            <w:r>
              <w:rPr>
                <w:rFonts w:hint="eastAsia" w:ascii="宋体" w:hAnsi="宋体" w:cs="宋体"/>
                <w:b/>
                <w:bCs/>
                <w:kern w:val="0"/>
                <w:sz w:val="22"/>
                <w:szCs w:val="22"/>
                <w:lang w:val="en-US" w:eastAsia="zh-CN" w:bidi="ar"/>
              </w:rPr>
              <w:t>合计</w:t>
            </w:r>
          </w:p>
        </w:tc>
        <w:tc>
          <w:tcPr>
            <w:tcW w:w="95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b/>
                <w:bCs/>
                <w:kern w:val="0"/>
                <w:sz w:val="22"/>
                <w:szCs w:val="22"/>
                <w:lang w:val="en-US" w:eastAsia="zh-CN" w:bidi="ar"/>
              </w:rPr>
            </w:pPr>
            <w:r>
              <w:rPr>
                <w:rFonts w:hint="eastAsia" w:ascii="宋体" w:hAnsi="宋体" w:cs="宋体"/>
                <w:b/>
                <w:bCs/>
                <w:kern w:val="0"/>
                <w:sz w:val="22"/>
                <w:szCs w:val="22"/>
                <w:lang w:val="en-US" w:eastAsia="zh-CN" w:bidi="ar"/>
              </w:rPr>
              <w:t>1818</w:t>
            </w:r>
          </w:p>
        </w:tc>
        <w:tc>
          <w:tcPr>
            <w:tcW w:w="11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sz w:val="22"/>
                <w:szCs w:val="22"/>
              </w:rPr>
            </w:pPr>
          </w:p>
        </w:tc>
        <w:tc>
          <w:tcPr>
            <w:tcW w:w="100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b/>
                <w:bCs/>
                <w:kern w:val="0"/>
                <w:sz w:val="22"/>
                <w:szCs w:val="22"/>
                <w:lang w:val="en-US" w:eastAsia="zh-CN" w:bidi="ar"/>
              </w:rPr>
            </w:pPr>
            <w:r>
              <w:rPr>
                <w:rFonts w:hint="eastAsia" w:ascii="宋体" w:hAnsi="宋体" w:cs="宋体"/>
                <w:b/>
                <w:bCs/>
                <w:kern w:val="0"/>
                <w:sz w:val="22"/>
                <w:szCs w:val="22"/>
                <w:lang w:val="en-US" w:eastAsia="zh-CN" w:bidi="ar"/>
              </w:rPr>
              <w:t>5600</w:t>
            </w:r>
          </w:p>
        </w:tc>
        <w:tc>
          <w:tcPr>
            <w:tcW w:w="98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sz w:val="22"/>
                <w:szCs w:val="22"/>
              </w:rPr>
            </w:pP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b/>
                <w:bCs/>
                <w:kern w:val="0"/>
                <w:sz w:val="22"/>
                <w:szCs w:val="22"/>
                <w:lang w:val="en-US" w:eastAsia="zh-CN" w:bidi="ar"/>
              </w:rPr>
            </w:pPr>
            <w:r>
              <w:rPr>
                <w:rFonts w:hint="eastAsia" w:ascii="宋体" w:hAnsi="宋体" w:cs="宋体"/>
                <w:b/>
                <w:bCs/>
                <w:kern w:val="0"/>
                <w:sz w:val="22"/>
                <w:szCs w:val="22"/>
                <w:lang w:val="en-US" w:eastAsia="zh-CN" w:bidi="ar"/>
              </w:rPr>
              <w:t>1830</w:t>
            </w:r>
          </w:p>
        </w:tc>
        <w:tc>
          <w:tcPr>
            <w:tcW w:w="109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sz w:val="22"/>
                <w:szCs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b/>
                <w:bCs/>
                <w:kern w:val="0"/>
                <w:sz w:val="22"/>
                <w:szCs w:val="22"/>
                <w:lang w:val="en-US" w:eastAsia="zh-CN" w:bidi="ar"/>
              </w:rPr>
            </w:pPr>
            <w:r>
              <w:rPr>
                <w:rFonts w:hint="eastAsia" w:ascii="宋体" w:hAnsi="宋体" w:cs="宋体"/>
                <w:b/>
                <w:bCs/>
                <w:kern w:val="0"/>
                <w:sz w:val="22"/>
                <w:szCs w:val="22"/>
                <w:lang w:val="en-US" w:eastAsia="zh-CN" w:bidi="ar"/>
              </w:rPr>
              <w:t>880</w:t>
            </w:r>
          </w:p>
        </w:tc>
        <w:tc>
          <w:tcPr>
            <w:tcW w:w="109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sz w:val="22"/>
                <w:szCs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b/>
                <w:bCs/>
                <w:kern w:val="0"/>
                <w:sz w:val="22"/>
                <w:szCs w:val="22"/>
                <w:lang w:val="en-US" w:eastAsia="zh-CN" w:bidi="ar"/>
              </w:rPr>
            </w:pPr>
            <w:r>
              <w:rPr>
                <w:rFonts w:hint="eastAsia" w:ascii="宋体" w:hAnsi="宋体" w:cs="宋体"/>
                <w:b/>
                <w:bCs/>
                <w:kern w:val="0"/>
                <w:sz w:val="22"/>
                <w:szCs w:val="22"/>
                <w:lang w:val="en-US" w:eastAsia="zh-CN" w:bidi="ar"/>
              </w:rPr>
              <w:t>970</w:t>
            </w:r>
          </w:p>
        </w:tc>
        <w:tc>
          <w:tcPr>
            <w:tcW w:w="109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sz w:val="22"/>
                <w:szCs w:val="22"/>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default" w:ascii="宋体" w:hAnsi="宋体" w:cs="宋体"/>
                <w:b/>
                <w:bCs/>
                <w:kern w:val="0"/>
                <w:sz w:val="22"/>
                <w:szCs w:val="22"/>
                <w:lang w:val="en-US" w:eastAsia="zh-CN" w:bidi="ar"/>
              </w:rPr>
            </w:pPr>
            <w:r>
              <w:rPr>
                <w:rFonts w:hint="eastAsia" w:ascii="宋体" w:hAnsi="宋体" w:cs="宋体"/>
                <w:b/>
                <w:bCs/>
                <w:kern w:val="0"/>
                <w:sz w:val="22"/>
                <w:szCs w:val="22"/>
                <w:lang w:val="en-US" w:eastAsia="zh-CN" w:bidi="ar"/>
              </w:rPr>
              <w:t>970</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ascii="宋体" w:hAnsi="宋体" w:cs="宋体"/>
                <w:b/>
                <w:bCs/>
                <w:sz w:val="22"/>
                <w:szCs w:val="22"/>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E674E"/>
    <w:multiLevelType w:val="singleLevel"/>
    <w:tmpl w:val="EB4E674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N2NiNGVhYjBlNTk3ODNhNzc3OGY0MWFjOWYzMGEifQ=="/>
  </w:docVars>
  <w:rsids>
    <w:rsidRoot w:val="6ADD2C68"/>
    <w:rsid w:val="00350931"/>
    <w:rsid w:val="007661C2"/>
    <w:rsid w:val="00B24AE4"/>
    <w:rsid w:val="00C964F1"/>
    <w:rsid w:val="00F57458"/>
    <w:rsid w:val="0213141D"/>
    <w:rsid w:val="03D45E16"/>
    <w:rsid w:val="11FC011F"/>
    <w:rsid w:val="164E0CD8"/>
    <w:rsid w:val="1B610AFF"/>
    <w:rsid w:val="221B003E"/>
    <w:rsid w:val="2AA545B4"/>
    <w:rsid w:val="352D16CF"/>
    <w:rsid w:val="3546089C"/>
    <w:rsid w:val="38997BC6"/>
    <w:rsid w:val="3BB60926"/>
    <w:rsid w:val="3C8D7A42"/>
    <w:rsid w:val="45FD1B8F"/>
    <w:rsid w:val="48E7672C"/>
    <w:rsid w:val="5D7C30DF"/>
    <w:rsid w:val="619A5F1D"/>
    <w:rsid w:val="6ADD2C68"/>
    <w:rsid w:val="73E7745D"/>
    <w:rsid w:val="7B9C6D7F"/>
    <w:rsid w:val="7C4F6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0"/>
    <w:pPr>
      <w:ind w:left="200" w:leftChars="200"/>
    </w:pPr>
  </w:style>
  <w:style w:type="paragraph" w:styleId="3">
    <w:name w:val="annotation text"/>
    <w:basedOn w:val="1"/>
    <w:link w:val="13"/>
    <w:qFormat/>
    <w:uiPriority w:val="0"/>
    <w:pPr>
      <w:jc w:val="left"/>
    </w:pPr>
  </w:style>
  <w:style w:type="paragraph" w:styleId="4">
    <w:name w:val="Plain Text"/>
    <w:basedOn w:val="1"/>
    <w:qFormat/>
    <w:uiPriority w:val="0"/>
    <w:rPr>
      <w:rFonts w:ascii="宋体" w:hAnsi="Courier New" w:cs="宋体"/>
      <w:sz w:val="32"/>
      <w:szCs w:val="32"/>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14"/>
    <w:qFormat/>
    <w:uiPriority w:val="0"/>
    <w:rPr>
      <w:b/>
      <w:bCs/>
    </w:rPr>
  </w:style>
  <w:style w:type="character" w:styleId="11">
    <w:name w:val="annotation reference"/>
    <w:basedOn w:val="10"/>
    <w:qFormat/>
    <w:uiPriority w:val="0"/>
    <w:rPr>
      <w:sz w:val="21"/>
      <w:szCs w:val="21"/>
    </w:rPr>
  </w:style>
  <w:style w:type="character" w:customStyle="1" w:styleId="12">
    <w:name w:val="font01"/>
    <w:basedOn w:val="10"/>
    <w:qFormat/>
    <w:uiPriority w:val="0"/>
    <w:rPr>
      <w:rFonts w:hint="eastAsia" w:ascii="宋体" w:hAnsi="宋体" w:eastAsia="宋体" w:cs="宋体"/>
      <w:color w:val="000000"/>
      <w:sz w:val="22"/>
      <w:szCs w:val="22"/>
      <w:u w:val="none"/>
    </w:rPr>
  </w:style>
  <w:style w:type="character" w:customStyle="1" w:styleId="13">
    <w:name w:val="批注文字 Char"/>
    <w:basedOn w:val="10"/>
    <w:link w:val="3"/>
    <w:qFormat/>
    <w:uiPriority w:val="0"/>
    <w:rPr>
      <w:rFonts w:ascii="Times New Roman" w:hAnsi="Times New Roman" w:eastAsia="宋体" w:cs="Times New Roman"/>
      <w:kern w:val="2"/>
      <w:sz w:val="21"/>
    </w:rPr>
  </w:style>
  <w:style w:type="character" w:customStyle="1" w:styleId="14">
    <w:name w:val="批注主题 Char"/>
    <w:basedOn w:val="13"/>
    <w:link w:val="8"/>
    <w:qFormat/>
    <w:uiPriority w:val="0"/>
    <w:rPr>
      <w:rFonts w:ascii="Times New Roman" w:hAnsi="Times New Roman" w:eastAsia="宋体" w:cs="Times New Roman"/>
      <w:b/>
      <w:bCs/>
      <w:kern w:val="2"/>
      <w:sz w:val="21"/>
    </w:rPr>
  </w:style>
  <w:style w:type="character" w:customStyle="1" w:styleId="15">
    <w:name w:val="批注框文本 Char"/>
    <w:basedOn w:val="10"/>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OS_Home</Company>
  <Pages>12</Pages>
  <Words>817</Words>
  <Characters>4659</Characters>
  <Lines>38</Lines>
  <Paragraphs>10</Paragraphs>
  <TotalTime>6</TotalTime>
  <ScaleCrop>false</ScaleCrop>
  <LinksUpToDate>false</LinksUpToDate>
  <CharactersWithSpaces>5466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2023-08-25T01:37:00Z</dcterms:created>
  <dc:creator>傾</dc:creator>
  <cp:lastModifiedBy>Administrator</cp:lastModifiedBy>
  <cp:lastPrinted>2023-10-11T07:47:00Z</cp:lastPrinted>
  <dcterms:modified xsi:type="dcterms:W3CDTF">2023-11-09T09:10:20Z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6B0D84C2003D49E0B0133ABCD54DA766_11</vt:lpwstr>
  </property>
</Properties>
</file>