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eastAsia="方正小标宋简体"/>
          <w:spacing w:val="-1"/>
          <w:position w:val="1"/>
          <w:sz w:val="44"/>
          <w:szCs w:val="44"/>
        </w:rPr>
      </w:pPr>
      <w:r>
        <w:rPr>
          <w:rFonts w:hint="eastAsia" w:eastAsia="方正小标宋简体"/>
          <w:spacing w:val="-1"/>
          <w:position w:val="1"/>
          <w:sz w:val="44"/>
          <w:szCs w:val="44"/>
          <w:lang w:val="en-US" w:eastAsia="zh-CN"/>
        </w:rPr>
        <w:t>汕尾市</w:t>
      </w:r>
      <w:r>
        <w:rPr>
          <w:rFonts w:hint="eastAsia" w:eastAsia="方正小标宋简体"/>
          <w:spacing w:val="-1"/>
          <w:position w:val="1"/>
          <w:sz w:val="44"/>
          <w:szCs w:val="44"/>
        </w:rPr>
        <w:t>电动自行车充电器</w:t>
      </w:r>
      <w:r>
        <w:rPr>
          <w:rFonts w:eastAsia="方正小标宋简体"/>
          <w:spacing w:val="-1"/>
          <w:position w:val="1"/>
          <w:sz w:val="44"/>
          <w:szCs w:val="44"/>
        </w:rPr>
        <w:t>产品质量</w:t>
      </w:r>
    </w:p>
    <w:p>
      <w:pPr>
        <w:spacing w:line="590" w:lineRule="exact"/>
        <w:jc w:val="center"/>
        <w:rPr>
          <w:rFonts w:eastAsia="方正小标宋简体"/>
          <w:spacing w:val="-1"/>
          <w:position w:val="1"/>
          <w:sz w:val="44"/>
          <w:szCs w:val="44"/>
        </w:rPr>
      </w:pPr>
      <w:r>
        <w:rPr>
          <w:rFonts w:eastAsia="方正小标宋简体"/>
          <w:spacing w:val="-1"/>
          <w:position w:val="1"/>
          <w:sz w:val="44"/>
          <w:szCs w:val="44"/>
        </w:rPr>
        <w:t>监督抽查实施细则</w:t>
      </w:r>
    </w:p>
    <w:p>
      <w:pPr>
        <w:adjustRightInd w:val="0"/>
        <w:snapToGrid w:val="0"/>
        <w:spacing w:line="360" w:lineRule="auto"/>
        <w:rPr>
          <w:rFonts w:eastAsia="仿宋"/>
          <w:color w:val="000000"/>
          <w:sz w:val="32"/>
          <w:szCs w:val="32"/>
        </w:rPr>
      </w:pPr>
    </w:p>
    <w:p>
      <w:pPr>
        <w:adjustRightInd w:val="0"/>
        <w:snapToGrid w:val="0"/>
        <w:ind w:firstLine="640" w:firstLineChars="200"/>
        <w:rPr>
          <w:rFonts w:eastAsia="黑体"/>
          <w:color w:val="000000"/>
          <w:sz w:val="32"/>
          <w:szCs w:val="32"/>
        </w:rPr>
      </w:pPr>
      <w:r>
        <w:rPr>
          <w:rFonts w:eastAsia="黑体"/>
          <w:color w:val="000000"/>
          <w:sz w:val="32"/>
          <w:szCs w:val="32"/>
        </w:rPr>
        <w:t>一、抽样方法</w:t>
      </w:r>
    </w:p>
    <w:p>
      <w:pPr>
        <w:ind w:firstLine="640" w:firstLineChars="200"/>
        <w:rPr>
          <w:rFonts w:eastAsia="仿宋"/>
          <w:color w:val="000000"/>
          <w:sz w:val="32"/>
          <w:szCs w:val="32"/>
        </w:rPr>
      </w:pPr>
      <w:r>
        <w:rPr>
          <w:rFonts w:eastAsia="仿宋"/>
          <w:color w:val="000000"/>
          <w:sz w:val="32"/>
          <w:szCs w:val="32"/>
        </w:rPr>
        <w:t>以随机抽样的方式在被抽样生产者、销售者的待销产品中抽取。</w:t>
      </w:r>
      <w:bookmarkStart w:id="0" w:name="_GoBack"/>
      <w:bookmarkEnd w:id="0"/>
    </w:p>
    <w:p>
      <w:pPr>
        <w:ind w:firstLine="640" w:firstLineChars="200"/>
        <w:rPr>
          <w:rFonts w:eastAsia="仿宋"/>
          <w:color w:val="000000"/>
          <w:sz w:val="32"/>
          <w:szCs w:val="32"/>
        </w:rPr>
      </w:pPr>
      <w:r>
        <w:rPr>
          <w:rFonts w:eastAsia="仿宋"/>
          <w:color w:val="000000"/>
          <w:sz w:val="32"/>
          <w:szCs w:val="32"/>
        </w:rPr>
        <w:t>随机数一般可使用随机数表等方法产生。</w:t>
      </w:r>
    </w:p>
    <w:p>
      <w:pPr>
        <w:ind w:firstLine="640" w:firstLineChars="200"/>
        <w:rPr>
          <w:rFonts w:eastAsia="仿宋"/>
          <w:color w:val="000000"/>
          <w:sz w:val="32"/>
          <w:szCs w:val="32"/>
        </w:rPr>
      </w:pPr>
      <w:r>
        <w:rPr>
          <w:rFonts w:eastAsia="仿宋"/>
          <w:color w:val="000000"/>
          <w:sz w:val="32"/>
          <w:szCs w:val="32"/>
        </w:rPr>
        <w:t>抽查数量：每款产品抽取2组样本，第1组用于检验，第2组用于备样。每组样本需抽取样品数量如下表所示：</w:t>
      </w:r>
    </w:p>
    <w:tbl>
      <w:tblPr>
        <w:tblStyle w:val="6"/>
        <w:tblW w:w="8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2410"/>
        <w:gridCol w:w="215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80" w:type="dxa"/>
            <w:vAlign w:val="center"/>
          </w:tcPr>
          <w:p>
            <w:pPr>
              <w:adjustRightInd w:val="0"/>
              <w:snapToGrid w:val="0"/>
              <w:jc w:val="center"/>
              <w:rPr>
                <w:rFonts w:eastAsia="仿宋_GB2312"/>
                <w:sz w:val="24"/>
              </w:rPr>
            </w:pPr>
            <w:r>
              <w:rPr>
                <w:rFonts w:eastAsia="仿宋_GB2312"/>
                <w:sz w:val="24"/>
              </w:rPr>
              <w:t>序号</w:t>
            </w:r>
          </w:p>
        </w:tc>
        <w:tc>
          <w:tcPr>
            <w:tcW w:w="2410" w:type="dxa"/>
            <w:vAlign w:val="center"/>
          </w:tcPr>
          <w:p>
            <w:pPr>
              <w:adjustRightInd w:val="0"/>
              <w:snapToGrid w:val="0"/>
              <w:jc w:val="center"/>
              <w:rPr>
                <w:rFonts w:eastAsia="仿宋_GB2312"/>
                <w:sz w:val="24"/>
              </w:rPr>
            </w:pPr>
            <w:r>
              <w:rPr>
                <w:rFonts w:eastAsia="仿宋_GB2312"/>
                <w:sz w:val="24"/>
              </w:rPr>
              <w:t>产品名称</w:t>
            </w:r>
          </w:p>
        </w:tc>
        <w:tc>
          <w:tcPr>
            <w:tcW w:w="2158" w:type="dxa"/>
            <w:vAlign w:val="center"/>
          </w:tcPr>
          <w:p>
            <w:pPr>
              <w:adjustRightInd w:val="0"/>
              <w:snapToGrid w:val="0"/>
              <w:jc w:val="center"/>
              <w:rPr>
                <w:rFonts w:eastAsia="仿宋_GB2312"/>
                <w:sz w:val="24"/>
              </w:rPr>
            </w:pPr>
            <w:r>
              <w:rPr>
                <w:rFonts w:eastAsia="仿宋_GB2312"/>
                <w:sz w:val="24"/>
              </w:rPr>
              <w:t>第1组数量</w:t>
            </w:r>
          </w:p>
        </w:tc>
        <w:tc>
          <w:tcPr>
            <w:tcW w:w="2268" w:type="dxa"/>
            <w:vAlign w:val="center"/>
          </w:tcPr>
          <w:p>
            <w:pPr>
              <w:adjustRightInd w:val="0"/>
              <w:snapToGrid w:val="0"/>
              <w:jc w:val="center"/>
              <w:rPr>
                <w:rFonts w:eastAsia="仿宋_GB2312"/>
                <w:sz w:val="24"/>
              </w:rPr>
            </w:pPr>
            <w:r>
              <w:rPr>
                <w:rFonts w:eastAsia="仿宋_GB2312"/>
                <w:sz w:val="24"/>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80" w:type="dxa"/>
            <w:vAlign w:val="center"/>
          </w:tcPr>
          <w:p>
            <w:pPr>
              <w:adjustRightInd w:val="0"/>
              <w:snapToGrid w:val="0"/>
              <w:jc w:val="center"/>
              <w:rPr>
                <w:rFonts w:eastAsia="仿宋_GB2312"/>
                <w:sz w:val="24"/>
              </w:rPr>
            </w:pPr>
            <w:r>
              <w:rPr>
                <w:rFonts w:eastAsia="仿宋_GB2312"/>
                <w:sz w:val="24"/>
              </w:rPr>
              <w:t>1</w:t>
            </w:r>
          </w:p>
        </w:tc>
        <w:tc>
          <w:tcPr>
            <w:tcW w:w="2410" w:type="dxa"/>
            <w:vAlign w:val="center"/>
          </w:tcPr>
          <w:p>
            <w:pPr>
              <w:adjustRightInd w:val="0"/>
              <w:snapToGrid w:val="0"/>
              <w:jc w:val="center"/>
              <w:rPr>
                <w:rFonts w:eastAsia="仿宋_GB2312"/>
                <w:sz w:val="24"/>
              </w:rPr>
            </w:pPr>
            <w:r>
              <w:rPr>
                <w:rFonts w:eastAsia="仿宋_GB2312"/>
                <w:sz w:val="24"/>
              </w:rPr>
              <w:t>电动自行车充电器</w:t>
            </w:r>
          </w:p>
        </w:tc>
        <w:tc>
          <w:tcPr>
            <w:tcW w:w="2158" w:type="dxa"/>
            <w:vAlign w:val="center"/>
          </w:tcPr>
          <w:p>
            <w:pPr>
              <w:adjustRightInd w:val="0"/>
              <w:snapToGrid w:val="0"/>
              <w:jc w:val="center"/>
              <w:rPr>
                <w:rFonts w:eastAsia="仿宋_GB2312"/>
                <w:sz w:val="24"/>
              </w:rPr>
            </w:pPr>
            <w:r>
              <w:rPr>
                <w:rFonts w:eastAsia="仿宋_GB2312"/>
                <w:sz w:val="24"/>
              </w:rPr>
              <w:t>1个</w:t>
            </w:r>
          </w:p>
        </w:tc>
        <w:tc>
          <w:tcPr>
            <w:tcW w:w="2268" w:type="dxa"/>
            <w:vAlign w:val="center"/>
          </w:tcPr>
          <w:p>
            <w:pPr>
              <w:adjustRightInd w:val="0"/>
              <w:snapToGrid w:val="0"/>
              <w:jc w:val="center"/>
              <w:rPr>
                <w:rFonts w:eastAsia="仿宋_GB2312"/>
                <w:sz w:val="24"/>
              </w:rPr>
            </w:pPr>
            <w:r>
              <w:rPr>
                <w:rFonts w:eastAsia="仿宋_GB2312"/>
                <w:sz w:val="24"/>
              </w:rPr>
              <w:t>1个</w:t>
            </w:r>
          </w:p>
        </w:tc>
      </w:tr>
    </w:tbl>
    <w:p>
      <w:pPr>
        <w:ind w:firstLine="640" w:firstLineChars="200"/>
        <w:rPr>
          <w:rFonts w:eastAsia="黑体"/>
          <w:color w:val="000000"/>
          <w:sz w:val="32"/>
          <w:szCs w:val="32"/>
        </w:rPr>
      </w:pPr>
      <w:r>
        <w:rPr>
          <w:rFonts w:eastAsia="黑体"/>
          <w:color w:val="000000"/>
          <w:sz w:val="32"/>
          <w:szCs w:val="32"/>
        </w:rPr>
        <w:t>二、主要检验项目及检验项目属性划分</w:t>
      </w:r>
    </w:p>
    <w:tbl>
      <w:tblPr>
        <w:tblStyle w:val="6"/>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394"/>
        <w:gridCol w:w="2008"/>
        <w:gridCol w:w="851"/>
        <w:gridCol w:w="729"/>
        <w:gridCol w:w="911"/>
        <w:gridCol w:w="750"/>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blHeader/>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序号</w:t>
            </w:r>
          </w:p>
        </w:tc>
        <w:tc>
          <w:tcPr>
            <w:tcW w:w="1394"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检验项目</w:t>
            </w:r>
          </w:p>
        </w:tc>
        <w:tc>
          <w:tcPr>
            <w:tcW w:w="2008"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检验方法</w:t>
            </w:r>
          </w:p>
        </w:tc>
        <w:tc>
          <w:tcPr>
            <w:tcW w:w="851" w:type="dxa"/>
            <w:shd w:val="clear" w:color="auto" w:fill="auto"/>
            <w:vAlign w:val="center"/>
          </w:tcPr>
          <w:p>
            <w:pPr>
              <w:adjustRightInd w:val="0"/>
              <w:snapToGrid w:val="0"/>
              <w:ind w:left="-250" w:leftChars="-119" w:right="-248" w:rightChars="-118"/>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强制性</w:t>
            </w:r>
          </w:p>
        </w:tc>
        <w:tc>
          <w:tcPr>
            <w:tcW w:w="729"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非强制性</w:t>
            </w:r>
          </w:p>
        </w:tc>
        <w:tc>
          <w:tcPr>
            <w:tcW w:w="911"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重要项</w:t>
            </w:r>
          </w:p>
        </w:tc>
        <w:tc>
          <w:tcPr>
            <w:tcW w:w="750"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较重要项</w:t>
            </w:r>
          </w:p>
        </w:tc>
        <w:tc>
          <w:tcPr>
            <w:tcW w:w="733"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1</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标志和说明</w:t>
            </w:r>
          </w:p>
        </w:tc>
        <w:tc>
          <w:tcPr>
            <w:tcW w:w="2008" w:type="dxa"/>
            <w:tcBorders>
              <w:top w:val="single" w:color="auto" w:sz="4" w:space="0"/>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7</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50" w:type="dxa"/>
            <w:shd w:val="clear" w:color="auto" w:fill="auto"/>
            <w:vAlign w:val="center"/>
          </w:tcPr>
          <w:p>
            <w:pPr>
              <w:adjustRightInd w:val="0"/>
              <w:snapToGrid w:val="0"/>
              <w:jc w:val="center"/>
              <w:rPr>
                <w:rFonts w:hint="eastAsia" w:ascii="仿宋_GB2312" w:hAnsi="仿宋_GB2312" w:eastAsia="仿宋_GB2312" w:cs="仿宋_GB2312"/>
                <w:b/>
                <w:sz w:val="21"/>
                <w:szCs w:val="21"/>
              </w:rPr>
            </w:pPr>
            <w:r>
              <w:rPr>
                <w:rFonts w:hint="eastAsia" w:ascii="仿宋_GB2312" w:hAnsi="仿宋_GB2312" w:eastAsia="仿宋_GB2312" w:cs="仿宋_GB2312"/>
                <w:sz w:val="21"/>
                <w:szCs w:val="21"/>
              </w:rPr>
              <w:t>●</w:t>
            </w:r>
          </w:p>
        </w:tc>
        <w:tc>
          <w:tcPr>
            <w:tcW w:w="733" w:type="dxa"/>
            <w:shd w:val="clear" w:color="auto" w:fill="auto"/>
            <w:vAlign w:val="center"/>
          </w:tcPr>
          <w:p>
            <w:pPr>
              <w:adjustRightInd w:val="0"/>
              <w:snapToGrid w:val="0"/>
              <w:jc w:val="center"/>
              <w:rPr>
                <w:rFonts w:hint="eastAsia" w:ascii="仿宋_GB2312" w:hAnsi="仿宋_GB2312" w:eastAsia="仿宋_GB2312" w:cs="仿宋_GB2312"/>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2</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对触及带电部件的防护</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8</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3</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输入功率和电流</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10.1-10.2</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4</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空载直流电压</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10.101</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5</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发热</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11</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6</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工作温度下的泄漏电流和电气强度</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13</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7</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变压器和相关电路的过载保护</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17</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8</w:t>
            </w:r>
          </w:p>
        </w:tc>
        <w:tc>
          <w:tcPr>
            <w:tcW w:w="1394" w:type="dxa"/>
            <w:tcBorders>
              <w:top w:val="single" w:color="auto" w:sz="4" w:space="0"/>
              <w:left w:val="single" w:color="auto" w:sz="4" w:space="0"/>
              <w:bottom w:val="single" w:color="000000" w:sz="4" w:space="0"/>
              <w:right w:val="single" w:color="000000"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耐潮湿</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15</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9</w:t>
            </w:r>
          </w:p>
        </w:tc>
        <w:tc>
          <w:tcPr>
            <w:tcW w:w="1394" w:type="dxa"/>
            <w:tcBorders>
              <w:top w:val="single" w:color="auto" w:sz="4" w:space="0"/>
              <w:left w:val="single" w:color="auto" w:sz="4" w:space="0"/>
              <w:bottom w:val="single" w:color="000000" w:sz="4" w:space="0"/>
              <w:right w:val="single" w:color="000000"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泄漏电流和电气强度</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16</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10</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机械强度（不测21.101）/</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机械强度</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21</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11</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结构（不测22.46）</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22</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12</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内部布线</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23</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13</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元件（仅测24.4）</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24.4</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14</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电源连接和外部软线</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25</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83" w:type="dxa"/>
            <w:shd w:val="clear" w:color="auto" w:fill="auto"/>
            <w:vAlign w:val="center"/>
          </w:tcPr>
          <w:p>
            <w:pPr>
              <w:adjustRightInd w:val="0"/>
              <w:snapToGrid w:val="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15</w:t>
            </w:r>
          </w:p>
        </w:tc>
        <w:tc>
          <w:tcPr>
            <w:tcW w:w="139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电气间隙、爬电距离和固体绝缘</w:t>
            </w:r>
          </w:p>
        </w:tc>
        <w:tc>
          <w:tcPr>
            <w:tcW w:w="2008" w:type="dxa"/>
            <w:tcBorders>
              <w:top w:val="nil"/>
              <w:left w:val="nil"/>
              <w:right w:val="single" w:color="auto" w:sz="4" w:space="0"/>
            </w:tcBorders>
            <w:shd w:val="clear" w:color="auto" w:fill="auto"/>
            <w:vAlign w:val="center"/>
          </w:tcPr>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4706.18-2005/</w:t>
            </w:r>
          </w:p>
          <w:p>
            <w:pPr>
              <w:widowControl/>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 4706.18-2014 29</w:t>
            </w:r>
          </w:p>
        </w:tc>
        <w:tc>
          <w:tcPr>
            <w:tcW w:w="85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29"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911" w:type="dxa"/>
            <w:shd w:val="clear" w:color="auto" w:fill="auto"/>
            <w:vAlign w:val="center"/>
          </w:tcPr>
          <w:p>
            <w:pPr>
              <w:adjustRightInd w:val="0"/>
              <w:snapToGrid w:val="0"/>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w:t>
            </w:r>
          </w:p>
        </w:tc>
        <w:tc>
          <w:tcPr>
            <w:tcW w:w="750"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c>
          <w:tcPr>
            <w:tcW w:w="733" w:type="dxa"/>
            <w:shd w:val="clear" w:color="auto" w:fill="auto"/>
            <w:vAlign w:val="center"/>
          </w:tcPr>
          <w:p>
            <w:pPr>
              <w:adjustRightInd w:val="0"/>
              <w:snapToGrid w:val="0"/>
              <w:jc w:val="center"/>
              <w:rPr>
                <w:rFonts w:hint="eastAsia" w:ascii="仿宋_GB2312" w:hAnsi="仿宋_GB2312" w:eastAsia="仿宋_GB2312" w:cs="仿宋_GB2312"/>
                <w:sz w:val="21"/>
                <w:szCs w:val="21"/>
              </w:rPr>
            </w:pPr>
          </w:p>
        </w:tc>
      </w:tr>
    </w:tbl>
    <w:p>
      <w:pPr>
        <w:keepNext w:val="0"/>
        <w:keepLines w:val="0"/>
        <w:pageBreakBefore w:val="0"/>
        <w:widowControl w:val="0"/>
        <w:kinsoku/>
        <w:wordWrap/>
        <w:overflowPunct/>
        <w:topLinePunct w:val="0"/>
        <w:autoSpaceDE/>
        <w:autoSpaceDN/>
        <w:bidi w:val="0"/>
        <w:adjustRightInd w:val="0"/>
        <w:snapToGrid w:val="0"/>
        <w:ind w:firstLine="480" w:firstLineChars="200"/>
        <w:jc w:val="left"/>
        <w:textAlignment w:val="auto"/>
        <w:rPr>
          <w:rFonts w:eastAsia="仿宋_GB2312"/>
          <w:color w:val="000000"/>
          <w:sz w:val="24"/>
          <w:szCs w:val="22"/>
        </w:rPr>
      </w:pPr>
      <w:r>
        <w:rPr>
          <w:rFonts w:eastAsia="仿宋_GB2312"/>
          <w:color w:val="000000"/>
          <w:sz w:val="24"/>
          <w:szCs w:val="22"/>
        </w:rPr>
        <w:t>注：</w:t>
      </w:r>
      <w:r>
        <w:rPr>
          <w:rFonts w:hint="eastAsia" w:eastAsia="仿宋_GB2312"/>
          <w:color w:val="000000"/>
          <w:sz w:val="24"/>
          <w:szCs w:val="22"/>
        </w:rPr>
        <w:t>1</w:t>
      </w:r>
      <w:r>
        <w:rPr>
          <w:rFonts w:eastAsia="仿宋_GB2312"/>
          <w:color w:val="000000"/>
          <w:sz w:val="24"/>
          <w:szCs w:val="2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ind w:firstLine="480" w:firstLineChars="200"/>
        <w:jc w:val="left"/>
        <w:textAlignment w:val="auto"/>
        <w:rPr>
          <w:rFonts w:eastAsia="仿宋_GB2312"/>
          <w:color w:val="000000"/>
          <w:sz w:val="24"/>
          <w:szCs w:val="22"/>
        </w:rPr>
      </w:pPr>
      <w:r>
        <w:rPr>
          <w:rFonts w:hint="eastAsia" w:eastAsia="仿宋_GB2312"/>
          <w:color w:val="000000"/>
          <w:sz w:val="24"/>
          <w:szCs w:val="22"/>
        </w:rPr>
        <w:t>2</w:t>
      </w:r>
      <w:r>
        <w:rPr>
          <w:rFonts w:eastAsia="仿宋_GB2312"/>
          <w:color w:val="000000"/>
          <w:sz w:val="24"/>
          <w:szCs w:val="2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ind w:firstLine="480" w:firstLineChars="200"/>
        <w:jc w:val="left"/>
        <w:textAlignment w:val="auto"/>
        <w:rPr>
          <w:rFonts w:eastAsia="仿宋_GB2312"/>
          <w:sz w:val="24"/>
          <w:szCs w:val="22"/>
        </w:rPr>
      </w:pPr>
      <w:r>
        <w:rPr>
          <w:rFonts w:hint="eastAsia" w:eastAsia="仿宋_GB2312"/>
          <w:sz w:val="24"/>
          <w:szCs w:val="22"/>
        </w:rPr>
        <w:t>3</w:t>
      </w:r>
      <w:r>
        <w:rPr>
          <w:rFonts w:eastAsia="仿宋_GB2312"/>
          <w:sz w:val="24"/>
          <w:szCs w:val="22"/>
        </w:rPr>
        <w:t>.</w:t>
      </w:r>
      <w:r>
        <w:rPr>
          <w:rFonts w:hint="eastAsia" w:eastAsia="仿宋_GB2312"/>
          <w:sz w:val="24"/>
          <w:szCs w:val="22"/>
        </w:rPr>
        <w:t>若电源输出为安全特低电压或产品明示符合GB4706.18标准，依据GB 4706.18标准检测；否则，只依据GB 4706.1-2005标准检测。当依据GB 4706.1-2005标准检测时，不进行第4项，且第1</w:t>
      </w:r>
      <w:r>
        <w:rPr>
          <w:rFonts w:eastAsia="仿宋_GB2312"/>
          <w:sz w:val="24"/>
          <w:szCs w:val="22"/>
        </w:rPr>
        <w:t>0</w:t>
      </w:r>
      <w:r>
        <w:rPr>
          <w:rFonts w:hint="eastAsia" w:eastAsia="仿宋_GB2312"/>
          <w:sz w:val="24"/>
          <w:szCs w:val="22"/>
        </w:rPr>
        <w:t>项的“项目名称”采用“</w:t>
      </w:r>
      <w:r>
        <w:rPr>
          <w:rFonts w:eastAsia="仿宋_GB2312"/>
          <w:sz w:val="24"/>
          <w:szCs w:val="22"/>
        </w:rPr>
        <w:t>/</w:t>
      </w:r>
      <w:r>
        <w:rPr>
          <w:rFonts w:hint="eastAsia" w:eastAsia="仿宋_GB2312"/>
          <w:sz w:val="24"/>
          <w:szCs w:val="22"/>
        </w:rPr>
        <w:t>”后的名称。</w:t>
      </w:r>
    </w:p>
    <w:p>
      <w:pPr>
        <w:ind w:firstLine="640" w:firstLineChars="200"/>
        <w:rPr>
          <w:rFonts w:eastAsia="黑体"/>
          <w:sz w:val="32"/>
          <w:szCs w:val="48"/>
        </w:rPr>
      </w:pPr>
      <w:r>
        <w:rPr>
          <w:rFonts w:eastAsia="黑体"/>
          <w:sz w:val="32"/>
          <w:szCs w:val="48"/>
        </w:rPr>
        <w:t>三、判定规则</w:t>
      </w:r>
    </w:p>
    <w:p>
      <w:pPr>
        <w:adjustRightInd w:val="0"/>
        <w:snapToGrid w:val="0"/>
        <w:ind w:firstLine="639" w:firstLineChars="199"/>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（一）依据标准</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1、强制性标准。</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4706.1-2005《家用和类似用途电器的安全 第1部分：通用要求》</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4706.18-2005/2014《家用和类似用途电器的安全 电池充电器的特殊要求》</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val="0"/>
        <w:snapToGrid w:val="0"/>
        <w:spacing w:line="360" w:lineRule="auto"/>
        <w:ind w:firstLine="639" w:firstLineChars="199"/>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color w:val="000000"/>
          <w:sz w:val="32"/>
          <w:szCs w:val="32"/>
        </w:rPr>
        <w:t>（二）判定原则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keepNext w:val="0"/>
        <w:keepLines w:val="0"/>
        <w:pageBreakBefore w:val="0"/>
        <w:widowControl w:val="0"/>
        <w:kinsoku/>
        <w:wordWrap/>
        <w:overflowPunct/>
        <w:topLinePunct w:val="0"/>
        <w:autoSpaceDE/>
        <w:autoSpaceDN/>
        <w:bidi w:val="0"/>
        <w:adjustRightInd w:val="0"/>
        <w:snapToGrid w:val="0"/>
        <w:spacing w:line="360" w:lineRule="auto"/>
        <w:ind w:firstLine="636" w:firstLineChars="199"/>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5</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YjVjNWI5MzAzZTZmMWUwMWJlOWMwMWQxNmZkMjMifQ=="/>
  </w:docVars>
  <w:rsids>
    <w:rsidRoot w:val="00172A27"/>
    <w:rsid w:val="000304B7"/>
    <w:rsid w:val="00051A44"/>
    <w:rsid w:val="00055944"/>
    <w:rsid w:val="00081CBD"/>
    <w:rsid w:val="000848E5"/>
    <w:rsid w:val="000976DE"/>
    <w:rsid w:val="000A31EC"/>
    <w:rsid w:val="000A592B"/>
    <w:rsid w:val="000B6AB8"/>
    <w:rsid w:val="000D294B"/>
    <w:rsid w:val="000D734E"/>
    <w:rsid w:val="000E2691"/>
    <w:rsid w:val="000F28A6"/>
    <w:rsid w:val="00101894"/>
    <w:rsid w:val="001131A9"/>
    <w:rsid w:val="001141F4"/>
    <w:rsid w:val="001166F5"/>
    <w:rsid w:val="001233BE"/>
    <w:rsid w:val="00144BFC"/>
    <w:rsid w:val="00172085"/>
    <w:rsid w:val="00172A27"/>
    <w:rsid w:val="00177DAC"/>
    <w:rsid w:val="001809DD"/>
    <w:rsid w:val="00181387"/>
    <w:rsid w:val="00184722"/>
    <w:rsid w:val="001A150E"/>
    <w:rsid w:val="001B0DB4"/>
    <w:rsid w:val="001B39B7"/>
    <w:rsid w:val="001D557A"/>
    <w:rsid w:val="00200582"/>
    <w:rsid w:val="00210008"/>
    <w:rsid w:val="0021315D"/>
    <w:rsid w:val="00253624"/>
    <w:rsid w:val="00263746"/>
    <w:rsid w:val="00265E53"/>
    <w:rsid w:val="0027334B"/>
    <w:rsid w:val="002843C3"/>
    <w:rsid w:val="002853A6"/>
    <w:rsid w:val="002872C4"/>
    <w:rsid w:val="00292420"/>
    <w:rsid w:val="002A6746"/>
    <w:rsid w:val="002B38DA"/>
    <w:rsid w:val="002C226C"/>
    <w:rsid w:val="002C3DA0"/>
    <w:rsid w:val="002D7F8A"/>
    <w:rsid w:val="002E0D1D"/>
    <w:rsid w:val="002F5622"/>
    <w:rsid w:val="003102FB"/>
    <w:rsid w:val="003203A3"/>
    <w:rsid w:val="0032500F"/>
    <w:rsid w:val="00340284"/>
    <w:rsid w:val="003443EE"/>
    <w:rsid w:val="003775B3"/>
    <w:rsid w:val="003B3159"/>
    <w:rsid w:val="003B3FFA"/>
    <w:rsid w:val="003C388C"/>
    <w:rsid w:val="003D5B85"/>
    <w:rsid w:val="003E4B35"/>
    <w:rsid w:val="003E61BF"/>
    <w:rsid w:val="003F2A29"/>
    <w:rsid w:val="00402775"/>
    <w:rsid w:val="00412515"/>
    <w:rsid w:val="00420E48"/>
    <w:rsid w:val="00445E86"/>
    <w:rsid w:val="00462808"/>
    <w:rsid w:val="00464F35"/>
    <w:rsid w:val="00474E04"/>
    <w:rsid w:val="004750D3"/>
    <w:rsid w:val="00475F44"/>
    <w:rsid w:val="004D0C5A"/>
    <w:rsid w:val="004D370C"/>
    <w:rsid w:val="004E1396"/>
    <w:rsid w:val="005074EA"/>
    <w:rsid w:val="00520A52"/>
    <w:rsid w:val="005255D7"/>
    <w:rsid w:val="005507B0"/>
    <w:rsid w:val="00563EBC"/>
    <w:rsid w:val="00564F4C"/>
    <w:rsid w:val="00574101"/>
    <w:rsid w:val="005778DF"/>
    <w:rsid w:val="0058351D"/>
    <w:rsid w:val="00585820"/>
    <w:rsid w:val="005B2389"/>
    <w:rsid w:val="005B7ED8"/>
    <w:rsid w:val="00610555"/>
    <w:rsid w:val="006369D6"/>
    <w:rsid w:val="00650E62"/>
    <w:rsid w:val="00652C61"/>
    <w:rsid w:val="006617A4"/>
    <w:rsid w:val="00662D93"/>
    <w:rsid w:val="00673572"/>
    <w:rsid w:val="006922F6"/>
    <w:rsid w:val="0069243B"/>
    <w:rsid w:val="006B1ABB"/>
    <w:rsid w:val="006E0056"/>
    <w:rsid w:val="006F0971"/>
    <w:rsid w:val="007027B3"/>
    <w:rsid w:val="007143DE"/>
    <w:rsid w:val="0072334C"/>
    <w:rsid w:val="00723B97"/>
    <w:rsid w:val="00752088"/>
    <w:rsid w:val="0075488B"/>
    <w:rsid w:val="007863DC"/>
    <w:rsid w:val="00790117"/>
    <w:rsid w:val="00790D1F"/>
    <w:rsid w:val="00794A85"/>
    <w:rsid w:val="00797AFB"/>
    <w:rsid w:val="007A5BF4"/>
    <w:rsid w:val="007B733A"/>
    <w:rsid w:val="007C18E3"/>
    <w:rsid w:val="007C51AC"/>
    <w:rsid w:val="007E0DD2"/>
    <w:rsid w:val="007E1246"/>
    <w:rsid w:val="007F765D"/>
    <w:rsid w:val="008141C1"/>
    <w:rsid w:val="00826E57"/>
    <w:rsid w:val="00830CA6"/>
    <w:rsid w:val="00845A82"/>
    <w:rsid w:val="00857467"/>
    <w:rsid w:val="00895BEA"/>
    <w:rsid w:val="008A3497"/>
    <w:rsid w:val="008B58E4"/>
    <w:rsid w:val="008D4AA8"/>
    <w:rsid w:val="008D68BD"/>
    <w:rsid w:val="008E7DAB"/>
    <w:rsid w:val="008F789C"/>
    <w:rsid w:val="00917A54"/>
    <w:rsid w:val="0092406B"/>
    <w:rsid w:val="00990F56"/>
    <w:rsid w:val="00994640"/>
    <w:rsid w:val="009A01F3"/>
    <w:rsid w:val="009A1CCE"/>
    <w:rsid w:val="009B710F"/>
    <w:rsid w:val="009C1995"/>
    <w:rsid w:val="009E26B1"/>
    <w:rsid w:val="009E4601"/>
    <w:rsid w:val="009E701D"/>
    <w:rsid w:val="00A00931"/>
    <w:rsid w:val="00A12D5C"/>
    <w:rsid w:val="00A21847"/>
    <w:rsid w:val="00A25823"/>
    <w:rsid w:val="00A372A4"/>
    <w:rsid w:val="00A43553"/>
    <w:rsid w:val="00A609A0"/>
    <w:rsid w:val="00A6162B"/>
    <w:rsid w:val="00A92CFB"/>
    <w:rsid w:val="00AB4B19"/>
    <w:rsid w:val="00AD585F"/>
    <w:rsid w:val="00AE28B9"/>
    <w:rsid w:val="00AE3F75"/>
    <w:rsid w:val="00AF3F6B"/>
    <w:rsid w:val="00B22BD5"/>
    <w:rsid w:val="00B251D7"/>
    <w:rsid w:val="00B44067"/>
    <w:rsid w:val="00B559C8"/>
    <w:rsid w:val="00B753F3"/>
    <w:rsid w:val="00BD361C"/>
    <w:rsid w:val="00BE0E0F"/>
    <w:rsid w:val="00BE19F8"/>
    <w:rsid w:val="00C10448"/>
    <w:rsid w:val="00C2599C"/>
    <w:rsid w:val="00C26074"/>
    <w:rsid w:val="00C6512E"/>
    <w:rsid w:val="00C6571B"/>
    <w:rsid w:val="00C83B0A"/>
    <w:rsid w:val="00C9569D"/>
    <w:rsid w:val="00CA7DB8"/>
    <w:rsid w:val="00CB2E2C"/>
    <w:rsid w:val="00CC33F8"/>
    <w:rsid w:val="00CD02D7"/>
    <w:rsid w:val="00CE1E0C"/>
    <w:rsid w:val="00CE277E"/>
    <w:rsid w:val="00CE5943"/>
    <w:rsid w:val="00D000E0"/>
    <w:rsid w:val="00D56867"/>
    <w:rsid w:val="00D71EAE"/>
    <w:rsid w:val="00D72A2B"/>
    <w:rsid w:val="00DB0575"/>
    <w:rsid w:val="00E02A7F"/>
    <w:rsid w:val="00E07880"/>
    <w:rsid w:val="00E21D28"/>
    <w:rsid w:val="00E24A15"/>
    <w:rsid w:val="00E35E78"/>
    <w:rsid w:val="00E82621"/>
    <w:rsid w:val="00E91DF8"/>
    <w:rsid w:val="00EA5ED4"/>
    <w:rsid w:val="00EB11D8"/>
    <w:rsid w:val="00ED4E28"/>
    <w:rsid w:val="00F27110"/>
    <w:rsid w:val="00F77C9A"/>
    <w:rsid w:val="00F91505"/>
    <w:rsid w:val="00FA45A6"/>
    <w:rsid w:val="00FB576C"/>
    <w:rsid w:val="00FC2905"/>
    <w:rsid w:val="00FC5382"/>
    <w:rsid w:val="00FD2AA6"/>
    <w:rsid w:val="00FE39D9"/>
    <w:rsid w:val="00FE7E8A"/>
    <w:rsid w:val="130651C0"/>
    <w:rsid w:val="14203E74"/>
    <w:rsid w:val="15001D0E"/>
    <w:rsid w:val="1B3F68A5"/>
    <w:rsid w:val="1DB422BC"/>
    <w:rsid w:val="278827D9"/>
    <w:rsid w:val="29727E07"/>
    <w:rsid w:val="2C0927BF"/>
    <w:rsid w:val="35C460C8"/>
    <w:rsid w:val="51373183"/>
    <w:rsid w:val="552B7C2C"/>
    <w:rsid w:val="5C9235AF"/>
    <w:rsid w:val="6006326F"/>
    <w:rsid w:val="603161B4"/>
    <w:rsid w:val="606E0AA6"/>
    <w:rsid w:val="615355B6"/>
    <w:rsid w:val="66F31C68"/>
    <w:rsid w:val="6B3D5917"/>
    <w:rsid w:val="6FD9375B"/>
    <w:rsid w:val="71025CA2"/>
    <w:rsid w:val="72732630"/>
    <w:rsid w:val="768A78C8"/>
    <w:rsid w:val="79077078"/>
    <w:rsid w:val="799804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0"/>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字符"/>
    <w:link w:val="4"/>
    <w:qFormat/>
    <w:uiPriority w:val="99"/>
    <w:rPr>
      <w:kern w:val="2"/>
      <w:sz w:val="18"/>
      <w:szCs w:val="18"/>
    </w:rPr>
  </w:style>
  <w:style w:type="character" w:customStyle="1" w:styleId="10">
    <w:name w:val="批注框文本 字符"/>
    <w:link w:val="3"/>
    <w:semiHidden/>
    <w:qFormat/>
    <w:uiPriority w:val="99"/>
    <w:rPr>
      <w:kern w:val="2"/>
      <w:sz w:val="18"/>
      <w:szCs w:val="18"/>
    </w:rPr>
  </w:style>
  <w:style w:type="character" w:customStyle="1" w:styleId="11">
    <w:name w:val="页眉 字符"/>
    <w:link w:val="5"/>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1288</Words>
  <Characters>1941</Characters>
  <Lines>15</Lines>
  <Paragraphs>4</Paragraphs>
  <TotalTime>33</TotalTime>
  <ScaleCrop>false</ScaleCrop>
  <LinksUpToDate>false</LinksUpToDate>
  <CharactersWithSpaces>2008</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2022-01-17T16:26:00Z</dcterms:created>
  <dc:creator>Legend User</dc:creator>
  <cp:lastModifiedBy>李文湘</cp:lastModifiedBy>
  <cp:lastPrinted>2019-12-05T07:53:00Z</cp:lastPrinted>
  <dcterms:modified xsi:type="dcterms:W3CDTF">2023-08-14T03:05:42Z</dcterms:modified>
  <dc:title>××产品质量监督抽查实施细则</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0FB3597387714689908F9E95E1A37D3A</vt:lpwstr>
  </property>
</Properties>
</file>