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Times New Roman" w:hAnsi="Times New Roman"/>
          <w:color w:val="000000" w:themeColor="text1"/>
          <w:kern w:val="21"/>
          <w:sz w:val="36"/>
          <w:szCs w:val="36"/>
          <w14:textFill>
            <w14:solidFill>
              <w14:schemeClr w14:val="tx1"/>
            </w14:solidFill>
          </w14:textFill>
        </w:rPr>
      </w:pPr>
    </w:p>
    <w:p>
      <w:pPr>
        <w:rPr>
          <w:rFonts w:ascii="Times New Roman" w:hAnsi="Times New Roman"/>
          <w:color w:val="000000" w:themeColor="text1"/>
          <w:kern w:val="21"/>
          <w:sz w:val="36"/>
          <w:szCs w:val="36"/>
          <w14:textFill>
            <w14:solidFill>
              <w14:schemeClr w14:val="tx1"/>
            </w14:solidFill>
          </w14:textFill>
        </w:rPr>
      </w:pPr>
    </w:p>
    <w:p>
      <w:pPr>
        <w:rPr>
          <w:rFonts w:ascii="Times New Roman" w:hAnsi="Times New Roman"/>
          <w:color w:val="000000" w:themeColor="text1"/>
          <w:kern w:val="21"/>
          <w:sz w:val="36"/>
          <w:szCs w:val="36"/>
          <w14:textFill>
            <w14:solidFill>
              <w14:schemeClr w14:val="tx1"/>
            </w14:solidFill>
          </w14:textFill>
        </w:rPr>
      </w:pPr>
    </w:p>
    <w:p>
      <w:pPr>
        <w:rPr>
          <w:rFonts w:ascii="Times New Roman" w:hAnsi="Times New Roman"/>
          <w:color w:val="000000" w:themeColor="text1"/>
          <w:kern w:val="21"/>
          <w:sz w:val="36"/>
          <w:szCs w:val="36"/>
          <w14:textFill>
            <w14:solidFill>
              <w14:schemeClr w14:val="tx1"/>
            </w14:solidFill>
          </w14:textFill>
        </w:rPr>
      </w:pPr>
    </w:p>
    <w:p>
      <w:pPr>
        <w:rPr>
          <w:rFonts w:ascii="Times New Roman" w:hAnsi="Times New Roman"/>
          <w:color w:val="000000" w:themeColor="text1"/>
          <w:kern w:val="21"/>
          <w:sz w:val="36"/>
          <w:szCs w:val="36"/>
          <w14:textFill>
            <w14:solidFill>
              <w14:schemeClr w14:val="tx1"/>
            </w14:solidFill>
          </w14:textFill>
        </w:rPr>
      </w:pPr>
    </w:p>
    <w:p>
      <w:pPr>
        <w:adjustRightInd w:val="0"/>
        <w:snapToGrid w:val="0"/>
        <w:jc w:val="center"/>
        <w:outlineLvl w:val="0"/>
        <w:rPr>
          <w:rFonts w:ascii="Times New Roman" w:hAnsi="Times New Roman"/>
          <w:bCs/>
          <w:color w:val="000000" w:themeColor="text1"/>
          <w:kern w:val="21"/>
          <w:sz w:val="72"/>
          <w:szCs w:val="72"/>
          <w14:textFill>
            <w14:solidFill>
              <w14:schemeClr w14:val="tx1"/>
            </w14:solidFill>
          </w14:textFill>
        </w:rPr>
      </w:pPr>
      <w:r>
        <w:rPr>
          <w:rFonts w:ascii="Times New Roman" w:hAnsi="Times New Roman"/>
          <w:bCs/>
          <w:color w:val="000000" w:themeColor="text1"/>
          <w:kern w:val="21"/>
          <w:sz w:val="72"/>
          <w:szCs w:val="72"/>
          <w14:textFill>
            <w14:solidFill>
              <w14:schemeClr w14:val="tx1"/>
            </w14:solidFill>
          </w14:textFill>
        </w:rPr>
        <w:t>建设项目环境影响报告表</w:t>
      </w:r>
    </w:p>
    <w:p>
      <w:pPr>
        <w:adjustRightInd w:val="0"/>
        <w:snapToGrid w:val="0"/>
        <w:spacing w:before="192" w:beforeLines="80"/>
        <w:jc w:val="center"/>
        <w:rPr>
          <w:rFonts w:ascii="Times New Roman" w:hAnsi="Times New Roman"/>
          <w:bCs/>
          <w:color w:val="000000" w:themeColor="text1"/>
          <w:kern w:val="21"/>
          <w:sz w:val="48"/>
          <w:szCs w:val="48"/>
          <w14:textFill>
            <w14:solidFill>
              <w14:schemeClr w14:val="tx1"/>
            </w14:solidFill>
          </w14:textFill>
        </w:rPr>
      </w:pPr>
      <w:r>
        <w:rPr>
          <w:rFonts w:ascii="Times New Roman" w:hAnsi="Times New Roman"/>
          <w:bCs/>
          <w:color w:val="000000" w:themeColor="text1"/>
          <w:kern w:val="21"/>
          <w:sz w:val="48"/>
          <w:szCs w:val="48"/>
          <w14:textFill>
            <w14:solidFill>
              <w14:schemeClr w14:val="tx1"/>
            </w14:solidFill>
          </w14:textFill>
        </w:rPr>
        <w:t>（污染影响类）</w:t>
      </w:r>
    </w:p>
    <w:p>
      <w:pPr>
        <w:ind w:firstLine="1040"/>
        <w:rPr>
          <w:rFonts w:ascii="Times New Roman" w:hAnsi="Times New Roman"/>
          <w:color w:val="000000" w:themeColor="text1"/>
          <w:kern w:val="21"/>
          <w:sz w:val="44"/>
          <w:szCs w:val="44"/>
          <w14:textFill>
            <w14:solidFill>
              <w14:schemeClr w14:val="tx1"/>
            </w14:solidFill>
          </w14:textFill>
        </w:rPr>
      </w:pPr>
    </w:p>
    <w:p>
      <w:pPr>
        <w:ind w:firstLine="1040"/>
        <w:rPr>
          <w:rFonts w:ascii="Times New Roman" w:hAnsi="Times New Roman"/>
          <w:color w:val="000000" w:themeColor="text1"/>
          <w:kern w:val="21"/>
          <w:sz w:val="44"/>
          <w:szCs w:val="44"/>
          <w14:textFill>
            <w14:solidFill>
              <w14:schemeClr w14:val="tx1"/>
            </w14:solidFill>
          </w14:textFill>
        </w:rPr>
      </w:pPr>
    </w:p>
    <w:p>
      <w:pPr>
        <w:ind w:firstLine="1040"/>
        <w:rPr>
          <w:rFonts w:ascii="Times New Roman" w:hAnsi="Times New Roman"/>
          <w:color w:val="000000" w:themeColor="text1"/>
          <w:kern w:val="21"/>
          <w:sz w:val="44"/>
          <w:szCs w:val="44"/>
          <w14:textFill>
            <w14:solidFill>
              <w14:schemeClr w14:val="tx1"/>
            </w14:solidFill>
          </w14:textFill>
        </w:rPr>
      </w:pPr>
    </w:p>
    <w:p>
      <w:pPr>
        <w:ind w:firstLine="1040"/>
        <w:rPr>
          <w:rFonts w:ascii="Times New Roman" w:hAnsi="Times New Roman"/>
          <w:color w:val="000000" w:themeColor="text1"/>
          <w:kern w:val="21"/>
          <w:sz w:val="44"/>
          <w:szCs w:val="44"/>
          <w14:textFill>
            <w14:solidFill>
              <w14:schemeClr w14:val="tx1"/>
            </w14:solidFill>
          </w14:textFill>
        </w:rPr>
      </w:pPr>
    </w:p>
    <w:p>
      <w:pPr>
        <w:ind w:firstLine="1040"/>
        <w:rPr>
          <w:rFonts w:ascii="Times New Roman" w:hAnsi="Times New Roman"/>
          <w:color w:val="000000" w:themeColor="text1"/>
          <w:kern w:val="21"/>
          <w:sz w:val="44"/>
          <w:szCs w:val="44"/>
          <w14:textFill>
            <w14:solidFill>
              <w14:schemeClr w14:val="tx1"/>
            </w14:solidFill>
          </w14:textFill>
        </w:rPr>
      </w:pPr>
    </w:p>
    <w:p>
      <w:pPr>
        <w:ind w:firstLine="1040"/>
        <w:rPr>
          <w:rFonts w:ascii="Times New Roman" w:hAnsi="Times New Roman"/>
          <w:color w:val="000000" w:themeColor="text1"/>
          <w:kern w:val="21"/>
          <w:sz w:val="44"/>
          <w:szCs w:val="44"/>
          <w14:textFill>
            <w14:solidFill>
              <w14:schemeClr w14:val="tx1"/>
            </w14:solidFill>
          </w14:textFill>
        </w:rPr>
      </w:pPr>
    </w:p>
    <w:p>
      <w:pPr>
        <w:ind w:firstLine="1040"/>
        <w:rPr>
          <w:rFonts w:ascii="Times New Roman" w:hAnsi="Times New Roman"/>
          <w:color w:val="000000" w:themeColor="text1"/>
          <w:kern w:val="21"/>
          <w:sz w:val="44"/>
          <w:szCs w:val="44"/>
          <w14:textFill>
            <w14:solidFill>
              <w14:schemeClr w14:val="tx1"/>
            </w14:solidFill>
          </w14:textFill>
        </w:rPr>
      </w:pPr>
    </w:p>
    <w:p>
      <w:pPr>
        <w:adjustRightInd w:val="0"/>
        <w:snapToGrid w:val="0"/>
        <w:spacing w:line="360" w:lineRule="auto"/>
        <w:rPr>
          <w:rFonts w:ascii="Times New Roman" w:hAnsi="Times New Roman"/>
          <w:color w:val="000000" w:themeColor="text1"/>
          <w:kern w:val="21"/>
          <w:sz w:val="36"/>
          <w:szCs w:val="36"/>
          <w14:textFill>
            <w14:solidFill>
              <w14:schemeClr w14:val="tx1"/>
            </w14:solidFill>
          </w14:textFill>
        </w:rPr>
      </w:pPr>
      <w:r>
        <w:rPr>
          <w:rFonts w:ascii="Times New Roman" w:hAnsi="Times New Roman"/>
          <w:color w:val="000000" w:themeColor="text1"/>
          <w:kern w:val="21"/>
          <w:sz w:val="36"/>
          <w:szCs w:val="36"/>
          <w14:textFill>
            <w14:solidFill>
              <w14:schemeClr w14:val="tx1"/>
            </w14:solidFill>
          </w14:textFill>
        </w:rPr>
        <w:t>项目名称：</w:t>
      </w:r>
      <w:r>
        <w:rPr>
          <w:rFonts w:hint="eastAsia" w:ascii="Times New Roman" w:hAnsi="Times New Roman"/>
          <w:color w:val="000000" w:themeColor="text1"/>
          <w:kern w:val="21"/>
          <w:sz w:val="36"/>
          <w:szCs w:val="36"/>
          <w:u w:val="single"/>
          <w14:textFill>
            <w14:solidFill>
              <w14:schemeClr w14:val="tx1"/>
            </w14:solidFill>
          </w14:textFill>
        </w:rPr>
        <w:t>金活天然药物研发生产基地（广东金辰生物科技有限公司建设项目一期）</w:t>
      </w:r>
    </w:p>
    <w:p>
      <w:pPr>
        <w:adjustRightInd w:val="0"/>
        <w:snapToGrid w:val="0"/>
        <w:spacing w:line="360" w:lineRule="auto"/>
        <w:rPr>
          <w:rFonts w:ascii="Times New Roman" w:hAnsi="Times New Roman"/>
          <w:color w:val="000000" w:themeColor="text1"/>
          <w:kern w:val="21"/>
          <w:sz w:val="36"/>
          <w:szCs w:val="36"/>
          <w:u w:val="single"/>
          <w14:textFill>
            <w14:solidFill>
              <w14:schemeClr w14:val="tx1"/>
            </w14:solidFill>
          </w14:textFill>
        </w:rPr>
      </w:pPr>
      <w:r>
        <w:rPr>
          <w:rFonts w:ascii="Times New Roman" w:hAnsi="Times New Roman"/>
          <w:color w:val="000000" w:themeColor="text1"/>
          <w:kern w:val="21"/>
          <w:sz w:val="36"/>
          <w:szCs w:val="36"/>
          <w14:textFill>
            <w14:solidFill>
              <w14:schemeClr w14:val="tx1"/>
            </w14:solidFill>
          </w14:textFill>
        </w:rPr>
        <w:t>建设单位（盖章）：</w:t>
      </w:r>
      <w:r>
        <w:rPr>
          <w:rFonts w:ascii="Times New Roman" w:hAnsi="Times New Roman"/>
          <w:color w:val="000000" w:themeColor="text1"/>
          <w:kern w:val="21"/>
          <w:sz w:val="36"/>
          <w:szCs w:val="36"/>
          <w:u w:val="single"/>
          <w14:textFill>
            <w14:solidFill>
              <w14:schemeClr w14:val="tx1"/>
            </w14:solidFill>
          </w14:textFill>
        </w:rPr>
        <w:t>广东金辰生物科技有限公司</w:t>
      </w:r>
    </w:p>
    <w:p>
      <w:pPr>
        <w:adjustRightInd w:val="0"/>
        <w:snapToGrid w:val="0"/>
        <w:spacing w:line="360" w:lineRule="auto"/>
        <w:rPr>
          <w:rFonts w:ascii="Times New Roman" w:hAnsi="Times New Roman"/>
          <w:color w:val="000000" w:themeColor="text1"/>
          <w:kern w:val="21"/>
          <w:sz w:val="36"/>
          <w:szCs w:val="36"/>
          <w:u w:val="single"/>
          <w14:textFill>
            <w14:solidFill>
              <w14:schemeClr w14:val="tx1"/>
            </w14:solidFill>
          </w14:textFill>
        </w:rPr>
      </w:pPr>
      <w:r>
        <w:rPr>
          <w:rFonts w:ascii="Times New Roman" w:hAnsi="Times New Roman"/>
          <w:color w:val="000000" w:themeColor="text1"/>
          <w:kern w:val="21"/>
          <w:sz w:val="36"/>
          <w:szCs w:val="36"/>
          <w14:textFill>
            <w14:solidFill>
              <w14:schemeClr w14:val="tx1"/>
            </w14:solidFill>
          </w14:textFill>
        </w:rPr>
        <w:t>编制日期：</w:t>
      </w:r>
      <w:r>
        <w:rPr>
          <w:rFonts w:ascii="Times New Roman" w:hAnsi="Times New Roman"/>
          <w:color w:val="000000" w:themeColor="text1"/>
          <w:kern w:val="21"/>
          <w:sz w:val="36"/>
          <w:szCs w:val="36"/>
          <w:u w:val="single"/>
          <w14:textFill>
            <w14:solidFill>
              <w14:schemeClr w14:val="tx1"/>
            </w14:solidFill>
          </w14:textFill>
        </w:rPr>
        <w:t xml:space="preserve"> 2021</w:t>
      </w:r>
      <w:r>
        <w:rPr>
          <w:rFonts w:hint="eastAsia" w:ascii="Times New Roman" w:hAnsi="Times New Roman"/>
          <w:color w:val="000000" w:themeColor="text1"/>
          <w:kern w:val="21"/>
          <w:sz w:val="36"/>
          <w:szCs w:val="36"/>
          <w:u w:val="single"/>
          <w14:textFill>
            <w14:solidFill>
              <w14:schemeClr w14:val="tx1"/>
            </w14:solidFill>
          </w14:textFill>
        </w:rPr>
        <w:t>年7月</w:t>
      </w:r>
      <w:r>
        <w:rPr>
          <w:rFonts w:ascii="Times New Roman" w:hAnsi="Times New Roman"/>
          <w:color w:val="000000" w:themeColor="text1"/>
          <w:kern w:val="21"/>
          <w:sz w:val="36"/>
          <w:szCs w:val="36"/>
          <w:u w:val="single"/>
          <w14:textFill>
            <w14:solidFill>
              <w14:schemeClr w14:val="tx1"/>
            </w14:solidFill>
          </w14:textFill>
        </w:rPr>
        <w:t xml:space="preserve">       </w:t>
      </w:r>
    </w:p>
    <w:p>
      <w:pPr>
        <w:adjustRightInd w:val="0"/>
        <w:snapToGrid w:val="0"/>
        <w:spacing w:line="360" w:lineRule="auto"/>
        <w:ind w:firstLine="1040"/>
        <w:rPr>
          <w:rFonts w:ascii="Times New Roman" w:hAnsi="Times New Roman"/>
          <w:color w:val="000000" w:themeColor="text1"/>
          <w:kern w:val="21"/>
          <w:sz w:val="36"/>
          <w:szCs w:val="36"/>
          <w:u w:val="single"/>
          <w14:textFill>
            <w14:solidFill>
              <w14:schemeClr w14:val="tx1"/>
            </w14:solidFill>
          </w14:textFill>
        </w:rPr>
      </w:pPr>
      <w:bookmarkStart w:id="0" w:name="_Hlk57884087"/>
    </w:p>
    <w:p>
      <w:pPr>
        <w:adjustRightInd w:val="0"/>
        <w:snapToGrid w:val="0"/>
        <w:spacing w:line="360" w:lineRule="auto"/>
        <w:ind w:firstLine="1040"/>
        <w:rPr>
          <w:rFonts w:ascii="Times New Roman" w:hAnsi="Times New Roman"/>
          <w:color w:val="000000" w:themeColor="text1"/>
          <w:kern w:val="21"/>
          <w:sz w:val="36"/>
          <w:szCs w:val="36"/>
          <w14:textFill>
            <w14:solidFill>
              <w14:schemeClr w14:val="tx1"/>
            </w14:solidFill>
          </w14:textFill>
        </w:rPr>
      </w:pPr>
    </w:p>
    <w:p>
      <w:pPr>
        <w:adjustRightInd w:val="0"/>
        <w:snapToGrid w:val="0"/>
        <w:spacing w:line="360" w:lineRule="auto"/>
        <w:ind w:firstLine="1040"/>
        <w:rPr>
          <w:rFonts w:ascii="Times New Roman" w:hAnsi="Times New Roman"/>
          <w:color w:val="000000" w:themeColor="text1"/>
          <w:kern w:val="21"/>
          <w:sz w:val="36"/>
          <w:szCs w:val="36"/>
          <w14:textFill>
            <w14:solidFill>
              <w14:schemeClr w14:val="tx1"/>
            </w14:solidFill>
          </w14:textFill>
        </w:rPr>
      </w:pPr>
    </w:p>
    <w:p>
      <w:pPr>
        <w:adjustRightInd w:val="0"/>
        <w:snapToGrid w:val="0"/>
        <w:spacing w:line="360" w:lineRule="auto"/>
        <w:ind w:firstLine="1040"/>
        <w:rPr>
          <w:rFonts w:ascii="Times New Roman" w:hAnsi="Times New Roman"/>
          <w:color w:val="000000" w:themeColor="text1"/>
          <w:kern w:val="21"/>
          <w:sz w:val="36"/>
          <w:szCs w:val="36"/>
          <w14:textFill>
            <w14:solidFill>
              <w14:schemeClr w14:val="tx1"/>
            </w14:solidFill>
          </w14:textFill>
        </w:rPr>
      </w:pPr>
    </w:p>
    <w:bookmarkEnd w:id="0"/>
    <w:p>
      <w:pPr>
        <w:adjustRightInd w:val="0"/>
        <w:snapToGrid w:val="0"/>
        <w:spacing w:line="360" w:lineRule="auto"/>
        <w:jc w:val="center"/>
        <w:rPr>
          <w:rFonts w:ascii="Times New Roman" w:hAnsi="Times New Roman"/>
          <w:color w:val="000000" w:themeColor="text1"/>
          <w:kern w:val="21"/>
          <w:sz w:val="32"/>
          <w:szCs w:val="36"/>
          <w14:textFill>
            <w14:solidFill>
              <w14:schemeClr w14:val="tx1"/>
            </w14:solidFill>
          </w14:textFill>
        </w:rPr>
      </w:pPr>
      <w:r>
        <w:rPr>
          <w:rFonts w:ascii="Times New Roman" w:hAnsi="Times New Roman"/>
          <w:color w:val="000000" w:themeColor="text1"/>
          <w:kern w:val="21"/>
          <w:sz w:val="36"/>
          <w:szCs w:val="36"/>
          <w14:textFill>
            <w14:solidFill>
              <w14:schemeClr w14:val="tx1"/>
            </w14:solidFill>
          </w14:textFill>
        </w:rPr>
        <w:t>中华人民共和国生态环境部制</w:t>
      </w:r>
    </w:p>
    <w:p>
      <w:pPr>
        <w:adjustRightInd w:val="0"/>
        <w:snapToGrid w:val="0"/>
        <w:spacing w:line="288" w:lineRule="auto"/>
        <w:ind w:firstLine="1040"/>
        <w:rPr>
          <w:rFonts w:ascii="Times New Roman" w:hAnsi="Times New Roman"/>
          <w:color w:val="000000" w:themeColor="text1"/>
          <w:kern w:val="21"/>
          <w:sz w:val="36"/>
          <w:szCs w:val="36"/>
          <w14:textFill>
            <w14:solidFill>
              <w14:schemeClr w14:val="tx1"/>
            </w14:solidFill>
          </w14:textFill>
        </w:rPr>
        <w:sectPr>
          <w:footerReference r:id="rId3" w:type="default"/>
          <w:footerReference r:id="rId4" w:type="even"/>
          <w:pgSz w:w="11906" w:h="16838"/>
          <w:pgMar w:top="1418" w:right="1418" w:bottom="1418" w:left="1418" w:header="851" w:footer="1077" w:gutter="0"/>
          <w:pgNumType w:start="3"/>
          <w:cols w:space="720" w:num="1"/>
          <w:docGrid w:linePitch="312" w:charSpace="0"/>
        </w:sectPr>
      </w:pPr>
    </w:p>
    <w:p>
      <w:pPr>
        <w:pStyle w:val="16"/>
        <w:adjustRightInd w:val="0"/>
        <w:snapToGrid w:val="0"/>
        <w:jc w:val="center"/>
        <w:outlineLvl w:val="0"/>
        <w:rPr>
          <w:rFonts w:ascii="Times New Roman" w:hAnsi="Times New Roman"/>
          <w:snapToGrid w:val="0"/>
          <w:color w:val="000000" w:themeColor="text1"/>
          <w:kern w:val="21"/>
          <w:sz w:val="30"/>
          <w:szCs w:val="30"/>
          <w14:textFill>
            <w14:solidFill>
              <w14:schemeClr w14:val="tx1"/>
            </w14:solidFill>
          </w14:textFill>
        </w:rPr>
      </w:pPr>
      <w:r>
        <w:rPr>
          <w:rFonts w:ascii="Times New Roman" w:hAnsi="Times New Roman"/>
          <w:snapToGrid w:val="0"/>
          <w:color w:val="000000" w:themeColor="text1"/>
          <w:kern w:val="21"/>
          <w:sz w:val="30"/>
          <w:szCs w:val="30"/>
          <w14:textFill>
            <w14:solidFill>
              <w14:schemeClr w14:val="tx1"/>
            </w14:solidFill>
          </w14:textFill>
        </w:rPr>
        <w:t>一、建设项目基本情况</w:t>
      </w:r>
    </w:p>
    <w:tbl>
      <w:tblPr>
        <w:tblStyle w:val="19"/>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713"/>
        <w:gridCol w:w="2533"/>
        <w:gridCol w:w="2089"/>
        <w:gridCol w:w="27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42" w:type="pct"/>
            <w:tcMar>
              <w:top w:w="16" w:type="dxa"/>
              <w:left w:w="16" w:type="dxa"/>
              <w:right w:w="16" w:type="dxa"/>
            </w:tcMar>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建设项目名称</w:t>
            </w:r>
          </w:p>
        </w:tc>
        <w:tc>
          <w:tcPr>
            <w:tcW w:w="4058" w:type="pct"/>
            <w:gridSpan w:val="3"/>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hint="eastAsia" w:ascii="Times New Roman" w:hAnsi="Times New Roman"/>
                <w:color w:val="000000" w:themeColor="text1"/>
                <w:kern w:val="21"/>
                <w:sz w:val="24"/>
                <w14:textFill>
                  <w14:solidFill>
                    <w14:schemeClr w14:val="tx1"/>
                  </w14:solidFill>
                </w14:textFill>
              </w:rPr>
              <w:t>金活天然药物研发生产基地</w:t>
            </w:r>
          </w:p>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hint="eastAsia" w:ascii="Times New Roman" w:hAnsi="Times New Roman"/>
                <w:color w:val="000000" w:themeColor="text1"/>
                <w:kern w:val="21"/>
                <w:sz w:val="24"/>
                <w14:textFill>
                  <w14:solidFill>
                    <w14:schemeClr w14:val="tx1"/>
                  </w14:solidFill>
                </w14:textFill>
              </w:rPr>
              <w:t>（广东金辰生物科技有限公司建设项目一期）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42" w:type="pct"/>
            <w:tcMar>
              <w:top w:w="16" w:type="dxa"/>
              <w:left w:w="16" w:type="dxa"/>
              <w:right w:w="16" w:type="dxa"/>
            </w:tcMar>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项目代码</w:t>
            </w:r>
          </w:p>
        </w:tc>
        <w:tc>
          <w:tcPr>
            <w:tcW w:w="4058" w:type="pct"/>
            <w:gridSpan w:val="3"/>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2018-441523-27-03-828511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42" w:type="pct"/>
            <w:tcMar>
              <w:top w:w="16" w:type="dxa"/>
              <w:left w:w="16" w:type="dxa"/>
              <w:right w:w="16" w:type="dxa"/>
            </w:tcMar>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建设单位联系人</w:t>
            </w:r>
          </w:p>
        </w:tc>
        <w:tc>
          <w:tcPr>
            <w:tcW w:w="1393" w:type="pct"/>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刘</w:t>
            </w:r>
            <w:r>
              <w:rPr>
                <w:rFonts w:hint="eastAsia" w:ascii="Times New Roman" w:hAnsi="Times New Roman"/>
                <w:color w:val="000000" w:themeColor="text1"/>
                <w:kern w:val="21"/>
                <w:sz w:val="24"/>
                <w14:textFill>
                  <w14:solidFill>
                    <w14:schemeClr w14:val="tx1"/>
                  </w14:solidFill>
                </w14:textFill>
              </w:rPr>
              <w:t>健清</w:t>
            </w:r>
          </w:p>
        </w:tc>
        <w:tc>
          <w:tcPr>
            <w:tcW w:w="1149" w:type="pct"/>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联系方式</w:t>
            </w:r>
          </w:p>
        </w:tc>
        <w:tc>
          <w:tcPr>
            <w:tcW w:w="1515" w:type="pct"/>
            <w:vAlign w:val="center"/>
          </w:tcPr>
          <w:p>
            <w:pPr>
              <w:adjustRightInd w:val="0"/>
              <w:snapToGrid w:val="0"/>
              <w:jc w:val="center"/>
              <w:rPr>
                <w:rFonts w:hint="default" w:ascii="Times New Roman" w:hAnsi="Times New Roman" w:eastAsiaTheme="minorEastAsia"/>
                <w:color w:val="000000" w:themeColor="text1"/>
                <w:kern w:val="21"/>
                <w:sz w:val="24"/>
                <w:lang w:val="en-US" w:eastAsia="zh-CN"/>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1360266</w:t>
            </w:r>
            <w:r>
              <w:rPr>
                <w:rFonts w:hint="eastAsia" w:ascii="Times New Roman" w:hAnsi="Times New Roman"/>
                <w:color w:val="000000" w:themeColor="text1"/>
                <w:kern w:val="21"/>
                <w:sz w:val="24"/>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42" w:type="pct"/>
            <w:tcMar>
              <w:top w:w="16" w:type="dxa"/>
              <w:left w:w="16" w:type="dxa"/>
              <w:right w:w="16" w:type="dxa"/>
            </w:tcMar>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建设地点</w:t>
            </w:r>
          </w:p>
        </w:tc>
        <w:tc>
          <w:tcPr>
            <w:tcW w:w="4058" w:type="pct"/>
            <w:gridSpan w:val="3"/>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广东省汕尾市陆河县产业转移工业园区西侧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42" w:type="pct"/>
            <w:tcMar>
              <w:top w:w="16" w:type="dxa"/>
              <w:left w:w="16" w:type="dxa"/>
              <w:right w:w="16" w:type="dxa"/>
            </w:tcMar>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地理坐标</w:t>
            </w:r>
          </w:p>
        </w:tc>
        <w:tc>
          <w:tcPr>
            <w:tcW w:w="4058" w:type="pct"/>
            <w:gridSpan w:val="3"/>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（东经</w:t>
            </w:r>
            <w:r>
              <w:rPr>
                <w:rFonts w:ascii="Times New Roman" w:hAnsi="Times New Roman"/>
                <w:color w:val="000000" w:themeColor="text1"/>
                <w:kern w:val="21"/>
                <w:sz w:val="24"/>
                <w:u w:val="single"/>
                <w14:textFill>
                  <w14:solidFill>
                    <w14:schemeClr w14:val="tx1"/>
                  </w14:solidFill>
                </w14:textFill>
              </w:rPr>
              <w:t>115</w:t>
            </w:r>
            <w:r>
              <w:rPr>
                <w:rFonts w:ascii="Times New Roman" w:hAnsi="Times New Roman"/>
                <w:color w:val="000000" w:themeColor="text1"/>
                <w:kern w:val="21"/>
                <w:sz w:val="24"/>
                <w14:textFill>
                  <w14:solidFill>
                    <w14:schemeClr w14:val="tx1"/>
                  </w14:solidFill>
                </w14:textFill>
              </w:rPr>
              <w:t>度</w:t>
            </w:r>
            <w:r>
              <w:rPr>
                <w:rFonts w:ascii="Times New Roman" w:hAnsi="Times New Roman"/>
                <w:color w:val="000000" w:themeColor="text1"/>
                <w:kern w:val="21"/>
                <w:sz w:val="24"/>
                <w:u w:val="single"/>
                <w14:textFill>
                  <w14:solidFill>
                    <w14:schemeClr w14:val="tx1"/>
                  </w14:solidFill>
                </w14:textFill>
              </w:rPr>
              <w:t>35</w:t>
            </w:r>
            <w:r>
              <w:rPr>
                <w:rFonts w:ascii="Times New Roman" w:hAnsi="Times New Roman"/>
                <w:color w:val="000000" w:themeColor="text1"/>
                <w:kern w:val="21"/>
                <w:sz w:val="24"/>
                <w14:textFill>
                  <w14:solidFill>
                    <w14:schemeClr w14:val="tx1"/>
                  </w14:solidFill>
                </w14:textFill>
              </w:rPr>
              <w:t>分</w:t>
            </w:r>
            <w:r>
              <w:rPr>
                <w:rFonts w:ascii="Times New Roman" w:hAnsi="Times New Roman"/>
                <w:color w:val="000000" w:themeColor="text1"/>
                <w:kern w:val="21"/>
                <w:sz w:val="24"/>
                <w:u w:val="single"/>
                <w14:textFill>
                  <w14:solidFill>
                    <w14:schemeClr w14:val="tx1"/>
                  </w14:solidFill>
                </w14:textFill>
              </w:rPr>
              <w:t xml:space="preserve"> 1</w:t>
            </w:r>
            <w:r>
              <w:rPr>
                <w:rFonts w:hint="eastAsia" w:ascii="Times New Roman" w:hAnsi="Times New Roman"/>
                <w:color w:val="000000" w:themeColor="text1"/>
                <w:kern w:val="21"/>
                <w:sz w:val="24"/>
                <w:u w:val="single"/>
                <w14:textFill>
                  <w14:solidFill>
                    <w14:schemeClr w14:val="tx1"/>
                  </w14:solidFill>
                </w14:textFill>
              </w:rPr>
              <w:t>.000</w:t>
            </w:r>
            <w:r>
              <w:rPr>
                <w:rFonts w:ascii="Times New Roman" w:hAnsi="Times New Roman"/>
                <w:color w:val="000000" w:themeColor="text1"/>
                <w:kern w:val="21"/>
                <w:sz w:val="24"/>
                <w14:textFill>
                  <w14:solidFill>
                    <w14:schemeClr w14:val="tx1"/>
                  </w14:solidFill>
                </w14:textFill>
              </w:rPr>
              <w:t>秒，北纬</w:t>
            </w:r>
            <w:r>
              <w:rPr>
                <w:rFonts w:ascii="Times New Roman" w:hAnsi="Times New Roman"/>
                <w:color w:val="000000" w:themeColor="text1"/>
                <w:kern w:val="21"/>
                <w:sz w:val="24"/>
                <w:u w:val="single"/>
                <w14:textFill>
                  <w14:solidFill>
                    <w14:schemeClr w14:val="tx1"/>
                  </w14:solidFill>
                </w14:textFill>
              </w:rPr>
              <w:t xml:space="preserve"> 23 </w:t>
            </w:r>
            <w:r>
              <w:rPr>
                <w:rFonts w:ascii="Times New Roman" w:hAnsi="Times New Roman"/>
                <w:color w:val="000000" w:themeColor="text1"/>
                <w:kern w:val="21"/>
                <w:sz w:val="24"/>
                <w14:textFill>
                  <w14:solidFill>
                    <w14:schemeClr w14:val="tx1"/>
                  </w14:solidFill>
                </w14:textFill>
              </w:rPr>
              <w:t>度</w:t>
            </w:r>
            <w:r>
              <w:rPr>
                <w:rFonts w:ascii="Times New Roman" w:hAnsi="Times New Roman"/>
                <w:color w:val="000000" w:themeColor="text1"/>
                <w:kern w:val="21"/>
                <w:sz w:val="24"/>
                <w:u w:val="single"/>
                <w14:textFill>
                  <w14:solidFill>
                    <w14:schemeClr w14:val="tx1"/>
                  </w14:solidFill>
                </w14:textFill>
              </w:rPr>
              <w:t xml:space="preserve"> 11 </w:t>
            </w:r>
            <w:r>
              <w:rPr>
                <w:rFonts w:ascii="Times New Roman" w:hAnsi="Times New Roman"/>
                <w:color w:val="000000" w:themeColor="text1"/>
                <w:kern w:val="21"/>
                <w:sz w:val="24"/>
                <w14:textFill>
                  <w14:solidFill>
                    <w14:schemeClr w14:val="tx1"/>
                  </w14:solidFill>
                </w14:textFill>
              </w:rPr>
              <w:t>分</w:t>
            </w:r>
            <w:r>
              <w:rPr>
                <w:rFonts w:ascii="Times New Roman" w:hAnsi="Times New Roman"/>
                <w:color w:val="000000" w:themeColor="text1"/>
                <w:kern w:val="21"/>
                <w:sz w:val="24"/>
                <w:u w:val="single"/>
                <w14:textFill>
                  <w14:solidFill>
                    <w14:schemeClr w14:val="tx1"/>
                  </w14:solidFill>
                </w14:textFill>
              </w:rPr>
              <w:t xml:space="preserve"> </w:t>
            </w:r>
            <w:r>
              <w:rPr>
                <w:rFonts w:hint="eastAsia" w:ascii="Times New Roman" w:hAnsi="Times New Roman"/>
                <w:color w:val="000000" w:themeColor="text1"/>
                <w:kern w:val="21"/>
                <w:sz w:val="24"/>
                <w:u w:val="single"/>
                <w14:textFill>
                  <w14:solidFill>
                    <w14:schemeClr w14:val="tx1"/>
                  </w14:solidFill>
                </w14:textFill>
              </w:rPr>
              <w:t>2</w:t>
            </w:r>
            <w:r>
              <w:rPr>
                <w:rFonts w:ascii="Times New Roman" w:hAnsi="Times New Roman"/>
                <w:color w:val="000000" w:themeColor="text1"/>
                <w:kern w:val="21"/>
                <w:sz w:val="24"/>
                <w:u w:val="single"/>
                <w14:textFill>
                  <w14:solidFill>
                    <w14:schemeClr w14:val="tx1"/>
                  </w14:solidFill>
                </w14:textFill>
              </w:rPr>
              <w:t>7.</w:t>
            </w:r>
            <w:r>
              <w:rPr>
                <w:rFonts w:hint="eastAsia" w:ascii="Times New Roman" w:hAnsi="Times New Roman"/>
                <w:color w:val="000000" w:themeColor="text1"/>
                <w:kern w:val="21"/>
                <w:sz w:val="24"/>
                <w:u w:val="single"/>
                <w14:textFill>
                  <w14:solidFill>
                    <w14:schemeClr w14:val="tx1"/>
                  </w14:solidFill>
                </w14:textFill>
              </w:rPr>
              <w:t>00</w:t>
            </w:r>
            <w:r>
              <w:rPr>
                <w:rFonts w:ascii="Times New Roman" w:hAnsi="Times New Roman"/>
                <w:color w:val="000000" w:themeColor="text1"/>
                <w:kern w:val="21"/>
                <w:sz w:val="24"/>
                <w:u w:val="single"/>
                <w14:textFill>
                  <w14:solidFill>
                    <w14:schemeClr w14:val="tx1"/>
                  </w14:solidFill>
                </w14:textFill>
              </w:rPr>
              <w:t xml:space="preserve">0 </w:t>
            </w:r>
            <w:r>
              <w:rPr>
                <w:rFonts w:ascii="Times New Roman" w:hAnsi="Times New Roman"/>
                <w:color w:val="000000" w:themeColor="text1"/>
                <w:kern w:val="21"/>
                <w:sz w:val="24"/>
                <w14:textFill>
                  <w14:solidFill>
                    <w14:schemeClr w14:val="tx1"/>
                  </w14:solidFill>
                </w14:textFill>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42" w:type="pct"/>
            <w:tcMar>
              <w:top w:w="16" w:type="dxa"/>
              <w:left w:w="16" w:type="dxa"/>
              <w:right w:w="16" w:type="dxa"/>
            </w:tcMar>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国民经济</w:t>
            </w:r>
          </w:p>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行业类别</w:t>
            </w:r>
          </w:p>
        </w:tc>
        <w:tc>
          <w:tcPr>
            <w:tcW w:w="1393" w:type="pct"/>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sz w:val="24"/>
                <w:szCs w:val="21"/>
                <w14:textFill>
                  <w14:solidFill>
                    <w14:schemeClr w14:val="tx1"/>
                  </w14:solidFill>
                </w14:textFill>
              </w:rPr>
              <w:t>2730中药饮片加工</w:t>
            </w:r>
          </w:p>
        </w:tc>
        <w:tc>
          <w:tcPr>
            <w:tcW w:w="1149" w:type="pct"/>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bookmarkStart w:id="1" w:name="_Hlk49843745"/>
            <w:r>
              <w:rPr>
                <w:rFonts w:ascii="Times New Roman" w:hAnsi="Times New Roman"/>
                <w:color w:val="000000" w:themeColor="text1"/>
                <w:kern w:val="21"/>
                <w:sz w:val="24"/>
                <w14:textFill>
                  <w14:solidFill>
                    <w14:schemeClr w14:val="tx1"/>
                  </w14:solidFill>
                </w14:textFill>
              </w:rPr>
              <w:t>建设项目</w:t>
            </w:r>
          </w:p>
          <w:bookmarkEnd w:id="1"/>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行业类别</w:t>
            </w:r>
          </w:p>
        </w:tc>
        <w:tc>
          <w:tcPr>
            <w:tcW w:w="1515" w:type="pct"/>
            <w:vAlign w:val="center"/>
          </w:tcPr>
          <w:p>
            <w:pPr>
              <w:adjustRightInd w:val="0"/>
              <w:snapToGrid w:val="0"/>
              <w:rPr>
                <w:rFonts w:ascii="Times New Roman" w:hAnsi="Times New Roman"/>
                <w:color w:val="000000" w:themeColor="text1"/>
                <w:kern w:val="21"/>
                <w:sz w:val="24"/>
                <w14:textFill>
                  <w14:solidFill>
                    <w14:schemeClr w14:val="tx1"/>
                  </w14:solidFill>
                </w14:textFill>
              </w:rPr>
            </w:pPr>
            <w:r>
              <w:rPr>
                <w:rFonts w:ascii="Times New Roman" w:hAnsi="Times New Roman"/>
                <w:snapToGrid w:val="0"/>
                <w:color w:val="000000" w:themeColor="text1"/>
                <w:kern w:val="0"/>
                <w:sz w:val="24"/>
                <w14:textFill>
                  <w14:solidFill>
                    <w14:schemeClr w14:val="tx1"/>
                  </w14:solidFill>
                </w14:textFill>
              </w:rPr>
              <w:t>48 中药饮片加工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42" w:type="pct"/>
            <w:tcMar>
              <w:top w:w="16" w:type="dxa"/>
              <w:left w:w="16" w:type="dxa"/>
              <w:right w:w="16" w:type="dxa"/>
            </w:tcMar>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建设性质</w:t>
            </w:r>
          </w:p>
        </w:tc>
        <w:tc>
          <w:tcPr>
            <w:tcW w:w="1393" w:type="pct"/>
            <w:vAlign w:val="center"/>
          </w:tcPr>
          <w:p>
            <w:pPr>
              <w:adjustRightInd w:val="0"/>
              <w:snapToGrid w:val="0"/>
              <w:jc w:val="left"/>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√新建（迁建）</w:t>
            </w:r>
          </w:p>
          <w:p>
            <w:pPr>
              <w:adjustRightInd w:val="0"/>
              <w:snapToGrid w:val="0"/>
              <w:jc w:val="left"/>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□改建</w:t>
            </w:r>
          </w:p>
          <w:p>
            <w:pPr>
              <w:adjustRightInd w:val="0"/>
              <w:snapToGrid w:val="0"/>
              <w:jc w:val="left"/>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□扩建</w:t>
            </w:r>
          </w:p>
          <w:p>
            <w:pPr>
              <w:adjustRightInd w:val="0"/>
              <w:snapToGrid w:val="0"/>
              <w:jc w:val="left"/>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□技术改造</w:t>
            </w:r>
          </w:p>
        </w:tc>
        <w:tc>
          <w:tcPr>
            <w:tcW w:w="1149" w:type="pct"/>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建设项目申报情形</w:t>
            </w:r>
          </w:p>
        </w:tc>
        <w:tc>
          <w:tcPr>
            <w:tcW w:w="1515" w:type="pct"/>
            <w:vAlign w:val="center"/>
          </w:tcPr>
          <w:p>
            <w:pPr>
              <w:adjustRightInd w:val="0"/>
              <w:snapToGrid w:val="0"/>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√首次申报项目            </w:t>
            </w:r>
          </w:p>
          <w:p>
            <w:pPr>
              <w:adjustRightInd w:val="0"/>
              <w:snapToGrid w:val="0"/>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□不予批准后再次申报项目</w:t>
            </w:r>
          </w:p>
          <w:p>
            <w:pPr>
              <w:adjustRightInd w:val="0"/>
              <w:snapToGrid w:val="0"/>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□超五年重新审核项目    </w:t>
            </w:r>
          </w:p>
          <w:p>
            <w:pPr>
              <w:adjustRightInd w:val="0"/>
              <w:snapToGrid w:val="0"/>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42" w:type="pct"/>
            <w:tcMar>
              <w:top w:w="16" w:type="dxa"/>
              <w:left w:w="16" w:type="dxa"/>
              <w:right w:w="16" w:type="dxa"/>
            </w:tcMar>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项目审批（核准/</w:t>
            </w:r>
          </w:p>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备案）部门</w:t>
            </w:r>
          </w:p>
        </w:tc>
        <w:tc>
          <w:tcPr>
            <w:tcW w:w="1393" w:type="pct"/>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hint="eastAsia" w:ascii="Times New Roman" w:hAnsi="Times New Roman"/>
                <w:color w:val="000000" w:themeColor="text1"/>
                <w:kern w:val="21"/>
                <w:sz w:val="24"/>
                <w14:textFill>
                  <w14:solidFill>
                    <w14:schemeClr w14:val="tx1"/>
                  </w14:solidFill>
                </w14:textFill>
              </w:rPr>
              <w:t>陆河县发展和改革局</w:t>
            </w:r>
          </w:p>
        </w:tc>
        <w:tc>
          <w:tcPr>
            <w:tcW w:w="1149" w:type="pct"/>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项目审批（核准/</w:t>
            </w:r>
          </w:p>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备案）文号</w:t>
            </w:r>
          </w:p>
        </w:tc>
        <w:tc>
          <w:tcPr>
            <w:tcW w:w="1515" w:type="pct"/>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hint="eastAsia" w:ascii="Times New Roman" w:hAnsi="Times New Roman"/>
                <w:color w:val="000000" w:themeColor="text1"/>
                <w:kern w:val="21"/>
                <w:sz w:val="24"/>
                <w14:textFill>
                  <w14:solidFill>
                    <w14:schemeClr w14:val="tx1"/>
                  </w14:solidFill>
                </w14:textFill>
              </w:rPr>
              <w:t>陆河发改函(2018) 81号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42" w:type="pct"/>
            <w:tcMar>
              <w:top w:w="16" w:type="dxa"/>
              <w:left w:w="16" w:type="dxa"/>
              <w:right w:w="16" w:type="dxa"/>
            </w:tcMar>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总投资（万元）</w:t>
            </w:r>
          </w:p>
        </w:tc>
        <w:tc>
          <w:tcPr>
            <w:tcW w:w="1393" w:type="pct"/>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2000.00</w:t>
            </w:r>
          </w:p>
        </w:tc>
        <w:tc>
          <w:tcPr>
            <w:tcW w:w="1149" w:type="pct"/>
            <w:tcMar>
              <w:top w:w="16" w:type="dxa"/>
              <w:left w:w="16" w:type="dxa"/>
              <w:right w:w="16" w:type="dxa"/>
            </w:tcMar>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环保投资（万元）</w:t>
            </w:r>
          </w:p>
        </w:tc>
        <w:tc>
          <w:tcPr>
            <w:tcW w:w="1515" w:type="pct"/>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200.00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42" w:type="pct"/>
            <w:tcMar>
              <w:top w:w="16" w:type="dxa"/>
              <w:left w:w="16" w:type="dxa"/>
              <w:right w:w="16" w:type="dxa"/>
            </w:tcMar>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环保投资占比（%）</w:t>
            </w:r>
          </w:p>
        </w:tc>
        <w:tc>
          <w:tcPr>
            <w:tcW w:w="1393" w:type="pct"/>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10.0%</w:t>
            </w:r>
          </w:p>
        </w:tc>
        <w:tc>
          <w:tcPr>
            <w:tcW w:w="1149" w:type="pct"/>
            <w:tcMar>
              <w:top w:w="16" w:type="dxa"/>
              <w:left w:w="16" w:type="dxa"/>
              <w:right w:w="16" w:type="dxa"/>
            </w:tcMar>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施工工期</w:t>
            </w:r>
          </w:p>
        </w:tc>
        <w:tc>
          <w:tcPr>
            <w:tcW w:w="1515" w:type="pct"/>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12月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42" w:type="pct"/>
            <w:tcMar>
              <w:top w:w="16" w:type="dxa"/>
              <w:left w:w="16" w:type="dxa"/>
              <w:right w:w="16" w:type="dxa"/>
            </w:tcMar>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是否开工建设</w:t>
            </w:r>
          </w:p>
        </w:tc>
        <w:tc>
          <w:tcPr>
            <w:tcW w:w="1393" w:type="pct"/>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否</w:t>
            </w:r>
          </w:p>
        </w:tc>
        <w:tc>
          <w:tcPr>
            <w:tcW w:w="1149" w:type="pct"/>
            <w:tcMar>
              <w:top w:w="16" w:type="dxa"/>
              <w:left w:w="16" w:type="dxa"/>
              <w:right w:w="16" w:type="dxa"/>
            </w:tcMar>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用地面积（m</w:t>
            </w:r>
            <w:r>
              <w:rPr>
                <w:rFonts w:ascii="Times New Roman" w:hAnsi="Times New Roman"/>
                <w:color w:val="000000" w:themeColor="text1"/>
                <w:kern w:val="21"/>
                <w:sz w:val="24"/>
                <w:vertAlign w:val="superscript"/>
                <w14:textFill>
                  <w14:solidFill>
                    <w14:schemeClr w14:val="tx1"/>
                  </w14:solidFill>
                </w14:textFill>
              </w:rPr>
              <w:t>2</w:t>
            </w:r>
            <w:r>
              <w:rPr>
                <w:rFonts w:ascii="Times New Roman" w:hAnsi="Times New Roman"/>
                <w:color w:val="000000" w:themeColor="text1"/>
                <w:kern w:val="21"/>
                <w:sz w:val="24"/>
                <w14:textFill>
                  <w14:solidFill>
                    <w14:schemeClr w14:val="tx1"/>
                  </w14:solidFill>
                </w14:textFill>
              </w:rPr>
              <w:t>）</w:t>
            </w:r>
          </w:p>
        </w:tc>
        <w:tc>
          <w:tcPr>
            <w:tcW w:w="1515" w:type="pct"/>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2100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42" w:type="pct"/>
            <w:vAlign w:val="center"/>
          </w:tcPr>
          <w:p>
            <w:pPr>
              <w:autoSpaceDE w:val="0"/>
              <w:autoSpaceDN w:val="0"/>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专项评价设置情况</w:t>
            </w:r>
          </w:p>
        </w:tc>
        <w:tc>
          <w:tcPr>
            <w:tcW w:w="4058" w:type="pct"/>
            <w:gridSpan w:val="3"/>
            <w:vAlign w:val="center"/>
          </w:tcPr>
          <w:p>
            <w:pPr>
              <w:autoSpaceDE w:val="0"/>
              <w:autoSpaceDN w:val="0"/>
              <w:adjustRightInd w:val="0"/>
              <w:snapToGrid w:val="0"/>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42" w:type="pct"/>
            <w:vAlign w:val="center"/>
          </w:tcPr>
          <w:p>
            <w:pPr>
              <w:autoSpaceDE w:val="0"/>
              <w:autoSpaceDN w:val="0"/>
              <w:adjustRightInd w:val="0"/>
              <w:snapToGrid w:val="0"/>
              <w:spacing w:line="360" w:lineRule="auto"/>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规划情况</w:t>
            </w:r>
          </w:p>
        </w:tc>
        <w:tc>
          <w:tcPr>
            <w:tcW w:w="4058" w:type="pct"/>
            <w:gridSpan w:val="3"/>
            <w:vAlign w:val="center"/>
          </w:tcPr>
          <w:p>
            <w:pPr>
              <w:autoSpaceDE w:val="0"/>
              <w:autoSpaceDN w:val="0"/>
              <w:adjustRightInd w:val="0"/>
              <w:snapToGrid w:val="0"/>
              <w:spacing w:line="360" w:lineRule="auto"/>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《陆河县产业转移工业园首期建设区控制性详细规划》、《陆河县河口镇扩容提质建设项目(南部新城)北部片区控制性详细规划》及《潮莞高速新田出口两侧G235沿线地块控制性详细规划》</w:t>
            </w:r>
            <w:r>
              <w:rPr>
                <w:rFonts w:hint="eastAsia" w:ascii="Times New Roman" w:hAnsi="Times New Roman"/>
                <w:color w:val="000000" w:themeColor="text1"/>
                <w:kern w:val="21"/>
                <w:sz w:val="24"/>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42" w:type="pct"/>
            <w:vAlign w:val="center"/>
          </w:tcPr>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规划环境影响</w:t>
            </w:r>
          </w:p>
          <w:p>
            <w:pPr>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评价情况</w:t>
            </w:r>
          </w:p>
        </w:tc>
        <w:tc>
          <w:tcPr>
            <w:tcW w:w="4058" w:type="pct"/>
            <w:gridSpan w:val="3"/>
            <w:vAlign w:val="center"/>
          </w:tcPr>
          <w:p>
            <w:pPr>
              <w:autoSpaceDE w:val="0"/>
              <w:autoSpaceDN w:val="0"/>
              <w:adjustRightInd w:val="0"/>
              <w:snapToGrid w:val="0"/>
              <w:spacing w:line="360" w:lineRule="auto"/>
              <w:ind w:firstLine="480" w:firstLineChars="200"/>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《广东陆河县产业转移工业园区规划环境影响报告书》经广东省生态环境厅审批，</w:t>
            </w:r>
            <w:r>
              <w:rPr>
                <w:rFonts w:hint="eastAsia" w:ascii="Times New Roman" w:hAnsi="Times New Roman"/>
                <w:color w:val="000000" w:themeColor="text1"/>
                <w:kern w:val="21"/>
                <w:sz w:val="24"/>
                <w14:textFill>
                  <w14:solidFill>
                    <w14:schemeClr w14:val="tx1"/>
                  </w14:solidFill>
                </w14:textFill>
              </w:rPr>
              <w:t>2021年5月27日</w:t>
            </w:r>
            <w:r>
              <w:rPr>
                <w:rFonts w:ascii="Times New Roman" w:hAnsi="Times New Roman"/>
                <w:color w:val="000000" w:themeColor="text1"/>
                <w:kern w:val="21"/>
                <w:sz w:val="24"/>
                <w14:textFill>
                  <w14:solidFill>
                    <w14:schemeClr w14:val="tx1"/>
                  </w14:solidFill>
                </w14:textFill>
              </w:rPr>
              <w:t>取得</w:t>
            </w:r>
            <w:r>
              <w:rPr>
                <w:rFonts w:hint="eastAsia" w:ascii="Times New Roman" w:hAnsi="Times New Roman"/>
                <w:color w:val="000000" w:themeColor="text1"/>
                <w:kern w:val="21"/>
                <w:sz w:val="24"/>
                <w14:textFill>
                  <w14:solidFill>
                    <w14:schemeClr w14:val="tx1"/>
                  </w14:solidFill>
                </w14:textFill>
              </w:rPr>
              <w:t>《广东省生态环境厅关于印发&lt;广东陆河县产业转移工业园区规划环境影响报告书审查意见&gt;的函》（粤环审[2021]132号）。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42" w:type="pct"/>
            <w:vAlign w:val="center"/>
          </w:tcPr>
          <w:p>
            <w:pPr>
              <w:autoSpaceDE w:val="0"/>
              <w:autoSpaceDN w:val="0"/>
              <w:adjustRightInd w:val="0"/>
              <w:snapToGrid w:val="0"/>
              <w:jc w:val="center"/>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规划及规划环境影响评价符合性分析</w:t>
            </w:r>
          </w:p>
        </w:tc>
        <w:tc>
          <w:tcPr>
            <w:tcW w:w="4058" w:type="pct"/>
            <w:gridSpan w:val="3"/>
            <w:vAlign w:val="center"/>
          </w:tcPr>
          <w:p>
            <w:pPr>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根据《</w:t>
            </w:r>
            <w:r>
              <w:rPr>
                <w:rFonts w:ascii="Times New Roman" w:hAnsi="Times New Roman"/>
                <w:color w:val="000000" w:themeColor="text1"/>
                <w:kern w:val="21"/>
                <w:sz w:val="24"/>
                <w14:textFill>
                  <w14:solidFill>
                    <w14:schemeClr w14:val="tx1"/>
                  </w14:solidFill>
                </w14:textFill>
              </w:rPr>
              <w:t>广东陆河县产业转移工业园区规划环境影响报告书</w:t>
            </w:r>
            <w:r>
              <w:rPr>
                <w:rFonts w:ascii="Times New Roman" w:hAnsi="Times New Roman"/>
                <w:color w:val="000000" w:themeColor="text1"/>
                <w:sz w:val="24"/>
                <w14:textFill>
                  <w14:solidFill>
                    <w14:schemeClr w14:val="tx1"/>
                  </w14:solidFill>
                </w14:textFill>
              </w:rPr>
              <w:t>》从空间布局约束、污染物排放管控、环境风险防控以及资源开发利用等方面的管控要求，以清单形式提出园区开发建设过程中的生态环境准入清单。本项目的相符性分析见下表：</w:t>
            </w:r>
          </w:p>
          <w:p>
            <w:pPr>
              <w:pStyle w:val="76"/>
              <w:numPr>
                <w:ilvl w:val="0"/>
                <w:numId w:val="3"/>
              </w:numPr>
              <w:rPr>
                <w:color w:val="000000" w:themeColor="text1"/>
                <w14:textFill>
                  <w14:solidFill>
                    <w14:schemeClr w14:val="tx1"/>
                  </w14:solidFill>
                </w14:textFill>
              </w:rPr>
            </w:pPr>
            <w:r>
              <w:rPr>
                <w:color w:val="000000" w:themeColor="text1"/>
                <w14:textFill>
                  <w14:solidFill>
                    <w14:schemeClr w14:val="tx1"/>
                  </w14:solidFill>
                </w14:textFill>
              </w:rPr>
              <w:t>环境准入清单对照分析预判情况</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32"/>
              <w:gridCol w:w="718"/>
              <w:gridCol w:w="2564"/>
              <w:gridCol w:w="2835"/>
              <w:gridCol w:w="6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32"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718"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类别</w:t>
                  </w:r>
                </w:p>
              </w:tc>
              <w:tc>
                <w:tcPr>
                  <w:tcW w:w="2564"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广东陆河县产业转移工业园区规划环境影响报告书主要内容</w:t>
                  </w:r>
                </w:p>
              </w:tc>
              <w:tc>
                <w:tcPr>
                  <w:tcW w:w="2835"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对照分析</w:t>
                  </w:r>
                </w:p>
              </w:tc>
              <w:tc>
                <w:tcPr>
                  <w:tcW w:w="604"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本项目是否符合要求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32"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718"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空间布局约束</w:t>
                  </w:r>
                </w:p>
              </w:tc>
              <w:tc>
                <w:tcPr>
                  <w:tcW w:w="2564" w:type="dxa"/>
                  <w:vAlign w:val="center"/>
                </w:tcPr>
                <w:p>
                  <w:pPr>
                    <w:pStyle w:val="90"/>
                    <w:spacing w:line="276" w:lineRule="auto"/>
                    <w:ind w:firstLine="0" w:firstLineChars="0"/>
                    <w:jc w:val="left"/>
                    <w:rPr>
                      <w:rFonts w:ascii="Times New Roman"/>
                      <w:color w:val="000000" w:themeColor="text1"/>
                      <w:szCs w:val="21"/>
                      <w14:textFill>
                        <w14:solidFill>
                          <w14:schemeClr w14:val="tx1"/>
                        </w14:solidFill>
                      </w14:textFill>
                    </w:rPr>
                  </w:pPr>
                  <w:r>
                    <w:rPr>
                      <w:rFonts w:ascii="Times New Roman"/>
                      <w:color w:val="000000" w:themeColor="text1"/>
                      <w:sz w:val="21"/>
                      <w:szCs w:val="21"/>
                      <w14:textFill>
                        <w14:solidFill>
                          <w14:schemeClr w14:val="tx1"/>
                        </w14:solidFill>
                      </w14:textFill>
                    </w:rPr>
                    <w:t>在企业与居民区之间设置缓冲带，企业尽量少设置宿舍；园区重点发展新能源汽车、建材、机械设备制造，兼顾发展无污染、轻污染的轻工产业及医药产业。严格控制高污染高排水项目的引入；新入园项目应符合《产业结构调整指导目录》、《市场准入负面清单》等相关产业政策的要求，严禁引入含电镀、印染工艺的项目以及制浆造纸、制革、化工（单纯混合、分装的除外）、医药中间体、农药中间体和染料中间体生产等重污染项目。医药行业禁止引入含持久性有机污染物产生的化学合成药企业，优先引入中药合成、药饮片加工等轻污染企业。</w:t>
                  </w:r>
                </w:p>
              </w:tc>
              <w:tc>
                <w:tcPr>
                  <w:tcW w:w="2835"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项目距离最近的居民区</w:t>
                  </w:r>
                  <w:r>
                    <w:rPr>
                      <w:rFonts w:hint="eastAsia"/>
                      <w:color w:val="000000" w:themeColor="text1"/>
                      <w:szCs w:val="21"/>
                      <w14:textFill>
                        <w14:solidFill>
                          <w14:schemeClr w14:val="tx1"/>
                        </w14:solidFill>
                      </w14:textFill>
                    </w:rPr>
                    <w:t>三峰村约</w:t>
                  </w:r>
                  <w:r>
                    <w:rPr>
                      <w:color w:val="000000" w:themeColor="text1"/>
                      <w:szCs w:val="21"/>
                      <w14:textFill>
                        <w14:solidFill>
                          <w14:schemeClr w14:val="tx1"/>
                        </w14:solidFill>
                      </w14:textFill>
                    </w:rPr>
                    <w:t>451m，本项目不设宿舍，项目为医药产业的中药饮片加工项目，不属于高污染高排水项目、不属于化学合成药企业，不属于重污染项目，属于优先引入企业；项目符合《产业结构调整指导目录》（2019年本）、《市场准入负面清单》（2020年</w:t>
                  </w:r>
                  <w:r>
                    <w:rPr>
                      <w:rFonts w:hint="eastAsia"/>
                      <w:color w:val="000000" w:themeColor="text1"/>
                      <w:szCs w:val="21"/>
                      <w14:textFill>
                        <w14:solidFill>
                          <w14:schemeClr w14:val="tx1"/>
                        </w14:solidFill>
                      </w14:textFill>
                    </w:rPr>
                    <w:t>版</w:t>
                  </w:r>
                  <w:r>
                    <w:rPr>
                      <w:color w:val="000000" w:themeColor="text1"/>
                      <w:szCs w:val="21"/>
                      <w14:textFill>
                        <w14:solidFill>
                          <w14:schemeClr w14:val="tx1"/>
                        </w14:solidFill>
                      </w14:textFill>
                    </w:rPr>
                    <w:t>）等相关产业政策的要求。</w:t>
                  </w:r>
                </w:p>
              </w:tc>
              <w:tc>
                <w:tcPr>
                  <w:tcW w:w="604"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32"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718"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污染物排放管控</w:t>
                  </w:r>
                </w:p>
              </w:tc>
              <w:tc>
                <w:tcPr>
                  <w:tcW w:w="2564" w:type="dxa"/>
                  <w:vAlign w:val="center"/>
                </w:tcPr>
                <w:p>
                  <w:pPr>
                    <w:pStyle w:val="90"/>
                    <w:spacing w:line="276" w:lineRule="auto"/>
                    <w:ind w:firstLine="0" w:firstLineChars="0"/>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推广应用低VOCs原辅材料，全面加强VOCs综合治理，企业污染物稳定达标排放。入园项目需采用清洁能源（天然气）作为燃料。禁止在园区附近地表水</w:t>
                  </w:r>
                  <w:r>
                    <w:rPr>
                      <w:rFonts w:hint="eastAsia" w:hAnsi="宋体" w:cs="宋体"/>
                      <w:color w:val="000000" w:themeColor="text1"/>
                      <w:sz w:val="21"/>
                      <w:szCs w:val="21"/>
                      <w14:textFill>
                        <w14:solidFill>
                          <w14:schemeClr w14:val="tx1"/>
                        </w14:solidFill>
                      </w14:textFill>
                    </w:rPr>
                    <w:t>Ⅱ</w:t>
                  </w:r>
                  <w:r>
                    <w:rPr>
                      <w:rFonts w:ascii="Times New Roman"/>
                      <w:color w:val="000000" w:themeColor="text1"/>
                      <w:sz w:val="21"/>
                      <w:szCs w:val="21"/>
                      <w14:textFill>
                        <w14:solidFill>
                          <w14:schemeClr w14:val="tx1"/>
                        </w14:solidFill>
                      </w14:textFill>
                    </w:rPr>
                    <w:t>类水域新建排污口，禁止在花鳗鲡保护区设置排污口。新建项目生产废水需预处理达到污水处理厂接管标准后，方可进入工业污水处理厂处理。</w:t>
                  </w:r>
                  <w:r>
                    <w:rPr>
                      <w:rFonts w:ascii="Times New Roman" w:eastAsiaTheme="minorEastAsia"/>
                      <w:color w:val="000000" w:themeColor="text1"/>
                      <w:sz w:val="21"/>
                      <w:szCs w:val="21"/>
                      <w14:textFill>
                        <w14:solidFill>
                          <w14:schemeClr w14:val="tx1"/>
                        </w14:solidFill>
                      </w14:textFill>
                    </w:rPr>
                    <w:t>一般工业固体废物应立足于回收利用，不能利用的应按有关要求进行处置。危险废物送有资质的单位处理处置。</w:t>
                  </w:r>
                </w:p>
                <w:p>
                  <w:pPr>
                    <w:pStyle w:val="54"/>
                    <w:rPr>
                      <w:color w:val="000000" w:themeColor="text1"/>
                      <w:szCs w:val="21"/>
                      <w14:textFill>
                        <w14:solidFill>
                          <w14:schemeClr w14:val="tx1"/>
                        </w14:solidFill>
                      </w14:textFill>
                    </w:rPr>
                  </w:pPr>
                </w:p>
              </w:tc>
              <w:tc>
                <w:tcPr>
                  <w:tcW w:w="2835" w:type="dxa"/>
                  <w:vAlign w:val="center"/>
                </w:tcPr>
                <w:p>
                  <w:pPr>
                    <w:pStyle w:val="54"/>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对产生的乙醇不凝气进行水封喷淋处理可达标排放。项目使用天然气作为燃料。项目生产废水经自建污水处理站处理达到广东省《水污染物排放限值》（DB44/26-2001）第二时段三级标准、工业污水处理厂进水水质要求及《中药类制药工业水污染物排放标准》（GB21906-2008）表2的较严值后排入工业污水处理厂处理，生活污水经化粪池预处理达到广东省《水污染物排放限值》（DB44/26-2001）第二时段三级标准排入河口镇污水处理厂处理，属于间接排放，无新建排污口。项目药渣、滤渣、袋式除尘器收集粉尘交由有机肥厂家综合利用、包装废物交由专业回收公司回收利用，药材杂质、污泥交由环卫部门处理，危险废物废滤芯、废树脂交由具</w:t>
                  </w:r>
                  <w:r>
                    <w:rPr>
                      <w:rFonts w:eastAsiaTheme="minorEastAsia"/>
                      <w:color w:val="000000" w:themeColor="text1"/>
                      <w:szCs w:val="21"/>
                      <w14:textFill>
                        <w14:solidFill>
                          <w14:schemeClr w14:val="tx1"/>
                        </w14:solidFill>
                      </w14:textFill>
                    </w:rPr>
                    <w:t>资质的单位处理处置</w:t>
                  </w:r>
                  <w:r>
                    <w:rPr>
                      <w:rFonts w:hint="eastAsia" w:eastAsiaTheme="minorEastAsia"/>
                      <w:color w:val="000000" w:themeColor="text1"/>
                      <w:szCs w:val="21"/>
                      <w14:textFill>
                        <w14:solidFill>
                          <w14:schemeClr w14:val="tx1"/>
                        </w14:solidFill>
                      </w14:textFill>
                    </w:rPr>
                    <w:t>。</w:t>
                  </w:r>
                </w:p>
              </w:tc>
              <w:tc>
                <w:tcPr>
                  <w:tcW w:w="604"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32"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718"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环境风险防控</w:t>
                  </w:r>
                </w:p>
              </w:tc>
              <w:tc>
                <w:tcPr>
                  <w:tcW w:w="2564" w:type="dxa"/>
                  <w:vAlign w:val="center"/>
                </w:tcPr>
                <w:p>
                  <w:pPr>
                    <w:pStyle w:val="90"/>
                    <w:spacing w:line="276" w:lineRule="auto"/>
                    <w:ind w:firstLine="0" w:firstLineChars="0"/>
                    <w:jc w:val="left"/>
                    <w:rPr>
                      <w:rFonts w:ascii="Times New Roman"/>
                      <w:color w:val="000000" w:themeColor="text1"/>
                      <w:szCs w:val="21"/>
                      <w14:textFill>
                        <w14:solidFill>
                          <w14:schemeClr w14:val="tx1"/>
                        </w14:solidFill>
                      </w14:textFill>
                    </w:rPr>
                  </w:pPr>
                  <w:r>
                    <w:rPr>
                      <w:rFonts w:ascii="Times New Roman"/>
                      <w:color w:val="000000" w:themeColor="text1"/>
                      <w:sz w:val="21"/>
                      <w:szCs w:val="21"/>
                      <w14:textFill>
                        <w14:solidFill>
                          <w14:schemeClr w14:val="tx1"/>
                        </w14:solidFill>
                      </w14:textFill>
                    </w:rPr>
                    <w:t>禁止含电镀、印染工艺的项目以及制浆造纸、制革、有色金属冶炼等高污染、高耗能、高环境风险企业入园区。企业严格按《关于发布《突发环境事件应急预案备案行业名录（指导性意见）的通知》（粤环[2018]44号）开展应急预案的编制，做好环境风险防范措施。</w:t>
                  </w:r>
                </w:p>
              </w:tc>
              <w:tc>
                <w:tcPr>
                  <w:tcW w:w="2835" w:type="dxa"/>
                  <w:vAlign w:val="center"/>
                </w:tcPr>
                <w:p>
                  <w:pPr>
                    <w:pStyle w:val="54"/>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w:t>
                  </w:r>
                  <w:r>
                    <w:rPr>
                      <w:rFonts w:hint="eastAsia"/>
                      <w:color w:val="000000" w:themeColor="text1"/>
                      <w:szCs w:val="21"/>
                      <w14:textFill>
                        <w14:solidFill>
                          <w14:schemeClr w14:val="tx1"/>
                        </w14:solidFill>
                      </w14:textFill>
                    </w:rPr>
                    <w:t>为</w:t>
                  </w:r>
                  <w:r>
                    <w:rPr>
                      <w:color w:val="000000" w:themeColor="text1"/>
                      <w:szCs w:val="21"/>
                      <w14:textFill>
                        <w14:solidFill>
                          <w14:schemeClr w14:val="tx1"/>
                        </w14:solidFill>
                      </w14:textFill>
                    </w:rPr>
                    <w:t>中药饮片加工项目</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不属于高污染、高耗能、高风险、高环境风险企业。企业后续将按《关于发布《突发环境事件应急预案备案行业名录（指导性意见）的通知》（粤环[2018]44号）开展应急预案的编制，做好环境风险防范措施。</w:t>
                  </w:r>
                </w:p>
              </w:tc>
              <w:tc>
                <w:tcPr>
                  <w:tcW w:w="604"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32"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718" w:type="dxa"/>
                  <w:vAlign w:val="center"/>
                </w:tcPr>
                <w:p>
                  <w:pPr>
                    <w:pStyle w:val="90"/>
                    <w:spacing w:line="276"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资源开发利用要求</w:t>
                  </w:r>
                </w:p>
              </w:tc>
              <w:tc>
                <w:tcPr>
                  <w:tcW w:w="2564" w:type="dxa"/>
                  <w:vAlign w:val="center"/>
                </w:tcPr>
                <w:p>
                  <w:pPr>
                    <w:pStyle w:val="90"/>
                    <w:spacing w:line="276" w:lineRule="auto"/>
                    <w:ind w:firstLine="0" w:firstLineChars="0"/>
                    <w:jc w:val="left"/>
                    <w:rPr>
                      <w:rFonts w:ascii="Times New Roman"/>
                      <w:color w:val="000000" w:themeColor="text1"/>
                      <w:szCs w:val="21"/>
                      <w14:textFill>
                        <w14:solidFill>
                          <w14:schemeClr w14:val="tx1"/>
                        </w14:solidFill>
                      </w14:textFill>
                    </w:rPr>
                  </w:pPr>
                  <w:r>
                    <w:rPr>
                      <w:rFonts w:ascii="Times New Roman"/>
                      <w:color w:val="000000" w:themeColor="text1"/>
                      <w:sz w:val="21"/>
                      <w:szCs w:val="21"/>
                      <w14:textFill>
                        <w14:solidFill>
                          <w14:schemeClr w14:val="tx1"/>
                        </w14:solidFill>
                      </w14:textFill>
                    </w:rPr>
                    <w:t>园区的建设需要满足城市总体规划、土地利用总体规划对土地资源开发利用总量的要求，满足水资源利用以及能源利用要求。加快天然气管网的铺设，推广天然气清洁能源的使用。</w:t>
                  </w:r>
                </w:p>
              </w:tc>
              <w:tc>
                <w:tcPr>
                  <w:tcW w:w="2835" w:type="dxa"/>
                  <w:vAlign w:val="center"/>
                </w:tcPr>
                <w:p>
                  <w:pPr>
                    <w:pStyle w:val="54"/>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项目</w:t>
                  </w:r>
                  <w:r>
                    <w:rPr>
                      <w:rFonts w:hint="eastAsia"/>
                      <w:color w:val="000000" w:themeColor="text1"/>
                      <w:szCs w:val="21"/>
                      <w14:textFill>
                        <w14:solidFill>
                          <w14:schemeClr w14:val="tx1"/>
                        </w14:solidFill>
                      </w14:textFill>
                    </w:rPr>
                    <w:t>所在地</w:t>
                  </w:r>
                  <w:r>
                    <w:rPr>
                      <w:color w:val="000000" w:themeColor="text1"/>
                      <w:szCs w:val="21"/>
                      <w14:textFill>
                        <w14:solidFill>
                          <w14:schemeClr w14:val="tx1"/>
                        </w14:solidFill>
                      </w14:textFill>
                    </w:rPr>
                    <w:t>属于工业用地（见附件2）。项目用水、用天然气占比较少，可满足水资源利用以及能源利用要求。</w:t>
                  </w:r>
                </w:p>
              </w:tc>
              <w:tc>
                <w:tcPr>
                  <w:tcW w:w="604" w:type="dxa"/>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bl>
          <w:p>
            <w:pPr>
              <w:autoSpaceDE w:val="0"/>
              <w:autoSpaceDN w:val="0"/>
              <w:adjustRightInd w:val="0"/>
              <w:snapToGrid w:val="0"/>
              <w:spacing w:line="360" w:lineRule="auto"/>
              <w:ind w:firstLine="482" w:firstLineChars="200"/>
              <w:rPr>
                <w:rFonts w:ascii="Times New Roman" w:hAnsi="Times New Roman"/>
                <w:b/>
                <w:color w:val="000000" w:themeColor="text1"/>
                <w:kern w:val="21"/>
                <w:sz w:val="24"/>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42" w:type="pct"/>
            <w:vAlign w:val="center"/>
          </w:tcPr>
          <w:p>
            <w:pPr>
              <w:autoSpaceDE w:val="0"/>
              <w:autoSpaceDN w:val="0"/>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其他符合性分析</w:t>
            </w:r>
          </w:p>
        </w:tc>
        <w:tc>
          <w:tcPr>
            <w:tcW w:w="4058" w:type="pct"/>
            <w:gridSpan w:val="3"/>
            <w:vAlign w:val="center"/>
          </w:tcPr>
          <w:p>
            <w:pPr>
              <w:adjustRightInd w:val="0"/>
              <w:snapToGrid w:val="0"/>
              <w:spacing w:line="360" w:lineRule="auto"/>
              <w:ind w:firstLine="482" w:firstLineChars="200"/>
              <w:rPr>
                <w:rFonts w:ascii="Times New Roman" w:hAnsi="Times New Roman"/>
                <w:b/>
                <w:color w:val="000000" w:themeColor="text1"/>
                <w:sz w:val="24"/>
                <w:szCs w:val="22"/>
                <w14:textFill>
                  <w14:solidFill>
                    <w14:schemeClr w14:val="tx1"/>
                  </w14:solidFill>
                </w14:textFill>
              </w:rPr>
            </w:pPr>
            <w:r>
              <w:rPr>
                <w:rFonts w:ascii="Times New Roman" w:hAnsi="Times New Roman"/>
                <w:b/>
                <w:color w:val="000000" w:themeColor="text1"/>
                <w:sz w:val="24"/>
                <w:szCs w:val="22"/>
                <w14:textFill>
                  <w14:solidFill>
                    <w14:schemeClr w14:val="tx1"/>
                  </w14:solidFill>
                </w14:textFill>
              </w:rPr>
              <w:t>1、与《广东省“</w:t>
            </w:r>
            <w:r>
              <w:rPr>
                <w:rFonts w:hint="eastAsia" w:ascii="Times New Roman" w:hAnsi="Times New Roman"/>
                <w:b/>
                <w:color w:val="000000" w:themeColor="text1"/>
                <w:sz w:val="24"/>
                <w:szCs w:val="22"/>
                <w14:textFill>
                  <w14:solidFill>
                    <w14:schemeClr w14:val="tx1"/>
                  </w14:solidFill>
                </w14:textFill>
              </w:rPr>
              <w:t>三线一单</w:t>
            </w:r>
            <w:r>
              <w:rPr>
                <w:rFonts w:ascii="Times New Roman" w:hAnsi="Times New Roman"/>
                <w:b/>
                <w:color w:val="000000" w:themeColor="text1"/>
                <w:sz w:val="24"/>
                <w:szCs w:val="22"/>
                <w14:textFill>
                  <w14:solidFill>
                    <w14:schemeClr w14:val="tx1"/>
                  </w14:solidFill>
                </w14:textFill>
              </w:rPr>
              <w:t>”</w:t>
            </w:r>
            <w:r>
              <w:rPr>
                <w:rFonts w:hint="eastAsia" w:ascii="Times New Roman" w:hAnsi="Times New Roman"/>
                <w:b/>
                <w:color w:val="000000" w:themeColor="text1"/>
                <w:sz w:val="24"/>
                <w:szCs w:val="22"/>
                <w14:textFill>
                  <w14:solidFill>
                    <w14:schemeClr w14:val="tx1"/>
                  </w14:solidFill>
                </w14:textFill>
              </w:rPr>
              <w:t>生态环境分区管控方案》（粤府〔</w:t>
            </w:r>
            <w:r>
              <w:rPr>
                <w:rFonts w:ascii="Times New Roman" w:hAnsi="Times New Roman"/>
                <w:b/>
                <w:color w:val="000000" w:themeColor="text1"/>
                <w:sz w:val="24"/>
                <w:szCs w:val="22"/>
                <w14:textFill>
                  <w14:solidFill>
                    <w14:schemeClr w14:val="tx1"/>
                  </w14:solidFill>
                </w14:textFill>
              </w:rPr>
              <w:t>2020</w:t>
            </w:r>
            <w:r>
              <w:rPr>
                <w:rFonts w:hint="eastAsia" w:ascii="Times New Roman" w:hAnsi="Times New Roman"/>
                <w:b/>
                <w:color w:val="000000" w:themeColor="text1"/>
                <w:sz w:val="24"/>
                <w:szCs w:val="22"/>
                <w14:textFill>
                  <w14:solidFill>
                    <w14:schemeClr w14:val="tx1"/>
                  </w14:solidFill>
                </w14:textFill>
              </w:rPr>
              <w:t>〕</w:t>
            </w:r>
            <w:r>
              <w:rPr>
                <w:rFonts w:ascii="Times New Roman" w:hAnsi="Times New Roman"/>
                <w:b/>
                <w:color w:val="000000" w:themeColor="text1"/>
                <w:sz w:val="24"/>
                <w:szCs w:val="22"/>
                <w14:textFill>
                  <w14:solidFill>
                    <w14:schemeClr w14:val="tx1"/>
                  </w14:solidFill>
                </w14:textFill>
              </w:rPr>
              <w:t>71</w:t>
            </w:r>
            <w:r>
              <w:rPr>
                <w:rFonts w:hint="eastAsia" w:ascii="Times New Roman" w:hAnsi="Times New Roman"/>
                <w:b/>
                <w:color w:val="000000" w:themeColor="text1"/>
                <w:sz w:val="24"/>
                <w:szCs w:val="22"/>
                <w14:textFill>
                  <w14:solidFill>
                    <w14:schemeClr w14:val="tx1"/>
                  </w14:solidFill>
                </w14:textFill>
              </w:rPr>
              <w:t>号）相符性分析</w:t>
            </w:r>
          </w:p>
          <w:p>
            <w:pPr>
              <w:adjustRightInd w:val="0"/>
              <w:snapToGrid w:val="0"/>
              <w:spacing w:line="360" w:lineRule="auto"/>
              <w:ind w:firstLine="480" w:firstLineChars="200"/>
              <w:rPr>
                <w:rFonts w:ascii="Times New Roman" w:hAnsi="Times New Roman"/>
                <w:color w:val="000000" w:themeColor="text1"/>
                <w:sz w:val="24"/>
                <w:szCs w:val="22"/>
                <w14:textFill>
                  <w14:solidFill>
                    <w14:schemeClr w14:val="tx1"/>
                  </w14:solidFill>
                </w14:textFill>
              </w:rPr>
            </w:pPr>
            <w:r>
              <w:rPr>
                <w:rFonts w:ascii="Times New Roman" w:hAnsi="Times New Roman"/>
                <w:color w:val="000000" w:themeColor="text1"/>
                <w:sz w:val="24"/>
                <w:szCs w:val="22"/>
                <w14:textFill>
                  <w14:solidFill>
                    <w14:schemeClr w14:val="tx1"/>
                  </w14:solidFill>
                </w14:textFill>
              </w:rPr>
              <w:t>（1）项目与生态保护红线相符性分析</w:t>
            </w:r>
          </w:p>
          <w:p>
            <w:pPr>
              <w:adjustRightInd w:val="0"/>
              <w:snapToGrid w:val="0"/>
              <w:spacing w:line="360" w:lineRule="auto"/>
              <w:ind w:firstLine="470" w:firstLineChars="196"/>
              <w:rPr>
                <w:rFonts w:ascii="Times New Roman" w:hAnsi="Times New Roman"/>
                <w:color w:val="000000" w:themeColor="text1"/>
                <w:sz w:val="24"/>
                <w:szCs w:val="22"/>
                <w14:textFill>
                  <w14:solidFill>
                    <w14:schemeClr w14:val="tx1"/>
                  </w14:solidFill>
                </w14:textFill>
              </w:rPr>
            </w:pPr>
            <w:r>
              <w:rPr>
                <w:rFonts w:ascii="Times New Roman" w:hAnsi="Times New Roman"/>
                <w:color w:val="000000" w:themeColor="text1"/>
                <w:sz w:val="24"/>
                <w:szCs w:val="22"/>
                <w14:textFill>
                  <w14:solidFill>
                    <w14:schemeClr w14:val="tx1"/>
                  </w14:solidFill>
                </w14:textFill>
              </w:rPr>
              <w:t>项目</w:t>
            </w:r>
            <w:r>
              <w:rPr>
                <w:rFonts w:hint="eastAsia" w:ascii="Times New Roman" w:hAnsi="Times New Roman"/>
                <w:color w:val="000000" w:themeColor="text1"/>
                <w:sz w:val="24"/>
                <w:szCs w:val="22"/>
                <w14:textFill>
                  <w14:solidFill>
                    <w14:schemeClr w14:val="tx1"/>
                  </w14:solidFill>
                </w14:textFill>
              </w:rPr>
              <w:t>所在地</w:t>
            </w:r>
            <w:r>
              <w:rPr>
                <w:rFonts w:ascii="Times New Roman" w:hAnsi="Times New Roman"/>
                <w:color w:val="000000" w:themeColor="text1"/>
                <w:sz w:val="24"/>
                <w:szCs w:val="22"/>
                <w14:textFill>
                  <w14:solidFill>
                    <w14:schemeClr w14:val="tx1"/>
                  </w14:solidFill>
                </w14:textFill>
              </w:rPr>
              <w:t>为工业厂房用地（见附件2），不涉及划定的生态红线区域。</w:t>
            </w:r>
          </w:p>
          <w:p>
            <w:pPr>
              <w:adjustRightInd w:val="0"/>
              <w:snapToGrid w:val="0"/>
              <w:spacing w:line="360" w:lineRule="auto"/>
              <w:ind w:firstLine="480" w:firstLineChars="200"/>
              <w:rPr>
                <w:rFonts w:ascii="Times New Roman" w:hAnsi="Times New Roman"/>
                <w:color w:val="000000" w:themeColor="text1"/>
                <w:sz w:val="24"/>
                <w:szCs w:val="22"/>
                <w14:textFill>
                  <w14:solidFill>
                    <w14:schemeClr w14:val="tx1"/>
                  </w14:solidFill>
                </w14:textFill>
              </w:rPr>
            </w:pPr>
            <w:r>
              <w:rPr>
                <w:rFonts w:ascii="Times New Roman" w:hAnsi="Times New Roman"/>
                <w:color w:val="000000" w:themeColor="text1"/>
                <w:sz w:val="24"/>
                <w:szCs w:val="22"/>
                <w14:textFill>
                  <w14:solidFill>
                    <w14:schemeClr w14:val="tx1"/>
                  </w14:solidFill>
                </w14:textFill>
              </w:rPr>
              <w:t>（2） 项目与环境质量底线相符性分析</w:t>
            </w:r>
          </w:p>
          <w:p>
            <w:pPr>
              <w:adjustRightInd w:val="0"/>
              <w:snapToGrid w:val="0"/>
              <w:spacing w:line="360" w:lineRule="auto"/>
              <w:ind w:firstLine="480" w:firstLineChars="200"/>
              <w:rPr>
                <w:rFonts w:ascii="Times New Roman" w:hAnsi="Times New Roman"/>
                <w:color w:val="000000" w:themeColor="text1"/>
                <w:sz w:val="24"/>
                <w:szCs w:val="22"/>
                <w14:textFill>
                  <w14:solidFill>
                    <w14:schemeClr w14:val="tx1"/>
                  </w14:solidFill>
                </w14:textFill>
              </w:rPr>
            </w:pPr>
            <w:r>
              <w:rPr>
                <w:rFonts w:ascii="Times New Roman" w:hAnsi="Times New Roman"/>
                <w:color w:val="000000" w:themeColor="text1"/>
                <w:sz w:val="24"/>
                <w:szCs w:val="22"/>
                <w14:textFill>
                  <w14:solidFill>
                    <w14:schemeClr w14:val="tx1"/>
                  </w14:solidFill>
                </w14:textFill>
              </w:rPr>
              <w:t>根据监测站2020年的常规监测数据及环境质量现状监测数据：2020年陆河县监测指标符合《环境空气质量标准》（GB3095-2012）及其修改单二级标准；根据监测站2019年的常规监测数据就环境质量监测数据，</w:t>
            </w:r>
            <w:r>
              <w:rPr>
                <w:rFonts w:ascii="Times New Roman" w:hAnsi="Times New Roman" w:eastAsia="宋体"/>
                <w:color w:val="000000" w:themeColor="text1"/>
                <w:sz w:val="24"/>
                <w14:textFill>
                  <w14:solidFill>
                    <w14:schemeClr w14:val="tx1"/>
                  </w14:solidFill>
                </w14:textFill>
              </w:rPr>
              <w:t>南北溪、螺河河二监测断面各污染物指标均满足《地表水境质量标准》（GB3838-2002）III类、II类标准</w:t>
            </w:r>
            <w:r>
              <w:rPr>
                <w:rFonts w:ascii="Times New Roman" w:hAnsi="Times New Roman"/>
                <w:color w:val="000000" w:themeColor="text1"/>
                <w:sz w:val="24"/>
                <w:szCs w:val="22"/>
                <w14:textFill>
                  <w14:solidFill>
                    <w14:schemeClr w14:val="tx1"/>
                  </w14:solidFill>
                </w14:textFill>
              </w:rPr>
              <w:t>，本项目所在区域为环境质量达标区</w:t>
            </w:r>
            <w:r>
              <w:rPr>
                <w:rFonts w:ascii="Times New Roman" w:hAnsi="Times New Roman"/>
                <w:color w:val="000000" w:themeColor="text1"/>
                <w:szCs w:val="22"/>
                <w14:textFill>
                  <w14:solidFill>
                    <w14:schemeClr w14:val="tx1"/>
                  </w14:solidFill>
                </w14:textFill>
              </w:rPr>
              <w:t>。</w:t>
            </w:r>
            <w:r>
              <w:rPr>
                <w:rFonts w:ascii="Times New Roman" w:hAnsi="Times New Roman"/>
                <w:color w:val="000000" w:themeColor="text1"/>
                <w:sz w:val="24"/>
                <w:szCs w:val="22"/>
                <w14:textFill>
                  <w14:solidFill>
                    <w14:schemeClr w14:val="tx1"/>
                  </w14:solidFill>
                </w14:textFill>
              </w:rPr>
              <w:t>项目建成后，不会对环境质量造成明显影响。</w:t>
            </w:r>
          </w:p>
          <w:p>
            <w:pPr>
              <w:adjustRightInd w:val="0"/>
              <w:snapToGrid w:val="0"/>
              <w:spacing w:line="360" w:lineRule="auto"/>
              <w:ind w:firstLine="480" w:firstLineChars="200"/>
              <w:rPr>
                <w:rFonts w:ascii="Times New Roman" w:hAnsi="Times New Roman"/>
                <w:color w:val="000000" w:themeColor="text1"/>
                <w:sz w:val="24"/>
                <w:szCs w:val="22"/>
                <w14:textFill>
                  <w14:solidFill>
                    <w14:schemeClr w14:val="tx1"/>
                  </w14:solidFill>
                </w14:textFill>
              </w:rPr>
            </w:pPr>
            <w:r>
              <w:rPr>
                <w:rFonts w:ascii="Times New Roman" w:hAnsi="Times New Roman"/>
                <w:color w:val="000000" w:themeColor="text1"/>
                <w:sz w:val="24"/>
                <w:szCs w:val="22"/>
                <w14:textFill>
                  <w14:solidFill>
                    <w14:schemeClr w14:val="tx1"/>
                  </w14:solidFill>
                </w14:textFill>
              </w:rPr>
              <w:t>（3） 项目与资源利用上线相符性分析</w:t>
            </w:r>
          </w:p>
          <w:p>
            <w:pPr>
              <w:adjustRightInd w:val="0"/>
              <w:snapToGrid w:val="0"/>
              <w:spacing w:line="360" w:lineRule="auto"/>
              <w:ind w:firstLine="480" w:firstLineChars="200"/>
              <w:rPr>
                <w:rFonts w:ascii="Times New Roman" w:hAnsi="Times New Roman"/>
                <w:color w:val="000000" w:themeColor="text1"/>
                <w:sz w:val="24"/>
                <w:szCs w:val="22"/>
                <w14:textFill>
                  <w14:solidFill>
                    <w14:schemeClr w14:val="tx1"/>
                  </w14:solidFill>
                </w14:textFill>
              </w:rPr>
            </w:pPr>
            <w:r>
              <w:rPr>
                <w:rFonts w:ascii="Times New Roman" w:hAnsi="Times New Roman"/>
                <w:color w:val="000000" w:themeColor="text1"/>
                <w:sz w:val="24"/>
                <w:szCs w:val="22"/>
                <w14:textFill>
                  <w14:solidFill>
                    <w14:schemeClr w14:val="tx1"/>
                  </w14:solidFill>
                </w14:textFill>
              </w:rPr>
              <w:t>本项目所需资源主要为土地资源、水资源等，根据工业用地证明（详见附件2），项目所在地为工业用地，不涉及新增用地；项目用水由市政供给，用水量较小不会给资源利用带来明显的压力。</w:t>
            </w:r>
          </w:p>
          <w:p>
            <w:pPr>
              <w:adjustRightInd w:val="0"/>
              <w:snapToGrid w:val="0"/>
              <w:spacing w:line="360" w:lineRule="auto"/>
              <w:ind w:firstLine="480" w:firstLineChars="200"/>
              <w:rPr>
                <w:rFonts w:ascii="Times New Roman" w:hAnsi="Times New Roman"/>
                <w:color w:val="000000" w:themeColor="text1"/>
                <w:sz w:val="24"/>
                <w:szCs w:val="22"/>
                <w14:textFill>
                  <w14:solidFill>
                    <w14:schemeClr w14:val="tx1"/>
                  </w14:solidFill>
                </w14:textFill>
              </w:rPr>
            </w:pPr>
            <w:r>
              <w:rPr>
                <w:rFonts w:ascii="Times New Roman" w:hAnsi="Times New Roman"/>
                <w:color w:val="000000" w:themeColor="text1"/>
                <w:sz w:val="24"/>
                <w:szCs w:val="22"/>
                <w14:textFill>
                  <w14:solidFill>
                    <w14:schemeClr w14:val="tx1"/>
                  </w14:solidFill>
                </w14:textFill>
              </w:rPr>
              <w:t>（4）生态环境准入清单体系相符性分析</w:t>
            </w:r>
          </w:p>
          <w:p>
            <w:pPr>
              <w:adjustRightInd w:val="0"/>
              <w:snapToGrid w:val="0"/>
              <w:spacing w:line="360" w:lineRule="auto"/>
              <w:ind w:firstLine="480" w:firstLineChars="200"/>
              <w:rPr>
                <w:rFonts w:ascii="Times New Roman" w:hAnsi="Times New Roman" w:eastAsia="宋体"/>
                <w:color w:val="000000" w:themeColor="text1"/>
                <w:sz w:val="24"/>
                <w:szCs w:val="22"/>
                <w14:textFill>
                  <w14:solidFill>
                    <w14:schemeClr w14:val="tx1"/>
                  </w14:solidFill>
                </w14:textFill>
              </w:rPr>
            </w:pPr>
            <w:r>
              <w:rPr>
                <w:rFonts w:hint="eastAsia" w:ascii="宋体" w:hAnsi="宋体" w:eastAsia="宋体" w:cs="宋体"/>
                <w:color w:val="000000" w:themeColor="text1"/>
                <w:sz w:val="24"/>
                <w:szCs w:val="22"/>
                <w14:textFill>
                  <w14:solidFill>
                    <w14:schemeClr w14:val="tx1"/>
                  </w14:solidFill>
                </w14:textFill>
              </w:rPr>
              <w:t>①</w:t>
            </w:r>
            <w:r>
              <w:rPr>
                <w:rFonts w:ascii="Times New Roman" w:hAnsi="Times New Roman" w:eastAsia="宋体"/>
                <w:color w:val="000000" w:themeColor="text1"/>
                <w:sz w:val="24"/>
                <w:szCs w:val="22"/>
                <w14:textFill>
                  <w14:solidFill>
                    <w14:schemeClr w14:val="tx1"/>
                  </w14:solidFill>
                </w14:textFill>
              </w:rPr>
              <w:t>总体、区域管控要求</w:t>
            </w:r>
          </w:p>
          <w:p>
            <w:pPr>
              <w:adjustRightInd w:val="0"/>
              <w:snapToGrid w:val="0"/>
              <w:spacing w:line="360" w:lineRule="auto"/>
              <w:ind w:firstLine="480" w:firstLineChars="200"/>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sz w:val="24"/>
                <w:szCs w:val="22"/>
                <w14:textFill>
                  <w14:solidFill>
                    <w14:schemeClr w14:val="tx1"/>
                  </w14:solidFill>
                </w14:textFill>
              </w:rPr>
              <w:t>项目所在地</w:t>
            </w:r>
            <w:r>
              <w:rPr>
                <w:rFonts w:ascii="Times New Roman" w:hAnsi="Times New Roman"/>
                <w:color w:val="000000" w:themeColor="text1"/>
                <w:kern w:val="21"/>
                <w:sz w:val="24"/>
                <w14:textFill>
                  <w14:solidFill>
                    <w14:schemeClr w14:val="tx1"/>
                  </w14:solidFill>
                </w14:textFill>
              </w:rPr>
              <w:t>属于</w:t>
            </w:r>
            <w:r>
              <w:rPr>
                <w:rFonts w:hint="eastAsia" w:ascii="Times New Roman" w:hAnsi="Times New Roman"/>
                <w:color w:val="000000" w:themeColor="text1"/>
                <w:kern w:val="21"/>
                <w:sz w:val="24"/>
                <w14:textFill>
                  <w14:solidFill>
                    <w14:schemeClr w14:val="tx1"/>
                  </w14:solidFill>
                </w14:textFill>
              </w:rPr>
              <w:t>沿海经济带——东西两翼地区。</w:t>
            </w:r>
          </w:p>
          <w:p>
            <w:pPr>
              <w:adjustRightInd w:val="0"/>
              <w:snapToGrid w:val="0"/>
              <w:spacing w:line="360" w:lineRule="auto"/>
              <w:ind w:firstLine="480" w:firstLineChars="200"/>
              <w:rPr>
                <w:rFonts w:ascii="Times New Roman" w:hAnsi="Times New Roman"/>
                <w:color w:val="000000" w:themeColor="text1"/>
                <w:kern w:val="21"/>
                <w:sz w:val="24"/>
                <w14:textFill>
                  <w14:solidFill>
                    <w14:schemeClr w14:val="tx1"/>
                  </w14:solidFill>
                </w14:textFill>
              </w:rPr>
            </w:pPr>
            <w:r>
              <w:rPr>
                <w:rFonts w:hint="eastAsia" w:ascii="Times New Roman" w:hAnsi="Times New Roman"/>
                <w:color w:val="000000" w:themeColor="text1"/>
                <w:kern w:val="21"/>
                <w:sz w:val="24"/>
                <w14:textFill>
                  <w14:solidFill>
                    <w14:schemeClr w14:val="tx1"/>
                  </w14:solidFill>
                </w14:textFill>
              </w:rPr>
              <w:t>项目所在地为工业用地，</w:t>
            </w:r>
            <w:r>
              <w:rPr>
                <w:rFonts w:ascii="Times New Roman" w:hAnsi="Times New Roman"/>
                <w:color w:val="000000" w:themeColor="text1"/>
                <w:kern w:val="21"/>
                <w:sz w:val="24"/>
                <w14:textFill>
                  <w14:solidFill>
                    <w14:schemeClr w14:val="tx1"/>
                  </w14:solidFill>
                </w14:textFill>
              </w:rPr>
              <w:t>项目生产使用电</w:t>
            </w:r>
            <w:r>
              <w:rPr>
                <w:rFonts w:hint="eastAsia" w:ascii="Times New Roman" w:hAnsi="Times New Roman"/>
                <w:color w:val="000000" w:themeColor="text1"/>
                <w:kern w:val="21"/>
                <w:sz w:val="24"/>
                <w14:textFill>
                  <w14:solidFill>
                    <w14:schemeClr w14:val="tx1"/>
                  </w14:solidFill>
                </w14:textFill>
              </w:rPr>
              <w:t>、</w:t>
            </w:r>
            <w:r>
              <w:rPr>
                <w:rFonts w:ascii="Times New Roman" w:hAnsi="Times New Roman"/>
                <w:color w:val="000000" w:themeColor="text1"/>
                <w:kern w:val="21"/>
                <w:sz w:val="24"/>
                <w14:textFill>
                  <w14:solidFill>
                    <w14:schemeClr w14:val="tx1"/>
                  </w14:solidFill>
                </w14:textFill>
              </w:rPr>
              <w:t>天然气等清洁能源</w:t>
            </w:r>
            <w:r>
              <w:rPr>
                <w:rFonts w:hint="eastAsia" w:ascii="Times New Roman" w:hAnsi="Times New Roman"/>
                <w:color w:val="000000" w:themeColor="text1"/>
                <w:kern w:val="21"/>
                <w:sz w:val="24"/>
                <w14:textFill>
                  <w14:solidFill>
                    <w14:schemeClr w14:val="tx1"/>
                  </w14:solidFill>
                </w14:textFill>
              </w:rPr>
              <w:t>，</w:t>
            </w:r>
            <w:r>
              <w:rPr>
                <w:rFonts w:ascii="Times New Roman" w:hAnsi="Times New Roman"/>
                <w:color w:val="000000" w:themeColor="text1"/>
                <w:kern w:val="21"/>
                <w:sz w:val="24"/>
                <w14:textFill>
                  <w14:solidFill>
                    <w14:schemeClr w14:val="tx1"/>
                  </w14:solidFill>
                </w14:textFill>
              </w:rPr>
              <w:t>不涉及高污染燃料使用</w:t>
            </w:r>
            <w:r>
              <w:rPr>
                <w:rFonts w:hint="eastAsia" w:ascii="Times New Roman" w:hAnsi="Times New Roman"/>
                <w:color w:val="000000" w:themeColor="text1"/>
                <w:kern w:val="21"/>
                <w:sz w:val="24"/>
                <w14:textFill>
                  <w14:solidFill>
                    <w14:schemeClr w14:val="tx1"/>
                  </w14:solidFill>
                </w14:textFill>
              </w:rPr>
              <w:t>；</w:t>
            </w:r>
            <w:r>
              <w:rPr>
                <w:rFonts w:ascii="Times New Roman" w:hAnsi="Times New Roman"/>
                <w:color w:val="000000" w:themeColor="text1"/>
                <w:kern w:val="21"/>
                <w:sz w:val="24"/>
                <w14:textFill>
                  <w14:solidFill>
                    <w14:schemeClr w14:val="tx1"/>
                  </w14:solidFill>
                </w14:textFill>
              </w:rPr>
              <w:t>项目不属于</w:t>
            </w:r>
            <w:r>
              <w:rPr>
                <w:rFonts w:hint="eastAsia" w:ascii="Times New Roman" w:hAnsi="Times New Roman"/>
                <w:color w:val="000000" w:themeColor="text1"/>
                <w:kern w:val="21"/>
                <w:sz w:val="24"/>
                <w14:textFill>
                  <w14:solidFill>
                    <w14:schemeClr w14:val="tx1"/>
                  </w14:solidFill>
                </w14:textFill>
              </w:rPr>
              <w:t>钢铁、石化、燃煤燃油火电机、化学制浆、电镀、印染、鞣革等项目，符合</w:t>
            </w:r>
            <w:r>
              <w:rPr>
                <w:rFonts w:ascii="Times New Roman" w:hAnsi="Times New Roman"/>
                <w:color w:val="000000" w:themeColor="text1"/>
                <w:sz w:val="24"/>
                <w:szCs w:val="22"/>
                <w14:textFill>
                  <w14:solidFill>
                    <w14:schemeClr w14:val="tx1"/>
                  </w14:solidFill>
                </w14:textFill>
              </w:rPr>
              <w:t>区域布局管控要求</w:t>
            </w:r>
            <w:r>
              <w:rPr>
                <w:rFonts w:hint="eastAsia" w:ascii="Times New Roman" w:hAnsi="Times New Roman"/>
                <w:color w:val="000000" w:themeColor="text1"/>
                <w:sz w:val="24"/>
                <w:szCs w:val="22"/>
                <w14:textFill>
                  <w14:solidFill>
                    <w14:schemeClr w14:val="tx1"/>
                  </w14:solidFill>
                </w14:textFill>
              </w:rPr>
              <w:t>。</w:t>
            </w:r>
          </w:p>
          <w:p>
            <w:pPr>
              <w:adjustRightInd w:val="0"/>
              <w:snapToGrid w:val="0"/>
              <w:spacing w:line="360" w:lineRule="auto"/>
              <w:ind w:firstLine="480" w:firstLineChars="200"/>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项目生产使用</w:t>
            </w:r>
            <w:r>
              <w:rPr>
                <w:rFonts w:hint="eastAsia" w:ascii="Times New Roman" w:hAnsi="Times New Roman"/>
                <w:color w:val="000000" w:themeColor="text1"/>
                <w:kern w:val="21"/>
                <w:sz w:val="24"/>
                <w14:textFill>
                  <w14:solidFill>
                    <w14:schemeClr w14:val="tx1"/>
                  </w14:solidFill>
                </w14:textFill>
              </w:rPr>
              <w:t>1台3t/h燃天然气气锅炉，</w:t>
            </w:r>
            <w:r>
              <w:rPr>
                <w:rFonts w:ascii="Times New Roman" w:hAnsi="Times New Roman"/>
                <w:color w:val="000000" w:themeColor="text1"/>
                <w:kern w:val="21"/>
                <w:sz w:val="24"/>
                <w14:textFill>
                  <w14:solidFill>
                    <w14:schemeClr w14:val="tx1"/>
                  </w14:solidFill>
                </w14:textFill>
              </w:rPr>
              <w:t>不涉及</w:t>
            </w:r>
            <w:r>
              <w:rPr>
                <w:rFonts w:hint="eastAsia" w:ascii="Times New Roman" w:hAnsi="Times New Roman"/>
                <w:color w:val="000000" w:themeColor="text1"/>
                <w:kern w:val="21"/>
                <w:sz w:val="24"/>
                <w14:textFill>
                  <w14:solidFill>
                    <w14:schemeClr w14:val="tx1"/>
                  </w14:solidFill>
                </w14:textFill>
              </w:rPr>
              <w:t>燃煤；项目</w:t>
            </w:r>
            <w:r>
              <w:rPr>
                <w:rFonts w:ascii="Times New Roman" w:hAnsi="Times New Roman"/>
                <w:color w:val="000000" w:themeColor="text1"/>
                <w:sz w:val="24"/>
                <w:szCs w:val="22"/>
                <w14:textFill>
                  <w14:solidFill>
                    <w14:schemeClr w14:val="tx1"/>
                  </w14:solidFill>
                </w14:textFill>
              </w:rPr>
              <w:t>新鲜用水平均约</w:t>
            </w:r>
            <w:r>
              <w:rPr>
                <w:rFonts w:hint="eastAsia" w:ascii="Times New Roman" w:hAnsi="Times New Roman"/>
                <w:color w:val="000000" w:themeColor="text1"/>
                <w:sz w:val="24"/>
                <w:szCs w:val="22"/>
                <w14:textFill>
                  <w14:solidFill>
                    <w14:schemeClr w14:val="tx1"/>
                  </w14:solidFill>
                </w14:textFill>
              </w:rPr>
              <w:t>17t/d，</w:t>
            </w:r>
            <w:r>
              <w:rPr>
                <w:rFonts w:ascii="Times New Roman" w:hAnsi="Times New Roman"/>
                <w:color w:val="000000" w:themeColor="text1"/>
                <w:sz w:val="24"/>
                <w:szCs w:val="22"/>
                <w14:textFill>
                  <w14:solidFill>
                    <w14:schemeClr w14:val="tx1"/>
                  </w14:solidFill>
                </w14:textFill>
              </w:rPr>
              <w:t>用水量较小，符合能源资源利用要求</w:t>
            </w:r>
            <w:r>
              <w:rPr>
                <w:rFonts w:hint="eastAsia" w:ascii="Times New Roman" w:hAnsi="Times New Roman"/>
                <w:color w:val="000000" w:themeColor="text1"/>
                <w:sz w:val="24"/>
                <w:szCs w:val="22"/>
                <w14:textFill>
                  <w14:solidFill>
                    <w14:schemeClr w14:val="tx1"/>
                  </w14:solidFill>
                </w14:textFill>
              </w:rPr>
              <w:t>。</w:t>
            </w:r>
          </w:p>
          <w:p>
            <w:pPr>
              <w:adjustRightInd w:val="0"/>
              <w:snapToGrid w:val="0"/>
              <w:spacing w:line="360" w:lineRule="auto"/>
              <w:ind w:firstLine="480" w:firstLineChars="200"/>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sz w:val="24"/>
                <w:szCs w:val="22"/>
                <w14:textFill>
                  <w14:solidFill>
                    <w14:schemeClr w14:val="tx1"/>
                  </w14:solidFill>
                </w14:textFill>
              </w:rPr>
              <w:t>项目生产废水、生活污水分别</w:t>
            </w:r>
            <w:r>
              <w:rPr>
                <w:rFonts w:hint="eastAsia" w:ascii="Times New Roman" w:hAnsi="Times New Roman"/>
                <w:color w:val="000000" w:themeColor="text1"/>
                <w:sz w:val="24"/>
                <w:szCs w:val="22"/>
                <w14:textFill>
                  <w14:solidFill>
                    <w14:schemeClr w14:val="tx1"/>
                  </w14:solidFill>
                </w14:textFill>
              </w:rPr>
              <w:t>经工业污水处理厂、河口镇污水处理厂处理后排放（排放量纳入该污水厂总量中进行控制，不另占总量指标），项目排放废气主要为</w:t>
            </w:r>
            <w:r>
              <w:rPr>
                <w:rFonts w:ascii="Times New Roman" w:hAnsi="Times New Roman"/>
                <w:color w:val="000000" w:themeColor="text1"/>
                <w:sz w:val="24"/>
                <w:szCs w:val="22"/>
                <w14:textFill>
                  <w14:solidFill>
                    <w14:schemeClr w14:val="tx1"/>
                  </w14:solidFill>
                </w14:textFill>
              </w:rPr>
              <w:t>SO</w:t>
            </w:r>
            <w:r>
              <w:rPr>
                <w:rFonts w:ascii="Times New Roman" w:hAnsi="Times New Roman"/>
                <w:color w:val="000000" w:themeColor="text1"/>
                <w:sz w:val="24"/>
                <w:szCs w:val="22"/>
                <w:vertAlign w:val="subscript"/>
                <w14:textFill>
                  <w14:solidFill>
                    <w14:schemeClr w14:val="tx1"/>
                  </w14:solidFill>
                </w14:textFill>
              </w:rPr>
              <w:t>2</w:t>
            </w:r>
            <w:r>
              <w:rPr>
                <w:rFonts w:ascii="Times New Roman" w:hAnsi="Times New Roman"/>
                <w:color w:val="000000" w:themeColor="text1"/>
                <w:sz w:val="24"/>
                <w:szCs w:val="22"/>
                <w14:textFill>
                  <w14:solidFill>
                    <w14:schemeClr w14:val="tx1"/>
                  </w14:solidFill>
                </w14:textFill>
              </w:rPr>
              <w:t xml:space="preserve"> 0.07</w:t>
            </w:r>
            <w:r>
              <w:rPr>
                <w:rFonts w:hint="eastAsia" w:ascii="Times New Roman" w:hAnsi="Times New Roman"/>
                <w:color w:val="000000" w:themeColor="text1"/>
                <w:sz w:val="24"/>
                <w:szCs w:val="22"/>
                <w14:textFill>
                  <w14:solidFill>
                    <w14:schemeClr w14:val="tx1"/>
                  </w14:solidFill>
                </w14:textFill>
              </w:rPr>
              <w:t>4</w:t>
            </w:r>
            <w:r>
              <w:rPr>
                <w:rFonts w:ascii="Times New Roman" w:hAnsi="Times New Roman"/>
                <w:color w:val="000000" w:themeColor="text1"/>
                <w:sz w:val="24"/>
                <w:szCs w:val="22"/>
                <w14:textFill>
                  <w14:solidFill>
                    <w14:schemeClr w14:val="tx1"/>
                  </w14:solidFill>
                </w14:textFill>
              </w:rPr>
              <w:t>t/a</w:t>
            </w:r>
            <w:r>
              <w:rPr>
                <w:rFonts w:hint="eastAsia" w:ascii="Times New Roman" w:hAnsi="Times New Roman"/>
                <w:color w:val="000000" w:themeColor="text1"/>
                <w:sz w:val="24"/>
                <w:szCs w:val="22"/>
                <w14:textFill>
                  <w14:solidFill>
                    <w14:schemeClr w14:val="tx1"/>
                  </w14:solidFill>
                </w14:textFill>
              </w:rPr>
              <w:t>、</w:t>
            </w:r>
            <w:r>
              <w:rPr>
                <w:rFonts w:ascii="Times New Roman" w:hAnsi="Times New Roman"/>
                <w:color w:val="000000" w:themeColor="text1"/>
                <w:sz w:val="24"/>
                <w:szCs w:val="22"/>
                <w14:textFill>
                  <w14:solidFill>
                    <w14:schemeClr w14:val="tx1"/>
                  </w14:solidFill>
                </w14:textFill>
              </w:rPr>
              <w:t>NOx0.</w:t>
            </w:r>
            <w:r>
              <w:rPr>
                <w:rFonts w:hint="eastAsia" w:ascii="Times New Roman" w:hAnsi="Times New Roman"/>
                <w:color w:val="000000" w:themeColor="text1"/>
                <w:sz w:val="24"/>
                <w:szCs w:val="22"/>
                <w14:textFill>
                  <w14:solidFill>
                    <w14:schemeClr w14:val="tx1"/>
                  </w14:solidFill>
                </w14:textFill>
              </w:rPr>
              <w:t>586</w:t>
            </w:r>
            <w:r>
              <w:rPr>
                <w:rFonts w:ascii="Times New Roman" w:hAnsi="Times New Roman"/>
                <w:color w:val="000000" w:themeColor="text1"/>
                <w:sz w:val="24"/>
                <w:szCs w:val="22"/>
                <w14:textFill>
                  <w14:solidFill>
                    <w14:schemeClr w14:val="tx1"/>
                  </w14:solidFill>
                </w14:textFill>
              </w:rPr>
              <w:t>t/a</w:t>
            </w:r>
            <w:r>
              <w:rPr>
                <w:rFonts w:hint="eastAsia" w:ascii="Times New Roman" w:hAnsi="Times New Roman"/>
                <w:color w:val="000000" w:themeColor="text1"/>
                <w:sz w:val="24"/>
                <w:szCs w:val="22"/>
                <w14:textFill>
                  <w14:solidFill>
                    <w14:schemeClr w14:val="tx1"/>
                  </w14:solidFill>
                </w14:textFill>
              </w:rPr>
              <w:t>、颗粒物</w:t>
            </w:r>
            <w:r>
              <w:rPr>
                <w:rFonts w:ascii="Times New Roman" w:hAnsi="Times New Roman"/>
                <w:color w:val="000000" w:themeColor="text1"/>
                <w:sz w:val="24"/>
                <w:szCs w:val="22"/>
                <w14:textFill>
                  <w14:solidFill>
                    <w14:schemeClr w14:val="tx1"/>
                  </w14:solidFill>
                </w14:textFill>
              </w:rPr>
              <w:t>0.1</w:t>
            </w:r>
            <w:r>
              <w:rPr>
                <w:rFonts w:hint="eastAsia" w:ascii="Times New Roman" w:hAnsi="Times New Roman"/>
                <w:color w:val="000000" w:themeColor="text1"/>
                <w:sz w:val="24"/>
                <w:szCs w:val="22"/>
                <w14:textFill>
                  <w14:solidFill>
                    <w14:schemeClr w14:val="tx1"/>
                  </w14:solidFill>
                </w14:textFill>
              </w:rPr>
              <w:t>46</w:t>
            </w:r>
            <w:r>
              <w:rPr>
                <w:rFonts w:ascii="Times New Roman" w:hAnsi="Times New Roman"/>
                <w:color w:val="000000" w:themeColor="text1"/>
                <w:sz w:val="24"/>
                <w:szCs w:val="22"/>
                <w14:textFill>
                  <w14:solidFill>
                    <w14:schemeClr w14:val="tx1"/>
                  </w14:solidFill>
                </w14:textFill>
              </w:rPr>
              <w:t>t/a</w:t>
            </w:r>
            <w:r>
              <w:rPr>
                <w:rFonts w:hint="eastAsia" w:ascii="Times New Roman" w:hAnsi="Times New Roman"/>
                <w:color w:val="000000" w:themeColor="text1"/>
                <w:sz w:val="24"/>
                <w:szCs w:val="22"/>
                <w14:textFill>
                  <w14:solidFill>
                    <w14:schemeClr w14:val="tx1"/>
                  </w14:solidFill>
                </w14:textFill>
              </w:rPr>
              <w:t>、</w:t>
            </w:r>
            <w:r>
              <w:rPr>
                <w:rFonts w:ascii="Times New Roman" w:hAnsi="Times New Roman"/>
                <w:color w:val="000000" w:themeColor="text1"/>
                <w:sz w:val="24"/>
                <w:szCs w:val="22"/>
                <w14:textFill>
                  <w14:solidFill>
                    <w14:schemeClr w14:val="tx1"/>
                  </w14:solidFill>
                </w14:textFill>
              </w:rPr>
              <w:t>VOCs 0.117 t/a</w:t>
            </w:r>
            <w:r>
              <w:rPr>
                <w:rFonts w:hint="eastAsia" w:ascii="Times New Roman" w:hAnsi="Times New Roman"/>
                <w:color w:val="000000" w:themeColor="text1"/>
                <w:sz w:val="24"/>
                <w:szCs w:val="22"/>
                <w14:textFill>
                  <w14:solidFill>
                    <w14:schemeClr w14:val="tx1"/>
                  </w14:solidFill>
                </w14:textFill>
              </w:rPr>
              <w:t>，排放量较少，均</w:t>
            </w:r>
            <w:r>
              <w:rPr>
                <w:rFonts w:hint="eastAsia" w:ascii="Times New Roman" w:hAnsi="Times New Roman"/>
                <w:color w:val="000000" w:themeColor="text1"/>
                <w:sz w:val="24"/>
                <w:szCs w:val="21"/>
                <w14:textFill>
                  <w14:solidFill>
                    <w14:schemeClr w14:val="tx1"/>
                  </w14:solidFill>
                </w14:textFill>
              </w:rPr>
              <w:t>达标排放，符合污染物排放管控要求</w:t>
            </w:r>
            <w:r>
              <w:rPr>
                <w:rFonts w:hint="eastAsia" w:ascii="Times New Roman" w:hAnsi="Times New Roman"/>
                <w:color w:val="000000" w:themeColor="text1"/>
                <w:kern w:val="21"/>
                <w:sz w:val="24"/>
                <w14:textFill>
                  <w14:solidFill>
                    <w14:schemeClr w14:val="tx1"/>
                  </w14:solidFill>
                </w14:textFill>
              </w:rPr>
              <w:t>。</w:t>
            </w:r>
          </w:p>
          <w:p>
            <w:pPr>
              <w:adjustRightInd w:val="0"/>
              <w:snapToGrid w:val="0"/>
              <w:spacing w:line="360" w:lineRule="auto"/>
              <w:ind w:firstLine="480" w:firstLineChars="200"/>
              <w:rPr>
                <w:rFonts w:ascii="Times New Roman" w:hAnsi="Times New Roman"/>
                <w:color w:val="000000" w:themeColor="text1"/>
                <w:sz w:val="24"/>
                <w:szCs w:val="22"/>
                <w14:textFill>
                  <w14:solidFill>
                    <w14:schemeClr w14:val="tx1"/>
                  </w14:solidFill>
                </w14:textFill>
              </w:rPr>
            </w:pPr>
            <w:r>
              <w:rPr>
                <w:rFonts w:hint="eastAsia" w:ascii="Times New Roman" w:hAnsi="Times New Roman"/>
                <w:color w:val="000000" w:themeColor="text1"/>
                <w:kern w:val="21"/>
                <w:sz w:val="24"/>
                <w14:textFill>
                  <w14:solidFill>
                    <w14:schemeClr w14:val="tx1"/>
                  </w14:solidFill>
                </w14:textFill>
              </w:rPr>
              <w:t>项目</w:t>
            </w:r>
            <w:r>
              <w:rPr>
                <w:rFonts w:hint="eastAsia" w:ascii="Times New Roman" w:hAnsi="Times New Roman"/>
                <w:color w:val="000000" w:themeColor="text1"/>
                <w:sz w:val="24"/>
                <w:szCs w:val="21"/>
                <w14:textFill>
                  <w14:solidFill>
                    <w14:schemeClr w14:val="tx1"/>
                  </w14:solidFill>
                </w14:textFill>
              </w:rPr>
              <w:t>不属于化工、涉重金属、尾矿库等行业，项目后续将编制应急预案，同时主动配合安监部门的监督管理，做好安全生产工作，可有效降低本项目的环境风险发生概率，符合环境风险防控要求。</w:t>
            </w:r>
          </w:p>
          <w:p>
            <w:pPr>
              <w:adjustRightInd w:val="0"/>
              <w:snapToGrid w:val="0"/>
              <w:spacing w:line="360" w:lineRule="auto"/>
              <w:ind w:firstLine="480" w:firstLineChars="200"/>
              <w:rPr>
                <w:rFonts w:ascii="Times New Roman" w:hAnsi="Times New Roman"/>
                <w:color w:val="000000" w:themeColor="text1"/>
                <w:sz w:val="24"/>
                <w:szCs w:val="22"/>
                <w14:textFill>
                  <w14:solidFill>
                    <w14:schemeClr w14:val="tx1"/>
                  </w14:solidFill>
                </w14:textFill>
              </w:rPr>
            </w:pPr>
            <w:r>
              <w:rPr>
                <w:rFonts w:hint="eastAsia" w:ascii="宋体" w:hAnsi="宋体" w:eastAsia="宋体" w:cs="宋体"/>
                <w:color w:val="000000" w:themeColor="text1"/>
                <w:sz w:val="24"/>
                <w:szCs w:val="22"/>
                <w14:textFill>
                  <w14:solidFill>
                    <w14:schemeClr w14:val="tx1"/>
                  </w14:solidFill>
                </w14:textFill>
              </w:rPr>
              <w:t>②</w:t>
            </w:r>
            <w:r>
              <w:rPr>
                <w:rFonts w:hint="eastAsia" w:ascii="Times New Roman" w:hAnsi="Times New Roman"/>
                <w:color w:val="000000" w:themeColor="text1"/>
                <w:sz w:val="24"/>
                <w:szCs w:val="22"/>
                <w14:textFill>
                  <w14:solidFill>
                    <w14:schemeClr w14:val="tx1"/>
                  </w14:solidFill>
                </w14:textFill>
              </w:rPr>
              <w:t>环境管控单元总体管控要求</w:t>
            </w:r>
          </w:p>
          <w:p>
            <w:pPr>
              <w:adjustRightInd w:val="0"/>
              <w:snapToGrid w:val="0"/>
              <w:spacing w:line="360" w:lineRule="auto"/>
              <w:ind w:firstLine="480" w:firstLineChars="200"/>
              <w:rPr>
                <w:rFonts w:ascii="Times New Roman" w:hAnsi="Times New Roman"/>
                <w:color w:val="000000" w:themeColor="text1"/>
                <w:sz w:val="24"/>
                <w:szCs w:val="22"/>
                <w14:textFill>
                  <w14:solidFill>
                    <w14:schemeClr w14:val="tx1"/>
                  </w14:solidFill>
                </w14:textFill>
              </w:rPr>
            </w:pPr>
            <w:r>
              <w:rPr>
                <w:rFonts w:hint="eastAsia" w:ascii="Times New Roman" w:hAnsi="Times New Roman"/>
                <w:color w:val="000000" w:themeColor="text1"/>
                <w:sz w:val="24"/>
                <w:szCs w:val="22"/>
                <w14:textFill>
                  <w14:solidFill>
                    <w14:schemeClr w14:val="tx1"/>
                  </w14:solidFill>
                </w14:textFill>
              </w:rPr>
              <w:t>本项目所在地属重点管控单元中的省级以上工业园区重点管控单元</w:t>
            </w:r>
            <w:r>
              <w:rPr>
                <w:rFonts w:ascii="Times New Roman" w:hAnsi="Times New Roman"/>
                <w:color w:val="000000" w:themeColor="text1"/>
                <w:sz w:val="24"/>
                <w:szCs w:val="22"/>
                <w14:textFill>
                  <w14:solidFill>
                    <w14:schemeClr w14:val="tx1"/>
                  </w14:solidFill>
                </w14:textFill>
              </w:rPr>
              <w:t>，项目1公里范围内无生态环境敏感区域。项目属于中药饮片产业，不属于重污染企业。与该控制区的管控目标相符。</w:t>
            </w:r>
          </w:p>
          <w:p>
            <w:pPr>
              <w:tabs>
                <w:tab w:val="left" w:pos="1081"/>
              </w:tabs>
              <w:adjustRightInd w:val="0"/>
              <w:snapToGrid w:val="0"/>
              <w:spacing w:line="360" w:lineRule="auto"/>
              <w:ind w:firstLine="482" w:firstLineChars="200"/>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2、项目选址符合性以及用地性质说明</w:t>
            </w:r>
          </w:p>
          <w:p>
            <w:pPr>
              <w:tabs>
                <w:tab w:val="left" w:pos="1081"/>
              </w:tabs>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项目所在地</w:t>
            </w:r>
            <w:r>
              <w:rPr>
                <w:rFonts w:hint="eastAsia" w:ascii="Times New Roman" w:hAnsi="Times New Roman"/>
                <w:color w:val="000000" w:themeColor="text1"/>
                <w:sz w:val="24"/>
                <w14:textFill>
                  <w14:solidFill>
                    <w14:schemeClr w14:val="tx1"/>
                  </w14:solidFill>
                </w14:textFill>
              </w:rPr>
              <w:t>为工业用地，</w:t>
            </w:r>
            <w:r>
              <w:rPr>
                <w:rFonts w:ascii="Times New Roman" w:hAnsi="Times New Roman"/>
                <w:color w:val="000000" w:themeColor="text1"/>
                <w:sz w:val="24"/>
                <w:szCs w:val="22"/>
                <w14:textFill>
                  <w14:solidFill>
                    <w14:schemeClr w14:val="tx1"/>
                  </w14:solidFill>
                </w14:textFill>
              </w:rPr>
              <w:t>不涉及风景名胜区、自然保护区等，</w:t>
            </w:r>
            <w:r>
              <w:rPr>
                <w:rFonts w:ascii="Times New Roman" w:hAnsi="Times New Roman"/>
                <w:color w:val="000000" w:themeColor="text1"/>
                <w:sz w:val="24"/>
                <w14:textFill>
                  <w14:solidFill>
                    <w14:schemeClr w14:val="tx1"/>
                  </w14:solidFill>
                </w14:textFill>
              </w:rPr>
              <w:t>该地块用地性质为工业用地，</w:t>
            </w:r>
            <w:r>
              <w:rPr>
                <w:rFonts w:ascii="Times New Roman" w:hAnsi="Times New Roman"/>
                <w:color w:val="000000" w:themeColor="text1"/>
                <w:sz w:val="24"/>
                <w:szCs w:val="22"/>
                <w14:textFill>
                  <w14:solidFill>
                    <w14:schemeClr w14:val="tx1"/>
                  </w14:solidFill>
                </w14:textFill>
              </w:rPr>
              <w:t>符合土地利用总体规划功能要求。项目用地是与当地的土地利用规划相符的。</w:t>
            </w:r>
          </w:p>
          <w:p>
            <w:pPr>
              <w:tabs>
                <w:tab w:val="left" w:pos="7920"/>
              </w:tabs>
              <w:adjustRightInd w:val="0"/>
              <w:snapToGrid w:val="0"/>
              <w:spacing w:line="360" w:lineRule="auto"/>
              <w:ind w:firstLine="482" w:firstLineChars="200"/>
              <w:rPr>
                <w:rFonts w:ascii="Times New Roman" w:hAnsi="Times New Roman"/>
                <w:b/>
                <w:bCs/>
                <w:color w:val="000000" w:themeColor="text1"/>
                <w:sz w:val="24"/>
                <w14:textFill>
                  <w14:solidFill>
                    <w14:schemeClr w14:val="tx1"/>
                  </w14:solidFill>
                </w14:textFill>
              </w:rPr>
            </w:pPr>
            <w:r>
              <w:rPr>
                <w:rFonts w:ascii="Times New Roman" w:hAnsi="Times New Roman"/>
                <w:b/>
                <w:bCs/>
                <w:color w:val="000000" w:themeColor="text1"/>
                <w:sz w:val="24"/>
                <w14:textFill>
                  <w14:solidFill>
                    <w14:schemeClr w14:val="tx1"/>
                  </w14:solidFill>
                </w14:textFill>
              </w:rPr>
              <w:t>3、产业政策符合性分析</w:t>
            </w:r>
          </w:p>
          <w:p>
            <w:pPr>
              <w:tabs>
                <w:tab w:val="left" w:pos="1081"/>
              </w:tabs>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项目主要从事中药饮片生产，属于C</w:t>
            </w:r>
            <w:r>
              <w:rPr>
                <w:rFonts w:ascii="Times New Roman" w:hAnsi="Times New Roman"/>
                <w:color w:val="000000" w:themeColor="text1"/>
                <w:sz w:val="24"/>
                <w:szCs w:val="21"/>
                <w14:textFill>
                  <w14:solidFill>
                    <w14:schemeClr w14:val="tx1"/>
                  </w14:solidFill>
                </w14:textFill>
              </w:rPr>
              <w:t>2730中药饮片加工</w:t>
            </w:r>
            <w:r>
              <w:rPr>
                <w:rFonts w:ascii="Times New Roman" w:hAnsi="Times New Roman"/>
                <w:color w:val="000000" w:themeColor="text1"/>
                <w:sz w:val="24"/>
                <w14:textFill>
                  <w14:solidFill>
                    <w14:schemeClr w14:val="tx1"/>
                  </w14:solidFill>
                </w14:textFill>
              </w:rPr>
              <w:t>。根据国家《产业结构调整指导目录（2019年本）》，本项目不属于产业结构调整指导目录中“第一类 鼓励类——十三、医药”、“第二类 限制类——十、医药”和“第三类 淘汰类——一、落后生产工艺装备——（九）医药”及“第三类 淘汰类——二、落后产品——（六）医药”，可视为允许类项目</w:t>
            </w:r>
            <w:r>
              <w:rPr>
                <w:rFonts w:hint="eastAsia" w:ascii="Times New Roman" w:hAnsi="Times New Roman"/>
                <w:color w:val="000000" w:themeColor="text1"/>
                <w:sz w:val="24"/>
                <w14:textFill>
                  <w14:solidFill>
                    <w14:schemeClr w14:val="tx1"/>
                  </w14:solidFill>
                </w14:textFill>
              </w:rPr>
              <w:t>。</w:t>
            </w:r>
          </w:p>
          <w:p>
            <w:pPr>
              <w:tabs>
                <w:tab w:val="left" w:pos="1081"/>
              </w:tabs>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根据《市场准入负面清单(2020年本)》，本项</w:t>
            </w:r>
            <w:r>
              <w:rPr>
                <w:rFonts w:hint="eastAsia" w:ascii="Times New Roman" w:hAnsi="Times New Roman"/>
                <w:color w:val="000000" w:themeColor="text1"/>
                <w:sz w:val="24"/>
                <w14:textFill>
                  <w14:solidFill>
                    <w14:schemeClr w14:val="tx1"/>
                  </w14:solidFill>
                </w14:textFill>
              </w:rPr>
              <w:t>目不属于</w:t>
            </w: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一、禁止准入类</w:t>
            </w: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中的禁止事项，也不属于</w:t>
            </w: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二、许可准入类</w:t>
            </w: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（三）制造业</w:t>
            </w: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中的许可或履行法定程序的项目。本项目不涉及附件</w:t>
            </w:r>
            <w:r>
              <w:rPr>
                <w:rFonts w:ascii="Times New Roman" w:hAnsi="Times New Roman"/>
                <w:color w:val="000000" w:themeColor="text1"/>
                <w:sz w:val="24"/>
                <w14:textFill>
                  <w14:solidFill>
                    <w14:schemeClr w14:val="tx1"/>
                  </w14:solidFill>
                </w14:textFill>
              </w:rPr>
              <w:t>1</w:t>
            </w:r>
            <w:r>
              <w:rPr>
                <w:rFonts w:hint="eastAsia" w:ascii="Times New Roman" w:hAnsi="Times New Roman"/>
                <w:color w:val="000000" w:themeColor="text1"/>
                <w:sz w:val="24"/>
                <w14:textFill>
                  <w14:solidFill>
                    <w14:schemeClr w14:val="tx1"/>
                  </w14:solidFill>
                </w14:textFill>
              </w:rPr>
              <w:t>中的</w:t>
            </w: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（二）制造业</w:t>
            </w: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与市场准入相关的禁止性规定</w:t>
            </w:r>
            <w:r>
              <w:rPr>
                <w:rFonts w:ascii="Times New Roman" w:hAnsi="Times New Roman"/>
                <w:color w:val="000000" w:themeColor="text1"/>
                <w:sz w:val="24"/>
                <w14:textFill>
                  <w14:solidFill>
                    <w14:schemeClr w14:val="tx1"/>
                  </w14:solidFill>
                </w14:textFill>
              </w:rPr>
              <w:t>。综上所述，本项目符合《市场准入负面清单(2020年本)》要求。</w:t>
            </w:r>
          </w:p>
          <w:p>
            <w:pPr>
              <w:adjustRightInd w:val="0"/>
              <w:snapToGrid w:val="0"/>
              <w:spacing w:line="360" w:lineRule="auto"/>
              <w:ind w:firstLine="472" w:firstLineChars="197"/>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szCs w:val="22"/>
                <w14:textFill>
                  <w14:solidFill>
                    <w14:schemeClr w14:val="tx1"/>
                  </w14:solidFill>
                </w14:textFill>
              </w:rPr>
              <w:t>故本项目建设符合国家和地方的产业政策要求。</w:t>
            </w:r>
          </w:p>
          <w:p>
            <w:pPr>
              <w:adjustRightInd w:val="0"/>
              <w:snapToGrid w:val="0"/>
              <w:spacing w:line="360" w:lineRule="auto"/>
              <w:ind w:firstLine="482" w:firstLineChars="200"/>
              <w:rPr>
                <w:rFonts w:ascii="Times New Roman" w:hAnsi="Times New Roman"/>
                <w:b/>
                <w:color w:val="000000" w:themeColor="text1"/>
                <w:sz w:val="28"/>
                <w:szCs w:val="28"/>
                <w14:textFill>
                  <w14:solidFill>
                    <w14:schemeClr w14:val="tx1"/>
                  </w14:solidFill>
                </w14:textFill>
              </w:rPr>
            </w:pPr>
            <w:r>
              <w:rPr>
                <w:rFonts w:ascii="Times New Roman" w:hAnsi="Times New Roman"/>
                <w:b/>
                <w:color w:val="000000" w:themeColor="text1"/>
                <w:sz w:val="24"/>
                <w:szCs w:val="22"/>
                <w14:textFill>
                  <w14:solidFill>
                    <w14:schemeClr w14:val="tx1"/>
                  </w14:solidFill>
                </w14:textFill>
              </w:rPr>
              <w:t>4、功能区划相符性分析</w:t>
            </w:r>
          </w:p>
          <w:p>
            <w:pPr>
              <w:adjustRightInd w:val="0"/>
              <w:snapToGrid w:val="0"/>
              <w:spacing w:line="360" w:lineRule="auto"/>
              <w:ind w:firstLine="480" w:firstLineChars="200"/>
              <w:rPr>
                <w:rFonts w:ascii="Times New Roman" w:hAnsi="Times New Roman"/>
                <w:color w:val="000000" w:themeColor="text1"/>
                <w:sz w:val="24"/>
                <w:szCs w:val="22"/>
                <w14:textFill>
                  <w14:solidFill>
                    <w14:schemeClr w14:val="tx1"/>
                  </w14:solidFill>
                </w14:textFill>
              </w:rPr>
            </w:pPr>
            <w:r>
              <w:rPr>
                <w:rFonts w:hint="eastAsia" w:ascii="宋体" w:hAnsi="宋体" w:eastAsia="宋体" w:cs="宋体"/>
                <w:color w:val="000000" w:themeColor="text1"/>
                <w:sz w:val="24"/>
                <w:szCs w:val="22"/>
                <w14:textFill>
                  <w14:solidFill>
                    <w14:schemeClr w14:val="tx1"/>
                  </w14:solidFill>
                </w14:textFill>
              </w:rPr>
              <w:t>◆</w:t>
            </w:r>
            <w:r>
              <w:rPr>
                <w:rFonts w:ascii="Times New Roman" w:hAnsi="Times New Roman"/>
                <w:color w:val="000000" w:themeColor="text1"/>
                <w:sz w:val="24"/>
                <w:szCs w:val="22"/>
                <w14:textFill>
                  <w14:solidFill>
                    <w14:schemeClr w14:val="tx1"/>
                  </w14:solidFill>
                </w14:textFill>
              </w:rPr>
              <w:t>项目受纳水体为</w:t>
            </w:r>
            <w:r>
              <w:rPr>
                <w:rFonts w:ascii="Times New Roman" w:hAnsi="Times New Roman"/>
                <w:color w:val="000000" w:themeColor="text1"/>
                <w:sz w:val="24"/>
                <w14:textFill>
                  <w14:solidFill>
                    <w14:schemeClr w14:val="tx1"/>
                  </w14:solidFill>
                </w14:textFill>
              </w:rPr>
              <w:t>砂公磂河涌</w:t>
            </w:r>
            <w:r>
              <w:rPr>
                <w:rFonts w:ascii="Times New Roman" w:hAnsi="Times New Roman"/>
                <w:color w:val="000000" w:themeColor="text1"/>
                <w:sz w:val="24"/>
                <w:szCs w:val="22"/>
                <w14:textFill>
                  <w14:solidFill>
                    <w14:schemeClr w14:val="tx1"/>
                  </w14:solidFill>
                </w14:textFill>
              </w:rPr>
              <w:t>、东侧小河涌、南北溪、螺河</w:t>
            </w:r>
            <w:r>
              <w:rPr>
                <w:rFonts w:ascii="Times New Roman" w:hAnsi="Times New Roman"/>
                <w:color w:val="000000" w:themeColor="text1"/>
                <w:sz w:val="24"/>
                <w14:textFill>
                  <w14:solidFill>
                    <w14:schemeClr w14:val="tx1"/>
                  </w14:solidFill>
                </w14:textFill>
              </w:rPr>
              <w:t>，水质控制目标分别为</w:t>
            </w:r>
            <w:r>
              <w:rPr>
                <w:rFonts w:hint="eastAsia" w:ascii="宋体" w:hAnsi="宋体" w:eastAsia="宋体" w:cs="宋体"/>
                <w:color w:val="000000" w:themeColor="text1"/>
                <w:sz w:val="24"/>
                <w14:textFill>
                  <w14:solidFill>
                    <w14:schemeClr w14:val="tx1"/>
                  </w14:solidFill>
                </w14:textFill>
              </w:rPr>
              <w:t>Ⅲ</w:t>
            </w:r>
            <w:r>
              <w:rPr>
                <w:rFonts w:ascii="Times New Roman" w:hAnsi="Times New Roman"/>
                <w:color w:val="000000" w:themeColor="text1"/>
                <w:sz w:val="24"/>
                <w14:textFill>
                  <w14:solidFill>
                    <w14:schemeClr w14:val="tx1"/>
                  </w14:solidFill>
                </w14:textFill>
              </w:rPr>
              <w:t>类、</w:t>
            </w:r>
            <w:r>
              <w:rPr>
                <w:rFonts w:hint="eastAsia" w:ascii="宋体" w:hAnsi="宋体" w:eastAsia="宋体" w:cs="宋体"/>
                <w:color w:val="000000" w:themeColor="text1"/>
                <w:sz w:val="24"/>
                <w14:textFill>
                  <w14:solidFill>
                    <w14:schemeClr w14:val="tx1"/>
                  </w14:solidFill>
                </w14:textFill>
              </w:rPr>
              <w:t>Ⅳ</w:t>
            </w:r>
            <w:r>
              <w:rPr>
                <w:rFonts w:ascii="Times New Roman" w:hAnsi="Times New Roman"/>
                <w:color w:val="000000" w:themeColor="text1"/>
                <w:sz w:val="24"/>
                <w14:textFill>
                  <w14:solidFill>
                    <w14:schemeClr w14:val="tx1"/>
                  </w14:solidFill>
                </w14:textFill>
              </w:rPr>
              <w:t>类、</w:t>
            </w:r>
            <w:r>
              <w:rPr>
                <w:rFonts w:hint="eastAsia" w:ascii="宋体" w:hAnsi="宋体" w:eastAsia="宋体" w:cs="宋体"/>
                <w:color w:val="000000" w:themeColor="text1"/>
                <w:sz w:val="24"/>
                <w14:textFill>
                  <w14:solidFill>
                    <w14:schemeClr w14:val="tx1"/>
                  </w14:solidFill>
                </w14:textFill>
              </w:rPr>
              <w:t>Ⅲ</w:t>
            </w:r>
            <w:r>
              <w:rPr>
                <w:rFonts w:ascii="Times New Roman" w:hAnsi="Times New Roman"/>
                <w:color w:val="000000" w:themeColor="text1"/>
                <w:sz w:val="24"/>
                <w14:textFill>
                  <w14:solidFill>
                    <w14:schemeClr w14:val="tx1"/>
                  </w14:solidFill>
                </w14:textFill>
              </w:rPr>
              <w:t>类、</w:t>
            </w:r>
            <w:r>
              <w:rPr>
                <w:rFonts w:hint="eastAsia" w:ascii="宋体" w:hAnsi="宋体" w:eastAsia="宋体" w:cs="宋体"/>
                <w:color w:val="000000" w:themeColor="text1"/>
                <w:sz w:val="24"/>
                <w14:textFill>
                  <w14:solidFill>
                    <w14:schemeClr w14:val="tx1"/>
                  </w14:solidFill>
                </w14:textFill>
              </w:rPr>
              <w:t>Ⅱ</w:t>
            </w:r>
            <w:r>
              <w:rPr>
                <w:rFonts w:ascii="Times New Roman" w:hAnsi="Times New Roman"/>
                <w:color w:val="000000" w:themeColor="text1"/>
                <w:sz w:val="24"/>
                <w14:textFill>
                  <w14:solidFill>
                    <w14:schemeClr w14:val="tx1"/>
                  </w14:solidFill>
                </w14:textFill>
              </w:rPr>
              <w:t>类；项目生产废水经自建污水处理站处理达到广东省《水污染物排放限值》（DB44/26-2001）第二时段三级标准、工业污水处理厂进水水质要求及《中药类制药工业水污染物排放标准》（GB21906-2008）表2的较严值后纳入到工业污水处理厂处理，工业污水处理厂</w:t>
            </w:r>
            <w:r>
              <w:rPr>
                <w:rFonts w:ascii="Times New Roman" w:hAnsi="Times New Roman"/>
                <w:bCs/>
                <w:color w:val="000000" w:themeColor="text1"/>
                <w:sz w:val="24"/>
                <w14:textFill>
                  <w14:solidFill>
                    <w14:schemeClr w14:val="tx1"/>
                  </w14:solidFill>
                </w14:textFill>
              </w:rPr>
              <w:t>处理达标后排至</w:t>
            </w:r>
            <w:r>
              <w:rPr>
                <w:rFonts w:ascii="Times New Roman" w:hAnsi="Times New Roman"/>
                <w:color w:val="000000" w:themeColor="text1"/>
                <w:sz w:val="24"/>
                <w14:textFill>
                  <w14:solidFill>
                    <w14:schemeClr w14:val="tx1"/>
                  </w14:solidFill>
                </w14:textFill>
              </w:rPr>
              <w:t>砂公磂河涌，最后汇入螺河</w:t>
            </w:r>
            <w:r>
              <w:rPr>
                <w:rFonts w:ascii="Times New Roman" w:hAnsi="Times New Roman"/>
                <w:bCs/>
                <w:color w:val="000000" w:themeColor="text1"/>
                <w:sz w:val="24"/>
                <w14:textFill>
                  <w14:solidFill>
                    <w14:schemeClr w14:val="tx1"/>
                  </w14:solidFill>
                </w14:textFill>
              </w:rPr>
              <w:t>；生活污水经化粪池</w:t>
            </w:r>
            <w:r>
              <w:rPr>
                <w:rFonts w:ascii="Times New Roman" w:hAnsi="Times New Roman"/>
                <w:color w:val="000000" w:themeColor="text1"/>
                <w:sz w:val="24"/>
                <w14:textFill>
                  <w14:solidFill>
                    <w14:schemeClr w14:val="tx1"/>
                  </w14:solidFill>
                </w14:textFill>
              </w:rPr>
              <w:t>处理达到广东省《水污染物排放限值》（DB44/26-2001）第二时段三级标准后纳入到河口镇污水处理厂处理，河口镇污水处理厂</w:t>
            </w:r>
            <w:r>
              <w:rPr>
                <w:rFonts w:ascii="Times New Roman" w:hAnsi="Times New Roman"/>
                <w:bCs/>
                <w:color w:val="000000" w:themeColor="text1"/>
                <w:sz w:val="24"/>
                <w14:textFill>
                  <w14:solidFill>
                    <w14:schemeClr w14:val="tx1"/>
                  </w14:solidFill>
                </w14:textFill>
              </w:rPr>
              <w:t>处理达标后排至东侧小河涌</w:t>
            </w:r>
            <w:r>
              <w:rPr>
                <w:rFonts w:ascii="Times New Roman" w:hAnsi="Times New Roman"/>
                <w:color w:val="000000" w:themeColor="text1"/>
                <w:sz w:val="24"/>
                <w14:textFill>
                  <w14:solidFill>
                    <w14:schemeClr w14:val="tx1"/>
                  </w14:solidFill>
                </w14:textFill>
              </w:rPr>
              <w:t>，最后汇入南北溪、螺河</w:t>
            </w:r>
            <w:r>
              <w:rPr>
                <w:rFonts w:hint="eastAsia" w:ascii="Times New Roman" w:hAnsi="Times New Roman"/>
                <w:color w:val="000000" w:themeColor="text1"/>
                <w:sz w:val="24"/>
                <w14:textFill>
                  <w14:solidFill>
                    <w14:schemeClr w14:val="tx1"/>
                  </w14:solidFill>
                </w14:textFill>
              </w:rPr>
              <w:t>。</w:t>
            </w:r>
          </w:p>
          <w:p>
            <w:pPr>
              <w:adjustRightInd w:val="0"/>
              <w:snapToGrid w:val="0"/>
              <w:spacing w:line="360" w:lineRule="auto"/>
              <w:ind w:firstLine="480" w:firstLineChars="200"/>
              <w:rPr>
                <w:rFonts w:ascii="Times New Roman" w:hAnsi="Times New Roman"/>
                <w:color w:val="000000" w:themeColor="text1"/>
                <w:sz w:val="24"/>
                <w:szCs w:val="22"/>
                <w14:textFill>
                  <w14:solidFill>
                    <w14:schemeClr w14:val="tx1"/>
                  </w14:solidFill>
                </w14:textFill>
              </w:rPr>
            </w:pPr>
            <w:r>
              <w:rPr>
                <w:rFonts w:hint="eastAsia" w:ascii="宋体" w:hAnsi="宋体" w:eastAsia="宋体" w:cs="宋体"/>
                <w:color w:val="000000" w:themeColor="text1"/>
                <w:sz w:val="24"/>
                <w:szCs w:val="22"/>
                <w14:textFill>
                  <w14:solidFill>
                    <w14:schemeClr w14:val="tx1"/>
                  </w14:solidFill>
                </w14:textFill>
              </w:rPr>
              <w:t>◆</w:t>
            </w:r>
            <w:r>
              <w:rPr>
                <w:rFonts w:ascii="Times New Roman" w:hAnsi="Times New Roman"/>
                <w:color w:val="000000" w:themeColor="text1"/>
                <w:sz w:val="24"/>
                <w:szCs w:val="22"/>
                <w14:textFill>
                  <w14:solidFill>
                    <w14:schemeClr w14:val="tx1"/>
                  </w14:solidFill>
                </w14:textFill>
              </w:rPr>
              <w:t>项目所在地为环境空气质量二类功能区，</w:t>
            </w:r>
            <w:r>
              <w:rPr>
                <w:rFonts w:ascii="Times New Roman" w:hAnsi="Times New Roman"/>
                <w:color w:val="000000" w:themeColor="text1"/>
                <w:sz w:val="24"/>
                <w14:textFill>
                  <w14:solidFill>
                    <w14:schemeClr w14:val="tx1"/>
                  </w14:solidFill>
                </w14:textFill>
              </w:rPr>
              <w:t>环境空气质量达标；</w:t>
            </w:r>
            <w:r>
              <w:rPr>
                <w:rFonts w:ascii="Times New Roman" w:hAnsi="Times New Roman"/>
                <w:color w:val="000000" w:themeColor="text1"/>
                <w:sz w:val="24"/>
                <w:szCs w:val="22"/>
                <w14:textFill>
                  <w14:solidFill>
                    <w14:schemeClr w14:val="tx1"/>
                  </w14:solidFill>
                </w14:textFill>
              </w:rPr>
              <w:t xml:space="preserve"> </w:t>
            </w:r>
          </w:p>
          <w:p>
            <w:pPr>
              <w:adjustRightInd w:val="0"/>
              <w:snapToGrid w:val="0"/>
              <w:spacing w:line="360" w:lineRule="auto"/>
              <w:ind w:firstLine="480" w:firstLineChars="200"/>
              <w:rPr>
                <w:rFonts w:ascii="Times New Roman" w:hAnsi="Times New Roman"/>
                <w:color w:val="000000" w:themeColor="text1"/>
                <w:sz w:val="24"/>
                <w:szCs w:val="22"/>
                <w14:textFill>
                  <w14:solidFill>
                    <w14:schemeClr w14:val="tx1"/>
                  </w14:solidFill>
                </w14:textFill>
              </w:rPr>
            </w:pPr>
            <w:r>
              <w:rPr>
                <w:rFonts w:hint="eastAsia" w:ascii="宋体" w:hAnsi="宋体" w:eastAsia="宋体" w:cs="宋体"/>
                <w:color w:val="000000" w:themeColor="text1"/>
                <w:sz w:val="24"/>
                <w:szCs w:val="22"/>
                <w14:textFill>
                  <w14:solidFill>
                    <w14:schemeClr w14:val="tx1"/>
                  </w14:solidFill>
                </w14:textFill>
              </w:rPr>
              <w:t>◆</w:t>
            </w:r>
            <w:r>
              <w:rPr>
                <w:rFonts w:ascii="Times New Roman" w:hAnsi="Times New Roman"/>
                <w:color w:val="000000" w:themeColor="text1"/>
                <w:sz w:val="24"/>
                <w:szCs w:val="22"/>
                <w14:textFill>
                  <w14:solidFill>
                    <w14:schemeClr w14:val="tx1"/>
                  </w14:solidFill>
                </w14:textFill>
              </w:rPr>
              <w:t>项目所在地为声环境3类区，</w:t>
            </w:r>
            <w:r>
              <w:rPr>
                <w:rFonts w:ascii="Times New Roman" w:hAnsi="Times New Roman"/>
                <w:color w:val="000000" w:themeColor="text1"/>
                <w:sz w:val="24"/>
                <w14:textFill>
                  <w14:solidFill>
                    <w14:schemeClr w14:val="tx1"/>
                  </w14:solidFill>
                </w14:textFill>
              </w:rPr>
              <w:t>声环境达标</w:t>
            </w:r>
            <w:r>
              <w:rPr>
                <w:rFonts w:ascii="Times New Roman" w:hAnsi="Times New Roman"/>
                <w:color w:val="000000" w:themeColor="text1"/>
                <w:sz w:val="24"/>
                <w:szCs w:val="22"/>
                <w14:textFill>
                  <w14:solidFill>
                    <w14:schemeClr w14:val="tx1"/>
                  </w14:solidFill>
                </w14:textFill>
              </w:rPr>
              <w:t>；</w:t>
            </w:r>
          </w:p>
          <w:p>
            <w:pPr>
              <w:adjustRightInd w:val="0"/>
              <w:snapToGrid w:val="0"/>
              <w:spacing w:line="360" w:lineRule="auto"/>
              <w:ind w:firstLine="480" w:firstLineChars="200"/>
              <w:rPr>
                <w:rFonts w:ascii="Times New Roman" w:hAnsi="Times New Roman"/>
                <w:color w:val="000000" w:themeColor="text1"/>
                <w:sz w:val="24"/>
                <w:szCs w:val="22"/>
                <w14:textFill>
                  <w14:solidFill>
                    <w14:schemeClr w14:val="tx1"/>
                  </w14:solidFill>
                </w14:textFill>
              </w:rPr>
            </w:pPr>
            <w:r>
              <w:rPr>
                <w:rFonts w:hint="eastAsia" w:ascii="宋体" w:hAnsi="宋体" w:eastAsia="宋体" w:cs="宋体"/>
                <w:color w:val="000000" w:themeColor="text1"/>
                <w:sz w:val="24"/>
                <w:szCs w:val="22"/>
                <w14:textFill>
                  <w14:solidFill>
                    <w14:schemeClr w14:val="tx1"/>
                  </w14:solidFill>
                </w14:textFill>
              </w:rPr>
              <w:t>◆</w:t>
            </w:r>
            <w:r>
              <w:rPr>
                <w:rFonts w:ascii="Times New Roman" w:hAnsi="Times New Roman"/>
                <w:color w:val="000000" w:themeColor="text1"/>
                <w:sz w:val="24"/>
                <w:szCs w:val="22"/>
                <w14:textFill>
                  <w14:solidFill>
                    <w14:schemeClr w14:val="tx1"/>
                  </w14:solidFill>
                </w14:textFill>
              </w:rPr>
              <w:t>根据</w:t>
            </w:r>
            <w:r>
              <w:rPr>
                <w:rFonts w:ascii="Times New Roman" w:hAnsi="Times New Roman"/>
                <w:color w:val="000000" w:themeColor="text1"/>
                <w:sz w:val="24"/>
                <w14:textFill>
                  <w14:solidFill>
                    <w14:schemeClr w14:val="tx1"/>
                  </w14:solidFill>
                </w14:textFill>
              </w:rPr>
              <w:t>《广东省人民政府关于调整汕尾市部分饮用水水源保护区的批复》（粤府函〔2019〕271号）</w:t>
            </w:r>
            <w:r>
              <w:rPr>
                <w:rFonts w:ascii="Times New Roman" w:hAnsi="Times New Roman"/>
                <w:color w:val="000000" w:themeColor="text1"/>
                <w:sz w:val="24"/>
                <w:szCs w:val="22"/>
                <w14:textFill>
                  <w14:solidFill>
                    <w14:schemeClr w14:val="tx1"/>
                  </w14:solidFill>
                </w14:textFill>
              </w:rPr>
              <w:t xml:space="preserve">，项目所在区域不属于饮用水源保护区。 </w:t>
            </w:r>
          </w:p>
          <w:p>
            <w:pPr>
              <w:tabs>
                <w:tab w:val="left" w:pos="7920"/>
              </w:tabs>
              <w:adjustRightInd w:val="0"/>
              <w:snapToGrid w:val="0"/>
              <w:spacing w:line="360" w:lineRule="auto"/>
              <w:ind w:firstLine="480" w:firstLineChars="200"/>
              <w:rPr>
                <w:rFonts w:ascii="Times New Roman" w:hAnsi="Times New Roman"/>
                <w:b/>
                <w:color w:val="000000" w:themeColor="text1"/>
                <w:sz w:val="24"/>
                <w14:textFill>
                  <w14:solidFill>
                    <w14:schemeClr w14:val="tx1"/>
                  </w14:solidFill>
                </w14:textFill>
              </w:rPr>
            </w:pPr>
            <w:r>
              <w:rPr>
                <w:rFonts w:hint="eastAsia" w:ascii="宋体" w:hAnsi="宋体" w:eastAsia="宋体" w:cs="宋体"/>
                <w:color w:val="000000" w:themeColor="text1"/>
                <w:sz w:val="24"/>
                <w:szCs w:val="22"/>
                <w14:textFill>
                  <w14:solidFill>
                    <w14:schemeClr w14:val="tx1"/>
                  </w14:solidFill>
                </w14:textFill>
              </w:rPr>
              <w:t>◆</w:t>
            </w:r>
            <w:r>
              <w:rPr>
                <w:rFonts w:ascii="Times New Roman" w:hAnsi="Times New Roman"/>
                <w:color w:val="000000" w:themeColor="text1"/>
                <w:sz w:val="24"/>
                <w:szCs w:val="22"/>
                <w14:textFill>
                  <w14:solidFill>
                    <w14:schemeClr w14:val="tx1"/>
                  </w14:solidFill>
                </w14:textFill>
              </w:rPr>
              <w:t>项目所在地没有占用基本农业用地和林地，符合陆河县建设和环境功能区规划的要求，且具有水、电等供应有保障，交通便利等条件。项目</w:t>
            </w:r>
            <w:r>
              <w:rPr>
                <w:rFonts w:ascii="Times New Roman" w:hAnsi="Times New Roman"/>
                <w:color w:val="000000" w:themeColor="text1"/>
                <w:sz w:val="24"/>
                <w14:textFill>
                  <w14:solidFill>
                    <w14:schemeClr w14:val="tx1"/>
                  </w14:solidFill>
                </w14:textFill>
              </w:rPr>
              <w:t>周围无国家、省、市、区重点保护的文物、古迹、无名胜风景区等</w:t>
            </w:r>
            <w:r>
              <w:rPr>
                <w:rFonts w:ascii="Times New Roman" w:hAnsi="Times New Roman"/>
                <w:color w:val="000000" w:themeColor="text1"/>
                <w:sz w:val="24"/>
                <w:szCs w:val="22"/>
                <w14:textFill>
                  <w14:solidFill>
                    <w14:schemeClr w14:val="tx1"/>
                  </w14:solidFill>
                </w14:textFill>
              </w:rPr>
              <w:t>。项目</w:t>
            </w:r>
            <w:r>
              <w:rPr>
                <w:rFonts w:hint="eastAsia" w:ascii="Times New Roman" w:hAnsi="Times New Roman"/>
                <w:color w:val="000000" w:themeColor="text1"/>
                <w:sz w:val="24"/>
                <w:szCs w:val="22"/>
                <w14:textFill>
                  <w14:solidFill>
                    <w14:schemeClr w14:val="tx1"/>
                  </w14:solidFill>
                </w14:textFill>
              </w:rPr>
              <w:t>所在地为工业用地</w:t>
            </w:r>
            <w:r>
              <w:rPr>
                <w:rFonts w:ascii="Times New Roman" w:hAnsi="Times New Roman"/>
                <w:color w:val="000000" w:themeColor="text1"/>
                <w:sz w:val="24"/>
                <w:szCs w:val="22"/>
                <w14:textFill>
                  <w14:solidFill>
                    <w14:schemeClr w14:val="tx1"/>
                  </w14:solidFill>
                </w14:textFill>
              </w:rPr>
              <w:t>，项目选址是合理的。</w:t>
            </w:r>
          </w:p>
          <w:p>
            <w:pPr>
              <w:spacing w:line="360" w:lineRule="auto"/>
              <w:ind w:firstLine="482"/>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5、与《关于印发&lt;广东省挥发性有机物（VOC</w:t>
            </w:r>
            <w:r>
              <w:rPr>
                <w:rFonts w:ascii="Times New Roman" w:hAnsi="Times New Roman"/>
                <w:b/>
                <w:color w:val="000000" w:themeColor="text1"/>
                <w:sz w:val="24"/>
                <w:vertAlign w:val="subscript"/>
                <w14:textFill>
                  <w14:solidFill>
                    <w14:schemeClr w14:val="tx1"/>
                  </w14:solidFill>
                </w14:textFill>
              </w:rPr>
              <w:t>S</w:t>
            </w:r>
            <w:r>
              <w:rPr>
                <w:rFonts w:ascii="Times New Roman" w:hAnsi="Times New Roman"/>
                <w:b/>
                <w:color w:val="000000" w:themeColor="text1"/>
                <w:sz w:val="24"/>
                <w14:textFill>
                  <w14:solidFill>
                    <w14:schemeClr w14:val="tx1"/>
                  </w14:solidFill>
                </w14:textFill>
              </w:rPr>
              <w:t>）整治与减排工作方案（2018-2020年）&gt;的通知》相符性分析</w:t>
            </w:r>
          </w:p>
          <w:p>
            <w:pPr>
              <w:widowControl/>
              <w:spacing w:line="360" w:lineRule="auto"/>
              <w:ind w:firstLine="480" w:firstLineChars="200"/>
              <w:rPr>
                <w:rFonts w:ascii="Times New Roman" w:hAnsi="Times New Roman"/>
                <w:bCs/>
                <w:color w:val="000000" w:themeColor="text1"/>
                <w:sz w:val="24"/>
                <w14:textFill>
                  <w14:solidFill>
                    <w14:schemeClr w14:val="tx1"/>
                  </w14:solidFill>
                </w14:textFill>
              </w:rPr>
            </w:pPr>
            <w:r>
              <w:rPr>
                <w:rFonts w:ascii="Times New Roman" w:hAnsi="Times New Roman"/>
                <w:bCs/>
                <w:color w:val="000000" w:themeColor="text1"/>
                <w:sz w:val="24"/>
                <w14:textFill>
                  <w14:solidFill>
                    <w14:schemeClr w14:val="tx1"/>
                  </w14:solidFill>
                </w14:textFill>
              </w:rPr>
              <w:t>该工作方案指出：</w:t>
            </w:r>
            <w:r>
              <w:rPr>
                <w:rFonts w:hint="eastAsia" w:ascii="宋体" w:hAnsi="宋体" w:eastAsia="宋体" w:cs="宋体"/>
                <w:bCs/>
                <w:color w:val="000000" w:themeColor="text1"/>
                <w:sz w:val="24"/>
                <w14:textFill>
                  <w14:solidFill>
                    <w14:schemeClr w14:val="tx1"/>
                  </w14:solidFill>
                </w14:textFill>
              </w:rPr>
              <w:t>①</w:t>
            </w:r>
            <w:r>
              <w:rPr>
                <w:rFonts w:ascii="Times New Roman" w:hAnsi="Times New Roman"/>
                <w:bCs/>
                <w:color w:val="000000" w:themeColor="text1"/>
                <w:sz w:val="24"/>
                <w14:textFill>
                  <w14:solidFill>
                    <w14:schemeClr w14:val="tx1"/>
                  </w14:solidFill>
                </w14:textFill>
              </w:rPr>
              <w:t>严格VOCs新增污染物排放控制。将VOCs排放是否符合总量控制要求作为环评审批的前置条件，并依法纳入排污许可管理，对排放VOCs的建设项目实行区域内减量替代。严格建设项目环境准入。推动低(无)VOCs含量原辅材料替代和工艺技术升级。</w:t>
            </w:r>
            <w:r>
              <w:rPr>
                <w:rFonts w:hint="eastAsia" w:ascii="宋体" w:hAnsi="宋体" w:eastAsia="宋体" w:cs="宋体"/>
                <w:bCs/>
                <w:color w:val="000000" w:themeColor="text1"/>
                <w:sz w:val="24"/>
                <w14:textFill>
                  <w14:solidFill>
                    <w14:schemeClr w14:val="tx1"/>
                  </w14:solidFill>
                </w14:textFill>
              </w:rPr>
              <w:t>②</w:t>
            </w:r>
            <w:r>
              <w:rPr>
                <w:rFonts w:ascii="Times New Roman" w:hAnsi="Times New Roman"/>
                <w:bCs/>
                <w:color w:val="000000" w:themeColor="text1"/>
                <w:sz w:val="24"/>
                <w14:textFill>
                  <w14:solidFill>
                    <w14:schemeClr w14:val="tx1"/>
                  </w14:solidFill>
                </w14:textFill>
              </w:rPr>
              <w:t>严格控制新增污染物排放量。严格限制石化、化工、包装印刷、工业涂装等高VOCs排放建设项目。重点行业新建涉VOCs排放的工业企业原则上应入园进区。</w:t>
            </w:r>
            <w:r>
              <w:rPr>
                <w:rFonts w:hint="eastAsia" w:ascii="宋体" w:hAnsi="宋体" w:eastAsia="宋体" w:cs="宋体"/>
                <w:bCs/>
                <w:color w:val="000000" w:themeColor="text1"/>
                <w:sz w:val="24"/>
                <w14:textFill>
                  <w14:solidFill>
                    <w14:schemeClr w14:val="tx1"/>
                  </w14:solidFill>
                </w14:textFill>
              </w:rPr>
              <w:t>③</w:t>
            </w:r>
            <w:r>
              <w:rPr>
                <w:rFonts w:ascii="Times New Roman" w:hAnsi="Times New Roman"/>
                <w:bCs/>
                <w:color w:val="000000" w:themeColor="text1"/>
                <w:sz w:val="24"/>
                <w14:textFill>
                  <w14:solidFill>
                    <w14:schemeClr w14:val="tx1"/>
                  </w14:solidFill>
                </w14:textFill>
              </w:rPr>
              <w:t>深入挖掘固定源VOCs减排。医药行业鼓励企业使用低VOCs含量或低反应活性的溶剂、溶媒。</w:t>
            </w:r>
          </w:p>
          <w:p>
            <w:pPr>
              <w:widowControl/>
              <w:spacing w:line="360" w:lineRule="auto"/>
              <w:ind w:firstLine="480" w:firstLineChars="200"/>
              <w:rPr>
                <w:rFonts w:ascii="Times New Roman" w:hAnsi="Times New Roman"/>
                <w:bCs/>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项目为中药饮片项目，属于医药行业项目，项目使用水、95%乙醇为提取溶剂，属于低反应活性的溶剂。项目生产过程VOCs排放量为0.117t/a</w:t>
            </w:r>
            <w:r>
              <w:rPr>
                <w:rFonts w:ascii="Times New Roman" w:hAnsi="Times New Roman"/>
                <w:color w:val="000000" w:themeColor="text1"/>
                <w:sz w:val="24"/>
                <w:szCs w:val="21"/>
                <w14:textFill>
                  <w14:solidFill>
                    <w14:schemeClr w14:val="tx1"/>
                  </w14:solidFill>
                </w14:textFill>
              </w:rPr>
              <w:t>，排放总量由汕尾市生态环境局陆河分局统一分配</w:t>
            </w:r>
            <w:r>
              <w:rPr>
                <w:rFonts w:ascii="Times New Roman" w:hAnsi="Times New Roman"/>
                <w:color w:val="000000" w:themeColor="text1"/>
                <w:sz w:val="24"/>
                <w14:textFill>
                  <w14:solidFill>
                    <w14:schemeClr w14:val="tx1"/>
                  </w14:solidFill>
                </w14:textFill>
              </w:rPr>
              <w:t>。因此本项目符合该工作方案的要求。</w:t>
            </w:r>
          </w:p>
          <w:p>
            <w:pPr>
              <w:tabs>
                <w:tab w:val="left" w:pos="7920"/>
              </w:tabs>
              <w:adjustRightInd w:val="0"/>
              <w:snapToGrid w:val="0"/>
              <w:spacing w:line="360" w:lineRule="auto"/>
              <w:ind w:firstLine="482" w:firstLineChars="200"/>
              <w:rPr>
                <w:rFonts w:ascii="Times New Roman" w:hAnsi="Times New Roman"/>
                <w:b/>
                <w:color w:val="000000" w:themeColor="text1"/>
                <w:sz w:val="24"/>
                <w14:textFill>
                  <w14:solidFill>
                    <w14:schemeClr w14:val="tx1"/>
                  </w14:solidFill>
                </w14:textFill>
              </w:rPr>
            </w:pPr>
            <w:r>
              <w:rPr>
                <w:rFonts w:hint="eastAsia" w:ascii="Times New Roman" w:hAnsi="Times New Roman"/>
                <w:b/>
                <w:color w:val="000000" w:themeColor="text1"/>
                <w:sz w:val="24"/>
                <w14:textFill>
                  <w14:solidFill>
                    <w14:schemeClr w14:val="tx1"/>
                  </w14:solidFill>
                </w14:textFill>
              </w:rPr>
              <w:t>6</w:t>
            </w:r>
            <w:r>
              <w:rPr>
                <w:rFonts w:ascii="Times New Roman" w:hAnsi="Times New Roman"/>
                <w:b/>
                <w:color w:val="000000" w:themeColor="text1"/>
                <w:sz w:val="24"/>
                <w14:textFill>
                  <w14:solidFill>
                    <w14:schemeClr w14:val="tx1"/>
                  </w14:solidFill>
                </w14:textFill>
              </w:rPr>
              <w:t>、与《广东省打赢蓝天保卫战实施方案（2018-2020年）》相符性分析</w:t>
            </w:r>
          </w:p>
          <w:p>
            <w:pPr>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粤东西北地区县级及以上城市建成区原则上不再新建每小时35蒸吨以下燃煤锅炉，其他区域禁止新建每小时10蒸吨及以下燃煤锅炉……粤东西北地区实施等量替代，对VOCs指标实行动态管理，严格控制区域VOCs排放量。地级以上城市建成区严格限制建设化工、包装印刷、工业涂装等涉VOCs排放项目，新建石油化工、包装印刷、工业涂装企业原则上应入园进区……重点推广使用</w:t>
            </w:r>
            <w:r>
              <w:rPr>
                <w:rFonts w:ascii="Times New Roman" w:hAnsi="Times New Roman"/>
                <w:bCs/>
                <w:color w:val="000000" w:themeColor="text1"/>
                <w:sz w:val="24"/>
                <w14:textFill>
                  <w14:solidFill>
                    <w14:schemeClr w14:val="tx1"/>
                  </w14:solidFill>
                </w14:textFill>
              </w:rPr>
              <w:t>低VOCs含量、低反应活性的原辅材料和产品。</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项目所在地属于粤东地区</w:t>
            </w:r>
            <w:r>
              <w:rPr>
                <w:rFonts w:hint="eastAsia" w:ascii="Times New Roman" w:hAnsi="Times New Roman" w:eastAsia="宋体"/>
                <w:color w:val="000000" w:themeColor="text1"/>
                <w:sz w:val="24"/>
                <w:szCs w:val="20"/>
                <w14:textFill>
                  <w14:solidFill>
                    <w14:schemeClr w14:val="tx1"/>
                  </w14:solidFill>
                </w14:textFill>
              </w:rPr>
              <w:t>，</w:t>
            </w:r>
            <w:r>
              <w:rPr>
                <w:rFonts w:ascii="Times New Roman" w:hAnsi="Times New Roman" w:eastAsia="宋体"/>
                <w:color w:val="000000" w:themeColor="text1"/>
                <w:sz w:val="24"/>
                <w:szCs w:val="20"/>
                <w14:textFill>
                  <w14:solidFill>
                    <w14:schemeClr w14:val="tx1"/>
                  </w14:solidFill>
                </w14:textFill>
              </w:rPr>
              <w:t>属于城市建成区</w:t>
            </w:r>
            <w:r>
              <w:rPr>
                <w:rFonts w:hint="eastAsia" w:ascii="Times New Roman" w:hAnsi="Times New Roman" w:eastAsia="宋体"/>
                <w:color w:val="000000" w:themeColor="text1"/>
                <w:sz w:val="24"/>
                <w:szCs w:val="20"/>
                <w14:textFill>
                  <w14:solidFill>
                    <w14:schemeClr w14:val="tx1"/>
                  </w14:solidFill>
                </w14:textFill>
              </w:rPr>
              <w:t>。</w:t>
            </w:r>
            <w:r>
              <w:rPr>
                <w:rFonts w:ascii="Times New Roman" w:hAnsi="Times New Roman" w:eastAsia="宋体"/>
                <w:color w:val="000000" w:themeColor="text1"/>
                <w:sz w:val="24"/>
                <w:szCs w:val="20"/>
                <w14:textFill>
                  <w14:solidFill>
                    <w14:schemeClr w14:val="tx1"/>
                  </w14:solidFill>
                </w14:textFill>
              </w:rPr>
              <w:t>项目从事中成药制造，不属于</w:t>
            </w:r>
            <w:r>
              <w:rPr>
                <w:rFonts w:hint="eastAsia" w:ascii="Times New Roman" w:hAnsi="Times New Roman" w:eastAsia="宋体"/>
                <w:color w:val="000000" w:themeColor="text1"/>
                <w:sz w:val="24"/>
                <w:szCs w:val="20"/>
                <w14:textFill>
                  <w14:solidFill>
                    <w14:schemeClr w14:val="tx1"/>
                  </w14:solidFill>
                </w14:textFill>
              </w:rPr>
              <w:t>石油化工、包装印刷、工业涂装等</w:t>
            </w:r>
            <w:r>
              <w:rPr>
                <w:rFonts w:ascii="Times New Roman" w:hAnsi="Times New Roman" w:eastAsia="宋体"/>
                <w:color w:val="000000" w:themeColor="text1"/>
                <w:sz w:val="24"/>
                <w:szCs w:val="20"/>
                <w14:textFill>
                  <w14:solidFill>
                    <w14:schemeClr w14:val="tx1"/>
                  </w14:solidFill>
                </w14:textFill>
              </w:rPr>
              <w:t>企业，项目新建</w:t>
            </w:r>
            <w:r>
              <w:rPr>
                <w:rFonts w:hint="eastAsia" w:ascii="Times New Roman" w:hAnsi="Times New Roman" w:eastAsia="宋体"/>
                <w:color w:val="000000" w:themeColor="text1"/>
                <w:sz w:val="24"/>
                <w:szCs w:val="20"/>
                <w14:textFill>
                  <w14:solidFill>
                    <w14:schemeClr w14:val="tx1"/>
                  </w14:solidFill>
                </w14:textFill>
              </w:rPr>
              <w:t>1台</w:t>
            </w:r>
            <w:r>
              <w:rPr>
                <w:rFonts w:ascii="Times New Roman" w:hAnsi="Times New Roman" w:eastAsia="宋体"/>
                <w:color w:val="000000" w:themeColor="text1"/>
                <w:sz w:val="24"/>
                <w:szCs w:val="20"/>
                <w14:textFill>
                  <w14:solidFill>
                    <w14:schemeClr w14:val="tx1"/>
                  </w14:solidFill>
                </w14:textFill>
              </w:rPr>
              <w:t>3t/h燃天然气锅炉。项目生产过程中部分工艺使用到水、95%乙醇作为提取溶剂，</w:t>
            </w:r>
            <w:r>
              <w:rPr>
                <w:rFonts w:ascii="Times New Roman" w:hAnsi="Times New Roman"/>
                <w:color w:val="000000" w:themeColor="text1"/>
                <w:sz w:val="24"/>
                <w14:textFill>
                  <w14:solidFill>
                    <w14:schemeClr w14:val="tx1"/>
                  </w14:solidFill>
                </w14:textFill>
              </w:rPr>
              <w:t>属于低反应活性的溶剂。</w:t>
            </w:r>
            <w:r>
              <w:rPr>
                <w:rFonts w:ascii="Times New Roman" w:hAnsi="Times New Roman" w:eastAsia="宋体"/>
                <w:color w:val="000000" w:themeColor="text1"/>
                <w:sz w:val="24"/>
                <w:szCs w:val="20"/>
                <w14:textFill>
                  <w14:solidFill>
                    <w14:schemeClr w14:val="tx1"/>
                  </w14:solidFill>
                </w14:textFill>
              </w:rPr>
              <w:t>整个生产过程设备、装置、管线等密闭化，由泵经管道泵入罐体，以减少挥发量。同时，建设单位对产生的乙醇废气采取冷凝回收、水封吸收等回收利用与治理措施，对外环境影响不大。因此，</w:t>
            </w:r>
            <w:r>
              <w:rPr>
                <w:rFonts w:ascii="Times New Roman" w:hAnsi="Times New Roman"/>
                <w:color w:val="000000" w:themeColor="text1"/>
                <w:sz w:val="24"/>
                <w14:textFill>
                  <w14:solidFill>
                    <w14:schemeClr w14:val="tx1"/>
                  </w14:solidFill>
                </w14:textFill>
              </w:rPr>
              <w:t>本项目符合该实施方案。</w:t>
            </w:r>
          </w:p>
          <w:p>
            <w:pPr>
              <w:adjustRightInd w:val="0"/>
              <w:snapToGrid w:val="0"/>
              <w:spacing w:line="360" w:lineRule="auto"/>
              <w:ind w:firstLine="482"/>
              <w:rPr>
                <w:rFonts w:ascii="Times New Roman" w:hAnsi="Times New Roman"/>
                <w:b/>
                <w:color w:val="000000" w:themeColor="text1"/>
                <w:kern w:val="0"/>
                <w:sz w:val="24"/>
                <w14:textFill>
                  <w14:solidFill>
                    <w14:schemeClr w14:val="tx1"/>
                  </w14:solidFill>
                </w14:textFill>
              </w:rPr>
            </w:pPr>
            <w:r>
              <w:rPr>
                <w:rFonts w:hint="eastAsia" w:ascii="Times New Roman" w:hAnsi="Times New Roman"/>
                <w:b/>
                <w:color w:val="000000" w:themeColor="text1"/>
                <w:kern w:val="0"/>
                <w:sz w:val="24"/>
                <w14:textFill>
                  <w14:solidFill>
                    <w14:schemeClr w14:val="tx1"/>
                  </w14:solidFill>
                </w14:textFill>
              </w:rPr>
              <w:t>7</w:t>
            </w:r>
            <w:r>
              <w:rPr>
                <w:rFonts w:ascii="Times New Roman" w:hAnsi="Times New Roman"/>
                <w:b/>
                <w:color w:val="000000" w:themeColor="text1"/>
                <w:kern w:val="0"/>
                <w:sz w:val="24"/>
                <w14:textFill>
                  <w14:solidFill>
                    <w14:schemeClr w14:val="tx1"/>
                  </w14:solidFill>
                </w14:textFill>
              </w:rPr>
              <w:t>、《汕尾市生态环境局关于印发&lt;汕尾市打赢蓝天保卫战实施方案（2018-2020）&gt;的通知》（汕环〔2019〕253号）</w:t>
            </w:r>
            <w:r>
              <w:rPr>
                <w:rFonts w:ascii="Times New Roman" w:hAnsi="Times New Roman"/>
                <w:b/>
                <w:color w:val="000000" w:themeColor="text1"/>
                <w:sz w:val="24"/>
                <w:szCs w:val="20"/>
                <w14:textFill>
                  <w14:solidFill>
                    <w14:schemeClr w14:val="tx1"/>
                  </w14:solidFill>
                </w14:textFill>
              </w:rPr>
              <w:t>相符性分析</w:t>
            </w:r>
          </w:p>
          <w:p>
            <w:pPr>
              <w:tabs>
                <w:tab w:val="left" w:pos="7920"/>
              </w:tabs>
              <w:adjustRightInd w:val="0"/>
              <w:snapToGrid w:val="0"/>
              <w:spacing w:line="360" w:lineRule="auto"/>
              <w:ind w:firstLine="480" w:firstLineChars="200"/>
              <w:rPr>
                <w:rFonts w:ascii="Times New Roman" w:hAnsi="Times New Roman"/>
                <w:color w:val="000000" w:themeColor="text1"/>
                <w:sz w:val="24"/>
                <w:szCs w:val="20"/>
                <w14:textFill>
                  <w14:solidFill>
                    <w14:schemeClr w14:val="tx1"/>
                  </w14:solidFill>
                </w14:textFill>
              </w:rPr>
            </w:pPr>
            <w:r>
              <w:rPr>
                <w:rFonts w:ascii="Times New Roman" w:hAnsi="Times New Roman"/>
                <w:color w:val="000000" w:themeColor="text1"/>
                <w:sz w:val="24"/>
                <w:szCs w:val="20"/>
                <w14:textFill>
                  <w14:solidFill>
                    <w14:schemeClr w14:val="tx1"/>
                  </w14:solidFill>
                </w14:textFill>
              </w:rPr>
              <w:t>该文件指出：</w:t>
            </w:r>
            <w:r>
              <w:rPr>
                <w:rFonts w:hint="eastAsia" w:ascii="宋体" w:hAnsi="宋体" w:eastAsia="宋体" w:cs="宋体"/>
                <w:color w:val="000000" w:themeColor="text1"/>
                <w:sz w:val="24"/>
                <w:szCs w:val="20"/>
                <w14:textFill>
                  <w14:solidFill>
                    <w14:schemeClr w14:val="tx1"/>
                  </w14:solidFill>
                </w14:textFill>
              </w:rPr>
              <w:t>①</w:t>
            </w:r>
            <w:r>
              <w:rPr>
                <w:rFonts w:ascii="Times New Roman" w:hAnsi="Times New Roman"/>
                <w:color w:val="000000" w:themeColor="text1"/>
                <w:sz w:val="24"/>
                <w:szCs w:val="20"/>
                <w14:textFill>
                  <w14:solidFill>
                    <w14:schemeClr w14:val="tx1"/>
                  </w14:solidFill>
                </w14:textFill>
              </w:rPr>
              <w:t>制定实施准入清单。县级及以上城市建成区原则上不再新建每小时35蒸吨以下燃煤锅炉，其他区域禁止新建每小时10蒸吨及以下燃煤锅炉。</w:t>
            </w:r>
            <w:r>
              <w:rPr>
                <w:rFonts w:hint="eastAsia" w:ascii="宋体" w:hAnsi="宋体" w:eastAsia="宋体" w:cs="宋体"/>
                <w:color w:val="000000" w:themeColor="text1"/>
                <w:sz w:val="24"/>
                <w:szCs w:val="20"/>
                <w14:textFill>
                  <w14:solidFill>
                    <w14:schemeClr w14:val="tx1"/>
                  </w14:solidFill>
                </w14:textFill>
              </w:rPr>
              <w:t>②</w:t>
            </w:r>
            <w:r>
              <w:rPr>
                <w:rFonts w:ascii="Times New Roman" w:hAnsi="Times New Roman" w:eastAsia="宋体"/>
                <w:color w:val="000000" w:themeColor="text1"/>
                <w:sz w:val="24"/>
                <w:szCs w:val="20"/>
                <w14:textFill>
                  <w14:solidFill>
                    <w14:schemeClr w14:val="tx1"/>
                  </w14:solidFill>
                </w14:textFill>
              </w:rPr>
              <w:t>实施VOCs排放等量替代，对VOCs指标实行动态管理，严格控制区域VOCs排放量。城市建成区严格限制建设化工、包装印刷、工业涂装等涉VOCs排放项目，新建石油化工、包装印刷、工业涂装企业原则上应进园入区。</w:t>
            </w:r>
            <w:r>
              <w:rPr>
                <w:rFonts w:hint="eastAsia" w:ascii="宋体" w:hAnsi="宋体" w:eastAsia="宋体" w:cs="宋体"/>
                <w:color w:val="000000" w:themeColor="text1"/>
                <w:sz w:val="24"/>
                <w:szCs w:val="20"/>
                <w14:textFill>
                  <w14:solidFill>
                    <w14:schemeClr w14:val="tx1"/>
                  </w14:solidFill>
                </w14:textFill>
              </w:rPr>
              <w:t>③</w:t>
            </w:r>
            <w:r>
              <w:rPr>
                <w:rFonts w:ascii="Times New Roman" w:hAnsi="Times New Roman"/>
                <w:color w:val="000000" w:themeColor="text1"/>
                <w:sz w:val="24"/>
                <w:szCs w:val="20"/>
                <w14:textFill>
                  <w14:solidFill>
                    <w14:schemeClr w14:val="tx1"/>
                  </w14:solidFill>
                </w14:textFill>
              </w:rPr>
              <w:t>在涂料、胶粘剂、油墨等行业实施原料替代工程。重点推广使用低VOCs含量，低反应活性的原辅材料和产品，到2020年，印刷、家具制造、工业涂装重点工业企业的低毒、低（无）VOCs含量、高固份原辅材料使用比例大幅提升。</w:t>
            </w:r>
          </w:p>
          <w:p>
            <w:pPr>
              <w:tabs>
                <w:tab w:val="left" w:pos="7920"/>
              </w:tabs>
              <w:adjustRightInd w:val="0"/>
              <w:snapToGrid w:val="0"/>
              <w:spacing w:line="360" w:lineRule="auto"/>
              <w:ind w:firstLine="480" w:firstLineChars="200"/>
              <w:rPr>
                <w:rFonts w:ascii="Times New Roman" w:hAnsi="Times New Roman"/>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项目</w:t>
            </w:r>
            <w:r>
              <w:rPr>
                <w:rFonts w:hint="eastAsia" w:ascii="Times New Roman" w:hAnsi="Times New Roman" w:eastAsia="宋体"/>
                <w:color w:val="000000" w:themeColor="text1"/>
                <w:sz w:val="24"/>
                <w:szCs w:val="20"/>
                <w14:textFill>
                  <w14:solidFill>
                    <w14:schemeClr w14:val="tx1"/>
                  </w14:solidFill>
                </w14:textFill>
              </w:rPr>
              <w:t>所在地</w:t>
            </w:r>
            <w:r>
              <w:rPr>
                <w:rFonts w:ascii="Times New Roman" w:hAnsi="Times New Roman" w:eastAsia="宋体"/>
                <w:color w:val="000000" w:themeColor="text1"/>
                <w:sz w:val="24"/>
                <w:szCs w:val="20"/>
                <w14:textFill>
                  <w14:solidFill>
                    <w14:schemeClr w14:val="tx1"/>
                  </w14:solidFill>
                </w14:textFill>
              </w:rPr>
              <w:t>属于城市建成区</w:t>
            </w:r>
            <w:r>
              <w:rPr>
                <w:rFonts w:hint="eastAsia" w:ascii="Times New Roman" w:hAnsi="Times New Roman" w:eastAsia="宋体"/>
                <w:color w:val="000000" w:themeColor="text1"/>
                <w:sz w:val="24"/>
                <w:szCs w:val="20"/>
                <w14:textFill>
                  <w14:solidFill>
                    <w14:schemeClr w14:val="tx1"/>
                  </w14:solidFill>
                </w14:textFill>
              </w:rPr>
              <w:t>。</w:t>
            </w:r>
            <w:r>
              <w:rPr>
                <w:rFonts w:ascii="Times New Roman" w:hAnsi="Times New Roman"/>
                <w:color w:val="000000" w:themeColor="text1"/>
                <w:sz w:val="24"/>
                <w14:textFill>
                  <w14:solidFill>
                    <w14:schemeClr w14:val="tx1"/>
                  </w14:solidFill>
                </w14:textFill>
              </w:rPr>
              <w:t>项目为中药饮片项目，属于医药行业项目。项目新建</w:t>
            </w:r>
            <w:r>
              <w:rPr>
                <w:rFonts w:hint="eastAsia" w:ascii="Times New Roman" w:hAnsi="Times New Roman"/>
                <w:color w:val="000000" w:themeColor="text1"/>
                <w:sz w:val="24"/>
                <w14:textFill>
                  <w14:solidFill>
                    <w14:schemeClr w14:val="tx1"/>
                  </w14:solidFill>
                </w14:textFill>
              </w:rPr>
              <w:t>1台</w:t>
            </w:r>
            <w:r>
              <w:rPr>
                <w:rFonts w:ascii="Times New Roman" w:hAnsi="Times New Roman"/>
                <w:color w:val="000000" w:themeColor="text1"/>
                <w:sz w:val="24"/>
                <w14:textFill>
                  <w14:solidFill>
                    <w14:schemeClr w14:val="tx1"/>
                  </w14:solidFill>
                </w14:textFill>
              </w:rPr>
              <w:t>3t/h燃天然气锅炉。</w:t>
            </w:r>
            <w:r>
              <w:rPr>
                <w:rFonts w:ascii="Times New Roman" w:hAnsi="Times New Roman" w:eastAsia="宋体"/>
                <w:color w:val="000000" w:themeColor="text1"/>
                <w:sz w:val="24"/>
                <w:szCs w:val="20"/>
                <w14:textFill>
                  <w14:solidFill>
                    <w14:schemeClr w14:val="tx1"/>
                  </w14:solidFill>
                </w14:textFill>
              </w:rPr>
              <w:t>项目生产过程中部分工艺使用到水、95%乙醇作为提取溶剂，</w:t>
            </w:r>
            <w:r>
              <w:rPr>
                <w:rFonts w:ascii="Times New Roman" w:hAnsi="Times New Roman"/>
                <w:color w:val="000000" w:themeColor="text1"/>
                <w:sz w:val="24"/>
                <w14:textFill>
                  <w14:solidFill>
                    <w14:schemeClr w14:val="tx1"/>
                  </w14:solidFill>
                </w14:textFill>
              </w:rPr>
              <w:t>属于低反应活性的溶剂。项目生产过程VOCs排放量为0.117t/a</w:t>
            </w:r>
            <w:r>
              <w:rPr>
                <w:rFonts w:ascii="Times New Roman" w:hAnsi="Times New Roman"/>
                <w:color w:val="000000" w:themeColor="text1"/>
                <w:sz w:val="24"/>
                <w:szCs w:val="21"/>
                <w14:textFill>
                  <w14:solidFill>
                    <w14:schemeClr w14:val="tx1"/>
                  </w14:solidFill>
                </w14:textFill>
              </w:rPr>
              <w:t>，产生量不大</w:t>
            </w:r>
            <w:r>
              <w:rPr>
                <w:rFonts w:ascii="Times New Roman" w:hAnsi="Times New Roman"/>
                <w:color w:val="000000" w:themeColor="text1"/>
                <w:sz w:val="24"/>
                <w14:textFill>
                  <w14:solidFill>
                    <w14:schemeClr w14:val="tx1"/>
                  </w14:solidFill>
                </w14:textFill>
              </w:rPr>
              <w:t>。</w:t>
            </w:r>
            <w:r>
              <w:rPr>
                <w:rFonts w:ascii="Times New Roman" w:hAnsi="Times New Roman"/>
                <w:color w:val="000000" w:themeColor="text1"/>
                <w:sz w:val="24"/>
                <w:szCs w:val="20"/>
                <w14:textFill>
                  <w14:solidFill>
                    <w14:schemeClr w14:val="tx1"/>
                  </w14:solidFill>
                </w14:textFill>
              </w:rPr>
              <w:t>项目符合该文件方案。</w:t>
            </w:r>
          </w:p>
          <w:p>
            <w:pPr>
              <w:tabs>
                <w:tab w:val="left" w:pos="7920"/>
              </w:tabs>
              <w:adjustRightInd w:val="0"/>
              <w:snapToGrid w:val="0"/>
              <w:spacing w:line="360" w:lineRule="auto"/>
              <w:ind w:firstLine="482" w:firstLineChars="200"/>
              <w:rPr>
                <w:rFonts w:ascii="Times New Roman" w:hAnsi="Times New Roman"/>
                <w:b/>
                <w:color w:val="000000" w:themeColor="text1"/>
                <w:sz w:val="24"/>
                <w:szCs w:val="20"/>
                <w14:textFill>
                  <w14:solidFill>
                    <w14:schemeClr w14:val="tx1"/>
                  </w14:solidFill>
                </w14:textFill>
              </w:rPr>
            </w:pPr>
            <w:r>
              <w:rPr>
                <w:rFonts w:hint="eastAsia" w:ascii="Times New Roman" w:hAnsi="Times New Roman"/>
                <w:b/>
                <w:color w:val="000000" w:themeColor="text1"/>
                <w:sz w:val="24"/>
                <w14:textFill>
                  <w14:solidFill>
                    <w14:schemeClr w14:val="tx1"/>
                  </w14:solidFill>
                </w14:textFill>
              </w:rPr>
              <w:t>8</w:t>
            </w:r>
            <w:r>
              <w:rPr>
                <w:rFonts w:ascii="Times New Roman" w:hAnsi="Times New Roman"/>
                <w:b/>
                <w:color w:val="000000" w:themeColor="text1"/>
                <w:sz w:val="24"/>
                <w14:textFill>
                  <w14:solidFill>
                    <w14:schemeClr w14:val="tx1"/>
                  </w14:solidFill>
                </w14:textFill>
              </w:rPr>
              <w:t>、与《汕尾市环境保护规划纲要（2008-2020 年）》相符性分析</w:t>
            </w:r>
          </w:p>
          <w:p>
            <w:pPr>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①</w:t>
            </w:r>
            <w:r>
              <w:rPr>
                <w:rFonts w:ascii="Times New Roman" w:hAnsi="Times New Roman" w:eastAsia="宋体"/>
                <w:color w:val="000000" w:themeColor="text1"/>
                <w:sz w:val="24"/>
                <w:szCs w:val="20"/>
                <w14:textFill>
                  <w14:solidFill>
                    <w14:schemeClr w14:val="tx1"/>
                  </w14:solidFill>
                </w14:textFill>
              </w:rPr>
              <w:t>加快产业结构优化调整。大力发展节能、降耗、减污、增效的高技术产业和先进制造业，鼓励发展低能耗、低污染的先进生产能力。</w:t>
            </w:r>
            <w:r>
              <w:rPr>
                <w:rFonts w:hint="eastAsia" w:ascii="宋体" w:hAnsi="宋体" w:eastAsia="宋体" w:cs="宋体"/>
                <w:color w:val="000000" w:themeColor="text1"/>
                <w:sz w:val="24"/>
                <w:szCs w:val="20"/>
                <w14:textFill>
                  <w14:solidFill>
                    <w14:schemeClr w14:val="tx1"/>
                  </w14:solidFill>
                </w14:textFill>
              </w:rPr>
              <w:t>②</w:t>
            </w:r>
            <w:r>
              <w:rPr>
                <w:rFonts w:ascii="Times New Roman" w:hAnsi="Times New Roman" w:eastAsia="宋体"/>
                <w:color w:val="000000" w:themeColor="text1"/>
                <w:sz w:val="24"/>
                <w:szCs w:val="20"/>
                <w14:textFill>
                  <w14:solidFill>
                    <w14:schemeClr w14:val="tx1"/>
                  </w14:solidFill>
                </w14:textFill>
              </w:rPr>
              <w:t>加快水污染治理工程建设。加大节水力度，加快污水处理厂及配套管网建设，加大工业废水处理力度，确保污染源达标排放。</w:t>
            </w:r>
          </w:p>
          <w:p>
            <w:pPr>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本项目主要从事中医药产品、中药原材料、中药制剂等中药领域的药物研究、开发和生产，属于高新技术制造业，属于对资源、污染负荷较小的行业、附加值高的行业。项目生产废水经自建污水处理站处理达标后排入工业污水处理厂处理，生活污水经化粪池处理达标后排入河口镇污水处理厂处理。因此项目符合《汕尾市环境保护规划纲要(2008－2020 年)》要求。</w:t>
            </w:r>
          </w:p>
        </w:tc>
      </w:tr>
    </w:tbl>
    <w:p>
      <w:pPr>
        <w:spacing w:line="360" w:lineRule="auto"/>
        <w:outlineLvl w:val="0"/>
        <w:rPr>
          <w:rFonts w:ascii="Times New Roman" w:hAnsi="Times New Roman"/>
          <w:color w:val="000000" w:themeColor="text1"/>
          <w:kern w:val="21"/>
          <w:sz w:val="30"/>
          <w14:textFill>
            <w14:solidFill>
              <w14:schemeClr w14:val="tx1"/>
            </w14:solidFill>
          </w14:textFill>
        </w:rPr>
        <w:sectPr>
          <w:footerReference r:id="rId5" w:type="default"/>
          <w:pgSz w:w="11906" w:h="16838"/>
          <w:pgMar w:top="1418" w:right="1418" w:bottom="1418" w:left="1418" w:header="851" w:footer="1077" w:gutter="0"/>
          <w:pgNumType w:start="1"/>
          <w:cols w:space="720" w:num="1"/>
          <w:docGrid w:linePitch="312" w:charSpace="0"/>
        </w:sectPr>
      </w:pPr>
    </w:p>
    <w:p>
      <w:pPr>
        <w:pStyle w:val="16"/>
        <w:adjustRightInd w:val="0"/>
        <w:snapToGrid w:val="0"/>
        <w:jc w:val="center"/>
        <w:outlineLvl w:val="0"/>
        <w:rPr>
          <w:rFonts w:ascii="Times New Roman" w:hAnsi="Times New Roman"/>
          <w:snapToGrid w:val="0"/>
          <w:color w:val="000000" w:themeColor="text1"/>
          <w:kern w:val="21"/>
          <w:sz w:val="30"/>
          <w:szCs w:val="30"/>
          <w14:textFill>
            <w14:solidFill>
              <w14:schemeClr w14:val="tx1"/>
            </w14:solidFill>
          </w14:textFill>
        </w:rPr>
      </w:pPr>
      <w:r>
        <w:rPr>
          <w:rFonts w:ascii="Times New Roman" w:hAnsi="Times New Roman"/>
          <w:snapToGrid w:val="0"/>
          <w:color w:val="000000" w:themeColor="text1"/>
          <w:kern w:val="21"/>
          <w:sz w:val="30"/>
          <w:szCs w:val="30"/>
          <w14:textFill>
            <w14:solidFill>
              <w14:schemeClr w14:val="tx1"/>
            </w14:solidFill>
          </w14:textFill>
        </w:rPr>
        <w:t>二、建设项目工程分析</w:t>
      </w:r>
    </w:p>
    <w:tbl>
      <w:tblPr>
        <w:tblStyle w:val="1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370"/>
        <w:gridCol w:w="875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249" w:type="pct"/>
            <w:vAlign w:val="center"/>
          </w:tcPr>
          <w:p>
            <w:pPr>
              <w:pStyle w:val="16"/>
              <w:adjustRightInd w:val="0"/>
              <w:snapToGrid w:val="0"/>
              <w:spacing w:before="0" w:beforeAutospacing="0" w:after="0" w:afterAutospacing="0"/>
              <w:jc w:val="center"/>
              <w:rPr>
                <w:rFonts w:ascii="Times New Roman" w:hAnsi="Times New Roman"/>
                <w:color w:val="000000" w:themeColor="text1"/>
                <w:kern w:val="21"/>
                <w:szCs w:val="24"/>
                <w14:textFill>
                  <w14:solidFill>
                    <w14:schemeClr w14:val="tx1"/>
                  </w14:solidFill>
                </w14:textFill>
              </w:rPr>
            </w:pPr>
            <w:r>
              <w:rPr>
                <w:rFonts w:ascii="Times New Roman" w:hAnsi="Times New Roman"/>
                <w:color w:val="000000" w:themeColor="text1"/>
                <w:kern w:val="21"/>
                <w:szCs w:val="24"/>
                <w14:textFill>
                  <w14:solidFill>
                    <w14:schemeClr w14:val="tx1"/>
                  </w14:solidFill>
                </w14:textFill>
              </w:rPr>
              <w:t>建设内容</w:t>
            </w:r>
          </w:p>
        </w:tc>
        <w:tc>
          <w:tcPr>
            <w:tcW w:w="4751" w:type="pct"/>
            <w:vAlign w:val="center"/>
          </w:tcPr>
          <w:p>
            <w:pPr>
              <w:spacing w:line="360" w:lineRule="auto"/>
              <w:ind w:firstLine="480"/>
              <w:rPr>
                <w:rFonts w:ascii="Times New Roman" w:hAnsi="Times New Roman"/>
                <w:snapToGrid w:val="0"/>
                <w:color w:val="000000" w:themeColor="text1"/>
                <w:kern w:val="0"/>
                <w:sz w:val="24"/>
                <w14:textFill>
                  <w14:solidFill>
                    <w14:schemeClr w14:val="tx1"/>
                  </w14:solidFill>
                </w14:textFill>
              </w:rPr>
            </w:pPr>
            <w:r>
              <w:rPr>
                <w:rFonts w:hint="eastAsia" w:ascii="Times New Roman" w:hAnsi="Times New Roman"/>
                <w:snapToGrid w:val="0"/>
                <w:color w:val="000000" w:themeColor="text1"/>
                <w:kern w:val="0"/>
                <w:sz w:val="24"/>
                <w14:textFill>
                  <w14:solidFill>
                    <w14:schemeClr w14:val="tx1"/>
                  </w14:solidFill>
                </w14:textFill>
              </w:rPr>
              <w:t>金活天然药物研发生产基地位于</w:t>
            </w:r>
            <w:r>
              <w:rPr>
                <w:rFonts w:ascii="Times New Roman" w:hAnsi="Times New Roman"/>
                <w:snapToGrid w:val="0"/>
                <w:color w:val="000000" w:themeColor="text1"/>
                <w:kern w:val="0"/>
                <w:sz w:val="24"/>
                <w14:textFill>
                  <w14:solidFill>
                    <w14:schemeClr w14:val="tx1"/>
                  </w14:solidFill>
                </w14:textFill>
              </w:rPr>
              <w:t>陆河县产业转移工业园区西侧空地</w:t>
            </w:r>
            <w:r>
              <w:rPr>
                <w:rFonts w:hint="eastAsia" w:ascii="Times New Roman" w:hAnsi="Times New Roman"/>
                <w:snapToGrid w:val="0"/>
                <w:color w:val="000000" w:themeColor="text1"/>
                <w:kern w:val="0"/>
                <w:sz w:val="24"/>
                <w14:textFill>
                  <w14:solidFill>
                    <w14:schemeClr w14:val="tx1"/>
                  </w14:solidFill>
                </w14:textFill>
              </w:rPr>
              <w:t>，广东金辰生物科技有限公司计划投资1亿元生产中医药材半成品、中药原材料粗加工及中药制剂等的研制。生产基地</w:t>
            </w:r>
            <w:r>
              <w:rPr>
                <w:rFonts w:ascii="Times New Roman" w:hAnsi="Times New Roman"/>
                <w:snapToGrid w:val="0"/>
                <w:color w:val="000000" w:themeColor="text1"/>
                <w:kern w:val="0"/>
                <w:sz w:val="24"/>
                <w14:textFill>
                  <w14:solidFill>
                    <w14:schemeClr w14:val="tx1"/>
                  </w14:solidFill>
                </w14:textFill>
              </w:rPr>
              <w:t>总占地面积为2252</w:t>
            </w:r>
            <w:r>
              <w:rPr>
                <w:rFonts w:hint="eastAsia" w:ascii="Times New Roman" w:hAnsi="Times New Roman"/>
                <w:snapToGrid w:val="0"/>
                <w:color w:val="000000" w:themeColor="text1"/>
                <w:kern w:val="0"/>
                <w:sz w:val="24"/>
                <w14:textFill>
                  <w14:solidFill>
                    <w14:schemeClr w14:val="tx1"/>
                  </w14:solidFill>
                </w14:textFill>
              </w:rPr>
              <w:t>4.78</w:t>
            </w:r>
            <w:r>
              <w:rPr>
                <w:rFonts w:ascii="Times New Roman" w:hAnsi="Times New Roman"/>
                <w:snapToGrid w:val="0"/>
                <w:color w:val="000000" w:themeColor="text1"/>
                <w:kern w:val="0"/>
                <w:sz w:val="24"/>
                <w14:textFill>
                  <w14:solidFill>
                    <w14:schemeClr w14:val="tx1"/>
                  </w14:solidFill>
                </w14:textFill>
              </w:rPr>
              <w:t>m</w:t>
            </w:r>
            <w:r>
              <w:rPr>
                <w:rFonts w:ascii="Times New Roman" w:hAnsi="Times New Roman"/>
                <w:snapToGrid w:val="0"/>
                <w:color w:val="000000" w:themeColor="text1"/>
                <w:kern w:val="0"/>
                <w:sz w:val="24"/>
                <w:vertAlign w:val="superscript"/>
                <w14:textFill>
                  <w14:solidFill>
                    <w14:schemeClr w14:val="tx1"/>
                  </w14:solidFill>
                </w14:textFill>
              </w:rPr>
              <w:t>2</w:t>
            </w:r>
            <w:r>
              <w:rPr>
                <w:rFonts w:hint="eastAsia" w:ascii="Times New Roman" w:hAnsi="Times New Roman"/>
                <w:snapToGrid w:val="0"/>
                <w:color w:val="000000" w:themeColor="text1"/>
                <w:kern w:val="0"/>
                <w:sz w:val="24"/>
                <w14:textFill>
                  <w14:solidFill>
                    <w14:schemeClr w14:val="tx1"/>
                  </w14:solidFill>
                </w14:textFill>
              </w:rPr>
              <w:t>，总建筑面积约33787平方米。</w:t>
            </w:r>
            <w:r>
              <w:rPr>
                <w:rFonts w:ascii="Times New Roman" w:hAnsi="Times New Roman"/>
                <w:color w:val="000000" w:themeColor="text1"/>
                <w:sz w:val="24"/>
                <w14:textFill>
                  <w14:solidFill>
                    <w14:schemeClr w14:val="tx1"/>
                  </w14:solidFill>
                </w14:textFill>
              </w:rPr>
              <w:t>具体地理位置见附图1。</w:t>
            </w:r>
          </w:p>
          <w:p>
            <w:pPr>
              <w:spacing w:line="360" w:lineRule="auto"/>
              <w:ind w:firstLine="480"/>
              <w:rPr>
                <w:rFonts w:ascii="Times New Roman" w:hAnsi="Times New Roman"/>
                <w:snapToGrid w:val="0"/>
                <w:color w:val="000000" w:themeColor="text1"/>
                <w:kern w:val="0"/>
                <w:sz w:val="24"/>
                <w14:textFill>
                  <w14:solidFill>
                    <w14:schemeClr w14:val="tx1"/>
                  </w14:solidFill>
                </w14:textFill>
              </w:rPr>
            </w:pPr>
            <w:r>
              <w:rPr>
                <w:rFonts w:hint="eastAsia" w:ascii="Times New Roman" w:hAnsi="Times New Roman"/>
                <w:snapToGrid w:val="0"/>
                <w:color w:val="000000" w:themeColor="text1"/>
                <w:kern w:val="0"/>
                <w:sz w:val="24"/>
                <w14:textFill>
                  <w14:solidFill>
                    <w14:schemeClr w14:val="tx1"/>
                  </w14:solidFill>
                </w14:textFill>
              </w:rPr>
              <w:t>金活天然药物研发生产基地拟分期建设，本次项目为金活天然药物研发生产基地一期工程（即金活天然药物研发生产基地（广东金辰生物科技有限公司建设项目一期）），</w:t>
            </w:r>
            <w:r>
              <w:rPr>
                <w:rFonts w:ascii="Times New Roman" w:hAnsi="Times New Roman"/>
                <w:snapToGrid w:val="0"/>
                <w:color w:val="000000" w:themeColor="text1"/>
                <w:kern w:val="0"/>
                <w:sz w:val="24"/>
                <w14:textFill>
                  <w14:solidFill>
                    <w14:schemeClr w14:val="tx1"/>
                  </w14:solidFill>
                </w14:textFill>
              </w:rPr>
              <w:t>本项目占地面积2100m</w:t>
            </w:r>
            <w:r>
              <w:rPr>
                <w:rFonts w:ascii="Times New Roman" w:hAnsi="Times New Roman"/>
                <w:snapToGrid w:val="0"/>
                <w:color w:val="000000" w:themeColor="text1"/>
                <w:kern w:val="0"/>
                <w:sz w:val="24"/>
                <w:vertAlign w:val="superscript"/>
                <w14:textFill>
                  <w14:solidFill>
                    <w14:schemeClr w14:val="tx1"/>
                  </w14:solidFill>
                </w14:textFill>
              </w:rPr>
              <w:t>2</w:t>
            </w:r>
            <w:r>
              <w:rPr>
                <w:rFonts w:ascii="Times New Roman" w:hAnsi="Times New Roman"/>
                <w:snapToGrid w:val="0"/>
                <w:color w:val="000000" w:themeColor="text1"/>
                <w:kern w:val="0"/>
                <w:sz w:val="24"/>
                <w14:textFill>
                  <w14:solidFill>
                    <w14:schemeClr w14:val="tx1"/>
                  </w14:solidFill>
                </w14:textFill>
              </w:rPr>
              <w:t>，建筑面积为4125m</w:t>
            </w:r>
            <w:r>
              <w:rPr>
                <w:rFonts w:ascii="Times New Roman" w:hAnsi="Times New Roman"/>
                <w:snapToGrid w:val="0"/>
                <w:color w:val="000000" w:themeColor="text1"/>
                <w:kern w:val="0"/>
                <w:sz w:val="24"/>
                <w:vertAlign w:val="superscript"/>
                <w14:textFill>
                  <w14:solidFill>
                    <w14:schemeClr w14:val="tx1"/>
                  </w14:solidFill>
                </w14:textFill>
              </w:rPr>
              <w:t>2</w:t>
            </w:r>
            <w:r>
              <w:rPr>
                <w:rFonts w:hint="eastAsia" w:ascii="Times New Roman" w:hAnsi="Times New Roman"/>
                <w:snapToGrid w:val="0"/>
                <w:color w:val="000000" w:themeColor="text1"/>
                <w:kern w:val="0"/>
                <w:sz w:val="24"/>
                <w14:textFill>
                  <w14:solidFill>
                    <w14:schemeClr w14:val="tx1"/>
                  </w14:solidFill>
                </w14:textFill>
              </w:rPr>
              <w:t>，具体位置详见附图4</w:t>
            </w:r>
            <w:r>
              <w:rPr>
                <w:rFonts w:ascii="Times New Roman" w:hAnsi="Times New Roman"/>
                <w:snapToGrid w:val="0"/>
                <w:color w:val="000000" w:themeColor="text1"/>
                <w:kern w:val="0"/>
                <w:sz w:val="24"/>
                <w14:textFill>
                  <w14:solidFill>
                    <w14:schemeClr w14:val="tx1"/>
                  </w14:solidFill>
                </w14:textFill>
              </w:rPr>
              <w:t>。本项目计划总投资2000万元，项目</w:t>
            </w:r>
            <w:r>
              <w:rPr>
                <w:rFonts w:hint="eastAsia" w:ascii="Times New Roman" w:hAnsi="Times New Roman"/>
                <w:snapToGrid w:val="0"/>
                <w:color w:val="000000" w:themeColor="text1"/>
                <w:kern w:val="0"/>
                <w:sz w:val="24"/>
                <w14:textFill>
                  <w14:solidFill>
                    <w14:schemeClr w14:val="tx1"/>
                  </w14:solidFill>
                </w14:textFill>
              </w:rPr>
              <w:t>设</w:t>
            </w:r>
            <w:r>
              <w:rPr>
                <w:rFonts w:ascii="Times New Roman" w:hAnsi="Times New Roman"/>
                <w:color w:val="000000" w:themeColor="text1"/>
                <w:sz w:val="24"/>
                <w14:textFill>
                  <w14:solidFill>
                    <w14:schemeClr w14:val="tx1"/>
                  </w14:solidFill>
                </w14:textFill>
              </w:rPr>
              <w:t>前处理车间、提取浓缩车间、后处理车间、发酵车间</w:t>
            </w:r>
            <w:r>
              <w:rPr>
                <w:rFonts w:hint="eastAsia" w:ascii="Times New Roman" w:hAnsi="Times New Roman"/>
                <w:color w:val="000000" w:themeColor="text1"/>
                <w:sz w:val="24"/>
                <w14:textFill>
                  <w14:solidFill>
                    <w14:schemeClr w14:val="tx1"/>
                  </w14:solidFill>
                </w14:textFill>
              </w:rPr>
              <w:t>等，</w:t>
            </w:r>
            <w:r>
              <w:rPr>
                <w:rFonts w:ascii="Times New Roman" w:hAnsi="Times New Roman"/>
                <w:snapToGrid w:val="0"/>
                <w:color w:val="000000" w:themeColor="text1"/>
                <w:kern w:val="0"/>
                <w:sz w:val="24"/>
                <w14:textFill>
                  <w14:solidFill>
                    <w14:schemeClr w14:val="tx1"/>
                  </w14:solidFill>
                </w14:textFill>
              </w:rPr>
              <w:t>以清洗、烘干、粉碎、醇提（醇沉）、水提、蒸馏、发酵等生产方式，年产西洋参粉3t/a、风湿定胶囊干膏粉1t/a、壮腰健肾胶囊干膏粉1 t/a、元胡止痛片干膏粉1t/a、六味地黄胶囊干膏粉4t/a、心可宁胶囊干膏粉1t/a、降糖灵胶囊干膏粉1t/a、复方丹参片干膏粉1t/a、感冒清胶囊干膏粉5t/a、消炎利胆片干膏粉1t/a、康乐鼻炎片干膏粉1t/a、清肝颗粒流膏1t/a、香茅油2.5 t/a、克癀胶囊粉11.7t/a。</w:t>
            </w:r>
          </w:p>
          <w:p>
            <w:pPr>
              <w:spacing w:line="360" w:lineRule="auto"/>
              <w:ind w:firstLine="480"/>
              <w:rPr>
                <w:rFonts w:ascii="Times New Roman" w:hAnsi="Times New Roman"/>
                <w:snapToGrid w:val="0"/>
                <w:color w:val="000000" w:themeColor="text1"/>
                <w:kern w:val="0"/>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本项目占地</w:t>
            </w:r>
            <w:r>
              <w:rPr>
                <w:rFonts w:hint="eastAsia" w:ascii="Times New Roman" w:hAnsi="Times New Roman"/>
                <w:color w:val="000000" w:themeColor="text1"/>
                <w:sz w:val="24"/>
                <w14:textFill>
                  <w14:solidFill>
                    <w14:schemeClr w14:val="tx1"/>
                  </w14:solidFill>
                </w14:textFill>
              </w:rPr>
              <w:t>中1224m</w:t>
            </w:r>
            <w:r>
              <w:rPr>
                <w:rFonts w:hint="eastAsia" w:ascii="Times New Roman" w:hAnsi="Times New Roman"/>
                <w:color w:val="000000" w:themeColor="text1"/>
                <w:sz w:val="24"/>
                <w:vertAlign w:val="superscript"/>
                <w14:textFill>
                  <w14:solidFill>
                    <w14:schemeClr w14:val="tx1"/>
                  </w14:solidFill>
                </w14:textFill>
              </w:rPr>
              <w:t>2</w:t>
            </w:r>
            <w:r>
              <w:rPr>
                <w:rFonts w:hint="eastAsia" w:ascii="Times New Roman" w:hAnsi="Times New Roman"/>
                <w:color w:val="000000" w:themeColor="text1"/>
                <w:sz w:val="24"/>
                <w14:textFill>
                  <w14:solidFill>
                    <w14:schemeClr w14:val="tx1"/>
                  </w14:solidFill>
                </w14:textFill>
              </w:rPr>
              <w:t>（生产车间大部分占地、办公楼、保卫室等）位于陆河县产业转移工业园区红线范围内，其余占地876 m</w:t>
            </w:r>
            <w:r>
              <w:rPr>
                <w:rFonts w:hint="eastAsia" w:ascii="Times New Roman" w:hAnsi="Times New Roman"/>
                <w:color w:val="000000" w:themeColor="text1"/>
                <w:sz w:val="24"/>
                <w:vertAlign w:val="superscript"/>
                <w14:textFill>
                  <w14:solidFill>
                    <w14:schemeClr w14:val="tx1"/>
                  </w14:solidFill>
                </w14:textFill>
              </w:rPr>
              <w:t>2</w:t>
            </w:r>
            <w:r>
              <w:rPr>
                <w:rFonts w:hint="eastAsia" w:ascii="Times New Roman" w:hAnsi="Times New Roman"/>
                <w:color w:val="000000" w:themeColor="text1"/>
                <w:sz w:val="24"/>
                <w14:textFill>
                  <w14:solidFill>
                    <w14:schemeClr w14:val="tx1"/>
                  </w14:solidFill>
                </w14:textFill>
              </w:rPr>
              <w:t>（生产车间小部分占地、锅炉房、污水站、酒精储罐区等）位于陆河县产业转移工业园区红线范围外，具体位置详见附图6。本项目占地范围均为陆河县产业转移工业园区管理范围。</w:t>
            </w:r>
          </w:p>
          <w:p>
            <w:pPr>
              <w:spacing w:line="360" w:lineRule="auto"/>
              <w:ind w:firstLine="480"/>
              <w:rPr>
                <w:rFonts w:ascii="Times New Roman" w:hAnsi="Times New Roman"/>
                <w:bCs/>
                <w:color w:val="000000" w:themeColor="text1"/>
                <w:sz w:val="24"/>
                <w14:textFill>
                  <w14:solidFill>
                    <w14:schemeClr w14:val="tx1"/>
                  </w14:solidFill>
                </w14:textFill>
              </w:rPr>
            </w:pPr>
            <w:r>
              <w:rPr>
                <w:rFonts w:hint="eastAsia" w:ascii="Times New Roman" w:hAnsi="Times New Roman"/>
                <w:color w:val="000000" w:themeColor="text1"/>
                <w:sz w:val="24"/>
                <w14:textFill>
                  <w14:solidFill>
                    <w14:schemeClr w14:val="tx1"/>
                  </w14:solidFill>
                </w14:textFill>
              </w:rPr>
              <w:t>根据《中华人民共和国环境影响评价法》（2018年12月29日修订）、《建设项目环境保护管理条例》（</w:t>
            </w:r>
            <w:r>
              <w:rPr>
                <w:rFonts w:ascii="Times New Roman" w:hAnsi="Times New Roman"/>
                <w:color w:val="000000" w:themeColor="text1"/>
                <w:sz w:val="24"/>
                <w14:textFill>
                  <w14:solidFill>
                    <w14:schemeClr w14:val="tx1"/>
                  </w14:solidFill>
                </w14:textFill>
              </w:rPr>
              <w:t>2017</w:t>
            </w:r>
            <w:r>
              <w:rPr>
                <w:rFonts w:hint="eastAsia" w:ascii="Times New Roman" w:hAnsi="Times New Roman"/>
                <w:color w:val="000000" w:themeColor="text1"/>
                <w:sz w:val="24"/>
                <w14:textFill>
                  <w14:solidFill>
                    <w14:schemeClr w14:val="tx1"/>
                  </w14:solidFill>
                </w14:textFill>
              </w:rPr>
              <w:t>年</w:t>
            </w:r>
            <w:r>
              <w:rPr>
                <w:rFonts w:ascii="Times New Roman" w:hAnsi="Times New Roman"/>
                <w:color w:val="000000" w:themeColor="text1"/>
                <w:sz w:val="24"/>
                <w14:textFill>
                  <w14:solidFill>
                    <w14:schemeClr w14:val="tx1"/>
                  </w14:solidFill>
                </w14:textFill>
              </w:rPr>
              <w:t>10</w:t>
            </w:r>
            <w:r>
              <w:rPr>
                <w:rFonts w:hint="eastAsia" w:ascii="Times New Roman" w:hAnsi="Times New Roman"/>
                <w:color w:val="000000" w:themeColor="text1"/>
                <w:sz w:val="24"/>
                <w14:textFill>
                  <w14:solidFill>
                    <w14:schemeClr w14:val="tx1"/>
                  </w14:solidFill>
                </w14:textFill>
              </w:rPr>
              <w:t>月</w:t>
            </w:r>
            <w:r>
              <w:rPr>
                <w:rFonts w:ascii="Times New Roman" w:hAnsi="Times New Roman"/>
                <w:color w:val="000000" w:themeColor="text1"/>
                <w:sz w:val="24"/>
                <w14:textFill>
                  <w14:solidFill>
                    <w14:schemeClr w14:val="tx1"/>
                  </w14:solidFill>
                </w14:textFill>
              </w:rPr>
              <w:t>1</w:t>
            </w:r>
            <w:r>
              <w:rPr>
                <w:rFonts w:hint="eastAsia" w:ascii="Times New Roman" w:hAnsi="Times New Roman"/>
                <w:color w:val="000000" w:themeColor="text1"/>
                <w:sz w:val="24"/>
                <w14:textFill>
                  <w14:solidFill>
                    <w14:schemeClr w14:val="tx1"/>
                  </w14:solidFill>
                </w14:textFill>
              </w:rPr>
              <w:t>日）和《建设项目环境影响评价分类管理名录》（</w:t>
            </w:r>
            <w:r>
              <w:rPr>
                <w:rFonts w:ascii="Times New Roman" w:hAnsi="Times New Roman"/>
                <w:color w:val="000000" w:themeColor="text1"/>
                <w:sz w:val="24"/>
                <w14:textFill>
                  <w14:solidFill>
                    <w14:schemeClr w14:val="tx1"/>
                  </w14:solidFill>
                </w14:textFill>
              </w:rPr>
              <w:t>2021</w:t>
            </w:r>
            <w:r>
              <w:rPr>
                <w:rFonts w:hint="eastAsia" w:ascii="Times New Roman" w:hAnsi="Times New Roman"/>
                <w:color w:val="000000" w:themeColor="text1"/>
                <w:sz w:val="24"/>
                <w14:textFill>
                  <w14:solidFill>
                    <w14:schemeClr w14:val="tx1"/>
                  </w14:solidFill>
                </w14:textFill>
              </w:rPr>
              <w:t>年版）的有关规定，本项目需进行环境影响评价。本项目提炼工艺仅涉及醇提、水提，根据《建设项目环境影响评价分类管理名录》（</w:t>
            </w:r>
            <w:r>
              <w:rPr>
                <w:rFonts w:ascii="Times New Roman" w:hAnsi="Times New Roman"/>
                <w:color w:val="000000" w:themeColor="text1"/>
                <w:sz w:val="24"/>
                <w14:textFill>
                  <w14:solidFill>
                    <w14:schemeClr w14:val="tx1"/>
                  </w14:solidFill>
                </w14:textFill>
              </w:rPr>
              <w:t>2021</w:t>
            </w:r>
            <w:r>
              <w:rPr>
                <w:rFonts w:hint="eastAsia" w:ascii="Times New Roman" w:hAnsi="Times New Roman"/>
                <w:color w:val="000000" w:themeColor="text1"/>
                <w:sz w:val="24"/>
                <w14:textFill>
                  <w14:solidFill>
                    <w14:schemeClr w14:val="tx1"/>
                  </w14:solidFill>
                </w14:textFill>
              </w:rPr>
              <w:t>年版）规定，属于</w:t>
            </w:r>
            <w:r>
              <w:rPr>
                <w:rFonts w:ascii="Times New Roman" w:hAnsi="Times New Roman"/>
                <w:color w:val="000000" w:themeColor="text1"/>
                <w:sz w:val="24"/>
                <w14:textFill>
                  <w14:solidFill>
                    <w14:schemeClr w14:val="tx1"/>
                  </w14:solidFill>
                </w14:textFill>
              </w:rPr>
              <w:t>“</w:t>
            </w:r>
            <w:r>
              <w:rPr>
                <w:rFonts w:hint="eastAsia" w:ascii="Times New Roman" w:hAnsi="Times New Roman"/>
                <w:snapToGrid w:val="0"/>
                <w:color w:val="000000" w:themeColor="text1"/>
                <w:kern w:val="0"/>
                <w:sz w:val="24"/>
                <w14:textFill>
                  <w14:solidFill>
                    <w14:schemeClr w14:val="tx1"/>
                  </w14:solidFill>
                </w14:textFill>
              </w:rPr>
              <w:t>二十四、医药制造业</w:t>
            </w:r>
            <w:r>
              <w:rPr>
                <w:rFonts w:ascii="Times New Roman" w:hAnsi="Times New Roman"/>
                <w:snapToGrid w:val="0"/>
                <w:color w:val="000000" w:themeColor="text1"/>
                <w:kern w:val="0"/>
                <w:sz w:val="24"/>
                <w14:textFill>
                  <w14:solidFill>
                    <w14:schemeClr w14:val="tx1"/>
                  </w14:solidFill>
                </w14:textFill>
              </w:rPr>
              <w:t xml:space="preserve">27——48 </w:t>
            </w:r>
            <w:r>
              <w:rPr>
                <w:rFonts w:hint="eastAsia" w:ascii="Times New Roman" w:hAnsi="Times New Roman"/>
                <w:snapToGrid w:val="0"/>
                <w:color w:val="000000" w:themeColor="text1"/>
                <w:kern w:val="0"/>
                <w:sz w:val="24"/>
                <w14:textFill>
                  <w14:solidFill>
                    <w14:schemeClr w14:val="tx1"/>
                  </w14:solidFill>
                </w14:textFill>
              </w:rPr>
              <w:t>中药饮片加工</w:t>
            </w:r>
            <w:r>
              <w:rPr>
                <w:rFonts w:ascii="Times New Roman" w:hAnsi="Times New Roman"/>
                <w:snapToGrid w:val="0"/>
                <w:color w:val="000000" w:themeColor="text1"/>
                <w:kern w:val="0"/>
                <w:sz w:val="24"/>
                <w14:textFill>
                  <w14:solidFill>
                    <w14:schemeClr w14:val="tx1"/>
                  </w14:solidFill>
                </w14:textFill>
              </w:rPr>
              <w:t>273——</w:t>
            </w:r>
            <w:r>
              <w:rPr>
                <w:rFonts w:hint="eastAsia" w:ascii="Times New Roman" w:hAnsi="Times New Roman"/>
                <w:snapToGrid w:val="0"/>
                <w:color w:val="000000" w:themeColor="text1"/>
                <w:kern w:val="0"/>
                <w:sz w:val="24"/>
                <w14:textFill>
                  <w14:solidFill>
                    <w14:schemeClr w14:val="tx1"/>
                  </w14:solidFill>
                </w14:textFill>
              </w:rPr>
              <w:t>其他</w:t>
            </w: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故本项目应编制环境影响评价报告表。建设单位委托广州市环境保护工程设计院有限公司承担本项目的环境影响评价工作，评价单位在充分收集有关资料后，依据国家、地方的有关环保法律、法规，完成了本项目的环境影响报告表编制工作，供建设单位报生态环境部门审批。</w:t>
            </w:r>
          </w:p>
          <w:p>
            <w:pPr>
              <w:spacing w:line="360" w:lineRule="auto"/>
              <w:ind w:firstLine="482"/>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一、项目概况</w:t>
            </w:r>
          </w:p>
          <w:p>
            <w:pPr>
              <w:pStyle w:val="61"/>
              <w:ind w:firstLine="482"/>
              <w:rPr>
                <w:rFonts w:eastAsiaTheme="minorEastAsia"/>
                <w:b/>
                <w:color w:val="000000" w:themeColor="text1"/>
                <w:szCs w:val="24"/>
                <w14:textFill>
                  <w14:solidFill>
                    <w14:schemeClr w14:val="tx1"/>
                  </w14:solidFill>
                </w14:textFill>
              </w:rPr>
            </w:pPr>
            <w:r>
              <w:rPr>
                <w:rFonts w:eastAsiaTheme="minorEastAsia"/>
                <w:b/>
                <w:color w:val="000000" w:themeColor="text1"/>
                <w:szCs w:val="24"/>
                <w14:textFill>
                  <w14:solidFill>
                    <w14:schemeClr w14:val="tx1"/>
                  </w14:solidFill>
                </w14:textFill>
              </w:rPr>
              <w:t>1、项目概况与主要工程内容</w:t>
            </w:r>
          </w:p>
          <w:p>
            <w:pPr>
              <w:spacing w:line="360" w:lineRule="auto"/>
              <w:ind w:firstLine="480" w:firstLineChars="200"/>
              <w:rPr>
                <w:rFonts w:ascii="Times New Roman" w:hAnsi="Times New Roman" w:eastAsia="宋体"/>
                <w:snapToGrid w:val="0"/>
                <w:color w:val="000000" w:themeColor="text1"/>
                <w:kern w:val="0"/>
                <w:sz w:val="24"/>
                <w14:textFill>
                  <w14:solidFill>
                    <w14:schemeClr w14:val="tx1"/>
                  </w14:solidFill>
                </w14:textFill>
              </w:rPr>
            </w:pPr>
            <w:r>
              <w:rPr>
                <w:rFonts w:ascii="Times New Roman" w:hAnsi="Times New Roman" w:eastAsia="宋体"/>
                <w:snapToGrid w:val="0"/>
                <w:color w:val="000000" w:themeColor="text1"/>
                <w:kern w:val="0"/>
                <w:sz w:val="24"/>
                <w14:textFill>
                  <w14:solidFill>
                    <w14:schemeClr w14:val="tx1"/>
                  </w14:solidFill>
                </w14:textFill>
              </w:rPr>
              <w:t>项目厂区总占地面积22525m</w:t>
            </w:r>
            <w:r>
              <w:rPr>
                <w:rFonts w:ascii="Times New Roman" w:hAnsi="Times New Roman" w:eastAsia="宋体"/>
                <w:snapToGrid w:val="0"/>
                <w:color w:val="000000" w:themeColor="text1"/>
                <w:kern w:val="0"/>
                <w:sz w:val="24"/>
                <w:vertAlign w:val="superscript"/>
                <w14:textFill>
                  <w14:solidFill>
                    <w14:schemeClr w14:val="tx1"/>
                  </w14:solidFill>
                </w14:textFill>
              </w:rPr>
              <w:t>2</w:t>
            </w:r>
            <w:r>
              <w:rPr>
                <w:rFonts w:ascii="Times New Roman" w:hAnsi="Times New Roman" w:eastAsia="宋体"/>
                <w:snapToGrid w:val="0"/>
                <w:color w:val="000000" w:themeColor="text1"/>
                <w:kern w:val="0"/>
                <w:sz w:val="24"/>
                <w14:textFill>
                  <w14:solidFill>
                    <w14:schemeClr w14:val="tx1"/>
                  </w14:solidFill>
                </w14:textFill>
              </w:rPr>
              <w:t>，其中本项目占地面积2100 m</w:t>
            </w:r>
            <w:r>
              <w:rPr>
                <w:rFonts w:ascii="Times New Roman" w:hAnsi="Times New Roman" w:eastAsia="宋体"/>
                <w:snapToGrid w:val="0"/>
                <w:color w:val="000000" w:themeColor="text1"/>
                <w:kern w:val="0"/>
                <w:sz w:val="24"/>
                <w:vertAlign w:val="superscript"/>
                <w14:textFill>
                  <w14:solidFill>
                    <w14:schemeClr w14:val="tx1"/>
                  </w14:solidFill>
                </w14:textFill>
              </w:rPr>
              <w:t>2</w:t>
            </w:r>
            <w:r>
              <w:rPr>
                <w:rFonts w:ascii="Times New Roman" w:hAnsi="Times New Roman" w:eastAsia="宋体"/>
                <w:snapToGrid w:val="0"/>
                <w:color w:val="000000" w:themeColor="text1"/>
                <w:kern w:val="0"/>
                <w:sz w:val="24"/>
                <w14:textFill>
                  <w14:solidFill>
                    <w14:schemeClr w14:val="tx1"/>
                  </w14:solidFill>
                </w14:textFill>
              </w:rPr>
              <w:t>，建筑面积4125m</w:t>
            </w:r>
            <w:r>
              <w:rPr>
                <w:rFonts w:ascii="Times New Roman" w:hAnsi="Times New Roman" w:eastAsia="宋体"/>
                <w:snapToGrid w:val="0"/>
                <w:color w:val="000000" w:themeColor="text1"/>
                <w:kern w:val="0"/>
                <w:sz w:val="24"/>
                <w:vertAlign w:val="superscript"/>
                <w14:textFill>
                  <w14:solidFill>
                    <w14:schemeClr w14:val="tx1"/>
                  </w14:solidFill>
                </w14:textFill>
              </w:rPr>
              <w:t>2</w:t>
            </w:r>
            <w:r>
              <w:rPr>
                <w:rFonts w:ascii="Times New Roman" w:hAnsi="Times New Roman" w:eastAsia="宋体"/>
                <w:snapToGrid w:val="0"/>
                <w:color w:val="000000" w:themeColor="text1"/>
                <w:kern w:val="0"/>
                <w:sz w:val="24"/>
                <w14:textFill>
                  <w14:solidFill>
                    <w14:schemeClr w14:val="tx1"/>
                  </w14:solidFill>
                </w14:textFill>
              </w:rPr>
              <w:t>，厂区内的其余地块为发展预留用地，用途尚未规划。因此，本次评价不考虑本项目与其余预留地块的设施、设备依托关系。</w:t>
            </w:r>
          </w:p>
          <w:p>
            <w:pPr>
              <w:spacing w:line="360" w:lineRule="auto"/>
              <w:ind w:firstLine="480" w:firstLineChars="200"/>
              <w:rPr>
                <w:rFonts w:ascii="Times New Roman" w:hAnsi="Times New Roman"/>
                <w:color w:val="000000" w:themeColor="text1"/>
                <w14:textFill>
                  <w14:solidFill>
                    <w14:schemeClr w14:val="tx1"/>
                  </w14:solidFill>
                </w14:textFill>
              </w:rPr>
            </w:pPr>
            <w:r>
              <w:rPr>
                <w:rFonts w:ascii="Times New Roman" w:hAnsi="Times New Roman" w:eastAsia="宋体"/>
                <w:snapToGrid w:val="0"/>
                <w:color w:val="000000" w:themeColor="text1"/>
                <w:kern w:val="0"/>
                <w:sz w:val="24"/>
                <w14:textFill>
                  <w14:solidFill>
                    <w14:schemeClr w14:val="tx1"/>
                  </w14:solidFill>
                </w14:textFill>
              </w:rPr>
              <w:t>本项目共建设1栋3层生产车间、1栋2层办公楼、锅炉房、污水站以及酒精储罐区等</w:t>
            </w:r>
            <w:r>
              <w:rPr>
                <w:rFonts w:ascii="Times New Roman" w:hAnsi="Times New Roman" w:eastAsia="宋体"/>
                <w:color w:val="000000" w:themeColor="text1"/>
                <w:sz w:val="24"/>
                <w14:textFill>
                  <w14:solidFill>
                    <w14:schemeClr w14:val="tx1"/>
                  </w14:solidFill>
                </w14:textFill>
              </w:rPr>
              <w:t>。本项目工程内容组成情况见下表：</w:t>
            </w:r>
          </w:p>
          <w:p>
            <w:pPr>
              <w:pStyle w:val="76"/>
              <w:numPr>
                <w:ilvl w:val="0"/>
                <w:numId w:val="4"/>
              </w:numPr>
              <w:ind w:left="0" w:firstLine="0"/>
              <w:rPr>
                <w:color w:val="000000" w:themeColor="text1"/>
                <w14:textFill>
                  <w14:solidFill>
                    <w14:schemeClr w14:val="tx1"/>
                  </w14:solidFill>
                </w14:textFill>
              </w:rPr>
            </w:pPr>
            <w:r>
              <w:rPr>
                <w:color w:val="000000" w:themeColor="text1"/>
                <w14:textFill>
                  <w14:solidFill>
                    <w14:schemeClr w14:val="tx1"/>
                  </w14:solidFill>
                </w14:textFill>
              </w:rPr>
              <w:t>项目主要工程内容一览表</w:t>
            </w:r>
          </w:p>
          <w:tbl>
            <w:tblPr>
              <w:tblStyle w:val="2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716"/>
              <w:gridCol w:w="536"/>
              <w:gridCol w:w="1126"/>
              <w:gridCol w:w="422"/>
              <w:gridCol w:w="5049"/>
              <w:gridCol w:w="83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1663" w:type="dxa"/>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工程名称</w:t>
                  </w:r>
                </w:p>
              </w:tc>
              <w:tc>
                <w:tcPr>
                  <w:tcW w:w="5469" w:type="dxa"/>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主要内容</w:t>
                  </w:r>
                </w:p>
              </w:tc>
              <w:tc>
                <w:tcPr>
                  <w:tcW w:w="831" w:type="dxa"/>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建筑面积/m</w:t>
                  </w:r>
                  <w:r>
                    <w:rPr>
                      <w:color w:val="000000" w:themeColor="text1"/>
                      <w:vertAlign w:val="superscript"/>
                      <w14:textFill>
                        <w14:solidFill>
                          <w14:schemeClr w14:val="tx1"/>
                        </w14:solidFill>
                      </w14:textFill>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restar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主体工程</w:t>
                  </w:r>
                </w:p>
              </w:tc>
              <w:tc>
                <w:tcPr>
                  <w:tcW w:w="1663" w:type="dxa"/>
                  <w:gridSpan w:val="2"/>
                  <w:vMerge w:val="restar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生产车间</w:t>
                  </w:r>
                </w:p>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（1栋3层）</w:t>
                  </w:r>
                </w:p>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占地1236.22m</w:t>
                  </w:r>
                  <w:r>
                    <w:rPr>
                      <w:rFonts w:ascii="Times New Roman" w:hAnsi="Times New Roman"/>
                      <w:color w:val="000000" w:themeColor="text1"/>
                      <w:vertAlign w:val="superscript"/>
                      <w14:textFill>
                        <w14:solidFill>
                          <w14:schemeClr w14:val="tx1"/>
                        </w14:solidFill>
                      </w14:textFill>
                    </w:rPr>
                    <w:t>2</w:t>
                  </w:r>
                </w:p>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建筑2616.10 m</w:t>
                  </w:r>
                  <w:r>
                    <w:rPr>
                      <w:rFonts w:ascii="Times New Roman" w:hAnsi="Times New Roman"/>
                      <w:color w:val="000000" w:themeColor="text1"/>
                      <w:vertAlign w:val="superscript"/>
                      <w14:textFill>
                        <w14:solidFill>
                          <w14:schemeClr w14:val="tx1"/>
                        </w14:solidFill>
                      </w14:textFill>
                    </w:rPr>
                    <w:t>2</w:t>
                  </w:r>
                </w:p>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高11.30m</w:t>
                  </w:r>
                </w:p>
              </w:tc>
              <w:tc>
                <w:tcPr>
                  <w:tcW w:w="422" w:type="dxa"/>
                  <w:vMerge w:val="restar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1F</w:t>
                  </w:r>
                </w:p>
              </w:tc>
              <w:tc>
                <w:tcPr>
                  <w:tcW w:w="5047" w:type="dxa"/>
                  <w:tcBorders>
                    <w:bottom w:val="single" w:color="auto" w:sz="4" w:space="0"/>
                  </w:tcBorders>
                  <w:vAlign w:val="center"/>
                </w:tcPr>
                <w:p>
                  <w:pPr>
                    <w:pStyle w:val="66"/>
                    <w:jc w:val="both"/>
                    <w:rPr>
                      <w:color w:val="000000" w:themeColor="text1"/>
                      <w14:textFill>
                        <w14:solidFill>
                          <w14:schemeClr w14:val="tx1"/>
                        </w14:solidFill>
                      </w14:textFill>
                    </w:rPr>
                  </w:pPr>
                  <w:r>
                    <w:rPr>
                      <w:color w:val="000000" w:themeColor="text1"/>
                      <w14:textFill>
                        <w14:solidFill>
                          <w14:schemeClr w14:val="tx1"/>
                        </w14:solidFill>
                      </w14:textFill>
                    </w:rPr>
                    <w:t>提取浓缩车间（与2F连通）：水提、醇提、醇沉、香茅油蒸馏分离等。</w:t>
                  </w:r>
                </w:p>
              </w:tc>
              <w:tc>
                <w:tcPr>
                  <w:tcW w:w="831" w:type="dxa"/>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159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1663" w:type="dxa"/>
                  <w:gridSpan w:val="2"/>
                  <w:vMerge w:val="continue"/>
                  <w:vAlign w:val="center"/>
                </w:tcPr>
                <w:p>
                  <w:pPr>
                    <w:pStyle w:val="66"/>
                    <w:rPr>
                      <w:color w:val="000000" w:themeColor="text1"/>
                      <w14:textFill>
                        <w14:solidFill>
                          <w14:schemeClr w14:val="tx1"/>
                        </w14:solidFill>
                      </w14:textFill>
                    </w:rPr>
                  </w:pPr>
                </w:p>
              </w:tc>
              <w:tc>
                <w:tcPr>
                  <w:tcW w:w="422" w:type="dxa"/>
                  <w:vMerge w:val="continue"/>
                  <w:vAlign w:val="center"/>
                </w:tcPr>
                <w:p>
                  <w:pPr>
                    <w:pStyle w:val="66"/>
                    <w:rPr>
                      <w:color w:val="000000" w:themeColor="text1"/>
                      <w14:textFill>
                        <w14:solidFill>
                          <w14:schemeClr w14:val="tx1"/>
                        </w14:solidFill>
                      </w14:textFill>
                    </w:rPr>
                  </w:pPr>
                </w:p>
              </w:tc>
              <w:tc>
                <w:tcPr>
                  <w:tcW w:w="5047" w:type="dxa"/>
                  <w:tcBorders>
                    <w:top w:val="single" w:color="auto" w:sz="4" w:space="0"/>
                    <w:bottom w:val="single" w:color="auto" w:sz="4" w:space="0"/>
                  </w:tcBorders>
                  <w:vAlign w:val="center"/>
                </w:tcPr>
                <w:p>
                  <w:pPr>
                    <w:pStyle w:val="66"/>
                    <w:jc w:val="both"/>
                    <w:rPr>
                      <w:color w:val="000000" w:themeColor="text1"/>
                      <w14:textFill>
                        <w14:solidFill>
                          <w14:schemeClr w14:val="tx1"/>
                        </w14:solidFill>
                      </w14:textFill>
                    </w:rPr>
                  </w:pPr>
                  <w:r>
                    <w:rPr>
                      <w:color w:val="000000" w:themeColor="text1"/>
                      <w14:textFill>
                        <w14:solidFill>
                          <w14:schemeClr w14:val="tx1"/>
                        </w14:solidFill>
                      </w14:textFill>
                    </w:rPr>
                    <w:t>后处理车间（洁净区）：灭菌、干燥、粉碎、混合等</w:t>
                  </w:r>
                </w:p>
              </w:tc>
              <w:tc>
                <w:tcPr>
                  <w:tcW w:w="831" w:type="dxa"/>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365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1663" w:type="dxa"/>
                  <w:gridSpan w:val="2"/>
                  <w:vMerge w:val="continue"/>
                  <w:vAlign w:val="center"/>
                </w:tcPr>
                <w:p>
                  <w:pPr>
                    <w:pStyle w:val="66"/>
                    <w:rPr>
                      <w:color w:val="000000" w:themeColor="text1"/>
                      <w14:textFill>
                        <w14:solidFill>
                          <w14:schemeClr w14:val="tx1"/>
                        </w14:solidFill>
                      </w14:textFill>
                    </w:rPr>
                  </w:pPr>
                </w:p>
              </w:tc>
              <w:tc>
                <w:tcPr>
                  <w:tcW w:w="422" w:type="dxa"/>
                  <w:vMerge w:val="continue"/>
                  <w:tcBorders>
                    <w:bottom w:val="single" w:color="auto" w:sz="4" w:space="0"/>
                  </w:tcBorders>
                  <w:vAlign w:val="center"/>
                </w:tcPr>
                <w:p>
                  <w:pPr>
                    <w:pStyle w:val="66"/>
                    <w:rPr>
                      <w:color w:val="000000" w:themeColor="text1"/>
                      <w14:textFill>
                        <w14:solidFill>
                          <w14:schemeClr w14:val="tx1"/>
                        </w14:solidFill>
                      </w14:textFill>
                    </w:rPr>
                  </w:pPr>
                </w:p>
              </w:tc>
              <w:tc>
                <w:tcPr>
                  <w:tcW w:w="5047" w:type="dxa"/>
                  <w:tcBorders>
                    <w:top w:val="single" w:color="auto" w:sz="4" w:space="0"/>
                    <w:bottom w:val="single" w:color="auto" w:sz="4" w:space="0"/>
                  </w:tcBorders>
                  <w:vAlign w:val="center"/>
                </w:tcPr>
                <w:p>
                  <w:pPr>
                    <w:pStyle w:val="66"/>
                    <w:jc w:val="both"/>
                    <w:rPr>
                      <w:color w:val="000000" w:themeColor="text1"/>
                      <w14:textFill>
                        <w14:solidFill>
                          <w14:schemeClr w14:val="tx1"/>
                        </w14:solidFill>
                      </w14:textFill>
                    </w:rPr>
                  </w:pPr>
                  <w:r>
                    <w:rPr>
                      <w:color w:val="000000" w:themeColor="text1"/>
                      <w14:textFill>
                        <w14:solidFill>
                          <w14:schemeClr w14:val="tx1"/>
                        </w14:solidFill>
                      </w14:textFill>
                    </w:rPr>
                    <w:t>酒精回收塔：稀乙醇蒸馏回收</w:t>
                  </w:r>
                </w:p>
              </w:tc>
              <w:tc>
                <w:tcPr>
                  <w:tcW w:w="831" w:type="dxa"/>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1663" w:type="dxa"/>
                  <w:gridSpan w:val="2"/>
                  <w:vMerge w:val="continue"/>
                  <w:vAlign w:val="center"/>
                </w:tcPr>
                <w:p>
                  <w:pPr>
                    <w:pStyle w:val="66"/>
                    <w:rPr>
                      <w:color w:val="000000" w:themeColor="text1"/>
                      <w14:textFill>
                        <w14:solidFill>
                          <w14:schemeClr w14:val="tx1"/>
                        </w14:solidFill>
                      </w14:textFill>
                    </w:rPr>
                  </w:pPr>
                </w:p>
              </w:tc>
              <w:tc>
                <w:tcPr>
                  <w:tcW w:w="422" w:type="dxa"/>
                  <w:tcBorders>
                    <w:top w:val="single" w:color="auto" w:sz="4" w:space="0"/>
                    <w:bottom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2F</w:t>
                  </w:r>
                </w:p>
              </w:tc>
              <w:tc>
                <w:tcPr>
                  <w:tcW w:w="5047" w:type="dxa"/>
                  <w:tcBorders>
                    <w:top w:val="single" w:color="auto" w:sz="4" w:space="0"/>
                    <w:bottom w:val="single" w:color="auto" w:sz="4" w:space="0"/>
                  </w:tcBorders>
                  <w:vAlign w:val="center"/>
                </w:tcPr>
                <w:p>
                  <w:pPr>
                    <w:pStyle w:val="66"/>
                    <w:jc w:val="both"/>
                    <w:rPr>
                      <w:color w:val="000000" w:themeColor="text1"/>
                      <w14:textFill>
                        <w14:solidFill>
                          <w14:schemeClr w14:val="tx1"/>
                        </w14:solidFill>
                      </w14:textFill>
                    </w:rPr>
                  </w:pPr>
                  <w:r>
                    <w:rPr>
                      <w:color w:val="000000" w:themeColor="text1"/>
                      <w14:textFill>
                        <w14:solidFill>
                          <w14:schemeClr w14:val="tx1"/>
                        </w14:solidFill>
                      </w14:textFill>
                    </w:rPr>
                    <w:t>前处理车间：挑选、清洗、烘干、切药、粉碎、混合等</w:t>
                  </w:r>
                </w:p>
              </w:tc>
              <w:tc>
                <w:tcPr>
                  <w:tcW w:w="831" w:type="dxa"/>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1663" w:type="dxa"/>
                  <w:gridSpan w:val="2"/>
                  <w:vMerge w:val="continue"/>
                  <w:vAlign w:val="center"/>
                </w:tcPr>
                <w:p>
                  <w:pPr>
                    <w:pStyle w:val="66"/>
                    <w:rPr>
                      <w:color w:val="000000" w:themeColor="text1"/>
                      <w14:textFill>
                        <w14:solidFill>
                          <w14:schemeClr w14:val="tx1"/>
                        </w14:solidFill>
                      </w14:textFill>
                    </w:rPr>
                  </w:pPr>
                </w:p>
              </w:tc>
              <w:tc>
                <w:tcPr>
                  <w:tcW w:w="422" w:type="dxa"/>
                  <w:vMerge w:val="restart"/>
                  <w:tcBorders>
                    <w:top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3F</w:t>
                  </w:r>
                </w:p>
              </w:tc>
              <w:tc>
                <w:tcPr>
                  <w:tcW w:w="5047" w:type="dxa"/>
                  <w:tcBorders>
                    <w:top w:val="single" w:color="auto" w:sz="4" w:space="0"/>
                    <w:bottom w:val="single" w:color="auto" w:sz="4" w:space="0"/>
                  </w:tcBorders>
                  <w:vAlign w:val="center"/>
                </w:tcPr>
                <w:p>
                  <w:pPr>
                    <w:pStyle w:val="66"/>
                    <w:jc w:val="both"/>
                    <w:rPr>
                      <w:color w:val="000000" w:themeColor="text1"/>
                      <w14:textFill>
                        <w14:solidFill>
                          <w14:schemeClr w14:val="tx1"/>
                        </w14:solidFill>
                      </w14:textFill>
                    </w:rPr>
                  </w:pPr>
                  <w:r>
                    <w:rPr>
                      <w:color w:val="000000" w:themeColor="text1"/>
                      <w14:textFill>
                        <w14:solidFill>
                          <w14:schemeClr w14:val="tx1"/>
                        </w14:solidFill>
                      </w14:textFill>
                    </w:rPr>
                    <w:t>投料车间：投料</w:t>
                  </w:r>
                </w:p>
              </w:tc>
              <w:tc>
                <w:tcPr>
                  <w:tcW w:w="831" w:type="dxa"/>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52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1663" w:type="dxa"/>
                  <w:gridSpan w:val="2"/>
                  <w:vMerge w:val="continue"/>
                  <w:vAlign w:val="center"/>
                </w:tcPr>
                <w:p>
                  <w:pPr>
                    <w:pStyle w:val="66"/>
                    <w:rPr>
                      <w:color w:val="000000" w:themeColor="text1"/>
                      <w14:textFill>
                        <w14:solidFill>
                          <w14:schemeClr w14:val="tx1"/>
                        </w14:solidFill>
                      </w14:textFill>
                    </w:rPr>
                  </w:pPr>
                </w:p>
              </w:tc>
              <w:tc>
                <w:tcPr>
                  <w:tcW w:w="422" w:type="dxa"/>
                  <w:vMerge w:val="continue"/>
                  <w:vAlign w:val="center"/>
                </w:tcPr>
                <w:p>
                  <w:pPr>
                    <w:pStyle w:val="66"/>
                    <w:rPr>
                      <w:color w:val="000000" w:themeColor="text1"/>
                      <w14:textFill>
                        <w14:solidFill>
                          <w14:schemeClr w14:val="tx1"/>
                        </w14:solidFill>
                      </w14:textFill>
                    </w:rPr>
                  </w:pPr>
                </w:p>
              </w:tc>
              <w:tc>
                <w:tcPr>
                  <w:tcW w:w="5047" w:type="dxa"/>
                  <w:tcBorders>
                    <w:top w:val="single" w:color="auto" w:sz="4" w:space="0"/>
                  </w:tcBorders>
                  <w:vAlign w:val="center"/>
                </w:tcPr>
                <w:p>
                  <w:pPr>
                    <w:pStyle w:val="66"/>
                    <w:jc w:val="both"/>
                    <w:rPr>
                      <w:color w:val="000000" w:themeColor="text1"/>
                      <w14:textFill>
                        <w14:solidFill>
                          <w14:schemeClr w14:val="tx1"/>
                        </w14:solidFill>
                      </w14:textFill>
                    </w:rPr>
                  </w:pPr>
                  <w:r>
                    <w:rPr>
                      <w:color w:val="000000" w:themeColor="text1"/>
                      <w14:textFill>
                        <w14:solidFill>
                          <w14:schemeClr w14:val="tx1"/>
                        </w14:solidFill>
                      </w14:textFill>
                    </w:rPr>
                    <w:t>发酵车间（洁净区）：配料、混合、灭菌、粗碎、制软才、发酵、干燥、粉碎、总混等</w:t>
                  </w:r>
                </w:p>
              </w:tc>
              <w:tc>
                <w:tcPr>
                  <w:tcW w:w="831" w:type="dxa"/>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515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restar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辅助工程</w:t>
                  </w:r>
                </w:p>
              </w:tc>
              <w:tc>
                <w:tcPr>
                  <w:tcW w:w="1663" w:type="dxa"/>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办公楼</w:t>
                  </w:r>
                </w:p>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（1栋2层）</w:t>
                  </w:r>
                </w:p>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占地</w:t>
                  </w:r>
                  <w:r>
                    <w:rPr>
                      <w:rFonts w:hint="eastAsia" w:ascii="Times New Roman" w:hAnsi="Times New Roman"/>
                      <w:color w:val="000000" w:themeColor="text1"/>
                      <w14:textFill>
                        <w14:solidFill>
                          <w14:schemeClr w14:val="tx1"/>
                        </w14:solidFill>
                      </w14:textFill>
                    </w:rPr>
                    <w:t>440.5</w:t>
                  </w:r>
                  <w:r>
                    <w:rPr>
                      <w:rFonts w:ascii="Times New Roman" w:hAnsi="Times New Roman"/>
                      <w:color w:val="000000" w:themeColor="text1"/>
                      <w14:textFill>
                        <w14:solidFill>
                          <w14:schemeClr w14:val="tx1"/>
                        </w14:solidFill>
                      </w14:textFill>
                    </w:rPr>
                    <w:t>m</w:t>
                  </w:r>
                  <w:r>
                    <w:rPr>
                      <w:rFonts w:ascii="Times New Roman" w:hAnsi="Times New Roman"/>
                      <w:color w:val="000000" w:themeColor="text1"/>
                      <w:vertAlign w:val="superscript"/>
                      <w14:textFill>
                        <w14:solidFill>
                          <w14:schemeClr w14:val="tx1"/>
                        </w14:solidFill>
                      </w14:textFill>
                    </w:rPr>
                    <w:t>2</w:t>
                  </w:r>
                </w:p>
              </w:tc>
              <w:tc>
                <w:tcPr>
                  <w:tcW w:w="5474" w:type="dxa"/>
                  <w:gridSpan w:val="2"/>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综合办公</w:t>
                  </w:r>
                </w:p>
              </w:tc>
              <w:tc>
                <w:tcPr>
                  <w:tcW w:w="826" w:type="dxa"/>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892.63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1663" w:type="dxa"/>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纯水制备系统</w:t>
                  </w:r>
                </w:p>
              </w:tc>
              <w:tc>
                <w:tcPr>
                  <w:tcW w:w="5469" w:type="dxa"/>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洁净区用水，</w:t>
                  </w:r>
                  <w:r>
                    <w:rPr>
                      <w:rFonts w:hint="eastAsia"/>
                      <w:color w:val="000000" w:themeColor="text1"/>
                      <w14:textFill>
                        <w14:solidFill>
                          <w14:schemeClr w14:val="tx1"/>
                        </w14:solidFill>
                      </w14:textFill>
                    </w:rPr>
                    <w:t>1套，</w:t>
                  </w:r>
                  <w:r>
                    <w:rPr>
                      <w:color w:val="000000" w:themeColor="text1"/>
                      <w14:textFill>
                        <w14:solidFill>
                          <w14:schemeClr w14:val="tx1"/>
                        </w14:solidFill>
                      </w14:textFill>
                    </w:rPr>
                    <w:t>规模0.5t/</w:t>
                  </w:r>
                  <w:r>
                    <w:rPr>
                      <w:rFonts w:hint="eastAsia"/>
                      <w:color w:val="000000" w:themeColor="text1"/>
                      <w14:textFill>
                        <w14:solidFill>
                          <w14:schemeClr w14:val="tx1"/>
                        </w14:solidFill>
                      </w14:textFill>
                    </w:rPr>
                    <w:t>h</w:t>
                  </w:r>
                </w:p>
              </w:tc>
              <w:tc>
                <w:tcPr>
                  <w:tcW w:w="831" w:type="dxa"/>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1663" w:type="dxa"/>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软水制备</w:t>
                  </w:r>
                  <w:r>
                    <w:rPr>
                      <w:rFonts w:hint="eastAsia"/>
                      <w:color w:val="000000" w:themeColor="text1"/>
                      <w14:textFill>
                        <w14:solidFill>
                          <w14:schemeClr w14:val="tx1"/>
                        </w14:solidFill>
                      </w14:textFill>
                    </w:rPr>
                    <w:t>系统</w:t>
                  </w:r>
                </w:p>
              </w:tc>
              <w:tc>
                <w:tcPr>
                  <w:tcW w:w="5469" w:type="dxa"/>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天然气锅炉用水，</w:t>
                  </w:r>
                  <w:r>
                    <w:rPr>
                      <w:rFonts w:hint="eastAsia"/>
                      <w:color w:val="000000" w:themeColor="text1"/>
                      <w14:textFill>
                        <w14:solidFill>
                          <w14:schemeClr w14:val="tx1"/>
                        </w14:solidFill>
                      </w14:textFill>
                    </w:rPr>
                    <w:t>1套，</w:t>
                  </w:r>
                  <w:r>
                    <w:rPr>
                      <w:color w:val="000000" w:themeColor="text1"/>
                      <w14:textFill>
                        <w14:solidFill>
                          <w14:schemeClr w14:val="tx1"/>
                        </w14:solidFill>
                      </w14:textFill>
                    </w:rPr>
                    <w:t>规模3t/h</w:t>
                  </w:r>
                </w:p>
              </w:tc>
              <w:tc>
                <w:tcPr>
                  <w:tcW w:w="831" w:type="dxa"/>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restar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储运工程</w:t>
                  </w:r>
                </w:p>
              </w:tc>
              <w:tc>
                <w:tcPr>
                  <w:tcW w:w="1663" w:type="dxa"/>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仓储车间</w:t>
                  </w:r>
                </w:p>
              </w:tc>
              <w:tc>
                <w:tcPr>
                  <w:tcW w:w="5469" w:type="dxa"/>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生产厂房2F，存放</w:t>
                  </w:r>
                  <w:r>
                    <w:rPr>
                      <w:rFonts w:hint="eastAsia"/>
                      <w:color w:val="000000" w:themeColor="text1"/>
                      <w14:textFill>
                        <w14:solidFill>
                          <w14:schemeClr w14:val="tx1"/>
                        </w14:solidFill>
                      </w14:textFill>
                    </w:rPr>
                    <w:t>原辅料</w:t>
                  </w:r>
                </w:p>
              </w:tc>
              <w:tc>
                <w:tcPr>
                  <w:tcW w:w="831" w:type="dxa"/>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315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1663" w:type="dxa"/>
                  <w:gridSpan w:val="2"/>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酒精</w:t>
                  </w:r>
                  <w:r>
                    <w:rPr>
                      <w:color w:val="000000" w:themeColor="text1"/>
                      <w14:textFill>
                        <w14:solidFill>
                          <w14:schemeClr w14:val="tx1"/>
                        </w14:solidFill>
                      </w14:textFill>
                    </w:rPr>
                    <w:t>储罐区</w:t>
                  </w:r>
                </w:p>
              </w:tc>
              <w:tc>
                <w:tcPr>
                  <w:tcW w:w="5469" w:type="dxa"/>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在厂区南侧设置</w:t>
                  </w:r>
                  <w:r>
                    <w:rPr>
                      <w:rFonts w:hint="eastAsia"/>
                      <w:color w:val="000000" w:themeColor="text1"/>
                      <w14:textFill>
                        <w14:solidFill>
                          <w14:schemeClr w14:val="tx1"/>
                        </w14:solidFill>
                      </w14:textFill>
                    </w:rPr>
                    <w:t>酒精储罐区</w:t>
                  </w:r>
                  <w:r>
                    <w:rPr>
                      <w:color w:val="000000" w:themeColor="text1"/>
                      <w14:textFill>
                        <w14:solidFill>
                          <w14:schemeClr w14:val="tx1"/>
                        </w14:solidFill>
                      </w14:textFill>
                    </w:rPr>
                    <w:t>，设一个10m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乙醇储罐</w:t>
                  </w:r>
                </w:p>
              </w:tc>
              <w:tc>
                <w:tcPr>
                  <w:tcW w:w="831" w:type="dxa"/>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102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restar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公用工程</w:t>
                  </w:r>
                </w:p>
              </w:tc>
              <w:tc>
                <w:tcPr>
                  <w:tcW w:w="1663" w:type="dxa"/>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给水</w:t>
                  </w:r>
                </w:p>
              </w:tc>
              <w:tc>
                <w:tcPr>
                  <w:tcW w:w="6300" w:type="dxa"/>
                  <w:gridSpan w:val="3"/>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采用市政自来水供水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1663" w:type="dxa"/>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供电</w:t>
                  </w:r>
                </w:p>
              </w:tc>
              <w:tc>
                <w:tcPr>
                  <w:tcW w:w="6300" w:type="dxa"/>
                  <w:gridSpan w:val="3"/>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当地电网供电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1663" w:type="dxa"/>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消防</w:t>
                  </w:r>
                </w:p>
              </w:tc>
              <w:tc>
                <w:tcPr>
                  <w:tcW w:w="6300" w:type="dxa"/>
                  <w:gridSpan w:val="3"/>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生产厂房1F南侧，设一座容积为216m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消防水池和消防水泵房</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1663" w:type="dxa"/>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供热</w:t>
                  </w:r>
                </w:p>
              </w:tc>
              <w:tc>
                <w:tcPr>
                  <w:tcW w:w="6300" w:type="dxa"/>
                  <w:gridSpan w:val="3"/>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锅炉房</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设3t/h燃气锅炉1台，气源为园区天然气管道供气</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restar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环保工程</w:t>
                  </w:r>
                </w:p>
              </w:tc>
              <w:tc>
                <w:tcPr>
                  <w:tcW w:w="537" w:type="dxa"/>
                  <w:vMerge w:val="restart"/>
                  <w:vAlign w:val="center"/>
                </w:tcPr>
                <w:p>
                  <w:pPr>
                    <w:jc w:val="center"/>
                    <w:rPr>
                      <w:rFonts w:ascii="Times New Roman" w:hAnsi="Times New Roman"/>
                      <w:snapToGrid w:val="0"/>
                      <w:color w:val="000000" w:themeColor="text1"/>
                      <w:kern w:val="0"/>
                      <w:szCs w:val="21"/>
                      <w14:textFill>
                        <w14:solidFill>
                          <w14:schemeClr w14:val="tx1"/>
                        </w14:solidFill>
                      </w14:textFill>
                    </w:rPr>
                  </w:pPr>
                  <w:r>
                    <w:rPr>
                      <w:rFonts w:ascii="Times New Roman" w:hAnsi="Times New Roman"/>
                      <w:snapToGrid w:val="0"/>
                      <w:color w:val="000000" w:themeColor="text1"/>
                      <w:kern w:val="0"/>
                      <w:szCs w:val="21"/>
                      <w14:textFill>
                        <w14:solidFill>
                          <w14:schemeClr w14:val="tx1"/>
                        </w14:solidFill>
                      </w14:textFill>
                    </w:rPr>
                    <w:t>废水</w:t>
                  </w:r>
                </w:p>
                <w:p>
                  <w:pPr>
                    <w:pStyle w:val="66"/>
                    <w:rPr>
                      <w:color w:val="000000" w:themeColor="text1"/>
                      <w14:textFill>
                        <w14:solidFill>
                          <w14:schemeClr w14:val="tx1"/>
                        </w14:solidFill>
                      </w14:textFill>
                    </w:rPr>
                  </w:pPr>
                  <w:r>
                    <w:rPr>
                      <w:color w:val="000000" w:themeColor="text1"/>
                      <w:szCs w:val="21"/>
                      <w14:textFill>
                        <w14:solidFill>
                          <w14:schemeClr w14:val="tx1"/>
                        </w14:solidFill>
                      </w14:textFill>
                    </w:rPr>
                    <w:t>治理</w:t>
                  </w:r>
                </w:p>
              </w:tc>
              <w:tc>
                <w:tcPr>
                  <w:tcW w:w="1126" w:type="dxa"/>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生活污水</w:t>
                  </w:r>
                </w:p>
              </w:tc>
              <w:tc>
                <w:tcPr>
                  <w:tcW w:w="6300" w:type="dxa"/>
                  <w:gridSpan w:val="3"/>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化粪池→河口镇污水处理厂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537" w:type="dxa"/>
                  <w:vMerge w:val="continue"/>
                  <w:vAlign w:val="center"/>
                </w:tcPr>
                <w:p>
                  <w:pPr>
                    <w:pStyle w:val="66"/>
                    <w:rPr>
                      <w:color w:val="000000" w:themeColor="text1"/>
                      <w14:textFill>
                        <w14:solidFill>
                          <w14:schemeClr w14:val="tx1"/>
                        </w14:solidFill>
                      </w14:textFill>
                    </w:rPr>
                  </w:pPr>
                </w:p>
              </w:tc>
              <w:tc>
                <w:tcPr>
                  <w:tcW w:w="1126" w:type="dxa"/>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生产废水</w:t>
                  </w:r>
                </w:p>
              </w:tc>
              <w:tc>
                <w:tcPr>
                  <w:tcW w:w="6300" w:type="dxa"/>
                  <w:gridSpan w:val="3"/>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自建污水站（25m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/d）→工业污水处理厂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537" w:type="dxa"/>
                  <w:vMerge w:val="restar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废气</w:t>
                  </w:r>
                  <w:r>
                    <w:rPr>
                      <w:color w:val="000000" w:themeColor="text1"/>
                      <w:szCs w:val="21"/>
                      <w14:textFill>
                        <w14:solidFill>
                          <w14:schemeClr w14:val="tx1"/>
                        </w14:solidFill>
                      </w14:textFill>
                    </w:rPr>
                    <w:t>治理</w:t>
                  </w:r>
                </w:p>
              </w:tc>
              <w:tc>
                <w:tcPr>
                  <w:tcW w:w="1126" w:type="dxa"/>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乙醇不凝气</w:t>
                  </w:r>
                </w:p>
              </w:tc>
              <w:tc>
                <w:tcPr>
                  <w:tcW w:w="6300" w:type="dxa"/>
                  <w:gridSpan w:val="3"/>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水封吸收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537" w:type="dxa"/>
                  <w:vMerge w:val="continue"/>
                  <w:vAlign w:val="center"/>
                </w:tcPr>
                <w:p>
                  <w:pPr>
                    <w:pStyle w:val="66"/>
                    <w:rPr>
                      <w:color w:val="000000" w:themeColor="text1"/>
                      <w14:textFill>
                        <w14:solidFill>
                          <w14:schemeClr w14:val="tx1"/>
                        </w14:solidFill>
                      </w14:textFill>
                    </w:rPr>
                  </w:pPr>
                </w:p>
              </w:tc>
              <w:tc>
                <w:tcPr>
                  <w:tcW w:w="1126" w:type="dxa"/>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粉尘</w:t>
                  </w:r>
                </w:p>
              </w:tc>
              <w:tc>
                <w:tcPr>
                  <w:tcW w:w="6300" w:type="dxa"/>
                  <w:gridSpan w:val="3"/>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袋式除尘机组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537" w:type="dxa"/>
                  <w:vMerge w:val="continue"/>
                  <w:vAlign w:val="center"/>
                </w:tcPr>
                <w:p>
                  <w:pPr>
                    <w:pStyle w:val="66"/>
                    <w:rPr>
                      <w:color w:val="000000" w:themeColor="text1"/>
                      <w14:textFill>
                        <w14:solidFill>
                          <w14:schemeClr w14:val="tx1"/>
                        </w14:solidFill>
                      </w14:textFill>
                    </w:rPr>
                  </w:pPr>
                </w:p>
              </w:tc>
              <w:tc>
                <w:tcPr>
                  <w:tcW w:w="1126" w:type="dxa"/>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车间异味</w:t>
                  </w:r>
                </w:p>
              </w:tc>
              <w:tc>
                <w:tcPr>
                  <w:tcW w:w="6300" w:type="dxa"/>
                  <w:gridSpan w:val="3"/>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加强车间通风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537" w:type="dxa"/>
                  <w:vMerge w:val="continue"/>
                  <w:vAlign w:val="center"/>
                </w:tcPr>
                <w:p>
                  <w:pPr>
                    <w:pStyle w:val="66"/>
                    <w:rPr>
                      <w:color w:val="000000" w:themeColor="text1"/>
                      <w14:textFill>
                        <w14:solidFill>
                          <w14:schemeClr w14:val="tx1"/>
                        </w14:solidFill>
                      </w14:textFill>
                    </w:rPr>
                  </w:pPr>
                </w:p>
              </w:tc>
              <w:tc>
                <w:tcPr>
                  <w:tcW w:w="1126" w:type="dxa"/>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锅炉废气</w:t>
                  </w:r>
                </w:p>
              </w:tc>
              <w:tc>
                <w:tcPr>
                  <w:tcW w:w="6300" w:type="dxa"/>
                  <w:gridSpan w:val="3"/>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天然气燃料废气，15m高排气筒排放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537" w:type="dxa"/>
                  <w:vMerge w:val="continue"/>
                  <w:vAlign w:val="center"/>
                </w:tcPr>
                <w:p>
                  <w:pPr>
                    <w:pStyle w:val="66"/>
                    <w:rPr>
                      <w:color w:val="000000" w:themeColor="text1"/>
                      <w14:textFill>
                        <w14:solidFill>
                          <w14:schemeClr w14:val="tx1"/>
                        </w14:solidFill>
                      </w14:textFill>
                    </w:rPr>
                  </w:pPr>
                </w:p>
              </w:tc>
              <w:tc>
                <w:tcPr>
                  <w:tcW w:w="1126" w:type="dxa"/>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污水站臭气</w:t>
                  </w:r>
                </w:p>
              </w:tc>
              <w:tc>
                <w:tcPr>
                  <w:tcW w:w="6300" w:type="dxa"/>
                  <w:gridSpan w:val="3"/>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除臭剂，</w:t>
                  </w:r>
                  <w:r>
                    <w:rPr>
                      <w:color w:val="000000" w:themeColor="text1"/>
                      <w14:textFill>
                        <w14:solidFill>
                          <w14:schemeClr w14:val="tx1"/>
                        </w14:solidFill>
                      </w14:textFill>
                    </w:rPr>
                    <w:t>绿化、围蔽、污泥及时清运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1663" w:type="dxa"/>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噪声</w:t>
                  </w:r>
                  <w:r>
                    <w:rPr>
                      <w:color w:val="000000" w:themeColor="text1"/>
                      <w:szCs w:val="21"/>
                      <w14:textFill>
                        <w14:solidFill>
                          <w14:schemeClr w14:val="tx1"/>
                        </w14:solidFill>
                      </w14:textFill>
                    </w:rPr>
                    <w:t>治理</w:t>
                  </w:r>
                </w:p>
              </w:tc>
              <w:tc>
                <w:tcPr>
                  <w:tcW w:w="6300" w:type="dxa"/>
                  <w:gridSpan w:val="3"/>
                  <w:vAlign w:val="center"/>
                </w:tcPr>
                <w:p>
                  <w:pPr>
                    <w:pStyle w:val="66"/>
                    <w:rPr>
                      <w:color w:val="000000" w:themeColor="text1"/>
                      <w14:textFill>
                        <w14:solidFill>
                          <w14:schemeClr w14:val="tx1"/>
                        </w14:solidFill>
                      </w14:textFill>
                    </w:rPr>
                  </w:pPr>
                  <w:r>
                    <w:rPr>
                      <w:color w:val="000000" w:themeColor="text1"/>
                      <w:szCs w:val="21"/>
                      <w14:textFill>
                        <w14:solidFill>
                          <w14:schemeClr w14:val="tx1"/>
                        </w14:solidFill>
                      </w14:textFill>
                    </w:rPr>
                    <w:t>基础减振、隔声、吸声措施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537" w:type="dxa"/>
                  <w:vMerge w:val="restar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固废</w:t>
                  </w:r>
                  <w:r>
                    <w:rPr>
                      <w:color w:val="000000" w:themeColor="text1"/>
                      <w:szCs w:val="21"/>
                      <w14:textFill>
                        <w14:solidFill>
                          <w14:schemeClr w14:val="tx1"/>
                        </w14:solidFill>
                      </w14:textFill>
                    </w:rPr>
                    <w:t>治理</w:t>
                  </w:r>
                </w:p>
              </w:tc>
              <w:tc>
                <w:tcPr>
                  <w:tcW w:w="1126" w:type="dxa"/>
                  <w:vAlign w:val="center"/>
                </w:tcPr>
                <w:p>
                  <w:pPr>
                    <w:wordWrap w:val="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危废暂存区</w:t>
                  </w:r>
                </w:p>
              </w:tc>
              <w:tc>
                <w:tcPr>
                  <w:tcW w:w="6300" w:type="dxa"/>
                  <w:gridSpan w:val="3"/>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暂存危险废物，自建污水站南侧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537" w:type="dxa"/>
                  <w:vMerge w:val="continue"/>
                  <w:vAlign w:val="center"/>
                </w:tcPr>
                <w:p>
                  <w:pPr>
                    <w:pStyle w:val="66"/>
                    <w:rPr>
                      <w:color w:val="000000" w:themeColor="text1"/>
                      <w14:textFill>
                        <w14:solidFill>
                          <w14:schemeClr w14:val="tx1"/>
                        </w14:solidFill>
                      </w14:textFill>
                    </w:rPr>
                  </w:pPr>
                </w:p>
              </w:tc>
              <w:tc>
                <w:tcPr>
                  <w:tcW w:w="1126" w:type="dxa"/>
                  <w:vAlign w:val="center"/>
                </w:tcPr>
                <w:p>
                  <w:pPr>
                    <w:wordWrap w:val="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一般固废暂存区</w:t>
                  </w:r>
                </w:p>
              </w:tc>
              <w:tc>
                <w:tcPr>
                  <w:tcW w:w="6300" w:type="dxa"/>
                  <w:gridSpan w:val="3"/>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暂存一般工业固废，自建污水站南侧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717" w:type="dxa"/>
                  <w:vMerge w:val="continue"/>
                  <w:vAlign w:val="center"/>
                </w:tcPr>
                <w:p>
                  <w:pPr>
                    <w:pStyle w:val="66"/>
                    <w:rPr>
                      <w:color w:val="000000" w:themeColor="text1"/>
                      <w14:textFill>
                        <w14:solidFill>
                          <w14:schemeClr w14:val="tx1"/>
                        </w14:solidFill>
                      </w14:textFill>
                    </w:rPr>
                  </w:pPr>
                </w:p>
              </w:tc>
              <w:tc>
                <w:tcPr>
                  <w:tcW w:w="1663" w:type="dxa"/>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风险措施</w:t>
                  </w:r>
                </w:p>
              </w:tc>
              <w:tc>
                <w:tcPr>
                  <w:tcW w:w="6300" w:type="dxa"/>
                  <w:gridSpan w:val="3"/>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14m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应急事故池，办公楼南侧</w:t>
                  </w:r>
                </w:p>
              </w:tc>
            </w:tr>
          </w:tbl>
          <w:p>
            <w:pPr>
              <w:pStyle w:val="76"/>
              <w:numPr>
                <w:ilvl w:val="0"/>
                <w:numId w:val="0"/>
              </w:numPr>
              <w:rPr>
                <w:color w:val="000000" w:themeColor="text1"/>
                <w14:textFill>
                  <w14:solidFill>
                    <w14:schemeClr w14:val="tx1"/>
                  </w14:solidFill>
                </w14:textFill>
              </w:rPr>
            </w:pPr>
          </w:p>
          <w:p>
            <w:pPr>
              <w:pStyle w:val="61"/>
              <w:ind w:firstLine="482"/>
              <w:rPr>
                <w:rFonts w:eastAsiaTheme="minorEastAsia"/>
                <w:b/>
                <w:color w:val="000000" w:themeColor="text1"/>
                <w:szCs w:val="24"/>
                <w14:textFill>
                  <w14:solidFill>
                    <w14:schemeClr w14:val="tx1"/>
                  </w14:solidFill>
                </w14:textFill>
              </w:rPr>
            </w:pPr>
            <w:r>
              <w:rPr>
                <w:rFonts w:eastAsiaTheme="minorEastAsia"/>
                <w:b/>
                <w:color w:val="000000" w:themeColor="text1"/>
                <w:szCs w:val="24"/>
                <w14:textFill>
                  <w14:solidFill>
                    <w14:schemeClr w14:val="tx1"/>
                  </w14:solidFill>
                </w14:textFill>
              </w:rPr>
              <w:t>2、产品方案及生产规模</w:t>
            </w:r>
          </w:p>
          <w:p>
            <w:pPr>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本项目主要从事中药饮片加工，项目产品方案见下表。</w:t>
            </w:r>
          </w:p>
          <w:p>
            <w:pPr>
              <w:pStyle w:val="76"/>
              <w:numPr>
                <w:ilvl w:val="0"/>
                <w:numId w:val="4"/>
              </w:numPr>
              <w:ind w:left="0" w:firstLine="0"/>
              <w:rPr>
                <w:color w:val="000000" w:themeColor="text1"/>
                <w14:textFill>
                  <w14:solidFill>
                    <w14:schemeClr w14:val="tx1"/>
                  </w14:solidFill>
                </w14:textFill>
              </w:rPr>
            </w:pPr>
            <w:r>
              <w:rPr>
                <w:color w:val="000000" w:themeColor="text1"/>
                <w14:textFill>
                  <w14:solidFill>
                    <w14:schemeClr w14:val="tx1"/>
                  </w14:solidFill>
                </w14:textFill>
              </w:rPr>
              <w:t>项目产品方案</w:t>
            </w:r>
          </w:p>
          <w:tbl>
            <w:tblPr>
              <w:tblStyle w:val="19"/>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54"/>
              <w:gridCol w:w="2939"/>
              <w:gridCol w:w="982"/>
              <w:gridCol w:w="1399"/>
              <w:gridCol w:w="2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9" w:type="pct"/>
                  <w:vAlign w:val="center"/>
                </w:tcPr>
                <w:p>
                  <w:pPr>
                    <w:suppressAutoHyphens/>
                    <w:adjustRightInd w:val="0"/>
                    <w:snapToGrid w:val="0"/>
                    <w:rPr>
                      <w:rFonts w:ascii="Times New Roman" w:hAnsi="Times New Roman" w:eastAsia="宋体"/>
                      <w:bCs/>
                      <w:snapToGrid w:val="0"/>
                      <w:color w:val="000000" w:themeColor="text1"/>
                      <w:kern w:val="0"/>
                      <w:szCs w:val="21"/>
                      <w14:textFill>
                        <w14:solidFill>
                          <w14:schemeClr w14:val="tx1"/>
                        </w14:solidFill>
                      </w14:textFill>
                    </w:rPr>
                  </w:pPr>
                  <w:r>
                    <w:rPr>
                      <w:rFonts w:ascii="Times New Roman" w:hAnsi="Times New Roman" w:eastAsia="宋体"/>
                      <w:bCs/>
                      <w:snapToGrid w:val="0"/>
                      <w:color w:val="000000" w:themeColor="text1"/>
                      <w:kern w:val="0"/>
                      <w:szCs w:val="21"/>
                      <w14:textFill>
                        <w14:solidFill>
                          <w14:schemeClr w14:val="tx1"/>
                        </w14:solidFill>
                      </w14:textFill>
                    </w:rPr>
                    <w:t>序号</w:t>
                  </w:r>
                </w:p>
              </w:tc>
              <w:tc>
                <w:tcPr>
                  <w:tcW w:w="16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产品名称</w:t>
                  </w:r>
                </w:p>
              </w:tc>
              <w:tc>
                <w:tcPr>
                  <w:tcW w:w="56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年产量</w:t>
                  </w:r>
                </w:p>
              </w:tc>
              <w:tc>
                <w:tcPr>
                  <w:tcW w:w="80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年生产批次</w:t>
                  </w:r>
                </w:p>
              </w:tc>
              <w:tc>
                <w:tcPr>
                  <w:tcW w:w="162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主要生产工艺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9" w:type="pct"/>
                  <w:vAlign w:val="center"/>
                </w:tcPr>
                <w:p>
                  <w:pPr>
                    <w:pStyle w:val="59"/>
                    <w:numPr>
                      <w:ilvl w:val="0"/>
                      <w:numId w:val="5"/>
                    </w:numPr>
                    <w:adjustRightInd w:val="0"/>
                    <w:snapToGrid w:val="0"/>
                    <w:ind w:left="0" w:firstLine="98" w:firstLineChars="50"/>
                    <w:jc w:val="center"/>
                    <w:rPr>
                      <w:color w:val="000000" w:themeColor="text1"/>
                      <w:spacing w:val="-2"/>
                      <w:szCs w:val="21"/>
                      <w14:textFill>
                        <w14:solidFill>
                          <w14:schemeClr w14:val="tx1"/>
                        </w14:solidFill>
                      </w14:textFill>
                    </w:rPr>
                  </w:pPr>
                </w:p>
              </w:tc>
              <w:tc>
                <w:tcPr>
                  <w:tcW w:w="16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西洋参粉</w:t>
                  </w:r>
                </w:p>
              </w:tc>
              <w:tc>
                <w:tcPr>
                  <w:tcW w:w="56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 t/a</w:t>
                  </w:r>
                </w:p>
              </w:tc>
              <w:tc>
                <w:tcPr>
                  <w:tcW w:w="80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w:t>
                  </w:r>
                </w:p>
              </w:tc>
              <w:tc>
                <w:tcPr>
                  <w:tcW w:w="162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4" w:hRule="atLeast"/>
              </w:trPr>
              <w:tc>
                <w:tcPr>
                  <w:tcW w:w="319" w:type="pct"/>
                  <w:vAlign w:val="center"/>
                </w:tcPr>
                <w:p>
                  <w:pPr>
                    <w:pStyle w:val="59"/>
                    <w:numPr>
                      <w:ilvl w:val="0"/>
                      <w:numId w:val="5"/>
                    </w:numPr>
                    <w:adjustRightInd w:val="0"/>
                    <w:snapToGrid w:val="0"/>
                    <w:ind w:left="0" w:firstLine="98" w:firstLineChars="50"/>
                    <w:jc w:val="center"/>
                    <w:rPr>
                      <w:color w:val="000000" w:themeColor="text1"/>
                      <w:spacing w:val="-2"/>
                      <w:szCs w:val="21"/>
                      <w14:textFill>
                        <w14:solidFill>
                          <w14:schemeClr w14:val="tx1"/>
                        </w14:solidFill>
                      </w14:textFill>
                    </w:rPr>
                  </w:pPr>
                </w:p>
              </w:tc>
              <w:tc>
                <w:tcPr>
                  <w:tcW w:w="16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风湿定胶囊干膏粉</w:t>
                  </w:r>
                </w:p>
              </w:tc>
              <w:tc>
                <w:tcPr>
                  <w:tcW w:w="56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 t/a</w:t>
                  </w:r>
                </w:p>
              </w:tc>
              <w:tc>
                <w:tcPr>
                  <w:tcW w:w="80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620"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szCs w:val="21"/>
                      <w14:textFill>
                        <w14:solidFill>
                          <w14:schemeClr w14:val="tx1"/>
                        </w14:solidFill>
                      </w14:textFill>
                    </w:rPr>
                    <w:t>前处理+水提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9" w:type="pct"/>
                  <w:vAlign w:val="center"/>
                </w:tcPr>
                <w:p>
                  <w:pPr>
                    <w:pStyle w:val="59"/>
                    <w:numPr>
                      <w:ilvl w:val="0"/>
                      <w:numId w:val="5"/>
                    </w:numPr>
                    <w:adjustRightInd w:val="0"/>
                    <w:snapToGrid w:val="0"/>
                    <w:ind w:left="0" w:firstLine="98" w:firstLineChars="50"/>
                    <w:jc w:val="center"/>
                    <w:rPr>
                      <w:color w:val="000000" w:themeColor="text1"/>
                      <w:spacing w:val="-2"/>
                      <w:szCs w:val="21"/>
                      <w14:textFill>
                        <w14:solidFill>
                          <w14:schemeClr w14:val="tx1"/>
                        </w14:solidFill>
                      </w14:textFill>
                    </w:rPr>
                  </w:pPr>
                </w:p>
              </w:tc>
              <w:tc>
                <w:tcPr>
                  <w:tcW w:w="16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壮腰健肾胶囊干膏粉</w:t>
                  </w:r>
                </w:p>
              </w:tc>
              <w:tc>
                <w:tcPr>
                  <w:tcW w:w="56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 t/a</w:t>
                  </w:r>
                </w:p>
              </w:tc>
              <w:tc>
                <w:tcPr>
                  <w:tcW w:w="80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620"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9" w:type="pct"/>
                  <w:vAlign w:val="center"/>
                </w:tcPr>
                <w:p>
                  <w:pPr>
                    <w:pStyle w:val="59"/>
                    <w:numPr>
                      <w:ilvl w:val="0"/>
                      <w:numId w:val="5"/>
                    </w:numPr>
                    <w:adjustRightInd w:val="0"/>
                    <w:snapToGrid w:val="0"/>
                    <w:ind w:left="0" w:firstLine="98" w:firstLineChars="50"/>
                    <w:jc w:val="center"/>
                    <w:rPr>
                      <w:color w:val="000000" w:themeColor="text1"/>
                      <w:spacing w:val="-2"/>
                      <w:szCs w:val="21"/>
                      <w14:textFill>
                        <w14:solidFill>
                          <w14:schemeClr w14:val="tx1"/>
                        </w14:solidFill>
                      </w14:textFill>
                    </w:rPr>
                  </w:pPr>
                </w:p>
              </w:tc>
              <w:tc>
                <w:tcPr>
                  <w:tcW w:w="16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元胡止痛片干膏粉</w:t>
                  </w:r>
                </w:p>
              </w:tc>
              <w:tc>
                <w:tcPr>
                  <w:tcW w:w="56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 t/a</w:t>
                  </w:r>
                </w:p>
              </w:tc>
              <w:tc>
                <w:tcPr>
                  <w:tcW w:w="80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620" w:type="pct"/>
                  <w:vAlign w:val="center"/>
                </w:tcPr>
                <w:p>
                  <w:pPr>
                    <w:pStyle w:val="66"/>
                    <w:wordWrap/>
                    <w:adjustRightInd w:val="0"/>
                    <w:snapToGrid w:val="0"/>
                    <w:rPr>
                      <w:color w:val="000000" w:themeColor="text1"/>
                      <w14:textFill>
                        <w14:solidFill>
                          <w14:schemeClr w14:val="tx1"/>
                        </w14:solidFill>
                      </w14:textFill>
                    </w:rPr>
                  </w:pPr>
                  <w:r>
                    <w:rPr>
                      <w:color w:val="000000" w:themeColor="text1"/>
                      <w:szCs w:val="21"/>
                      <w14:textFill>
                        <w14:solidFill>
                          <w14:schemeClr w14:val="tx1"/>
                        </w14:solidFill>
                      </w14:textFill>
                    </w:rPr>
                    <w:t>前处理+</w:t>
                  </w:r>
                  <w:r>
                    <w:rPr>
                      <w:color w:val="000000" w:themeColor="text1"/>
                      <w14:textFill>
                        <w14:solidFill>
                          <w14:schemeClr w14:val="tx1"/>
                        </w14:solidFill>
                      </w14:textFill>
                    </w:rPr>
                    <w:t>醇提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9" w:type="pct"/>
                  <w:vAlign w:val="center"/>
                </w:tcPr>
                <w:p>
                  <w:pPr>
                    <w:pStyle w:val="59"/>
                    <w:numPr>
                      <w:ilvl w:val="0"/>
                      <w:numId w:val="5"/>
                    </w:numPr>
                    <w:adjustRightInd w:val="0"/>
                    <w:snapToGrid w:val="0"/>
                    <w:ind w:left="0" w:firstLine="98" w:firstLineChars="50"/>
                    <w:jc w:val="center"/>
                    <w:rPr>
                      <w:color w:val="000000" w:themeColor="text1"/>
                      <w:spacing w:val="-2"/>
                      <w:szCs w:val="21"/>
                      <w14:textFill>
                        <w14:solidFill>
                          <w14:schemeClr w14:val="tx1"/>
                        </w14:solidFill>
                      </w14:textFill>
                    </w:rPr>
                  </w:pPr>
                </w:p>
              </w:tc>
              <w:tc>
                <w:tcPr>
                  <w:tcW w:w="16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六味地黄胶囊干膏粉</w:t>
                  </w:r>
                </w:p>
              </w:tc>
              <w:tc>
                <w:tcPr>
                  <w:tcW w:w="56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 t/a</w:t>
                  </w:r>
                </w:p>
              </w:tc>
              <w:tc>
                <w:tcPr>
                  <w:tcW w:w="80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6</w:t>
                  </w:r>
                </w:p>
              </w:tc>
              <w:tc>
                <w:tcPr>
                  <w:tcW w:w="1620"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前处理+醇提、水提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8" w:hRule="atLeast"/>
              </w:trPr>
              <w:tc>
                <w:tcPr>
                  <w:tcW w:w="319" w:type="pct"/>
                  <w:vAlign w:val="center"/>
                </w:tcPr>
                <w:p>
                  <w:pPr>
                    <w:pStyle w:val="59"/>
                    <w:numPr>
                      <w:ilvl w:val="0"/>
                      <w:numId w:val="5"/>
                    </w:numPr>
                    <w:adjustRightInd w:val="0"/>
                    <w:snapToGrid w:val="0"/>
                    <w:ind w:left="0" w:firstLine="98" w:firstLineChars="50"/>
                    <w:jc w:val="center"/>
                    <w:rPr>
                      <w:color w:val="000000" w:themeColor="text1"/>
                      <w:spacing w:val="-2"/>
                      <w:szCs w:val="21"/>
                      <w14:textFill>
                        <w14:solidFill>
                          <w14:schemeClr w14:val="tx1"/>
                        </w14:solidFill>
                      </w14:textFill>
                    </w:rPr>
                  </w:pPr>
                </w:p>
              </w:tc>
              <w:tc>
                <w:tcPr>
                  <w:tcW w:w="16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心可宁胶囊干膏粉</w:t>
                  </w:r>
                </w:p>
              </w:tc>
              <w:tc>
                <w:tcPr>
                  <w:tcW w:w="56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 t/a</w:t>
                  </w:r>
                </w:p>
              </w:tc>
              <w:tc>
                <w:tcPr>
                  <w:tcW w:w="80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620"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9" w:type="pct"/>
                  <w:vAlign w:val="center"/>
                </w:tcPr>
                <w:p>
                  <w:pPr>
                    <w:pStyle w:val="59"/>
                    <w:numPr>
                      <w:ilvl w:val="0"/>
                      <w:numId w:val="5"/>
                    </w:numPr>
                    <w:adjustRightInd w:val="0"/>
                    <w:snapToGrid w:val="0"/>
                    <w:ind w:left="0" w:firstLine="98" w:firstLineChars="50"/>
                    <w:jc w:val="center"/>
                    <w:rPr>
                      <w:color w:val="000000" w:themeColor="text1"/>
                      <w:spacing w:val="-2"/>
                      <w:szCs w:val="21"/>
                      <w14:textFill>
                        <w14:solidFill>
                          <w14:schemeClr w14:val="tx1"/>
                        </w14:solidFill>
                      </w14:textFill>
                    </w:rPr>
                  </w:pPr>
                </w:p>
              </w:tc>
              <w:tc>
                <w:tcPr>
                  <w:tcW w:w="16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降糖灵胶囊干膏粉</w:t>
                  </w:r>
                </w:p>
              </w:tc>
              <w:tc>
                <w:tcPr>
                  <w:tcW w:w="56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 t/a</w:t>
                  </w:r>
                </w:p>
              </w:tc>
              <w:tc>
                <w:tcPr>
                  <w:tcW w:w="80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620"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7" w:hRule="atLeast"/>
              </w:trPr>
              <w:tc>
                <w:tcPr>
                  <w:tcW w:w="319" w:type="pct"/>
                  <w:vAlign w:val="center"/>
                </w:tcPr>
                <w:p>
                  <w:pPr>
                    <w:pStyle w:val="59"/>
                    <w:numPr>
                      <w:ilvl w:val="0"/>
                      <w:numId w:val="5"/>
                    </w:numPr>
                    <w:adjustRightInd w:val="0"/>
                    <w:snapToGrid w:val="0"/>
                    <w:ind w:left="0" w:firstLine="98" w:firstLineChars="50"/>
                    <w:jc w:val="center"/>
                    <w:rPr>
                      <w:color w:val="000000" w:themeColor="text1"/>
                      <w:spacing w:val="-2"/>
                      <w:szCs w:val="21"/>
                      <w14:textFill>
                        <w14:solidFill>
                          <w14:schemeClr w14:val="tx1"/>
                        </w14:solidFill>
                      </w14:textFill>
                    </w:rPr>
                  </w:pPr>
                </w:p>
              </w:tc>
              <w:tc>
                <w:tcPr>
                  <w:tcW w:w="16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复方丹参片干膏粉</w:t>
                  </w:r>
                </w:p>
              </w:tc>
              <w:tc>
                <w:tcPr>
                  <w:tcW w:w="56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 t/a</w:t>
                  </w:r>
                </w:p>
              </w:tc>
              <w:tc>
                <w:tcPr>
                  <w:tcW w:w="80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620"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9" w:type="pct"/>
                  <w:vAlign w:val="center"/>
                </w:tcPr>
                <w:p>
                  <w:pPr>
                    <w:pStyle w:val="59"/>
                    <w:numPr>
                      <w:ilvl w:val="0"/>
                      <w:numId w:val="5"/>
                    </w:numPr>
                    <w:adjustRightInd w:val="0"/>
                    <w:snapToGrid w:val="0"/>
                    <w:ind w:left="0" w:firstLine="98" w:firstLineChars="50"/>
                    <w:jc w:val="center"/>
                    <w:rPr>
                      <w:color w:val="000000" w:themeColor="text1"/>
                      <w:spacing w:val="-2"/>
                      <w:szCs w:val="21"/>
                      <w14:textFill>
                        <w14:solidFill>
                          <w14:schemeClr w14:val="tx1"/>
                        </w14:solidFill>
                      </w14:textFill>
                    </w:rPr>
                  </w:pPr>
                </w:p>
              </w:tc>
              <w:tc>
                <w:tcPr>
                  <w:tcW w:w="16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感冒清胶囊干膏粉</w:t>
                  </w:r>
                </w:p>
              </w:tc>
              <w:tc>
                <w:tcPr>
                  <w:tcW w:w="56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 t/a</w:t>
                  </w:r>
                </w:p>
              </w:tc>
              <w:tc>
                <w:tcPr>
                  <w:tcW w:w="80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8</w:t>
                  </w:r>
                </w:p>
              </w:tc>
              <w:tc>
                <w:tcPr>
                  <w:tcW w:w="1620"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前处理+水提、醇沉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9" w:type="pct"/>
                  <w:vAlign w:val="center"/>
                </w:tcPr>
                <w:p>
                  <w:pPr>
                    <w:pStyle w:val="59"/>
                    <w:numPr>
                      <w:ilvl w:val="0"/>
                      <w:numId w:val="5"/>
                    </w:numPr>
                    <w:adjustRightInd w:val="0"/>
                    <w:snapToGrid w:val="0"/>
                    <w:ind w:left="0" w:firstLine="98" w:firstLineChars="50"/>
                    <w:jc w:val="center"/>
                    <w:rPr>
                      <w:color w:val="000000" w:themeColor="text1"/>
                      <w:spacing w:val="-2"/>
                      <w:szCs w:val="21"/>
                      <w14:textFill>
                        <w14:solidFill>
                          <w14:schemeClr w14:val="tx1"/>
                        </w14:solidFill>
                      </w14:textFill>
                    </w:rPr>
                  </w:pPr>
                </w:p>
              </w:tc>
              <w:tc>
                <w:tcPr>
                  <w:tcW w:w="16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消炎利胆片干膏粉</w:t>
                  </w:r>
                </w:p>
              </w:tc>
              <w:tc>
                <w:tcPr>
                  <w:tcW w:w="56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 t/a</w:t>
                  </w:r>
                </w:p>
              </w:tc>
              <w:tc>
                <w:tcPr>
                  <w:tcW w:w="80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620"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9" w:type="pct"/>
                  <w:vAlign w:val="center"/>
                </w:tcPr>
                <w:p>
                  <w:pPr>
                    <w:pStyle w:val="59"/>
                    <w:numPr>
                      <w:ilvl w:val="0"/>
                      <w:numId w:val="5"/>
                    </w:numPr>
                    <w:adjustRightInd w:val="0"/>
                    <w:snapToGrid w:val="0"/>
                    <w:ind w:left="0" w:firstLine="98" w:firstLineChars="50"/>
                    <w:jc w:val="center"/>
                    <w:rPr>
                      <w:color w:val="000000" w:themeColor="text1"/>
                      <w:spacing w:val="-2"/>
                      <w:szCs w:val="21"/>
                      <w14:textFill>
                        <w14:solidFill>
                          <w14:schemeClr w14:val="tx1"/>
                        </w14:solidFill>
                      </w14:textFill>
                    </w:rPr>
                  </w:pPr>
                </w:p>
              </w:tc>
              <w:tc>
                <w:tcPr>
                  <w:tcW w:w="16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康乐鼻炎片干膏粉</w:t>
                  </w:r>
                </w:p>
              </w:tc>
              <w:tc>
                <w:tcPr>
                  <w:tcW w:w="56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 t/a</w:t>
                  </w:r>
                </w:p>
              </w:tc>
              <w:tc>
                <w:tcPr>
                  <w:tcW w:w="80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620"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9" w:type="pct"/>
                  <w:vAlign w:val="center"/>
                </w:tcPr>
                <w:p>
                  <w:pPr>
                    <w:pStyle w:val="59"/>
                    <w:numPr>
                      <w:ilvl w:val="0"/>
                      <w:numId w:val="5"/>
                    </w:numPr>
                    <w:adjustRightInd w:val="0"/>
                    <w:snapToGrid w:val="0"/>
                    <w:ind w:left="0" w:firstLine="98" w:firstLineChars="50"/>
                    <w:jc w:val="center"/>
                    <w:rPr>
                      <w:color w:val="000000" w:themeColor="text1"/>
                      <w:spacing w:val="-2"/>
                      <w:szCs w:val="21"/>
                      <w14:textFill>
                        <w14:solidFill>
                          <w14:schemeClr w14:val="tx1"/>
                        </w14:solidFill>
                      </w14:textFill>
                    </w:rPr>
                  </w:pPr>
                </w:p>
              </w:tc>
              <w:tc>
                <w:tcPr>
                  <w:tcW w:w="16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清肝颗粒流膏</w:t>
                  </w:r>
                </w:p>
              </w:tc>
              <w:tc>
                <w:tcPr>
                  <w:tcW w:w="56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 t/a</w:t>
                  </w:r>
                </w:p>
              </w:tc>
              <w:tc>
                <w:tcPr>
                  <w:tcW w:w="80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620"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9" w:type="pct"/>
                  <w:vAlign w:val="center"/>
                </w:tcPr>
                <w:p>
                  <w:pPr>
                    <w:pStyle w:val="59"/>
                    <w:numPr>
                      <w:ilvl w:val="0"/>
                      <w:numId w:val="5"/>
                    </w:numPr>
                    <w:adjustRightInd w:val="0"/>
                    <w:snapToGrid w:val="0"/>
                    <w:ind w:left="0" w:firstLine="98" w:firstLineChars="50"/>
                    <w:jc w:val="center"/>
                    <w:rPr>
                      <w:color w:val="000000" w:themeColor="text1"/>
                      <w:spacing w:val="-2"/>
                      <w:szCs w:val="21"/>
                      <w14:textFill>
                        <w14:solidFill>
                          <w14:schemeClr w14:val="tx1"/>
                        </w14:solidFill>
                      </w14:textFill>
                    </w:rPr>
                  </w:pPr>
                </w:p>
              </w:tc>
              <w:tc>
                <w:tcPr>
                  <w:tcW w:w="16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香茅油</w:t>
                  </w:r>
                </w:p>
              </w:tc>
              <w:tc>
                <w:tcPr>
                  <w:tcW w:w="56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2.5 t/a</w:t>
                  </w:r>
                </w:p>
              </w:tc>
              <w:tc>
                <w:tcPr>
                  <w:tcW w:w="80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23</w:t>
                  </w:r>
                </w:p>
              </w:tc>
              <w:tc>
                <w:tcPr>
                  <w:tcW w:w="1620"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水蒸气蒸馏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9" w:type="pct"/>
                  <w:vAlign w:val="center"/>
                </w:tcPr>
                <w:p>
                  <w:pPr>
                    <w:pStyle w:val="59"/>
                    <w:numPr>
                      <w:ilvl w:val="0"/>
                      <w:numId w:val="5"/>
                    </w:numPr>
                    <w:adjustRightInd w:val="0"/>
                    <w:snapToGrid w:val="0"/>
                    <w:ind w:left="0" w:firstLine="98" w:firstLineChars="50"/>
                    <w:jc w:val="center"/>
                    <w:rPr>
                      <w:color w:val="000000" w:themeColor="text1"/>
                      <w:spacing w:val="-2"/>
                      <w:szCs w:val="21"/>
                      <w14:textFill>
                        <w14:solidFill>
                          <w14:schemeClr w14:val="tx1"/>
                        </w14:solidFill>
                      </w14:textFill>
                    </w:rPr>
                  </w:pPr>
                </w:p>
              </w:tc>
              <w:tc>
                <w:tcPr>
                  <w:tcW w:w="16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克癀胶囊粉</w:t>
                  </w:r>
                </w:p>
              </w:tc>
              <w:tc>
                <w:tcPr>
                  <w:tcW w:w="56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11.7t/a</w:t>
                  </w:r>
                </w:p>
              </w:tc>
              <w:tc>
                <w:tcPr>
                  <w:tcW w:w="805"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72</w:t>
                  </w:r>
                </w:p>
              </w:tc>
              <w:tc>
                <w:tcPr>
                  <w:tcW w:w="1620"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发酵</w:t>
                  </w:r>
                </w:p>
              </w:tc>
            </w:tr>
          </w:tbl>
          <w:p>
            <w:pPr>
              <w:pStyle w:val="61"/>
              <w:ind w:firstLine="482"/>
              <w:rPr>
                <w:rFonts w:eastAsiaTheme="minorEastAsia"/>
                <w:b/>
                <w:color w:val="000000" w:themeColor="text1"/>
                <w:szCs w:val="24"/>
                <w14:textFill>
                  <w14:solidFill>
                    <w14:schemeClr w14:val="tx1"/>
                  </w14:solidFill>
                </w14:textFill>
              </w:rPr>
            </w:pPr>
            <w:r>
              <w:rPr>
                <w:rFonts w:eastAsiaTheme="minorEastAsia"/>
                <w:b/>
                <w:color w:val="000000" w:themeColor="text1"/>
                <w:szCs w:val="24"/>
                <w14:textFill>
                  <w14:solidFill>
                    <w14:schemeClr w14:val="tx1"/>
                  </w14:solidFill>
                </w14:textFill>
              </w:rPr>
              <w:t>3、主要原辅材料消耗</w:t>
            </w:r>
          </w:p>
          <w:p>
            <w:pPr>
              <w:pStyle w:val="76"/>
              <w:numPr>
                <w:ilvl w:val="0"/>
                <w:numId w:val="4"/>
              </w:numPr>
              <w:ind w:left="0" w:firstLine="0"/>
              <w:rPr>
                <w:color w:val="000000" w:themeColor="text1"/>
                <w:lang w:val="zh-CN"/>
                <w14:textFill>
                  <w14:solidFill>
                    <w14:schemeClr w14:val="tx1"/>
                  </w14:solidFill>
                </w14:textFill>
              </w:rPr>
            </w:pPr>
            <w:r>
              <w:rPr>
                <w:color w:val="000000" w:themeColor="text1"/>
                <w14:textFill>
                  <w14:solidFill>
                    <w14:schemeClr w14:val="tx1"/>
                  </w14:solidFill>
                </w14:textFill>
              </w:rPr>
              <w:t>主要原料和辅助材料一览表</w:t>
            </w:r>
          </w:p>
          <w:tbl>
            <w:tblPr>
              <w:tblStyle w:val="1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594"/>
              <w:gridCol w:w="1798"/>
              <w:gridCol w:w="2241"/>
              <w:gridCol w:w="2378"/>
              <w:gridCol w:w="16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036"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生产产品</w:t>
                  </w: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主要原辅材料</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年用量（t/a）</w:t>
                  </w:r>
                </w:p>
              </w:tc>
              <w:tc>
                <w:tcPr>
                  <w:tcW w:w="96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生产工艺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036"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西洋参粉</w:t>
                  </w: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西洋参</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3.008</w:t>
                  </w:r>
                </w:p>
              </w:tc>
              <w:tc>
                <w:tcPr>
                  <w:tcW w:w="961" w:type="pct"/>
                  <w:vAlign w:val="center"/>
                </w:tcPr>
                <w:p>
                  <w:pPr>
                    <w:pStyle w:val="66"/>
                    <w:wordWrap/>
                    <w:adjustRightInd w:val="0"/>
                    <w:snapToGrid w:val="0"/>
                    <w:rPr>
                      <w:color w:val="000000" w:themeColor="text1"/>
                      <w14:textFill>
                        <w14:solidFill>
                          <w14:schemeClr w14:val="tx1"/>
                        </w14:solidFill>
                      </w14:textFill>
                    </w:rPr>
                  </w:pPr>
                  <w:r>
                    <w:rPr>
                      <w:rFonts w:hint="eastAsia"/>
                      <w:color w:val="000000" w:themeColor="text1"/>
                      <w14:textFill>
                        <w14:solidFill>
                          <w14:schemeClr w14:val="tx1"/>
                        </w14:solidFill>
                      </w14:textFill>
                    </w:rPr>
                    <w:t>前处理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1036"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风湿定胶囊干膏粉</w:t>
                  </w: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八角枫</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9.6</w:t>
                  </w:r>
                </w:p>
              </w:tc>
              <w:tc>
                <w:tcPr>
                  <w:tcW w:w="961"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白芷前处理、粉碎最后混合，其余水提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白芷</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0.32</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徐长卿</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0.96</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甘草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0.13</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036"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壮腰健肾胶囊干膏粉</w:t>
                  </w: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狗脊</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2.3</w:t>
                  </w:r>
                </w:p>
              </w:tc>
              <w:tc>
                <w:tcPr>
                  <w:tcW w:w="961"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黑老虎前处理、粉碎最后混合，其余水提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7</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黑老虎</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1.3</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8</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千斤拔</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0.54</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9</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桑寄生（蒸）</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0.67</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鸡血藤</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1.3</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11</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金樱子</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0.72</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12</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女贞子（蒸）</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0.12</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13</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牛大力</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0.9</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14</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菟丝子（盐水制）</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0.12</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036"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元胡止痛片干膏粉</w:t>
                  </w: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延胡索（醋制）</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1.78</w:t>
                  </w:r>
                </w:p>
              </w:tc>
              <w:tc>
                <w:tcPr>
                  <w:tcW w:w="961"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白芷前处理、粉碎最后混合，延胡索醇提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16</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白芷</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0.9</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17</w:t>
                  </w:r>
                </w:p>
              </w:tc>
              <w:tc>
                <w:tcPr>
                  <w:tcW w:w="1036"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六味地黄胶囊干膏粉</w:t>
                  </w: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熟地黄</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961"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前处理+醇提、水提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18</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牡丹皮</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1.1</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19</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山药</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1.4</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山茱萸</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1.4</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21</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泽泻</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1.1</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22</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茯苓</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1.1</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23</w:t>
                  </w:r>
                </w:p>
              </w:tc>
              <w:tc>
                <w:tcPr>
                  <w:tcW w:w="1036"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心可宁胶囊干膏粉</w:t>
                  </w: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丹参</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1.5</w:t>
                  </w:r>
                </w:p>
              </w:tc>
              <w:tc>
                <w:tcPr>
                  <w:tcW w:w="961"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丹参醇提、水提，其余前处理、粉碎最后混合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24</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人参须</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0.2</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25</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三七</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0.3</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26</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红花</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0.1</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27</w:t>
                  </w:r>
                </w:p>
              </w:tc>
              <w:tc>
                <w:tcPr>
                  <w:tcW w:w="1036"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降糖宁胶囊干膏粉</w:t>
                  </w: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人参</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0.06</w:t>
                  </w:r>
                </w:p>
              </w:tc>
              <w:tc>
                <w:tcPr>
                  <w:tcW w:w="961"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前处理+醇提、水提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28</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山药</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0.24</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29</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生石膏</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0.6</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30</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知母</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0.2</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31</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黄芪</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0.24</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32</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天花粉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0.3</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33</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茯苓</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0.24</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34</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麦冬</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0.24</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35</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生地黄</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0.3</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36</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地骨皮</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0.3</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37</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玉米须</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0.3</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38</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山茱萸</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0.12</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39</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甘草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0.12</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40</w:t>
                  </w:r>
                </w:p>
              </w:tc>
              <w:tc>
                <w:tcPr>
                  <w:tcW w:w="1036"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复方丹参片干膏粉</w:t>
                  </w: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丹参</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1.8</w:t>
                  </w:r>
                </w:p>
              </w:tc>
              <w:tc>
                <w:tcPr>
                  <w:tcW w:w="961"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丹参醇提、水提，三七前处理、粉碎最后混合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41</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三七</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0.6</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42</w:t>
                  </w:r>
                </w:p>
              </w:tc>
              <w:tc>
                <w:tcPr>
                  <w:tcW w:w="1036"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感冒清胶囊干膏粉</w:t>
                  </w: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甘草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0.13</w:t>
                  </w:r>
                </w:p>
              </w:tc>
              <w:tc>
                <w:tcPr>
                  <w:tcW w:w="961"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前处理+水提、醇沉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43</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大青叶</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44</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金盏银盘</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6.6</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45</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岗梅</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8.6</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46</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山芝麻</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4.6</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47</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穿心莲叶</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0.4</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48</w:t>
                  </w:r>
                </w:p>
              </w:tc>
              <w:tc>
                <w:tcPr>
                  <w:tcW w:w="1036"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消炎利胆片干膏粉</w:t>
                  </w: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穿心莲</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1.8</w:t>
                  </w:r>
                </w:p>
              </w:tc>
              <w:tc>
                <w:tcPr>
                  <w:tcW w:w="961"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前处理+水提、醇沉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49</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溪黄草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1.8</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50</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苦木</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1.8</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51</w:t>
                  </w:r>
                </w:p>
              </w:tc>
              <w:tc>
                <w:tcPr>
                  <w:tcW w:w="1036"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康乐鼻炎片干膏粉</w:t>
                  </w: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苍耳子</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961"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前处理+水提、醇沉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52</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辛夷</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0.32</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53</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白芷</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1.32</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54</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麻黄</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55</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穿心莲</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56</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黄芩</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1.32</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57</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防风</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1.66</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58</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广藿香</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59</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牡丹皮</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60</w:t>
                  </w:r>
                </w:p>
              </w:tc>
              <w:tc>
                <w:tcPr>
                  <w:tcW w:w="1036"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清肝颗粒流浸膏</w:t>
                  </w: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板蓝根</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1.2</w:t>
                  </w:r>
                </w:p>
              </w:tc>
              <w:tc>
                <w:tcPr>
                  <w:tcW w:w="961"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前处理+水提、醇沉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61</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茵陈</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0.6</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62</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甘草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0.24</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63</w:t>
                  </w:r>
                </w:p>
              </w:tc>
              <w:tc>
                <w:tcPr>
                  <w:tcW w:w="1036"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香茅油</w:t>
                  </w: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香茅草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240</w:t>
                  </w:r>
                </w:p>
              </w:tc>
              <w:tc>
                <w:tcPr>
                  <w:tcW w:w="96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水蒸气蒸馏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64</w:t>
                  </w:r>
                </w:p>
              </w:tc>
              <w:tc>
                <w:tcPr>
                  <w:tcW w:w="1036"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克癀胶囊粉</w:t>
                  </w: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三七粉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4.7</w:t>
                  </w:r>
                </w:p>
              </w:tc>
              <w:tc>
                <w:tcPr>
                  <w:tcW w:w="961"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三七粉、黄连粉 、黄芩粉、黄柏粉、大黄粉、白花蛇舌草粉、山银花粉、皂角刺粉、郁金粉、防风粉、石菖蒲粉、甘草粉前处理，蛇胆制软才，最后与冰片、人工牛黄、人工麝香发酵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65</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黄连粉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1.4</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66</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黄芩粉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2.25</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67</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黄柏粉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0.95</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68</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大黄粉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0.95</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69</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白花蛇舌草粉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0.95</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70</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山银花粉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0.7</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71</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皂角刺粉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0.45</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72</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郁金粉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0.4</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73</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防风粉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0.45</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74</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石菖蒲粉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0.45</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75</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甘草粉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0.35</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76</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红曲粉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1.65</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77</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蛇胆</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0.3</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78</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人工牛黄</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0.15</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9</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人工麝香</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0.1</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80</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冰片</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0.15</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81</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滑石粉</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0.4</w:t>
                  </w:r>
                </w:p>
              </w:tc>
              <w:tc>
                <w:tcPr>
                  <w:tcW w:w="961" w:type="pct"/>
                  <w:vMerge w:val="continue"/>
                  <w:vAlign w:val="center"/>
                </w:tcPr>
                <w:p>
                  <w:pPr>
                    <w:pStyle w:val="66"/>
                    <w:wordWrap/>
                    <w:adjustRightInd w:val="0"/>
                    <w:snapToGrid w:val="0"/>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82</w:t>
                  </w:r>
                </w:p>
              </w:tc>
              <w:tc>
                <w:tcPr>
                  <w:tcW w:w="1036" w:type="pct"/>
                  <w:vMerge w:val="restar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其他辅助材料</w:t>
                  </w:r>
                </w:p>
              </w:tc>
              <w:tc>
                <w:tcPr>
                  <w:tcW w:w="129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天然气</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36.9万m</w:t>
                  </w:r>
                  <w:r>
                    <w:rPr>
                      <w:color w:val="000000" w:themeColor="text1"/>
                      <w:vertAlign w:val="superscript"/>
                      <w14:textFill>
                        <w14:solidFill>
                          <w14:schemeClr w14:val="tx1"/>
                        </w14:solidFill>
                      </w14:textFill>
                    </w:rPr>
                    <w:t>3</w:t>
                  </w:r>
                </w:p>
              </w:tc>
              <w:tc>
                <w:tcPr>
                  <w:tcW w:w="96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供蒸汽加热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342"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83</w:t>
                  </w:r>
                </w:p>
              </w:tc>
              <w:tc>
                <w:tcPr>
                  <w:tcW w:w="1036" w:type="pct"/>
                  <w:vMerge w:val="continue"/>
                  <w:vAlign w:val="center"/>
                </w:tcPr>
                <w:p>
                  <w:pPr>
                    <w:pStyle w:val="66"/>
                    <w:wordWrap/>
                    <w:adjustRightInd w:val="0"/>
                    <w:snapToGrid w:val="0"/>
                    <w:rPr>
                      <w:color w:val="000000" w:themeColor="text1"/>
                      <w14:textFill>
                        <w14:solidFill>
                          <w14:schemeClr w14:val="tx1"/>
                        </w14:solidFill>
                      </w14:textFill>
                    </w:rPr>
                  </w:pPr>
                </w:p>
              </w:tc>
              <w:tc>
                <w:tcPr>
                  <w:tcW w:w="1291" w:type="pct"/>
                  <w:vAlign w:val="center"/>
                </w:tcPr>
                <w:p>
                  <w:pPr>
                    <w:pStyle w:val="66"/>
                    <w:wordWrap/>
                    <w:adjustRightInd w:val="0"/>
                    <w:snapToGrid w:val="0"/>
                    <w:rPr>
                      <w:color w:val="000000" w:themeColor="text1"/>
                      <w14:textFill>
                        <w14:solidFill>
                          <w14:schemeClr w14:val="tx1"/>
                        </w14:solidFill>
                      </w14:textFill>
                    </w:rPr>
                  </w:pPr>
                  <w:r>
                    <w:rPr>
                      <w:rFonts w:hint="eastAsia"/>
                      <w:color w:val="000000" w:themeColor="text1"/>
                      <w14:textFill>
                        <w14:solidFill>
                          <w14:schemeClr w14:val="tx1"/>
                        </w14:solidFill>
                      </w14:textFill>
                    </w:rPr>
                    <w:t>95%</w:t>
                  </w:r>
                  <w:r>
                    <w:rPr>
                      <w:color w:val="000000" w:themeColor="text1"/>
                      <w14:textFill>
                        <w14:solidFill>
                          <w14:schemeClr w14:val="tx1"/>
                        </w14:solidFill>
                      </w14:textFill>
                    </w:rPr>
                    <w:t>乙醇</w:t>
                  </w:r>
                </w:p>
              </w:tc>
              <w:tc>
                <w:tcPr>
                  <w:tcW w:w="1370"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9</w:t>
                  </w:r>
                </w:p>
              </w:tc>
              <w:tc>
                <w:tcPr>
                  <w:tcW w:w="961" w:type="pct"/>
                  <w:vAlign w:val="center"/>
                </w:tcPr>
                <w:p>
                  <w:pPr>
                    <w:pStyle w:val="66"/>
                    <w:wordWrap/>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 xml:space="preserve">外购 </w:t>
                  </w:r>
                </w:p>
              </w:tc>
            </w:tr>
          </w:tbl>
          <w:p>
            <w:pPr>
              <w:ind w:firstLine="420" w:firstLineChars="200"/>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注：95%乙醇为储罐装（地下卧式固定顶罐），常温常压，最大储存量为9t。</w:t>
            </w:r>
          </w:p>
          <w:p>
            <w:pPr>
              <w:pStyle w:val="61"/>
              <w:ind w:firstLine="482"/>
              <w:rPr>
                <w:rFonts w:eastAsiaTheme="minorEastAsia"/>
                <w:b/>
                <w:color w:val="000000" w:themeColor="text1"/>
                <w:szCs w:val="24"/>
                <w14:textFill>
                  <w14:solidFill>
                    <w14:schemeClr w14:val="tx1"/>
                  </w14:solidFill>
                </w14:textFill>
              </w:rPr>
            </w:pPr>
            <w:r>
              <w:rPr>
                <w:rFonts w:eastAsiaTheme="minorEastAsia"/>
                <w:b/>
                <w:color w:val="000000" w:themeColor="text1"/>
                <w:szCs w:val="24"/>
                <w14:textFill>
                  <w14:solidFill>
                    <w14:schemeClr w14:val="tx1"/>
                  </w14:solidFill>
                </w14:textFill>
              </w:rPr>
              <w:t>4、主要生产设备</w:t>
            </w:r>
          </w:p>
          <w:p>
            <w:pPr>
              <w:pStyle w:val="61"/>
              <w:ind w:firstLine="48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项目主要生产设备配置详见下表：</w:t>
            </w:r>
          </w:p>
          <w:p>
            <w:pPr>
              <w:pStyle w:val="76"/>
              <w:numPr>
                <w:ilvl w:val="0"/>
                <w:numId w:val="4"/>
              </w:numPr>
              <w:ind w:left="0" w:firstLine="0"/>
              <w:rPr>
                <w:color w:val="000000" w:themeColor="text1"/>
                <w14:textFill>
                  <w14:solidFill>
                    <w14:schemeClr w14:val="tx1"/>
                  </w14:solidFill>
                </w14:textFill>
              </w:rPr>
            </w:pPr>
            <w:r>
              <w:rPr>
                <w:color w:val="000000" w:themeColor="text1"/>
                <w14:textFill>
                  <w14:solidFill>
                    <w14:schemeClr w14:val="tx1"/>
                  </w14:solidFill>
                </w14:textFill>
              </w:rPr>
              <w:t>项目生产设备及数量表</w:t>
            </w:r>
          </w:p>
          <w:tbl>
            <w:tblPr>
              <w:tblStyle w:val="19"/>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582"/>
              <w:gridCol w:w="969"/>
              <w:gridCol w:w="2179"/>
              <w:gridCol w:w="851"/>
              <w:gridCol w:w="2144"/>
              <w:gridCol w:w="195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41" w:hRule="atLeast"/>
                <w:jc w:val="center"/>
              </w:trPr>
              <w:tc>
                <w:tcPr>
                  <w:tcW w:w="336"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813" w:type="pct"/>
                  <w:gridSpan w:val="2"/>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主要生产设备名称</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数量/台</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所在工序</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能源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Merge w:val="restar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前处理车间</w:t>
                  </w: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洗药机</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洗药</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热风循环烘箱</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2</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清洗后烘干</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电+蒸汽(间接加热)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万能粉碎机</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药材密闭粉碎</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往复式切药机</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切药</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三维混合机</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粉碎过筛后密闭混合</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Merge w:val="restar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提取浓缩车间</w:t>
                  </w: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6t多功能提取罐</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水提、醇提</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电+蒸汽(间接加热)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4 t挥发油两用多功能提取罐</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香茅油提取</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电+蒸汽(</w:t>
                  </w:r>
                  <w:r>
                    <w:rPr>
                      <w:rFonts w:hint="eastAsia"/>
                      <w:color w:val="000000" w:themeColor="text1"/>
                      <w14:textFill>
                        <w14:solidFill>
                          <w14:schemeClr w14:val="tx1"/>
                        </w14:solidFill>
                      </w14:textFill>
                    </w:rPr>
                    <w:t>直接</w:t>
                  </w:r>
                  <w:r>
                    <w:rPr>
                      <w:color w:val="000000" w:themeColor="text1"/>
                      <w14:textFill>
                        <w14:solidFill>
                          <w14:schemeClr w14:val="tx1"/>
                        </w14:solidFill>
                      </w14:textFill>
                    </w:rPr>
                    <w:t>加热)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3 t醇沉罐</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2</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醇沉</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1500L单效浓缩机组</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2</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提取后浓缩</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电+蒸汽(间接加热)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喷雾干燥机组</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浓缩后干燥</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电+蒸汽(间接加热)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600L洒精回收塔</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蒸馏回收</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电+蒸汽(间接加热)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储罐</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药液储罐、稀乙醇储罐</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558" w:type="pct"/>
                  <w:vMerge w:val="restar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后处理</w:t>
                  </w:r>
                </w:p>
                <w:p>
                  <w:pPr>
                    <w:pStyle w:val="66"/>
                    <w:rPr>
                      <w:color w:val="000000" w:themeColor="text1"/>
                      <w14:textFill>
                        <w14:solidFill>
                          <w14:schemeClr w14:val="tx1"/>
                        </w14:solidFill>
                      </w14:textFill>
                    </w:rPr>
                  </w:pPr>
                  <w:r>
                    <w:rPr>
                      <w:color w:val="000000" w:themeColor="text1"/>
                      <w14:textFill>
                        <w14:solidFill>
                          <w14:schemeClr w14:val="tx1"/>
                        </w14:solidFill>
                      </w14:textFill>
                    </w:rPr>
                    <w:t>车间</w:t>
                  </w:r>
                </w:p>
                <w:p>
                  <w:pPr>
                    <w:pStyle w:val="66"/>
                    <w:rPr>
                      <w:color w:val="000000" w:themeColor="text1"/>
                      <w14:textFill>
                        <w14:solidFill>
                          <w14:schemeClr w14:val="tx1"/>
                        </w14:solidFill>
                      </w14:textFill>
                    </w:rPr>
                  </w:pPr>
                  <w:r>
                    <w:rPr>
                      <w:color w:val="000000" w:themeColor="text1"/>
                      <w14:textFill>
                        <w14:solidFill>
                          <w14:schemeClr w14:val="tx1"/>
                        </w14:solidFill>
                      </w14:textFill>
                    </w:rPr>
                    <w:t>(洁净区)</w:t>
                  </w: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真空干燥箱</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2</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浓缩干燥</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电+蒸汽(间接加热)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万能粉碎机</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vMerge w:val="restar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粉碎、过筛</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旋振筛</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vMerge w:val="continue"/>
                  <w:shd w:val="clear" w:color="auto" w:fill="auto"/>
                  <w:vAlign w:val="center"/>
                </w:tcPr>
                <w:p>
                  <w:pPr>
                    <w:pStyle w:val="66"/>
                    <w:rPr>
                      <w:color w:val="000000" w:themeColor="text1"/>
                      <w14:textFill>
                        <w14:solidFill>
                          <w14:schemeClr w14:val="tx1"/>
                        </w14:solidFill>
                      </w14:textFill>
                    </w:rPr>
                  </w:pP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平振筛</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vMerge w:val="continue"/>
                  <w:shd w:val="clear" w:color="auto" w:fill="auto"/>
                  <w:vAlign w:val="center"/>
                </w:tcPr>
                <w:p>
                  <w:pPr>
                    <w:pStyle w:val="66"/>
                    <w:rPr>
                      <w:color w:val="000000" w:themeColor="text1"/>
                      <w14:textFill>
                        <w14:solidFill>
                          <w14:schemeClr w14:val="tx1"/>
                        </w14:solidFill>
                      </w14:textFill>
                    </w:rPr>
                  </w:pP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三维混合机</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混合</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多功能灭菌柜</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用于前处理工序</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电+蒸汽(间接加热)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558" w:type="pct"/>
                  <w:vMerge w:val="restar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发酵车间（洁净区）</w:t>
                  </w: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二维运动混合机</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总混工序</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多功能中成药灭菌柜</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2</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灭菌工序</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电+蒸汽(间接加热)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过筛粉碎机</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粉碎过筛</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榨汁机</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蛇胆汁制软才</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槽型混合机</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发酵前混合</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真空干燥箱</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4</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干燥工序</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电+蒸汽(间接加热)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Merge w:val="continue"/>
                  <w:vAlign w:val="center"/>
                </w:tcPr>
                <w:p>
                  <w:pPr>
                    <w:pStyle w:val="66"/>
                    <w:rPr>
                      <w:color w:val="000000" w:themeColor="text1"/>
                      <w14:textFill>
                        <w14:solidFill>
                          <w14:schemeClr w14:val="tx1"/>
                        </w14:solidFill>
                      </w14:textFill>
                    </w:rPr>
                  </w:pP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粉碎机</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粉碎工序</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锅炉房</w:t>
                  </w: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3t/h锅炉</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供热</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天然气</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55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纯水房</w:t>
                  </w: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0.5t/h纯水制备系统</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洁净区用纯水</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55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酒精储罐区</w:t>
                  </w: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10 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乙醇储罐</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乙醇储罐</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77" w:hRule="atLeast"/>
                <w:jc w:val="center"/>
              </w:trPr>
              <w:tc>
                <w:tcPr>
                  <w:tcW w:w="336" w:type="pct"/>
                  <w:shd w:val="clear" w:color="auto" w:fill="auto"/>
                  <w:vAlign w:val="center"/>
                </w:tcPr>
                <w:p>
                  <w:pPr>
                    <w:numPr>
                      <w:ilvl w:val="0"/>
                      <w:numId w:val="6"/>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55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顶楼</w:t>
                  </w:r>
                </w:p>
              </w:tc>
              <w:tc>
                <w:tcPr>
                  <w:tcW w:w="1255"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4m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冷却塔</w:t>
                  </w:r>
                </w:p>
                <w:p>
                  <w:pPr>
                    <w:pStyle w:val="66"/>
                    <w:rPr>
                      <w:color w:val="000000" w:themeColor="text1"/>
                      <w14:textFill>
                        <w14:solidFill>
                          <w14:schemeClr w14:val="tx1"/>
                        </w14:solidFill>
                      </w14:textFill>
                    </w:rPr>
                  </w:pPr>
                  <w:r>
                    <w:rPr>
                      <w:color w:val="000000" w:themeColor="text1"/>
                      <w14:textFill>
                        <w14:solidFill>
                          <w14:schemeClr w14:val="tx1"/>
                        </w14:solidFill>
                      </w14:textFill>
                    </w:rPr>
                    <w:t>循环水量15t/h</w:t>
                  </w:r>
                </w:p>
              </w:tc>
              <w:tc>
                <w:tcPr>
                  <w:tcW w:w="49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35" w:type="pct"/>
                  <w:shd w:val="clear" w:color="auto" w:fill="auto"/>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辅助设备</w:t>
                  </w:r>
                </w:p>
              </w:tc>
              <w:tc>
                <w:tcPr>
                  <w:tcW w:w="112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电</w:t>
                  </w:r>
                </w:p>
              </w:tc>
            </w:tr>
          </w:tbl>
          <w:p>
            <w:pPr>
              <w:adjustRightInd w:val="0"/>
              <w:snapToGrid w:val="0"/>
              <w:spacing w:line="360" w:lineRule="auto"/>
              <w:ind w:firstLine="482" w:firstLineChars="200"/>
              <w:rPr>
                <w:rFonts w:ascii="Times New Roman" w:hAnsi="Times New Roman"/>
                <w:b/>
                <w:bCs/>
                <w:color w:val="000000" w:themeColor="text1"/>
                <w:sz w:val="24"/>
                <w14:textFill>
                  <w14:solidFill>
                    <w14:schemeClr w14:val="tx1"/>
                  </w14:solidFill>
                </w14:textFill>
              </w:rPr>
            </w:pPr>
            <w:r>
              <w:rPr>
                <w:rFonts w:ascii="Times New Roman" w:hAnsi="Times New Roman"/>
                <w:b/>
                <w:bCs/>
                <w:color w:val="000000" w:themeColor="text1"/>
                <w:sz w:val="24"/>
                <w14:textFill>
                  <w14:solidFill>
                    <w14:schemeClr w14:val="tx1"/>
                  </w14:solidFill>
                </w14:textFill>
              </w:rPr>
              <w:t>5、项目劳动定员及工作制度</w:t>
            </w:r>
          </w:p>
          <w:p>
            <w:pPr>
              <w:adjustRightInd w:val="0"/>
              <w:snapToGrid w:val="0"/>
              <w:spacing w:line="360" w:lineRule="auto"/>
              <w:ind w:firstLine="480" w:firstLineChars="200"/>
              <w:rPr>
                <w:rFonts w:ascii="Times New Roman" w:hAnsi="Times New Roman"/>
                <w:bCs/>
                <w:color w:val="000000" w:themeColor="text1"/>
                <w:sz w:val="24"/>
                <w14:textFill>
                  <w14:solidFill>
                    <w14:schemeClr w14:val="tx1"/>
                  </w14:solidFill>
                </w14:textFill>
              </w:rPr>
            </w:pPr>
            <w:r>
              <w:rPr>
                <w:rFonts w:ascii="Times New Roman" w:hAnsi="Times New Roman"/>
                <w:bCs/>
                <w:color w:val="000000" w:themeColor="text1"/>
                <w:sz w:val="24"/>
                <w14:textFill>
                  <w14:solidFill>
                    <w14:schemeClr w14:val="tx1"/>
                  </w14:solidFill>
                </w14:textFill>
              </w:rPr>
              <w:t>项目劳动定员16人，2班制，日工作24小时，全年生产260天，不在厂内食宿。</w:t>
            </w:r>
          </w:p>
          <w:p>
            <w:pPr>
              <w:adjustRightInd w:val="0"/>
              <w:snapToGrid w:val="0"/>
              <w:spacing w:line="360" w:lineRule="auto"/>
              <w:ind w:firstLine="482" w:firstLineChars="200"/>
              <w:rPr>
                <w:rFonts w:ascii="Times New Roman" w:hAnsi="Times New Roman"/>
                <w:b/>
                <w:bCs/>
                <w:color w:val="000000" w:themeColor="text1"/>
                <w:sz w:val="24"/>
                <w14:textFill>
                  <w14:solidFill>
                    <w14:schemeClr w14:val="tx1"/>
                  </w14:solidFill>
                </w14:textFill>
              </w:rPr>
            </w:pPr>
            <w:r>
              <w:rPr>
                <w:rFonts w:ascii="Times New Roman" w:hAnsi="Times New Roman"/>
                <w:b/>
                <w:bCs/>
                <w:color w:val="000000" w:themeColor="text1"/>
                <w:sz w:val="24"/>
                <w14:textFill>
                  <w14:solidFill>
                    <w14:schemeClr w14:val="tx1"/>
                  </w14:solidFill>
                </w14:textFill>
              </w:rPr>
              <w:t>二、公用及配套工程</w:t>
            </w:r>
          </w:p>
          <w:p>
            <w:pPr>
              <w:adjustRightInd w:val="0"/>
              <w:snapToGrid w:val="0"/>
              <w:spacing w:line="348" w:lineRule="auto"/>
              <w:ind w:firstLine="482" w:firstLineChars="200"/>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1、供电系统</w:t>
            </w:r>
          </w:p>
          <w:p>
            <w:pPr>
              <w:adjustRightInd w:val="0"/>
              <w:snapToGrid w:val="0"/>
              <w:spacing w:line="348"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本项目用电均由市政电网供给。</w:t>
            </w:r>
          </w:p>
          <w:p>
            <w:pPr>
              <w:adjustRightInd w:val="0"/>
              <w:snapToGrid w:val="0"/>
              <w:spacing w:line="348" w:lineRule="auto"/>
              <w:ind w:firstLine="482" w:firstLineChars="200"/>
              <w:rPr>
                <w:rFonts w:ascii="Times New Roman" w:hAnsi="Times New Roman"/>
                <w:b/>
                <w:color w:val="000000" w:themeColor="text1"/>
                <w:sz w:val="24"/>
                <w14:textFill>
                  <w14:solidFill>
                    <w14:schemeClr w14:val="tx1"/>
                  </w14:solidFill>
                </w14:textFill>
              </w:rPr>
            </w:pPr>
            <w:r>
              <w:rPr>
                <w:rFonts w:hint="eastAsia" w:ascii="Times New Roman" w:hAnsi="Times New Roman"/>
                <w:b/>
                <w:color w:val="000000" w:themeColor="text1"/>
                <w:sz w:val="24"/>
                <w14:textFill>
                  <w14:solidFill>
                    <w14:schemeClr w14:val="tx1"/>
                  </w14:solidFill>
                </w14:textFill>
              </w:rPr>
              <w:t>2、供气系统</w:t>
            </w:r>
          </w:p>
          <w:p>
            <w:pPr>
              <w:pStyle w:val="61"/>
              <w:ind w:firstLine="480" w:firstLineChars="0"/>
              <w:rPr>
                <w:color w:val="000000" w:themeColor="text1"/>
                <w:szCs w:val="20"/>
                <w14:textFill>
                  <w14:solidFill>
                    <w14:schemeClr w14:val="tx1"/>
                  </w14:solidFill>
                </w14:textFill>
              </w:rPr>
            </w:pPr>
            <w:r>
              <w:rPr>
                <w:rFonts w:hint="eastAsia"/>
                <w:color w:val="000000" w:themeColor="text1"/>
                <w:szCs w:val="20"/>
                <w14:textFill>
                  <w14:solidFill>
                    <w14:schemeClr w14:val="tx1"/>
                  </w14:solidFill>
                </w14:textFill>
              </w:rPr>
              <w:t>项目拟设1台3t/h天然气蒸汽锅炉，年工作260天，日工作12小时。根据本项目生产需求，燃气锅炉蒸汽供需量为4020t/a（1.3t/h）。</w:t>
            </w:r>
          </w:p>
          <w:p>
            <w:pPr>
              <w:pStyle w:val="61"/>
              <w:ind w:firstLine="480" w:firstLineChars="0"/>
              <w:rPr>
                <w:color w:val="000000" w:themeColor="text1"/>
                <w14:textFill>
                  <w14:solidFill>
                    <w14:schemeClr w14:val="tx1"/>
                  </w14:solidFill>
                </w14:textFill>
              </w:rPr>
            </w:pPr>
            <w:r>
              <w:rPr>
                <w:rFonts w:hint="eastAsia"/>
                <w:color w:val="000000" w:themeColor="text1"/>
                <w:szCs w:val="20"/>
                <w14:textFill>
                  <w14:solidFill>
                    <w14:schemeClr w14:val="tx1"/>
                  </w14:solidFill>
                </w14:textFill>
              </w:rPr>
              <w:t>根据锅炉功率换算4020t/a=1.013×10</w:t>
            </w:r>
            <w:r>
              <w:rPr>
                <w:rFonts w:hint="eastAsia"/>
                <w:color w:val="000000" w:themeColor="text1"/>
                <w:szCs w:val="20"/>
                <w:vertAlign w:val="superscript"/>
                <w14:textFill>
                  <w14:solidFill>
                    <w14:schemeClr w14:val="tx1"/>
                  </w14:solidFill>
                </w14:textFill>
              </w:rPr>
              <w:t>10</w:t>
            </w:r>
            <w:r>
              <w:rPr>
                <w:rFonts w:hint="eastAsia"/>
                <w:color w:val="000000" w:themeColor="text1"/>
                <w:szCs w:val="20"/>
                <w14:textFill>
                  <w14:solidFill>
                    <w14:schemeClr w14:val="tx1"/>
                  </w14:solidFill>
                </w14:textFill>
              </w:rPr>
              <w:t>kJ/a计算，天然气</w:t>
            </w:r>
            <w:r>
              <w:rPr>
                <w:color w:val="000000" w:themeColor="text1"/>
                <w:szCs w:val="20"/>
                <w14:textFill>
                  <w14:solidFill>
                    <w14:schemeClr w14:val="tx1"/>
                  </w14:solidFill>
                </w14:textFill>
              </w:rPr>
              <w:t>平均热值为35170kJ/m</w:t>
            </w:r>
            <w:r>
              <w:rPr>
                <w:color w:val="000000" w:themeColor="text1"/>
                <w:szCs w:val="20"/>
                <w:vertAlign w:val="superscript"/>
                <w14:textFill>
                  <w14:solidFill>
                    <w14:schemeClr w14:val="tx1"/>
                  </w14:solidFill>
                </w14:textFill>
              </w:rPr>
              <w:t>3</w:t>
            </w:r>
            <w:r>
              <w:rPr>
                <w:color w:val="000000" w:themeColor="text1"/>
                <w:szCs w:val="20"/>
                <w14:textFill>
                  <w14:solidFill>
                    <w14:schemeClr w14:val="tx1"/>
                  </w14:solidFill>
                </w14:textFill>
              </w:rPr>
              <w:t>，根据生产经验天然气锅炉热效率一般达</w:t>
            </w:r>
            <w:r>
              <w:rPr>
                <w:rFonts w:hint="eastAsia"/>
                <w:color w:val="000000" w:themeColor="text1"/>
                <w:szCs w:val="20"/>
                <w14:textFill>
                  <w14:solidFill>
                    <w14:schemeClr w14:val="tx1"/>
                  </w14:solidFill>
                </w14:textFill>
              </w:rPr>
              <w:t>78</w:t>
            </w:r>
            <w:r>
              <w:rPr>
                <w:color w:val="000000" w:themeColor="text1"/>
                <w:szCs w:val="20"/>
                <w14:textFill>
                  <w14:solidFill>
                    <w14:schemeClr w14:val="tx1"/>
                  </w14:solidFill>
                </w14:textFill>
              </w:rPr>
              <w:t>%以上</w:t>
            </w:r>
            <w:r>
              <w:rPr>
                <w:rFonts w:hint="eastAsia"/>
                <w:color w:val="000000" w:themeColor="text1"/>
                <w:szCs w:val="20"/>
                <w14:textFill>
                  <w14:solidFill>
                    <w14:schemeClr w14:val="tx1"/>
                  </w14:solidFill>
                </w14:textFill>
              </w:rPr>
              <w:t>，即天然气用量=1.013×10</w:t>
            </w:r>
            <w:r>
              <w:rPr>
                <w:rFonts w:hint="eastAsia"/>
                <w:color w:val="000000" w:themeColor="text1"/>
                <w:szCs w:val="20"/>
                <w:vertAlign w:val="superscript"/>
                <w14:textFill>
                  <w14:solidFill>
                    <w14:schemeClr w14:val="tx1"/>
                  </w14:solidFill>
                </w14:textFill>
              </w:rPr>
              <w:t>10</w:t>
            </w:r>
            <w:r>
              <w:rPr>
                <w:rFonts w:hint="eastAsia"/>
                <w:color w:val="000000" w:themeColor="text1"/>
                <w:szCs w:val="20"/>
                <w14:textFill>
                  <w14:solidFill>
                    <w14:schemeClr w14:val="tx1"/>
                  </w14:solidFill>
                </w14:textFill>
              </w:rPr>
              <w:t>kJ/a÷</w:t>
            </w:r>
            <w:r>
              <w:rPr>
                <w:color w:val="000000" w:themeColor="text1"/>
                <w:szCs w:val="20"/>
                <w14:textFill>
                  <w14:solidFill>
                    <w14:schemeClr w14:val="tx1"/>
                  </w14:solidFill>
                </w14:textFill>
              </w:rPr>
              <w:t>35170kJ/m</w:t>
            </w:r>
            <w:r>
              <w:rPr>
                <w:color w:val="000000" w:themeColor="text1"/>
                <w:szCs w:val="20"/>
                <w:vertAlign w:val="superscript"/>
                <w14:textFill>
                  <w14:solidFill>
                    <w14:schemeClr w14:val="tx1"/>
                  </w14:solidFill>
                </w14:textFill>
              </w:rPr>
              <w:t>3</w:t>
            </w:r>
            <w:r>
              <w:rPr>
                <w:rFonts w:hint="eastAsia"/>
                <w:color w:val="000000" w:themeColor="text1"/>
                <w:szCs w:val="20"/>
                <w14:textFill>
                  <w14:solidFill>
                    <w14:schemeClr w14:val="tx1"/>
                  </w14:solidFill>
                </w14:textFill>
              </w:rPr>
              <w:t>÷78%≈36.9</w:t>
            </w:r>
            <w:r>
              <w:rPr>
                <w:color w:val="000000" w:themeColor="text1"/>
                <w:szCs w:val="20"/>
                <w14:textFill>
                  <w14:solidFill>
                    <w14:schemeClr w14:val="tx1"/>
                  </w14:solidFill>
                </w14:textFill>
              </w:rPr>
              <w:t>万m</w:t>
            </w:r>
            <w:r>
              <w:rPr>
                <w:color w:val="000000" w:themeColor="text1"/>
                <w:szCs w:val="20"/>
                <w:vertAlign w:val="superscript"/>
                <w14:textFill>
                  <w14:solidFill>
                    <w14:schemeClr w14:val="tx1"/>
                  </w14:solidFill>
                </w14:textFill>
              </w:rPr>
              <w:t>3</w:t>
            </w:r>
            <w:r>
              <w:rPr>
                <w:color w:val="000000" w:themeColor="text1"/>
                <w:szCs w:val="20"/>
                <w14:textFill>
                  <w14:solidFill>
                    <w14:schemeClr w14:val="tx1"/>
                  </w14:solidFill>
                </w14:textFill>
              </w:rPr>
              <w:t>/a</w:t>
            </w:r>
            <w:r>
              <w:rPr>
                <w:rFonts w:hint="eastAsia"/>
                <w:color w:val="000000" w:themeColor="text1"/>
                <w:szCs w:val="20"/>
                <w14:textFill>
                  <w14:solidFill>
                    <w14:schemeClr w14:val="tx1"/>
                  </w14:solidFill>
                </w14:textFill>
              </w:rPr>
              <w:t>。因此本项目锅炉燃天然气用量为36.9</w:t>
            </w:r>
            <w:r>
              <w:rPr>
                <w:color w:val="000000" w:themeColor="text1"/>
                <w:szCs w:val="20"/>
                <w14:textFill>
                  <w14:solidFill>
                    <w14:schemeClr w14:val="tx1"/>
                  </w14:solidFill>
                </w14:textFill>
              </w:rPr>
              <w:t>万m</w:t>
            </w:r>
            <w:r>
              <w:rPr>
                <w:color w:val="000000" w:themeColor="text1"/>
                <w:szCs w:val="20"/>
                <w:vertAlign w:val="superscript"/>
                <w14:textFill>
                  <w14:solidFill>
                    <w14:schemeClr w14:val="tx1"/>
                  </w14:solidFill>
                </w14:textFill>
              </w:rPr>
              <w:t>3</w:t>
            </w:r>
            <w:r>
              <w:rPr>
                <w:color w:val="000000" w:themeColor="text1"/>
                <w:szCs w:val="20"/>
                <w14:textFill>
                  <w14:solidFill>
                    <w14:schemeClr w14:val="tx1"/>
                  </w14:solidFill>
                </w14:textFill>
              </w:rPr>
              <w:t>/a</w:t>
            </w:r>
            <w:r>
              <w:rPr>
                <w:rFonts w:hint="eastAsia"/>
                <w:color w:val="000000" w:themeColor="text1"/>
                <w:szCs w:val="20"/>
                <w14:textFill>
                  <w14:solidFill>
                    <w14:schemeClr w14:val="tx1"/>
                  </w14:solidFill>
                </w14:textFill>
              </w:rPr>
              <w:t>。</w:t>
            </w:r>
          </w:p>
          <w:p>
            <w:pPr>
              <w:adjustRightInd w:val="0"/>
              <w:snapToGrid w:val="0"/>
              <w:spacing w:line="348" w:lineRule="auto"/>
              <w:ind w:firstLine="482" w:firstLineChars="200"/>
              <w:rPr>
                <w:rFonts w:ascii="Times New Roman" w:hAnsi="Times New Roman"/>
                <w:b/>
                <w:color w:val="000000" w:themeColor="text1"/>
                <w:sz w:val="24"/>
                <w14:textFill>
                  <w14:solidFill>
                    <w14:schemeClr w14:val="tx1"/>
                  </w14:solidFill>
                </w14:textFill>
              </w:rPr>
            </w:pPr>
            <w:r>
              <w:rPr>
                <w:rFonts w:hint="eastAsia" w:ascii="Times New Roman" w:hAnsi="Times New Roman"/>
                <w:b/>
                <w:color w:val="000000" w:themeColor="text1"/>
                <w:sz w:val="24"/>
                <w14:textFill>
                  <w14:solidFill>
                    <w14:schemeClr w14:val="tx1"/>
                  </w14:solidFill>
                </w14:textFill>
              </w:rPr>
              <w:t>3</w:t>
            </w:r>
            <w:r>
              <w:rPr>
                <w:rFonts w:ascii="Times New Roman" w:hAnsi="Times New Roman"/>
                <w:b/>
                <w:color w:val="000000" w:themeColor="text1"/>
                <w:sz w:val="24"/>
                <w14:textFill>
                  <w14:solidFill>
                    <w14:schemeClr w14:val="tx1"/>
                  </w14:solidFill>
                </w14:textFill>
              </w:rPr>
              <w:t>、给排水</w:t>
            </w:r>
          </w:p>
          <w:p>
            <w:pPr>
              <w:pStyle w:val="84"/>
              <w:autoSpaceDE/>
              <w:autoSpaceDN/>
              <w:snapToGrid w:val="0"/>
              <w:spacing w:line="360" w:lineRule="auto"/>
              <w:ind w:firstLine="476" w:firstLineChars="200"/>
              <w:textAlignment w:val="baseline"/>
              <w:rPr>
                <w:rFonts w:hAnsi="Times New Roman"/>
                <w:bCs/>
                <w:color w:val="000000" w:themeColor="text1"/>
                <w:sz w:val="24"/>
                <w14:textFill>
                  <w14:solidFill>
                    <w14:schemeClr w14:val="tx1"/>
                  </w14:solidFill>
                </w14:textFill>
              </w:rPr>
            </w:pPr>
            <w:r>
              <w:rPr>
                <w:rFonts w:hAnsi="Times New Roman"/>
                <w:color w:val="000000" w:themeColor="text1"/>
                <w:sz w:val="24"/>
                <w14:textFill>
                  <w14:solidFill>
                    <w14:schemeClr w14:val="tx1"/>
                  </w14:solidFill>
                </w14:textFill>
              </w:rPr>
              <w:t>（1）给水：</w:t>
            </w:r>
            <w:r>
              <w:rPr>
                <w:rFonts w:hAnsi="Times New Roman"/>
                <w:bCs/>
                <w:color w:val="000000" w:themeColor="text1"/>
                <w:sz w:val="24"/>
                <w14:textFill>
                  <w14:solidFill>
                    <w14:schemeClr w14:val="tx1"/>
                  </w14:solidFill>
                </w14:textFill>
              </w:rPr>
              <w:t>本项目用水主要为自来水用水</w:t>
            </w:r>
            <w:r>
              <w:rPr>
                <w:rFonts w:hint="eastAsia" w:hAnsi="Times New Roman"/>
                <w:bCs/>
                <w:color w:val="000000" w:themeColor="text1"/>
                <w:sz w:val="24"/>
                <w14:textFill>
                  <w14:solidFill>
                    <w14:schemeClr w14:val="tx1"/>
                  </w14:solidFill>
                </w14:textFill>
              </w:rPr>
              <w:t>4439 m</w:t>
            </w:r>
            <w:r>
              <w:rPr>
                <w:rFonts w:hint="eastAsia" w:hAnsi="Times New Roman"/>
                <w:bCs/>
                <w:color w:val="000000" w:themeColor="text1"/>
                <w:sz w:val="24"/>
                <w:vertAlign w:val="superscript"/>
                <w14:textFill>
                  <w14:solidFill>
                    <w14:schemeClr w14:val="tx1"/>
                  </w14:solidFill>
                </w14:textFill>
              </w:rPr>
              <w:t>3</w:t>
            </w:r>
            <w:r>
              <w:rPr>
                <w:rFonts w:hint="eastAsia" w:hAnsi="Times New Roman"/>
                <w:bCs/>
                <w:color w:val="000000" w:themeColor="text1"/>
                <w:sz w:val="24"/>
                <w14:textFill>
                  <w14:solidFill>
                    <w14:schemeClr w14:val="tx1"/>
                  </w14:solidFill>
                </w14:textFill>
              </w:rPr>
              <w:t>/a</w:t>
            </w:r>
            <w:r>
              <w:rPr>
                <w:rFonts w:hAnsi="Times New Roman"/>
                <w:bCs/>
                <w:color w:val="000000" w:themeColor="text1"/>
                <w:sz w:val="24"/>
                <w14:textFill>
                  <w14:solidFill>
                    <w14:schemeClr w14:val="tx1"/>
                  </w14:solidFill>
                </w14:textFill>
              </w:rPr>
              <w:t>、饮用水用水1194</w:t>
            </w:r>
            <w:r>
              <w:rPr>
                <w:rFonts w:hint="eastAsia" w:hAnsi="Times New Roman"/>
                <w:bCs/>
                <w:color w:val="000000" w:themeColor="text1"/>
                <w:sz w:val="24"/>
                <w14:textFill>
                  <w14:solidFill>
                    <w14:schemeClr w14:val="tx1"/>
                  </w14:solidFill>
                </w14:textFill>
              </w:rPr>
              <w:t xml:space="preserve"> m</w:t>
            </w:r>
            <w:r>
              <w:rPr>
                <w:rFonts w:hint="eastAsia" w:hAnsi="Times New Roman"/>
                <w:bCs/>
                <w:color w:val="000000" w:themeColor="text1"/>
                <w:sz w:val="24"/>
                <w:vertAlign w:val="superscript"/>
                <w14:textFill>
                  <w14:solidFill>
                    <w14:schemeClr w14:val="tx1"/>
                  </w14:solidFill>
                </w14:textFill>
              </w:rPr>
              <w:t>3</w:t>
            </w:r>
            <w:r>
              <w:rPr>
                <w:rFonts w:hAnsi="Times New Roman"/>
                <w:bCs/>
                <w:color w:val="000000" w:themeColor="text1"/>
                <w:sz w:val="24"/>
                <w14:textFill>
                  <w14:solidFill>
                    <w14:schemeClr w14:val="tx1"/>
                  </w14:solidFill>
                </w14:textFill>
              </w:rPr>
              <w:t>/a，具体分析见工程污染源分析。</w:t>
            </w:r>
          </w:p>
          <w:p>
            <w:pPr>
              <w:pStyle w:val="84"/>
              <w:autoSpaceDE/>
              <w:autoSpaceDN/>
              <w:snapToGrid w:val="0"/>
              <w:spacing w:line="360" w:lineRule="auto"/>
              <w:ind w:firstLine="349" w:firstLineChars="147"/>
              <w:textAlignment w:val="baseline"/>
              <w:rPr>
                <w:rFonts w:hAnsi="Times New Roman"/>
                <w:bCs/>
                <w:color w:val="000000" w:themeColor="text1"/>
                <w:sz w:val="24"/>
                <w14:textFill>
                  <w14:solidFill>
                    <w14:schemeClr w14:val="tx1"/>
                  </w14:solidFill>
                </w14:textFill>
              </w:rPr>
            </w:pPr>
            <w:r>
              <w:rPr>
                <w:rFonts w:hAnsi="Times New Roman"/>
                <w:color w:val="000000" w:themeColor="text1"/>
                <w:sz w:val="24"/>
                <w14:textFill>
                  <w14:solidFill>
                    <w14:schemeClr w14:val="tx1"/>
                  </w14:solidFill>
                </w14:textFill>
              </w:rPr>
              <w:t>（2）排水：</w:t>
            </w:r>
            <w:r>
              <w:rPr>
                <w:rFonts w:hAnsi="Times New Roman"/>
                <w:bCs/>
                <w:color w:val="000000" w:themeColor="text1"/>
                <w:sz w:val="24"/>
                <w14:textFill>
                  <w14:solidFill>
                    <w14:schemeClr w14:val="tx1"/>
                  </w14:solidFill>
                </w14:textFill>
              </w:rPr>
              <w:t>本项目排水实行雨污分流制。项目生产废水产生量为4110.298</w:t>
            </w:r>
            <w:r>
              <w:rPr>
                <w:rFonts w:hint="eastAsia" w:hAnsi="Times New Roman"/>
                <w:bCs/>
                <w:color w:val="000000" w:themeColor="text1"/>
                <w:sz w:val="24"/>
                <w14:textFill>
                  <w14:solidFill>
                    <w14:schemeClr w14:val="tx1"/>
                  </w14:solidFill>
                </w14:textFill>
              </w:rPr>
              <w:t xml:space="preserve"> m</w:t>
            </w:r>
            <w:r>
              <w:rPr>
                <w:rFonts w:hint="eastAsia" w:hAnsi="Times New Roman"/>
                <w:bCs/>
                <w:color w:val="000000" w:themeColor="text1"/>
                <w:sz w:val="24"/>
                <w:vertAlign w:val="superscript"/>
                <w14:textFill>
                  <w14:solidFill>
                    <w14:schemeClr w14:val="tx1"/>
                  </w14:solidFill>
                </w14:textFill>
              </w:rPr>
              <w:t>3</w:t>
            </w:r>
            <w:r>
              <w:rPr>
                <w:rFonts w:hAnsi="Times New Roman"/>
                <w:bCs/>
                <w:color w:val="000000" w:themeColor="text1"/>
                <w:sz w:val="24"/>
                <w14:textFill>
                  <w14:solidFill>
                    <w14:schemeClr w14:val="tx1"/>
                  </w14:solidFill>
                </w14:textFill>
              </w:rPr>
              <w:t>/a，经自建污水处理站处理达标后排入工业污水处理厂处理</w:t>
            </w:r>
            <w:r>
              <w:rPr>
                <w:rFonts w:hint="eastAsia" w:hAnsi="Times New Roman"/>
                <w:bCs/>
                <w:color w:val="000000" w:themeColor="text1"/>
                <w:sz w:val="24"/>
                <w14:textFill>
                  <w14:solidFill>
                    <w14:schemeClr w14:val="tx1"/>
                  </w14:solidFill>
                </w14:textFill>
              </w:rPr>
              <w:t>；生活污水产生量为144m</w:t>
            </w:r>
            <w:r>
              <w:rPr>
                <w:rFonts w:hint="eastAsia" w:hAnsi="Times New Roman"/>
                <w:bCs/>
                <w:color w:val="000000" w:themeColor="text1"/>
                <w:sz w:val="24"/>
                <w:vertAlign w:val="superscript"/>
                <w14:textFill>
                  <w14:solidFill>
                    <w14:schemeClr w14:val="tx1"/>
                  </w14:solidFill>
                </w14:textFill>
              </w:rPr>
              <w:t>3</w:t>
            </w:r>
            <w:r>
              <w:rPr>
                <w:rFonts w:hint="eastAsia" w:hAnsi="Times New Roman"/>
                <w:bCs/>
                <w:color w:val="000000" w:themeColor="text1"/>
                <w:sz w:val="24"/>
                <w14:textFill>
                  <w14:solidFill>
                    <w14:schemeClr w14:val="tx1"/>
                  </w14:solidFill>
                </w14:textFill>
              </w:rPr>
              <w:t>/a，经化粪池预处理达标后排入河口镇污水处理厂处理。</w:t>
            </w:r>
            <w:r>
              <w:rPr>
                <w:rFonts w:hAnsi="Times New Roman"/>
                <w:bCs/>
                <w:color w:val="000000" w:themeColor="text1"/>
                <w:sz w:val="24"/>
                <w14:textFill>
                  <w14:solidFill>
                    <w14:schemeClr w14:val="tx1"/>
                  </w14:solidFill>
                </w14:textFill>
              </w:rPr>
              <w:t>具体分析见工程污染源分析。</w:t>
            </w:r>
          </w:p>
          <w:p>
            <w:pPr>
              <w:pStyle w:val="84"/>
              <w:autoSpaceDE/>
              <w:autoSpaceDN/>
              <w:snapToGrid w:val="0"/>
              <w:spacing w:line="360" w:lineRule="auto"/>
              <w:ind w:firstLine="349" w:firstLineChars="147"/>
              <w:textAlignment w:val="baseline"/>
              <w:rPr>
                <w:rFonts w:hAnsi="Times New Roman"/>
                <w:bCs/>
                <w:color w:val="000000" w:themeColor="text1"/>
                <w:sz w:val="24"/>
                <w14:textFill>
                  <w14:solidFill>
                    <w14:schemeClr w14:val="tx1"/>
                  </w14:solidFill>
                </w14:textFill>
              </w:rPr>
            </w:pPr>
            <w:r>
              <w:rPr>
                <w:rFonts w:hint="eastAsia" w:hAnsi="Times New Roman"/>
                <w:bCs/>
                <w:color w:val="000000" w:themeColor="text1"/>
                <w:sz w:val="24"/>
                <w14:textFill>
                  <w14:solidFill>
                    <w14:schemeClr w14:val="tx1"/>
                  </w14:solidFill>
                </w14:textFill>
              </w:rPr>
              <w:t>项目药材总用量345.668t/a，根据广东省《用水定额 第二部分：工业》（DB44/T 1461.2-2021）中成药用水定额（先进值45m</w:t>
            </w:r>
            <w:r>
              <w:rPr>
                <w:rFonts w:hint="eastAsia" w:hAnsi="Times New Roman"/>
                <w:bCs/>
                <w:color w:val="000000" w:themeColor="text1"/>
                <w:sz w:val="24"/>
                <w:vertAlign w:val="superscript"/>
                <w14:textFill>
                  <w14:solidFill>
                    <w14:schemeClr w14:val="tx1"/>
                  </w14:solidFill>
                </w14:textFill>
              </w:rPr>
              <w:t>3</w:t>
            </w:r>
            <w:r>
              <w:rPr>
                <w:rFonts w:hint="eastAsia" w:hAnsi="Times New Roman"/>
                <w:bCs/>
                <w:color w:val="000000" w:themeColor="text1"/>
                <w:sz w:val="24"/>
                <w14:textFill>
                  <w14:solidFill>
                    <w14:schemeClr w14:val="tx1"/>
                  </w14:solidFill>
                </w14:textFill>
              </w:rPr>
              <w:t>/t）计算得用水定额15555.06 m</w:t>
            </w:r>
            <w:r>
              <w:rPr>
                <w:rFonts w:hint="eastAsia" w:hAnsi="Times New Roman"/>
                <w:bCs/>
                <w:color w:val="000000" w:themeColor="text1"/>
                <w:sz w:val="24"/>
                <w:vertAlign w:val="superscript"/>
                <w14:textFill>
                  <w14:solidFill>
                    <w14:schemeClr w14:val="tx1"/>
                  </w14:solidFill>
                </w14:textFill>
              </w:rPr>
              <w:t>3</w:t>
            </w:r>
            <w:r>
              <w:rPr>
                <w:rFonts w:hint="eastAsia" w:hAnsi="Times New Roman"/>
                <w:bCs/>
                <w:color w:val="000000" w:themeColor="text1"/>
                <w:sz w:val="24"/>
                <w14:textFill>
                  <w14:solidFill>
                    <w14:schemeClr w14:val="tx1"/>
                  </w14:solidFill>
                </w14:textFill>
              </w:rPr>
              <w:t>/a。本项目总用水5633 m</w:t>
            </w:r>
            <w:r>
              <w:rPr>
                <w:rFonts w:hint="eastAsia" w:hAnsi="Times New Roman"/>
                <w:bCs/>
                <w:color w:val="000000" w:themeColor="text1"/>
                <w:sz w:val="24"/>
                <w:vertAlign w:val="superscript"/>
                <w14:textFill>
                  <w14:solidFill>
                    <w14:schemeClr w14:val="tx1"/>
                  </w14:solidFill>
                </w14:textFill>
              </w:rPr>
              <w:t>3</w:t>
            </w:r>
            <w:r>
              <w:rPr>
                <w:rFonts w:hAnsi="Times New Roman"/>
                <w:bCs/>
                <w:color w:val="000000" w:themeColor="text1"/>
                <w:sz w:val="24"/>
                <w14:textFill>
                  <w14:solidFill>
                    <w14:schemeClr w14:val="tx1"/>
                  </w14:solidFill>
                </w14:textFill>
              </w:rPr>
              <w:t>/a</w:t>
            </w:r>
            <w:r>
              <w:rPr>
                <w:rFonts w:hint="eastAsia" w:hAnsi="Times New Roman"/>
                <w:bCs/>
                <w:color w:val="000000" w:themeColor="text1"/>
                <w:sz w:val="24"/>
                <w14:textFill>
                  <w14:solidFill>
                    <w14:schemeClr w14:val="tx1"/>
                  </w14:solidFill>
                </w14:textFill>
              </w:rPr>
              <w:t>＜15555.06 m</w:t>
            </w:r>
            <w:r>
              <w:rPr>
                <w:rFonts w:hint="eastAsia" w:hAnsi="Times New Roman"/>
                <w:bCs/>
                <w:color w:val="000000" w:themeColor="text1"/>
                <w:sz w:val="24"/>
                <w:vertAlign w:val="superscript"/>
                <w14:textFill>
                  <w14:solidFill>
                    <w14:schemeClr w14:val="tx1"/>
                  </w14:solidFill>
                </w14:textFill>
              </w:rPr>
              <w:t>3</w:t>
            </w:r>
            <w:r>
              <w:rPr>
                <w:rFonts w:hint="eastAsia" w:hAnsi="Times New Roman"/>
                <w:bCs/>
                <w:color w:val="000000" w:themeColor="text1"/>
                <w:sz w:val="24"/>
                <w14:textFill>
                  <w14:solidFill>
                    <w14:schemeClr w14:val="tx1"/>
                  </w14:solidFill>
                </w14:textFill>
              </w:rPr>
              <w:t>/a，符合广东省《用水定额 第二部分：工业》（DB44/T 1461.2-2021）用水定额要求。</w:t>
            </w:r>
          </w:p>
          <w:p>
            <w:pPr>
              <w:adjustRightInd w:val="0"/>
              <w:snapToGrid w:val="0"/>
              <w:jc w:val="center"/>
              <w:rPr>
                <w:rFonts w:ascii="Times New Roman" w:hAnsi="Times New Roman"/>
                <w:bCs/>
                <w:color w:val="000000" w:themeColor="text1"/>
                <w:sz w:val="24"/>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5486400" cy="6051550"/>
                  <wp:effectExtent l="19050" t="19050" r="19050" b="2540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9"/>
                          <a:stretch>
                            <a:fillRect/>
                          </a:stretch>
                        </pic:blipFill>
                        <pic:spPr>
                          <a:xfrm>
                            <a:off x="0" y="0"/>
                            <a:ext cx="5486400" cy="6051550"/>
                          </a:xfrm>
                          <a:prstGeom prst="rect">
                            <a:avLst/>
                          </a:prstGeom>
                          <a:ln>
                            <a:solidFill>
                              <a:schemeClr val="tx1"/>
                            </a:solidFill>
                          </a:ln>
                        </pic:spPr>
                      </pic:pic>
                    </a:graphicData>
                  </a:graphic>
                </wp:inline>
              </w:drawing>
            </w:r>
          </w:p>
          <w:p>
            <w:pPr>
              <w:adjustRightInd w:val="0"/>
              <w:snapToGrid w:val="0"/>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注：95%乙醇中约7.516t/a进入到生产废水中。</w:t>
            </w:r>
          </w:p>
          <w:p>
            <w:pPr>
              <w:pStyle w:val="59"/>
              <w:numPr>
                <w:ilvl w:val="0"/>
                <w:numId w:val="7"/>
              </w:numPr>
              <w:adjustRightInd w:val="0"/>
              <w:snapToGrid w:val="0"/>
              <w:spacing w:line="360" w:lineRule="auto"/>
              <w:ind w:firstLineChars="0"/>
              <w:jc w:val="center"/>
              <w:rPr>
                <w:b/>
                <w:color w:val="000000" w:themeColor="text1"/>
                <w:sz w:val="36"/>
                <w14:textFill>
                  <w14:solidFill>
                    <w14:schemeClr w14:val="tx1"/>
                  </w14:solidFill>
                </w14:textFill>
              </w:rPr>
            </w:pPr>
            <w:r>
              <w:rPr>
                <w:b/>
                <w:color w:val="000000" w:themeColor="text1"/>
                <w:sz w:val="24"/>
                <w14:textFill>
                  <w14:solidFill>
                    <w14:schemeClr w14:val="tx1"/>
                  </w14:solidFill>
                </w14:textFill>
              </w:rPr>
              <w:t>项目水平衡图  单位（t/a）</w:t>
            </w:r>
          </w:p>
          <w:p>
            <w:pPr>
              <w:tabs>
                <w:tab w:val="left" w:pos="1081"/>
              </w:tabs>
              <w:adjustRightInd w:val="0"/>
              <w:snapToGrid w:val="0"/>
              <w:spacing w:line="348" w:lineRule="auto"/>
              <w:ind w:firstLine="480"/>
              <w:rPr>
                <w:rFonts w:ascii="Times New Roman" w:hAnsi="Times New Roman"/>
                <w:b/>
                <w:color w:val="000000" w:themeColor="text1"/>
                <w:sz w:val="24"/>
                <w14:textFill>
                  <w14:solidFill>
                    <w14:schemeClr w14:val="tx1"/>
                  </w14:solidFill>
                </w14:textFill>
              </w:rPr>
            </w:pPr>
            <w:r>
              <w:rPr>
                <w:rFonts w:hint="eastAsia" w:ascii="Times New Roman" w:hAnsi="Times New Roman"/>
                <w:b/>
                <w:color w:val="000000" w:themeColor="text1"/>
                <w:sz w:val="24"/>
                <w14:textFill>
                  <w14:solidFill>
                    <w14:schemeClr w14:val="tx1"/>
                  </w14:solidFill>
                </w14:textFill>
              </w:rPr>
              <w:t>4</w:t>
            </w:r>
            <w:r>
              <w:rPr>
                <w:rFonts w:ascii="Times New Roman" w:hAnsi="Times New Roman"/>
                <w:b/>
                <w:color w:val="000000" w:themeColor="text1"/>
                <w:sz w:val="24"/>
                <w14:textFill>
                  <w14:solidFill>
                    <w14:schemeClr w14:val="tx1"/>
                  </w14:solidFill>
                </w14:textFill>
              </w:rPr>
              <w:t>、物料平衡</w:t>
            </w:r>
          </w:p>
          <w:p>
            <w:pPr>
              <w:tabs>
                <w:tab w:val="left" w:pos="1081"/>
              </w:tabs>
              <w:adjustRightInd w:val="0"/>
              <w:snapToGrid w:val="0"/>
              <w:spacing w:line="348" w:lineRule="auto"/>
              <w:ind w:firstLine="480"/>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（1）乙醇平衡</w:t>
            </w:r>
          </w:p>
          <w:p>
            <w:pPr>
              <w:tabs>
                <w:tab w:val="left" w:pos="1081"/>
              </w:tabs>
              <w:adjustRightInd w:val="0"/>
              <w:snapToGrid w:val="0"/>
              <w:spacing w:line="348"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项目乙醇平衡表见下表，项目生产投入95%乙醇50t/a（含醇47.5t/a），其中乙醇回收41t/a（含醇38.95t/a）、外购9t/a（8.55t/a）。</w:t>
            </w:r>
          </w:p>
          <w:p>
            <w:pPr>
              <w:pStyle w:val="76"/>
              <w:numPr>
                <w:ilvl w:val="0"/>
                <w:numId w:val="4"/>
              </w:numPr>
              <w:ind w:left="0" w:firstLine="0"/>
              <w:rPr>
                <w:b w:val="0"/>
                <w:color w:val="000000" w:themeColor="text1"/>
                <w14:textFill>
                  <w14:solidFill>
                    <w14:schemeClr w14:val="tx1"/>
                  </w14:solidFill>
                </w14:textFill>
              </w:rPr>
            </w:pPr>
            <w:r>
              <w:rPr>
                <w:color w:val="000000" w:themeColor="text1"/>
                <w14:textFill>
                  <w14:solidFill>
                    <w14:schemeClr w14:val="tx1"/>
                  </w14:solidFill>
                </w14:textFill>
              </w:rPr>
              <w:t>乙醇平衡表（全年</w:t>
            </w:r>
            <w:r>
              <w:rPr>
                <w:b w:val="0"/>
                <w:color w:val="000000" w:themeColor="text1"/>
                <w14:textFill>
                  <w14:solidFill>
                    <w14:schemeClr w14:val="tx1"/>
                  </w14:solidFill>
                </w14:textFill>
              </w:rPr>
              <w:t>）</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6"/>
              <w:gridCol w:w="2000"/>
              <w:gridCol w:w="1335"/>
              <w:gridCol w:w="2332"/>
              <w:gridCol w:w="13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restar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生产过程</w:t>
                  </w:r>
                </w:p>
              </w:tc>
              <w:tc>
                <w:tcPr>
                  <w:tcW w:w="1919" w:type="pct"/>
                  <w:gridSpan w:val="2"/>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投入（t/a）</w:t>
                  </w:r>
                </w:p>
              </w:tc>
              <w:tc>
                <w:tcPr>
                  <w:tcW w:w="2111" w:type="pct"/>
                  <w:gridSpan w:val="2"/>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产出（t/a）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continue"/>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151"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名称</w:t>
                  </w:r>
                </w:p>
              </w:tc>
              <w:tc>
                <w:tcPr>
                  <w:tcW w:w="768"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乙醇量</w:t>
                  </w: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名称</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乙醇量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restar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醇提生产线</w:t>
                  </w:r>
                </w:p>
              </w:tc>
              <w:tc>
                <w:tcPr>
                  <w:tcW w:w="1151"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乙醇外购量</w:t>
                  </w:r>
                </w:p>
              </w:tc>
              <w:tc>
                <w:tcPr>
                  <w:tcW w:w="768"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xml:space="preserve">0.750 </w:t>
                  </w: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药渣含乙醇</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xml:space="preserve">0.563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continue"/>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151"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乙醇回用量</w:t>
                  </w:r>
                </w:p>
              </w:tc>
              <w:tc>
                <w:tcPr>
                  <w:tcW w:w="768"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3.050</w:t>
                  </w:r>
                </w:p>
              </w:tc>
              <w:tc>
                <w:tcPr>
                  <w:tcW w:w="1342" w:type="pct"/>
                  <w:shd w:val="clear" w:color="auto" w:fill="auto"/>
                  <w:noWrap/>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药渣挥发乙醇</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xml:space="preserve">0.102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continue"/>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151"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p>
              </w:tc>
              <w:tc>
                <w:tcPr>
                  <w:tcW w:w="768"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乙醇不凝气</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xml:space="preserve">0.085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continue"/>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151"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w:t>
                  </w:r>
                </w:p>
              </w:tc>
              <w:tc>
                <w:tcPr>
                  <w:tcW w:w="768"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w:t>
                  </w: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回收含乙醇</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3.050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restar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水提醇沉生产线</w:t>
                  </w:r>
                </w:p>
              </w:tc>
              <w:tc>
                <w:tcPr>
                  <w:tcW w:w="1151"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乙醇外购量</w:t>
                  </w:r>
                </w:p>
              </w:tc>
              <w:tc>
                <w:tcPr>
                  <w:tcW w:w="768"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xml:space="preserve">2.838 </w:t>
                  </w: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药渣含乙醇</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xml:space="preserve">0.012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continue"/>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151"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乙醇回用量</w:t>
                  </w:r>
                </w:p>
              </w:tc>
              <w:tc>
                <w:tcPr>
                  <w:tcW w:w="768"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10.462</w:t>
                  </w:r>
                </w:p>
              </w:tc>
              <w:tc>
                <w:tcPr>
                  <w:tcW w:w="1342" w:type="pct"/>
                  <w:shd w:val="clear" w:color="auto" w:fill="auto"/>
                  <w:noWrap/>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药渣</w:t>
                  </w:r>
                  <w:r>
                    <w:rPr>
                      <w:rFonts w:hint="eastAsia" w:ascii="Times New Roman" w:hAnsi="Times New Roman"/>
                      <w:color w:val="000000" w:themeColor="text1"/>
                      <w:kern w:val="0"/>
                      <w:szCs w:val="21"/>
                      <w14:textFill>
                        <w14:solidFill>
                          <w14:schemeClr w14:val="tx1"/>
                        </w14:solidFill>
                      </w14:textFill>
                    </w:rPr>
                    <w:t>挥发</w:t>
                  </w:r>
                  <w:r>
                    <w:rPr>
                      <w:rFonts w:ascii="Times New Roman" w:hAnsi="Times New Roman"/>
                      <w:color w:val="000000" w:themeColor="text1"/>
                      <w:kern w:val="0"/>
                      <w:szCs w:val="21"/>
                      <w14:textFill>
                        <w14:solidFill>
                          <w14:schemeClr w14:val="tx1"/>
                        </w14:solidFill>
                      </w14:textFill>
                    </w:rPr>
                    <w:t>乙醇</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xml:space="preserve">0.002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continue"/>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151" w:type="pct"/>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w:t>
                  </w:r>
                </w:p>
              </w:tc>
              <w:tc>
                <w:tcPr>
                  <w:tcW w:w="768" w:type="pct"/>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w:t>
                  </w: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废水含乙醇</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2.465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continue"/>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151" w:type="pct"/>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768" w:type="pct"/>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乙醇不凝气</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0.359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continue"/>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151" w:type="pct"/>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w:t>
                  </w:r>
                </w:p>
              </w:tc>
              <w:tc>
                <w:tcPr>
                  <w:tcW w:w="768" w:type="pct"/>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w:t>
                  </w: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回收含乙醇</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10.462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restart"/>
                  <w:shd w:val="clear" w:color="auto" w:fill="auto"/>
                  <w:noWrap/>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醇提水提生产线</w:t>
                  </w:r>
                </w:p>
              </w:tc>
              <w:tc>
                <w:tcPr>
                  <w:tcW w:w="1151"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乙醇外购量</w:t>
                  </w:r>
                </w:p>
              </w:tc>
              <w:tc>
                <w:tcPr>
                  <w:tcW w:w="768"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xml:space="preserve">4.962 </w:t>
                  </w: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药渣含乙醇</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xml:space="preserve">0.063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continue"/>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151"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乙醇回用量</w:t>
                  </w:r>
                </w:p>
              </w:tc>
              <w:tc>
                <w:tcPr>
                  <w:tcW w:w="768"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25.438</w:t>
                  </w:r>
                </w:p>
              </w:tc>
              <w:tc>
                <w:tcPr>
                  <w:tcW w:w="1342" w:type="pct"/>
                  <w:shd w:val="clear" w:color="auto" w:fill="auto"/>
                  <w:noWrap/>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药渣挥发乙醇</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xml:space="preserve">0.011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continue"/>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151" w:type="pct"/>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w:t>
                  </w:r>
                </w:p>
              </w:tc>
              <w:tc>
                <w:tcPr>
                  <w:tcW w:w="768" w:type="pct"/>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w:t>
                  </w: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废水含乙醇</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4.182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continue"/>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151" w:type="pct"/>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768" w:type="pct"/>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乙醇不凝气</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0.706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continue"/>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151" w:type="pct"/>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w:t>
                  </w:r>
                </w:p>
              </w:tc>
              <w:tc>
                <w:tcPr>
                  <w:tcW w:w="768" w:type="pct"/>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w:t>
                  </w: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回收含乙醇</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25.438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restart"/>
                  <w:shd w:val="clear" w:color="auto" w:fill="auto"/>
                  <w:noWrap/>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合计</w:t>
                  </w:r>
                </w:p>
              </w:tc>
              <w:tc>
                <w:tcPr>
                  <w:tcW w:w="1151"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乙醇外购量</w:t>
                  </w:r>
                </w:p>
              </w:tc>
              <w:tc>
                <w:tcPr>
                  <w:tcW w:w="768"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xml:space="preserve">8.550 </w:t>
                  </w: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药渣含乙醇</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0.638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70" w:type="pct"/>
                  <w:vMerge w:val="continue"/>
                  <w:vAlign w:val="center"/>
                </w:tcPr>
                <w:p>
                  <w:pPr>
                    <w:jc w:val="left"/>
                    <w:rPr>
                      <w:rFonts w:ascii="Times New Roman" w:hAnsi="Times New Roman"/>
                      <w:color w:val="000000" w:themeColor="text1"/>
                      <w:kern w:val="0"/>
                      <w:szCs w:val="21"/>
                      <w14:textFill>
                        <w14:solidFill>
                          <w14:schemeClr w14:val="tx1"/>
                        </w14:solidFill>
                      </w14:textFill>
                    </w:rPr>
                  </w:pPr>
                </w:p>
              </w:tc>
              <w:tc>
                <w:tcPr>
                  <w:tcW w:w="1151"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乙醇回用量</w:t>
                  </w:r>
                </w:p>
              </w:tc>
              <w:tc>
                <w:tcPr>
                  <w:tcW w:w="768"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38.950</w:t>
                  </w: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药渣挥发乙醇</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xml:space="preserve">0.115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continue"/>
                  <w:vAlign w:val="center"/>
                </w:tcPr>
                <w:p>
                  <w:pPr>
                    <w:jc w:val="left"/>
                    <w:rPr>
                      <w:rFonts w:ascii="Times New Roman" w:hAnsi="Times New Roman"/>
                      <w:color w:val="000000" w:themeColor="text1"/>
                      <w:kern w:val="0"/>
                      <w:szCs w:val="21"/>
                      <w14:textFill>
                        <w14:solidFill>
                          <w14:schemeClr w14:val="tx1"/>
                        </w14:solidFill>
                      </w14:textFill>
                    </w:rPr>
                  </w:pPr>
                </w:p>
              </w:tc>
              <w:tc>
                <w:tcPr>
                  <w:tcW w:w="1151"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w:t>
                  </w:r>
                </w:p>
              </w:tc>
              <w:tc>
                <w:tcPr>
                  <w:tcW w:w="768"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w:t>
                  </w: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废水含乙醇</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6.647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continue"/>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151" w:type="pct"/>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768" w:type="pct"/>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乙醇不凝气</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1.150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vMerge w:val="continue"/>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p>
              </w:tc>
              <w:tc>
                <w:tcPr>
                  <w:tcW w:w="1151" w:type="pct"/>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w:t>
                  </w:r>
                </w:p>
              </w:tc>
              <w:tc>
                <w:tcPr>
                  <w:tcW w:w="768" w:type="pct"/>
                  <w:shd w:val="clear" w:color="auto" w:fill="auto"/>
                  <w:noWrap/>
                  <w:vAlign w:val="center"/>
                </w:tcPr>
                <w:p>
                  <w:pPr>
                    <w:widowControl/>
                    <w:jc w:val="left"/>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w:t>
                  </w:r>
                </w:p>
              </w:tc>
              <w:tc>
                <w:tcPr>
                  <w:tcW w:w="1342"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回收含乙醇</w:t>
                  </w:r>
                </w:p>
              </w:tc>
              <w:tc>
                <w:tcPr>
                  <w:tcW w:w="769"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38.950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0" w:type="pct"/>
                  <w:shd w:val="clear" w:color="auto" w:fill="auto"/>
                  <w:noWrap/>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总计</w:t>
                  </w:r>
                </w:p>
              </w:tc>
              <w:tc>
                <w:tcPr>
                  <w:tcW w:w="1151" w:type="pct"/>
                  <w:shd w:val="clear" w:color="auto" w:fill="auto"/>
                  <w:noWrap/>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乙醇总量</w:t>
                  </w:r>
                </w:p>
              </w:tc>
              <w:tc>
                <w:tcPr>
                  <w:tcW w:w="768" w:type="pct"/>
                  <w:shd w:val="clear" w:color="auto" w:fill="auto"/>
                  <w:noWrap/>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xml:space="preserve">47.500 </w:t>
                  </w:r>
                </w:p>
              </w:tc>
              <w:tc>
                <w:tcPr>
                  <w:tcW w:w="1342" w:type="pct"/>
                  <w:shd w:val="clear" w:color="auto" w:fill="auto"/>
                  <w:noWrap/>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　</w:t>
                  </w:r>
                </w:p>
              </w:tc>
              <w:tc>
                <w:tcPr>
                  <w:tcW w:w="769" w:type="pct"/>
                  <w:shd w:val="clear" w:color="auto" w:fill="auto"/>
                  <w:noWrap/>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47.500</w:t>
                  </w:r>
                </w:p>
              </w:tc>
            </w:tr>
          </w:tbl>
          <w:p>
            <w:pPr>
              <w:tabs>
                <w:tab w:val="left" w:pos="1081"/>
              </w:tabs>
              <w:adjustRightInd w:val="0"/>
              <w:snapToGrid w:val="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注：表中的乙醇均已折算成纯乙醇。</w:t>
            </w:r>
          </w:p>
          <w:p>
            <w:pPr>
              <w:tabs>
                <w:tab w:val="left" w:pos="1081"/>
              </w:tabs>
              <w:adjustRightInd w:val="0"/>
              <w:snapToGrid w:val="0"/>
              <w:spacing w:line="348" w:lineRule="auto"/>
              <w:ind w:firstLine="480"/>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（2）蒸汽平衡</w:t>
            </w:r>
          </w:p>
          <w:p>
            <w:pPr>
              <w:tabs>
                <w:tab w:val="left" w:pos="1081"/>
              </w:tabs>
              <w:adjustRightInd w:val="0"/>
              <w:snapToGrid w:val="0"/>
              <w:spacing w:line="348"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项目使用1台3t/h的蒸汽锅炉，1h最大可供蒸汽3t，根据建设单位提供资料，蒸汽锅炉年供蒸汽约4020t/a，其蒸汽平衡见下表：</w:t>
            </w:r>
          </w:p>
          <w:p>
            <w:pPr>
              <w:pStyle w:val="76"/>
              <w:numPr>
                <w:ilvl w:val="0"/>
                <w:numId w:val="4"/>
              </w:numPr>
              <w:ind w:left="0" w:firstLine="0"/>
              <w:rPr>
                <w:color w:val="000000" w:themeColor="text1"/>
                <w14:textFill>
                  <w14:solidFill>
                    <w14:schemeClr w14:val="tx1"/>
                  </w14:solidFill>
                </w14:textFill>
              </w:rPr>
            </w:pPr>
            <w:r>
              <w:rPr>
                <w:color w:val="000000" w:themeColor="text1"/>
                <w14:textFill>
                  <w14:solidFill>
                    <w14:schemeClr w14:val="tx1"/>
                  </w14:solidFill>
                </w14:textFill>
              </w:rPr>
              <w:t>蒸汽平衡表（全年）</w:t>
            </w:r>
          </w:p>
          <w:tbl>
            <w:tblPr>
              <w:tblStyle w:val="19"/>
              <w:tblW w:w="5000" w:type="pct"/>
              <w:jc w:val="center"/>
              <w:tblLayout w:type="autofit"/>
              <w:tblCellMar>
                <w:top w:w="0" w:type="dxa"/>
                <w:left w:w="108" w:type="dxa"/>
                <w:bottom w:w="0" w:type="dxa"/>
                <w:right w:w="108" w:type="dxa"/>
              </w:tblCellMar>
            </w:tblPr>
            <w:tblGrid>
              <w:gridCol w:w="2408"/>
              <w:gridCol w:w="1723"/>
              <w:gridCol w:w="1037"/>
              <w:gridCol w:w="2408"/>
              <w:gridCol w:w="1124"/>
            </w:tblGrid>
            <w:tr>
              <w:tblPrEx>
                <w:tblCellMar>
                  <w:top w:w="0" w:type="dxa"/>
                  <w:left w:w="108" w:type="dxa"/>
                  <w:bottom w:w="0" w:type="dxa"/>
                  <w:right w:w="108" w:type="dxa"/>
                </w:tblCellMar>
              </w:tblPrEx>
              <w:trPr>
                <w:jc w:val="center"/>
              </w:trPr>
              <w:tc>
                <w:tcPr>
                  <w:tcW w:w="138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生产过程</w:t>
                  </w:r>
                </w:p>
              </w:tc>
              <w:tc>
                <w:tcPr>
                  <w:tcW w:w="1586" w:type="pct"/>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投入（t/a）</w:t>
                  </w:r>
                </w:p>
              </w:tc>
              <w:tc>
                <w:tcPr>
                  <w:tcW w:w="2030" w:type="pct"/>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产出（t/a）</w:t>
                  </w:r>
                </w:p>
              </w:tc>
            </w:tr>
            <w:tr>
              <w:tblPrEx>
                <w:tblCellMar>
                  <w:top w:w="0" w:type="dxa"/>
                  <w:left w:w="108" w:type="dxa"/>
                  <w:bottom w:w="0" w:type="dxa"/>
                  <w:right w:w="108" w:type="dxa"/>
                </w:tblCellMar>
              </w:tblPrEx>
              <w:trPr>
                <w:jc w:val="center"/>
              </w:trPr>
              <w:tc>
                <w:tcPr>
                  <w:tcW w:w="1384"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宋体"/>
                      <w:color w:val="000000" w:themeColor="text1"/>
                      <w:kern w:val="0"/>
                      <w:szCs w:val="21"/>
                      <w14:textFill>
                        <w14:solidFill>
                          <w14:schemeClr w14:val="tx1"/>
                        </w14:solidFill>
                      </w14:textFill>
                    </w:rPr>
                  </w:pP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名称</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w:t>
                  </w:r>
                </w:p>
              </w:tc>
              <w:tc>
                <w:tcPr>
                  <w:tcW w:w="138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名称</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w:t>
                  </w:r>
                </w:p>
              </w:tc>
            </w:tr>
            <w:tr>
              <w:tblPrEx>
                <w:tblCellMar>
                  <w:top w:w="0" w:type="dxa"/>
                  <w:left w:w="108" w:type="dxa"/>
                  <w:bottom w:w="0" w:type="dxa"/>
                  <w:right w:w="108" w:type="dxa"/>
                </w:tblCellMar>
              </w:tblPrEx>
              <w:trPr>
                <w:jc w:val="center"/>
              </w:trPr>
              <w:tc>
                <w:tcPr>
                  <w:tcW w:w="138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水提工序</w:t>
                  </w:r>
                </w:p>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(间接加热)</w:t>
                  </w: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蒸汽</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1206</w:t>
                  </w:r>
                </w:p>
              </w:tc>
              <w:tc>
                <w:tcPr>
                  <w:tcW w:w="138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锅炉循环回用</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994.8</w:t>
                  </w:r>
                </w:p>
              </w:tc>
            </w:tr>
            <w:tr>
              <w:tblPrEx>
                <w:tblCellMar>
                  <w:top w:w="0" w:type="dxa"/>
                  <w:left w:w="108" w:type="dxa"/>
                  <w:bottom w:w="0" w:type="dxa"/>
                  <w:right w:w="108" w:type="dxa"/>
                </w:tblCellMar>
              </w:tblPrEx>
              <w:trPr>
                <w:jc w:val="center"/>
              </w:trPr>
              <w:tc>
                <w:tcPr>
                  <w:tcW w:w="1384"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宋体"/>
                      <w:color w:val="000000" w:themeColor="text1"/>
                      <w:kern w:val="0"/>
                      <w:szCs w:val="21"/>
                      <w14:textFill>
                        <w14:solidFill>
                          <w14:schemeClr w14:val="tx1"/>
                        </w14:solidFill>
                      </w14:textFill>
                    </w:rPr>
                  </w:pP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138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蒸发损耗</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211.2</w:t>
                  </w:r>
                </w:p>
              </w:tc>
            </w:tr>
            <w:tr>
              <w:tblPrEx>
                <w:tblCellMar>
                  <w:top w:w="0" w:type="dxa"/>
                  <w:left w:w="108" w:type="dxa"/>
                  <w:bottom w:w="0" w:type="dxa"/>
                  <w:right w:w="108" w:type="dxa"/>
                </w:tblCellMar>
              </w:tblPrEx>
              <w:trPr>
                <w:jc w:val="center"/>
              </w:trPr>
              <w:tc>
                <w:tcPr>
                  <w:tcW w:w="138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醇提工序</w:t>
                  </w:r>
                </w:p>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(间接加热)</w:t>
                  </w: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蒸汽</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201</w:t>
                  </w:r>
                </w:p>
              </w:tc>
              <w:tc>
                <w:tcPr>
                  <w:tcW w:w="138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锅炉循环回用</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165.8</w:t>
                  </w:r>
                </w:p>
              </w:tc>
            </w:tr>
            <w:tr>
              <w:tblPrEx>
                <w:tblCellMar>
                  <w:top w:w="0" w:type="dxa"/>
                  <w:left w:w="108" w:type="dxa"/>
                  <w:bottom w:w="0" w:type="dxa"/>
                  <w:right w:w="108" w:type="dxa"/>
                </w:tblCellMar>
              </w:tblPrEx>
              <w:trPr>
                <w:jc w:val="center"/>
              </w:trPr>
              <w:tc>
                <w:tcPr>
                  <w:tcW w:w="1384"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宋体"/>
                      <w:color w:val="000000" w:themeColor="text1"/>
                      <w:kern w:val="0"/>
                      <w:szCs w:val="21"/>
                      <w14:textFill>
                        <w14:solidFill>
                          <w14:schemeClr w14:val="tx1"/>
                        </w14:solidFill>
                      </w14:textFill>
                    </w:rPr>
                  </w:pP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138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蒸发损耗</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35.2</w:t>
                  </w:r>
                </w:p>
              </w:tc>
            </w:tr>
            <w:tr>
              <w:tblPrEx>
                <w:tblCellMar>
                  <w:top w:w="0" w:type="dxa"/>
                  <w:left w:w="108" w:type="dxa"/>
                  <w:bottom w:w="0" w:type="dxa"/>
                  <w:right w:w="108" w:type="dxa"/>
                </w:tblCellMar>
              </w:tblPrEx>
              <w:trPr>
                <w:jc w:val="center"/>
              </w:trPr>
              <w:tc>
                <w:tcPr>
                  <w:tcW w:w="138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真空浓缩工序</w:t>
                  </w:r>
                </w:p>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(间接加热)</w:t>
                  </w: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蒸汽</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1206</w:t>
                  </w:r>
                </w:p>
              </w:tc>
              <w:tc>
                <w:tcPr>
                  <w:tcW w:w="138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锅炉循环回用</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994.8</w:t>
                  </w:r>
                </w:p>
              </w:tc>
            </w:tr>
            <w:tr>
              <w:tblPrEx>
                <w:tblCellMar>
                  <w:top w:w="0" w:type="dxa"/>
                  <w:left w:w="108" w:type="dxa"/>
                  <w:bottom w:w="0" w:type="dxa"/>
                  <w:right w:w="108" w:type="dxa"/>
                </w:tblCellMar>
              </w:tblPrEx>
              <w:trPr>
                <w:jc w:val="center"/>
              </w:trPr>
              <w:tc>
                <w:tcPr>
                  <w:tcW w:w="1384"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宋体"/>
                      <w:color w:val="000000" w:themeColor="text1"/>
                      <w:kern w:val="0"/>
                      <w:szCs w:val="21"/>
                      <w14:textFill>
                        <w14:solidFill>
                          <w14:schemeClr w14:val="tx1"/>
                        </w14:solidFill>
                      </w14:textFill>
                    </w:rPr>
                  </w:pP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138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蒸发损耗</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211.2</w:t>
                  </w:r>
                </w:p>
              </w:tc>
            </w:tr>
            <w:tr>
              <w:tblPrEx>
                <w:tblCellMar>
                  <w:top w:w="0" w:type="dxa"/>
                  <w:left w:w="108" w:type="dxa"/>
                  <w:bottom w:w="0" w:type="dxa"/>
                  <w:right w:w="108" w:type="dxa"/>
                </w:tblCellMar>
              </w:tblPrEx>
              <w:trPr>
                <w:jc w:val="center"/>
              </w:trPr>
              <w:tc>
                <w:tcPr>
                  <w:tcW w:w="138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干燥烘干工序</w:t>
                  </w:r>
                </w:p>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(间接加热)</w:t>
                  </w: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蒸汽</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402</w:t>
                  </w:r>
                </w:p>
              </w:tc>
              <w:tc>
                <w:tcPr>
                  <w:tcW w:w="138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锅炉循环回用</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330.6</w:t>
                  </w:r>
                </w:p>
              </w:tc>
            </w:tr>
            <w:tr>
              <w:tblPrEx>
                <w:tblCellMar>
                  <w:top w:w="0" w:type="dxa"/>
                  <w:left w:w="108" w:type="dxa"/>
                  <w:bottom w:w="0" w:type="dxa"/>
                  <w:right w:w="108" w:type="dxa"/>
                </w:tblCellMar>
              </w:tblPrEx>
              <w:trPr>
                <w:jc w:val="center"/>
              </w:trPr>
              <w:tc>
                <w:tcPr>
                  <w:tcW w:w="1384"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宋体"/>
                      <w:color w:val="000000" w:themeColor="text1"/>
                      <w:kern w:val="0"/>
                      <w:szCs w:val="21"/>
                      <w14:textFill>
                        <w14:solidFill>
                          <w14:schemeClr w14:val="tx1"/>
                        </w14:solidFill>
                      </w14:textFill>
                    </w:rPr>
                  </w:pP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138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蒸发损耗</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71.4</w:t>
                  </w:r>
                </w:p>
              </w:tc>
            </w:tr>
            <w:tr>
              <w:tblPrEx>
                <w:tblCellMar>
                  <w:top w:w="0" w:type="dxa"/>
                  <w:left w:w="108" w:type="dxa"/>
                  <w:bottom w:w="0" w:type="dxa"/>
                  <w:right w:w="108" w:type="dxa"/>
                </w:tblCellMar>
              </w:tblPrEx>
              <w:trPr>
                <w:jc w:val="center"/>
              </w:trPr>
              <w:tc>
                <w:tcPr>
                  <w:tcW w:w="138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灭菌工序</w:t>
                  </w:r>
                </w:p>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(间接加热)</w:t>
                  </w: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蒸汽</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201</w:t>
                  </w:r>
                </w:p>
              </w:tc>
              <w:tc>
                <w:tcPr>
                  <w:tcW w:w="138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锅炉循环回用</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165.8</w:t>
                  </w:r>
                </w:p>
              </w:tc>
            </w:tr>
            <w:tr>
              <w:tblPrEx>
                <w:tblCellMar>
                  <w:top w:w="0" w:type="dxa"/>
                  <w:left w:w="108" w:type="dxa"/>
                  <w:bottom w:w="0" w:type="dxa"/>
                  <w:right w:w="108" w:type="dxa"/>
                </w:tblCellMar>
              </w:tblPrEx>
              <w:trPr>
                <w:jc w:val="center"/>
              </w:trPr>
              <w:tc>
                <w:tcPr>
                  <w:tcW w:w="1384"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宋体"/>
                      <w:color w:val="000000" w:themeColor="text1"/>
                      <w:kern w:val="0"/>
                      <w:szCs w:val="21"/>
                      <w14:textFill>
                        <w14:solidFill>
                          <w14:schemeClr w14:val="tx1"/>
                        </w14:solidFill>
                      </w14:textFill>
                    </w:rPr>
                  </w:pP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138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蒸发损耗</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35.2</w:t>
                  </w:r>
                </w:p>
              </w:tc>
            </w:tr>
            <w:tr>
              <w:tblPrEx>
                <w:tblCellMar>
                  <w:top w:w="0" w:type="dxa"/>
                  <w:left w:w="108" w:type="dxa"/>
                  <w:bottom w:w="0" w:type="dxa"/>
                  <w:right w:w="108" w:type="dxa"/>
                </w:tblCellMar>
              </w:tblPrEx>
              <w:trPr>
                <w:jc w:val="center"/>
              </w:trPr>
              <w:tc>
                <w:tcPr>
                  <w:tcW w:w="1384" w:type="pct"/>
                  <w:vMerge w:val="restart"/>
                  <w:tcBorders>
                    <w:top w:val="single" w:color="auto" w:sz="4" w:space="0"/>
                    <w:left w:val="single" w:color="auto" w:sz="4" w:space="0"/>
                    <w:bottom w:val="single" w:color="000000" w:sz="4" w:space="0"/>
                    <w:right w:val="single" w:color="000000"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蒸馏工序</w:t>
                  </w:r>
                </w:p>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(直接接触)</w:t>
                  </w: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蒸汽</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121</w:t>
                  </w:r>
                </w:p>
              </w:tc>
              <w:tc>
                <w:tcPr>
                  <w:tcW w:w="138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含油废水</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76.6</w:t>
                  </w:r>
                </w:p>
              </w:tc>
            </w:tr>
            <w:tr>
              <w:tblPrEx>
                <w:tblCellMar>
                  <w:top w:w="0" w:type="dxa"/>
                  <w:left w:w="108" w:type="dxa"/>
                  <w:bottom w:w="0" w:type="dxa"/>
                  <w:right w:w="108" w:type="dxa"/>
                </w:tblCellMar>
              </w:tblPrEx>
              <w:trPr>
                <w:jc w:val="center"/>
              </w:trPr>
              <w:tc>
                <w:tcPr>
                  <w:tcW w:w="1384" w:type="pct"/>
                  <w:vMerge w:val="continue"/>
                  <w:tcBorders>
                    <w:top w:val="single" w:color="auto" w:sz="4" w:space="0"/>
                    <w:left w:val="single" w:color="auto" w:sz="4" w:space="0"/>
                    <w:bottom w:val="single" w:color="000000" w:sz="4" w:space="0"/>
                    <w:right w:val="single" w:color="000000" w:sz="4" w:space="0"/>
                  </w:tcBorders>
                  <w:vAlign w:val="center"/>
                </w:tcPr>
                <w:p>
                  <w:pPr>
                    <w:widowControl/>
                    <w:jc w:val="left"/>
                    <w:rPr>
                      <w:rFonts w:ascii="Times New Roman" w:hAnsi="Times New Roman" w:eastAsia="宋体"/>
                      <w:color w:val="000000" w:themeColor="text1"/>
                      <w:kern w:val="0"/>
                      <w:szCs w:val="21"/>
                      <w14:textFill>
                        <w14:solidFill>
                          <w14:schemeClr w14:val="tx1"/>
                        </w14:solidFill>
                      </w14:textFill>
                    </w:rPr>
                  </w:pP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138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蒸发损耗</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18</w:t>
                  </w:r>
                </w:p>
              </w:tc>
            </w:tr>
            <w:tr>
              <w:tblPrEx>
                <w:tblCellMar>
                  <w:top w:w="0" w:type="dxa"/>
                  <w:left w:w="108" w:type="dxa"/>
                  <w:bottom w:w="0" w:type="dxa"/>
                  <w:right w:w="108" w:type="dxa"/>
                </w:tblCellMar>
              </w:tblPrEx>
              <w:trPr>
                <w:jc w:val="center"/>
              </w:trPr>
              <w:tc>
                <w:tcPr>
                  <w:tcW w:w="1384" w:type="pct"/>
                  <w:vMerge w:val="continue"/>
                  <w:tcBorders>
                    <w:top w:val="single" w:color="auto" w:sz="4" w:space="0"/>
                    <w:left w:val="single" w:color="auto" w:sz="4" w:space="0"/>
                    <w:bottom w:val="single" w:color="000000" w:sz="4" w:space="0"/>
                    <w:right w:val="single" w:color="000000" w:sz="4" w:space="0"/>
                  </w:tcBorders>
                  <w:vAlign w:val="center"/>
                </w:tcPr>
                <w:p>
                  <w:pPr>
                    <w:widowControl/>
                    <w:jc w:val="left"/>
                    <w:rPr>
                      <w:rFonts w:ascii="Times New Roman" w:hAnsi="Times New Roman" w:eastAsia="宋体"/>
                      <w:color w:val="000000" w:themeColor="text1"/>
                      <w:kern w:val="0"/>
                      <w:szCs w:val="21"/>
                      <w14:textFill>
                        <w14:solidFill>
                          <w14:schemeClr w14:val="tx1"/>
                        </w14:solidFill>
                      </w14:textFill>
                    </w:rPr>
                  </w:pP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138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药渣含水</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26.4</w:t>
                  </w:r>
                </w:p>
              </w:tc>
            </w:tr>
            <w:tr>
              <w:tblPrEx>
                <w:tblCellMar>
                  <w:top w:w="0" w:type="dxa"/>
                  <w:left w:w="108" w:type="dxa"/>
                  <w:bottom w:w="0" w:type="dxa"/>
                  <w:right w:w="108" w:type="dxa"/>
                </w:tblCellMar>
              </w:tblPrEx>
              <w:trPr>
                <w:jc w:val="center"/>
              </w:trPr>
              <w:tc>
                <w:tcPr>
                  <w:tcW w:w="138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乙醇回收工序</w:t>
                  </w:r>
                </w:p>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(间接加热)</w:t>
                  </w: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蒸汽</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683</w:t>
                  </w:r>
                </w:p>
              </w:tc>
              <w:tc>
                <w:tcPr>
                  <w:tcW w:w="138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锅炉循环回用</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564.2</w:t>
                  </w:r>
                </w:p>
              </w:tc>
            </w:tr>
            <w:tr>
              <w:tblPrEx>
                <w:tblCellMar>
                  <w:top w:w="0" w:type="dxa"/>
                  <w:left w:w="108" w:type="dxa"/>
                  <w:bottom w:w="0" w:type="dxa"/>
                  <w:right w:w="108" w:type="dxa"/>
                </w:tblCellMar>
              </w:tblPrEx>
              <w:trPr>
                <w:jc w:val="center"/>
              </w:trPr>
              <w:tc>
                <w:tcPr>
                  <w:tcW w:w="1384"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宋体"/>
                      <w:color w:val="000000" w:themeColor="text1"/>
                      <w:kern w:val="0"/>
                      <w:szCs w:val="21"/>
                      <w14:textFill>
                        <w14:solidFill>
                          <w14:schemeClr w14:val="tx1"/>
                        </w14:solidFill>
                      </w14:textFill>
                    </w:rPr>
                  </w:pP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138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蒸发损耗</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118.8</w:t>
                  </w:r>
                </w:p>
              </w:tc>
            </w:tr>
            <w:tr>
              <w:tblPrEx>
                <w:tblCellMar>
                  <w:top w:w="0" w:type="dxa"/>
                  <w:left w:w="108" w:type="dxa"/>
                  <w:bottom w:w="0" w:type="dxa"/>
                  <w:right w:w="108" w:type="dxa"/>
                </w:tblCellMar>
              </w:tblPrEx>
              <w:trPr>
                <w:jc w:val="center"/>
              </w:trPr>
              <w:tc>
                <w:tcPr>
                  <w:tcW w:w="1384" w:type="pct"/>
                  <w:vMerge w:val="restart"/>
                  <w:tcBorders>
                    <w:top w:val="single" w:color="auto" w:sz="4" w:space="0"/>
                    <w:left w:val="single" w:color="auto" w:sz="4" w:space="0"/>
                    <w:bottom w:val="single" w:color="000000" w:sz="4" w:space="0"/>
                    <w:right w:val="single" w:color="000000"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合计</w:t>
                  </w: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蒸汽</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4020</w:t>
                  </w:r>
                </w:p>
              </w:tc>
              <w:tc>
                <w:tcPr>
                  <w:tcW w:w="138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锅炉循环回用</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3216</w:t>
                  </w:r>
                </w:p>
              </w:tc>
            </w:tr>
            <w:tr>
              <w:tblPrEx>
                <w:tblCellMar>
                  <w:top w:w="0" w:type="dxa"/>
                  <w:left w:w="108" w:type="dxa"/>
                  <w:bottom w:w="0" w:type="dxa"/>
                  <w:right w:w="108" w:type="dxa"/>
                </w:tblCellMar>
              </w:tblPrEx>
              <w:trPr>
                <w:jc w:val="center"/>
              </w:trPr>
              <w:tc>
                <w:tcPr>
                  <w:tcW w:w="1384" w:type="pct"/>
                  <w:vMerge w:val="continue"/>
                  <w:tcBorders>
                    <w:top w:val="single" w:color="auto" w:sz="4" w:space="0"/>
                    <w:left w:val="single" w:color="auto" w:sz="4" w:space="0"/>
                    <w:bottom w:val="single" w:color="000000" w:sz="4" w:space="0"/>
                    <w:right w:val="single" w:color="000000" w:sz="4" w:space="0"/>
                  </w:tcBorders>
                  <w:vAlign w:val="center"/>
                </w:tcPr>
                <w:p>
                  <w:pPr>
                    <w:widowControl/>
                    <w:jc w:val="left"/>
                    <w:rPr>
                      <w:rFonts w:ascii="Times New Roman" w:hAnsi="Times New Roman" w:eastAsia="宋体"/>
                      <w:color w:val="000000" w:themeColor="text1"/>
                      <w:kern w:val="0"/>
                      <w:szCs w:val="21"/>
                      <w14:textFill>
                        <w14:solidFill>
                          <w14:schemeClr w14:val="tx1"/>
                        </w14:solidFill>
                      </w14:textFill>
                    </w:rPr>
                  </w:pP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59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138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蒸发损耗</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701</w:t>
                  </w:r>
                </w:p>
              </w:tc>
            </w:tr>
            <w:tr>
              <w:tblPrEx>
                <w:tblCellMar>
                  <w:top w:w="0" w:type="dxa"/>
                  <w:left w:w="108" w:type="dxa"/>
                  <w:bottom w:w="0" w:type="dxa"/>
                  <w:right w:w="108" w:type="dxa"/>
                </w:tblCellMar>
              </w:tblPrEx>
              <w:trPr>
                <w:jc w:val="center"/>
              </w:trPr>
              <w:tc>
                <w:tcPr>
                  <w:tcW w:w="1384" w:type="pct"/>
                  <w:vMerge w:val="continue"/>
                  <w:tcBorders>
                    <w:top w:val="single" w:color="auto" w:sz="4" w:space="0"/>
                    <w:left w:val="single" w:color="auto" w:sz="4" w:space="0"/>
                    <w:bottom w:val="single" w:color="000000" w:sz="4" w:space="0"/>
                    <w:right w:val="single" w:color="000000" w:sz="4" w:space="0"/>
                  </w:tcBorders>
                  <w:vAlign w:val="center"/>
                </w:tcPr>
                <w:p>
                  <w:pPr>
                    <w:widowControl/>
                    <w:jc w:val="left"/>
                    <w:rPr>
                      <w:rFonts w:ascii="Times New Roman" w:hAnsi="Times New Roman" w:eastAsia="宋体"/>
                      <w:color w:val="000000" w:themeColor="text1"/>
                      <w:kern w:val="0"/>
                      <w:szCs w:val="21"/>
                      <w14:textFill>
                        <w14:solidFill>
                          <w14:schemeClr w14:val="tx1"/>
                        </w14:solidFill>
                      </w14:textFill>
                    </w:rPr>
                  </w:pPr>
                </w:p>
              </w:tc>
              <w:tc>
                <w:tcPr>
                  <w:tcW w:w="990"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596"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138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含油废水</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76.6</w:t>
                  </w:r>
                </w:p>
              </w:tc>
            </w:tr>
            <w:tr>
              <w:tblPrEx>
                <w:tblCellMar>
                  <w:top w:w="0" w:type="dxa"/>
                  <w:left w:w="108" w:type="dxa"/>
                  <w:bottom w:w="0" w:type="dxa"/>
                  <w:right w:w="108" w:type="dxa"/>
                </w:tblCellMar>
              </w:tblPrEx>
              <w:trPr>
                <w:jc w:val="center"/>
              </w:trPr>
              <w:tc>
                <w:tcPr>
                  <w:tcW w:w="1384" w:type="pct"/>
                  <w:vMerge w:val="continue"/>
                  <w:tcBorders>
                    <w:top w:val="single" w:color="auto" w:sz="4" w:space="0"/>
                    <w:left w:val="single" w:color="auto" w:sz="4" w:space="0"/>
                    <w:bottom w:val="single" w:color="000000" w:sz="4" w:space="0"/>
                    <w:right w:val="single" w:color="000000" w:sz="4" w:space="0"/>
                  </w:tcBorders>
                  <w:vAlign w:val="center"/>
                </w:tcPr>
                <w:p>
                  <w:pPr>
                    <w:widowControl/>
                    <w:jc w:val="left"/>
                    <w:rPr>
                      <w:rFonts w:ascii="Times New Roman" w:hAnsi="Times New Roman" w:eastAsia="宋体"/>
                      <w:color w:val="000000" w:themeColor="text1"/>
                      <w:kern w:val="0"/>
                      <w:szCs w:val="21"/>
                      <w14:textFill>
                        <w14:solidFill>
                          <w14:schemeClr w14:val="tx1"/>
                        </w14:solidFill>
                      </w14:textFill>
                    </w:rPr>
                  </w:pPr>
                </w:p>
              </w:tc>
              <w:tc>
                <w:tcPr>
                  <w:tcW w:w="990"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596"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138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药渣含水</w:t>
                  </w:r>
                </w:p>
              </w:tc>
              <w:tc>
                <w:tcPr>
                  <w:tcW w:w="64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26.4</w:t>
                  </w:r>
                </w:p>
              </w:tc>
            </w:tr>
            <w:tr>
              <w:tblPrEx>
                <w:tblCellMar>
                  <w:top w:w="0" w:type="dxa"/>
                  <w:left w:w="108" w:type="dxa"/>
                  <w:bottom w:w="0" w:type="dxa"/>
                  <w:right w:w="108" w:type="dxa"/>
                </w:tblCellMar>
              </w:tblPrEx>
              <w:trPr>
                <w:jc w:val="center"/>
              </w:trPr>
              <w:tc>
                <w:tcPr>
                  <w:tcW w:w="138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总计</w:t>
                  </w:r>
                </w:p>
              </w:tc>
              <w:tc>
                <w:tcPr>
                  <w:tcW w:w="9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蒸汽总量</w:t>
                  </w:r>
                </w:p>
              </w:tc>
              <w:tc>
                <w:tcPr>
                  <w:tcW w:w="59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4020</w:t>
                  </w:r>
                </w:p>
              </w:tc>
              <w:tc>
                <w:tcPr>
                  <w:tcW w:w="1384"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w:t>
                  </w:r>
                </w:p>
              </w:tc>
              <w:tc>
                <w:tcPr>
                  <w:tcW w:w="64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4020</w:t>
                  </w:r>
                </w:p>
              </w:tc>
            </w:tr>
          </w:tbl>
          <w:p>
            <w:pPr>
              <w:tabs>
                <w:tab w:val="left" w:pos="1081"/>
              </w:tabs>
              <w:adjustRightInd w:val="0"/>
              <w:snapToGrid w:val="0"/>
              <w:spacing w:line="348"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三、项目四邻关系情况</w:t>
            </w:r>
          </w:p>
          <w:p>
            <w:pPr>
              <w:tabs>
                <w:tab w:val="left" w:pos="1081"/>
              </w:tabs>
              <w:adjustRightInd w:val="0"/>
              <w:snapToGrid w:val="0"/>
              <w:spacing w:line="348"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项目选址于</w:t>
            </w:r>
            <w:r>
              <w:rPr>
                <w:rFonts w:ascii="Times New Roman" w:hAnsi="Times New Roman"/>
                <w:snapToGrid w:val="0"/>
                <w:color w:val="000000" w:themeColor="text1"/>
                <w:kern w:val="0"/>
                <w:sz w:val="24"/>
                <w14:textFill>
                  <w14:solidFill>
                    <w14:schemeClr w14:val="tx1"/>
                  </w14:solidFill>
                </w14:textFill>
              </w:rPr>
              <w:t>陆河县产业转移工业园区西侧空地，项目东面为</w:t>
            </w:r>
            <w:r>
              <w:rPr>
                <w:rFonts w:hint="eastAsia" w:ascii="Times New Roman" w:hAnsi="Times New Roman"/>
                <w:snapToGrid w:val="0"/>
                <w:color w:val="000000" w:themeColor="text1"/>
                <w:kern w:val="0"/>
                <w:sz w:val="24"/>
                <w14:textFill>
                  <w14:solidFill>
                    <w14:schemeClr w14:val="tx1"/>
                  </w14:solidFill>
                </w14:textFill>
              </w:rPr>
              <w:t>园区扶贫厂房</w:t>
            </w:r>
            <w:r>
              <w:rPr>
                <w:rFonts w:ascii="Times New Roman" w:hAnsi="Times New Roman"/>
                <w:snapToGrid w:val="0"/>
                <w:color w:val="000000" w:themeColor="text1"/>
                <w:kern w:val="0"/>
                <w:sz w:val="24"/>
                <w14:textFill>
                  <w14:solidFill>
                    <w14:schemeClr w14:val="tx1"/>
                  </w14:solidFill>
                </w14:textFill>
              </w:rPr>
              <w:t>，南面为陆河县中深爱的科技园</w:t>
            </w:r>
            <w:r>
              <w:rPr>
                <w:rFonts w:hint="eastAsia" w:ascii="Times New Roman" w:hAnsi="Times New Roman"/>
                <w:snapToGrid w:val="0"/>
                <w:color w:val="000000" w:themeColor="text1"/>
                <w:kern w:val="0"/>
                <w:sz w:val="24"/>
                <w14:textFill>
                  <w14:solidFill>
                    <w14:schemeClr w14:val="tx1"/>
                  </w14:solidFill>
                </w14:textFill>
              </w:rPr>
              <w:t>、豪顶新型材料科技有限公司</w:t>
            </w:r>
            <w:r>
              <w:rPr>
                <w:rFonts w:ascii="Times New Roman" w:hAnsi="Times New Roman"/>
                <w:snapToGrid w:val="0"/>
                <w:color w:val="000000" w:themeColor="text1"/>
                <w:kern w:val="0"/>
                <w:sz w:val="24"/>
                <w14:textFill>
                  <w14:solidFill>
                    <w14:schemeClr w14:val="tx1"/>
                  </w14:solidFill>
                </w14:textFill>
              </w:rPr>
              <w:t>，西面为山地与空地，北面为园区标准厂房。</w:t>
            </w:r>
            <w:r>
              <w:rPr>
                <w:rFonts w:ascii="Times New Roman" w:hAnsi="Times New Roman"/>
                <w:color w:val="000000" w:themeColor="text1"/>
                <w:sz w:val="24"/>
                <w14:textFill>
                  <w14:solidFill>
                    <w14:schemeClr w14:val="tx1"/>
                  </w14:solidFill>
                </w14:textFill>
              </w:rPr>
              <w:t>项目四至情况见附图</w:t>
            </w:r>
            <w:r>
              <w:rPr>
                <w:rFonts w:hint="eastAsia" w:ascii="Times New Roman" w:hAnsi="Times New Roman"/>
                <w:color w:val="000000" w:themeColor="text1"/>
                <w:sz w:val="24"/>
                <w14:textFill>
                  <w14:solidFill>
                    <w14:schemeClr w14:val="tx1"/>
                  </w14:solidFill>
                </w14:textFill>
              </w:rPr>
              <w:t>2</w:t>
            </w:r>
            <w:r>
              <w:rPr>
                <w:rFonts w:ascii="Times New Roman" w:hAnsi="Times New Roman"/>
                <w:color w:val="000000" w:themeColor="text1"/>
                <w:sz w:val="24"/>
                <w14:textFill>
                  <w14:solidFill>
                    <w14:schemeClr w14:val="tx1"/>
                  </w14:solidFill>
                </w14:textFill>
              </w:rPr>
              <w:t>，周边敏感点位图见附图</w:t>
            </w:r>
            <w:r>
              <w:rPr>
                <w:rFonts w:hint="eastAsia" w:ascii="Times New Roman" w:hAnsi="Times New Roman"/>
                <w:color w:val="000000" w:themeColor="text1"/>
                <w:sz w:val="24"/>
                <w14:textFill>
                  <w14:solidFill>
                    <w14:schemeClr w14:val="tx1"/>
                  </w14:solidFill>
                </w14:textFill>
              </w:rPr>
              <w:t>5</w:t>
            </w:r>
            <w:r>
              <w:rPr>
                <w:rFonts w:ascii="Times New Roman" w:hAnsi="Times New Roman"/>
                <w:color w:val="000000" w:themeColor="text1"/>
                <w:sz w:val="24"/>
                <w14:textFill>
                  <w14:solidFill>
                    <w14:schemeClr w14:val="tx1"/>
                  </w14:solidFill>
                </w14:textFill>
              </w:rPr>
              <w:t>。</w:t>
            </w:r>
          </w:p>
          <w:p>
            <w:pPr>
              <w:pStyle w:val="76"/>
              <w:numPr>
                <w:ilvl w:val="0"/>
                <w:numId w:val="4"/>
              </w:numPr>
              <w:ind w:left="0" w:firstLine="0"/>
              <w:rPr>
                <w:color w:val="000000" w:themeColor="text1"/>
                <w14:textFill>
                  <w14:solidFill>
                    <w14:schemeClr w14:val="tx1"/>
                  </w14:solidFill>
                </w14:textFill>
              </w:rPr>
            </w:pPr>
            <w:r>
              <w:rPr>
                <w:color w:val="000000" w:themeColor="text1"/>
                <w14:textFill>
                  <w14:solidFill>
                    <w14:schemeClr w14:val="tx1"/>
                  </w14:solidFill>
                </w14:textFill>
              </w:rPr>
              <w:t>项目四至一览表</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843"/>
              <w:gridCol w:w="5056"/>
              <w:gridCol w:w="2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8" w:type="pct"/>
                  <w:vAlign w:val="center"/>
                </w:tcPr>
                <w:p>
                  <w:pPr>
                    <w:tabs>
                      <w:tab w:val="left" w:pos="1081"/>
                    </w:tabs>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序号</w:t>
                  </w:r>
                </w:p>
              </w:tc>
              <w:tc>
                <w:tcPr>
                  <w:tcW w:w="485" w:type="pct"/>
                  <w:shd w:val="clear" w:color="auto" w:fill="auto"/>
                  <w:vAlign w:val="center"/>
                </w:tcPr>
                <w:p>
                  <w:pPr>
                    <w:tabs>
                      <w:tab w:val="left" w:pos="1081"/>
                    </w:tabs>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方位</w:t>
                  </w:r>
                </w:p>
              </w:tc>
              <w:tc>
                <w:tcPr>
                  <w:tcW w:w="2909" w:type="pct"/>
                  <w:shd w:val="clear" w:color="auto" w:fill="auto"/>
                  <w:vAlign w:val="center"/>
                </w:tcPr>
                <w:p>
                  <w:pPr>
                    <w:tabs>
                      <w:tab w:val="left" w:pos="1081"/>
                    </w:tabs>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名称</w:t>
                  </w:r>
                </w:p>
              </w:tc>
              <w:tc>
                <w:tcPr>
                  <w:tcW w:w="1208" w:type="pct"/>
                  <w:shd w:val="clear" w:color="auto" w:fill="auto"/>
                  <w:vAlign w:val="center"/>
                </w:tcPr>
                <w:p>
                  <w:pPr>
                    <w:tabs>
                      <w:tab w:val="left" w:pos="1081"/>
                    </w:tabs>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与项目厂界距离（m）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8" w:type="pct"/>
                  <w:vAlign w:val="center"/>
                </w:tcPr>
                <w:p>
                  <w:pPr>
                    <w:tabs>
                      <w:tab w:val="left" w:pos="1081"/>
                    </w:tabs>
                    <w:adjustRightInd w:val="0"/>
                    <w:snapToGrid w:val="0"/>
                    <w:jc w:val="center"/>
                    <w:rPr>
                      <w:rFonts w:ascii="Times New Roman" w:hAnsi="Times New Roman"/>
                      <w:color w:val="000000" w:themeColor="text1"/>
                      <w:kern w:val="18"/>
                      <w:szCs w:val="21"/>
                      <w14:textFill>
                        <w14:solidFill>
                          <w14:schemeClr w14:val="tx1"/>
                        </w14:solidFill>
                      </w14:textFill>
                    </w:rPr>
                  </w:pPr>
                  <w:r>
                    <w:rPr>
                      <w:rFonts w:ascii="Times New Roman" w:hAnsi="Times New Roman"/>
                      <w:color w:val="000000" w:themeColor="text1"/>
                      <w:kern w:val="18"/>
                      <w:szCs w:val="21"/>
                      <w14:textFill>
                        <w14:solidFill>
                          <w14:schemeClr w14:val="tx1"/>
                        </w14:solidFill>
                      </w14:textFill>
                    </w:rPr>
                    <w:t>1</w:t>
                  </w:r>
                </w:p>
              </w:tc>
              <w:tc>
                <w:tcPr>
                  <w:tcW w:w="485" w:type="pct"/>
                  <w:shd w:val="clear" w:color="auto" w:fill="auto"/>
                  <w:vAlign w:val="center"/>
                </w:tcPr>
                <w:p>
                  <w:pPr>
                    <w:autoSpaceDE w:val="0"/>
                    <w:autoSpaceDN w:val="0"/>
                    <w:jc w:val="center"/>
                    <w:rPr>
                      <w:rFonts w:ascii="Times New Roman" w:hAnsi="Times New Roman" w:eastAsia="宋体"/>
                      <w:color w:val="000000" w:themeColor="text1"/>
                      <w:kern w:val="0"/>
                      <w:position w:val="-1"/>
                      <w:szCs w:val="21"/>
                      <w14:textFill>
                        <w14:solidFill>
                          <w14:schemeClr w14:val="tx1"/>
                        </w14:solidFill>
                      </w14:textFill>
                    </w:rPr>
                  </w:pPr>
                  <w:r>
                    <w:rPr>
                      <w:rFonts w:ascii="Times New Roman" w:hAnsi="Times New Roman" w:eastAsia="宋体"/>
                      <w:color w:val="000000" w:themeColor="text1"/>
                      <w:kern w:val="0"/>
                      <w:position w:val="-1"/>
                      <w:szCs w:val="21"/>
                      <w14:textFill>
                        <w14:solidFill>
                          <w14:schemeClr w14:val="tx1"/>
                        </w14:solidFill>
                      </w14:textFill>
                    </w:rPr>
                    <w:t>北面</w:t>
                  </w:r>
                </w:p>
              </w:tc>
              <w:tc>
                <w:tcPr>
                  <w:tcW w:w="2909" w:type="pct"/>
                  <w:shd w:val="clear" w:color="auto" w:fill="auto"/>
                  <w:vAlign w:val="center"/>
                </w:tcPr>
                <w:p>
                  <w:pPr>
                    <w:autoSpaceDE w:val="0"/>
                    <w:autoSpaceDN w:val="0"/>
                    <w:jc w:val="center"/>
                    <w:rPr>
                      <w:rFonts w:ascii="Times New Roman" w:hAnsi="Times New Roman" w:eastAsia="宋体"/>
                      <w:color w:val="000000" w:themeColor="text1"/>
                      <w:kern w:val="0"/>
                      <w:position w:val="-1"/>
                      <w:szCs w:val="21"/>
                      <w14:textFill>
                        <w14:solidFill>
                          <w14:schemeClr w14:val="tx1"/>
                        </w14:solidFill>
                      </w14:textFill>
                    </w:rPr>
                  </w:pPr>
                  <w:r>
                    <w:rPr>
                      <w:rFonts w:ascii="Times New Roman" w:hAnsi="Times New Roman" w:eastAsia="宋体"/>
                      <w:color w:val="000000" w:themeColor="text1"/>
                      <w:kern w:val="0"/>
                      <w:position w:val="-1"/>
                      <w:szCs w:val="21"/>
                      <w14:textFill>
                        <w14:solidFill>
                          <w14:schemeClr w14:val="tx1"/>
                        </w14:solidFill>
                      </w14:textFill>
                    </w:rPr>
                    <w:t>园区标准厂房</w:t>
                  </w:r>
                </w:p>
              </w:tc>
              <w:tc>
                <w:tcPr>
                  <w:tcW w:w="1208" w:type="pct"/>
                  <w:shd w:val="clear" w:color="auto" w:fill="auto"/>
                  <w:vAlign w:val="center"/>
                </w:tcPr>
                <w:p>
                  <w:pPr>
                    <w:autoSpaceDE w:val="0"/>
                    <w:autoSpaceDN w:val="0"/>
                    <w:jc w:val="center"/>
                    <w:rPr>
                      <w:rFonts w:ascii="Times New Roman" w:hAnsi="Times New Roman" w:eastAsia="宋体"/>
                      <w:color w:val="000000" w:themeColor="text1"/>
                      <w:kern w:val="0"/>
                      <w:position w:val="-1"/>
                      <w:szCs w:val="21"/>
                      <w14:textFill>
                        <w14:solidFill>
                          <w14:schemeClr w14:val="tx1"/>
                        </w14:solidFill>
                      </w14:textFill>
                    </w:rPr>
                  </w:pPr>
                  <w:r>
                    <w:rPr>
                      <w:rFonts w:ascii="Times New Roman" w:hAnsi="Times New Roman" w:eastAsia="宋体"/>
                      <w:color w:val="000000" w:themeColor="text1"/>
                      <w:kern w:val="0"/>
                      <w:position w:val="-1"/>
                      <w:szCs w:val="2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8" w:type="pct"/>
                  <w:vAlign w:val="center"/>
                </w:tcPr>
                <w:p>
                  <w:pPr>
                    <w:tabs>
                      <w:tab w:val="left" w:pos="1081"/>
                    </w:tabs>
                    <w:adjustRightInd w:val="0"/>
                    <w:snapToGrid w:val="0"/>
                    <w:jc w:val="center"/>
                    <w:rPr>
                      <w:rFonts w:ascii="Times New Roman" w:hAnsi="Times New Roman"/>
                      <w:color w:val="000000" w:themeColor="text1"/>
                      <w:kern w:val="18"/>
                      <w:szCs w:val="21"/>
                      <w14:textFill>
                        <w14:solidFill>
                          <w14:schemeClr w14:val="tx1"/>
                        </w14:solidFill>
                      </w14:textFill>
                    </w:rPr>
                  </w:pPr>
                  <w:r>
                    <w:rPr>
                      <w:rFonts w:ascii="Times New Roman" w:hAnsi="Times New Roman"/>
                      <w:color w:val="000000" w:themeColor="text1"/>
                      <w:kern w:val="18"/>
                      <w:szCs w:val="21"/>
                      <w14:textFill>
                        <w14:solidFill>
                          <w14:schemeClr w14:val="tx1"/>
                        </w14:solidFill>
                      </w14:textFill>
                    </w:rPr>
                    <w:t>2</w:t>
                  </w:r>
                </w:p>
              </w:tc>
              <w:tc>
                <w:tcPr>
                  <w:tcW w:w="485" w:type="pct"/>
                  <w:shd w:val="clear" w:color="auto" w:fill="auto"/>
                  <w:vAlign w:val="center"/>
                </w:tcPr>
                <w:p>
                  <w:pPr>
                    <w:autoSpaceDE w:val="0"/>
                    <w:autoSpaceDN w:val="0"/>
                    <w:jc w:val="center"/>
                    <w:rPr>
                      <w:rFonts w:ascii="Times New Roman" w:hAnsi="Times New Roman" w:eastAsia="宋体"/>
                      <w:color w:val="000000" w:themeColor="text1"/>
                      <w:kern w:val="0"/>
                      <w:position w:val="-1"/>
                      <w:szCs w:val="21"/>
                      <w14:textFill>
                        <w14:solidFill>
                          <w14:schemeClr w14:val="tx1"/>
                        </w14:solidFill>
                      </w14:textFill>
                    </w:rPr>
                  </w:pPr>
                  <w:r>
                    <w:rPr>
                      <w:rFonts w:ascii="Times New Roman" w:hAnsi="Times New Roman" w:eastAsia="宋体"/>
                      <w:color w:val="000000" w:themeColor="text1"/>
                      <w:kern w:val="0"/>
                      <w:position w:val="-1"/>
                      <w:szCs w:val="21"/>
                      <w14:textFill>
                        <w14:solidFill>
                          <w14:schemeClr w14:val="tx1"/>
                        </w14:solidFill>
                      </w14:textFill>
                    </w:rPr>
                    <w:t>东面</w:t>
                  </w:r>
                </w:p>
              </w:tc>
              <w:tc>
                <w:tcPr>
                  <w:tcW w:w="2909" w:type="pct"/>
                  <w:shd w:val="clear" w:color="auto" w:fill="auto"/>
                  <w:vAlign w:val="center"/>
                </w:tcPr>
                <w:p>
                  <w:pPr>
                    <w:autoSpaceDE w:val="0"/>
                    <w:autoSpaceDN w:val="0"/>
                    <w:jc w:val="center"/>
                    <w:rPr>
                      <w:rFonts w:ascii="Times New Roman" w:hAnsi="Times New Roman" w:eastAsia="宋体"/>
                      <w:color w:val="000000" w:themeColor="text1"/>
                      <w:kern w:val="0"/>
                      <w:position w:val="-1"/>
                      <w:szCs w:val="21"/>
                      <w14:textFill>
                        <w14:solidFill>
                          <w14:schemeClr w14:val="tx1"/>
                        </w14:solidFill>
                      </w14:textFill>
                    </w:rPr>
                  </w:pPr>
                  <w:r>
                    <w:rPr>
                      <w:rFonts w:hint="eastAsia" w:ascii="Times New Roman" w:hAnsi="Times New Roman" w:eastAsia="宋体"/>
                      <w:color w:val="000000" w:themeColor="text1"/>
                      <w:kern w:val="0"/>
                      <w:position w:val="-1"/>
                      <w:szCs w:val="21"/>
                      <w14:textFill>
                        <w14:solidFill>
                          <w14:schemeClr w14:val="tx1"/>
                        </w14:solidFill>
                      </w14:textFill>
                    </w:rPr>
                    <w:t>园区扶贫厂房</w:t>
                  </w:r>
                </w:p>
              </w:tc>
              <w:tc>
                <w:tcPr>
                  <w:tcW w:w="1208" w:type="pct"/>
                  <w:shd w:val="clear" w:color="auto" w:fill="auto"/>
                  <w:vAlign w:val="center"/>
                </w:tcPr>
                <w:p>
                  <w:pPr>
                    <w:autoSpaceDE w:val="0"/>
                    <w:autoSpaceDN w:val="0"/>
                    <w:jc w:val="center"/>
                    <w:rPr>
                      <w:rFonts w:ascii="Times New Roman" w:hAnsi="Times New Roman" w:eastAsia="宋体"/>
                      <w:color w:val="000000" w:themeColor="text1"/>
                      <w:kern w:val="0"/>
                      <w:position w:val="-1"/>
                      <w:szCs w:val="21"/>
                      <w14:textFill>
                        <w14:solidFill>
                          <w14:schemeClr w14:val="tx1"/>
                        </w14:solidFill>
                      </w14:textFill>
                    </w:rPr>
                  </w:pPr>
                  <w:r>
                    <w:rPr>
                      <w:rFonts w:ascii="Times New Roman" w:hAnsi="Times New Roman" w:eastAsia="宋体"/>
                      <w:color w:val="000000" w:themeColor="text1"/>
                      <w:kern w:val="0"/>
                      <w:position w:val="-1"/>
                      <w:szCs w:val="21"/>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8" w:type="pct"/>
                  <w:vAlign w:val="center"/>
                </w:tcPr>
                <w:p>
                  <w:pPr>
                    <w:tabs>
                      <w:tab w:val="left" w:pos="1081"/>
                    </w:tabs>
                    <w:adjustRightInd w:val="0"/>
                    <w:snapToGrid w:val="0"/>
                    <w:jc w:val="center"/>
                    <w:rPr>
                      <w:rFonts w:ascii="Times New Roman" w:hAnsi="Times New Roman"/>
                      <w:color w:val="000000" w:themeColor="text1"/>
                      <w:kern w:val="18"/>
                      <w:szCs w:val="21"/>
                      <w14:textFill>
                        <w14:solidFill>
                          <w14:schemeClr w14:val="tx1"/>
                        </w14:solidFill>
                      </w14:textFill>
                    </w:rPr>
                  </w:pPr>
                  <w:r>
                    <w:rPr>
                      <w:rFonts w:ascii="Times New Roman" w:hAnsi="Times New Roman"/>
                      <w:color w:val="000000" w:themeColor="text1"/>
                      <w:kern w:val="18"/>
                      <w:szCs w:val="21"/>
                      <w14:textFill>
                        <w14:solidFill>
                          <w14:schemeClr w14:val="tx1"/>
                        </w14:solidFill>
                      </w14:textFill>
                    </w:rPr>
                    <w:t>3</w:t>
                  </w:r>
                </w:p>
              </w:tc>
              <w:tc>
                <w:tcPr>
                  <w:tcW w:w="485" w:type="pct"/>
                  <w:shd w:val="clear" w:color="auto" w:fill="auto"/>
                  <w:vAlign w:val="center"/>
                </w:tcPr>
                <w:p>
                  <w:pPr>
                    <w:autoSpaceDE w:val="0"/>
                    <w:autoSpaceDN w:val="0"/>
                    <w:jc w:val="center"/>
                    <w:rPr>
                      <w:rFonts w:ascii="Times New Roman" w:hAnsi="Times New Roman" w:eastAsia="宋体"/>
                      <w:color w:val="000000" w:themeColor="text1"/>
                      <w:kern w:val="0"/>
                      <w:position w:val="-1"/>
                      <w:szCs w:val="21"/>
                      <w14:textFill>
                        <w14:solidFill>
                          <w14:schemeClr w14:val="tx1"/>
                        </w14:solidFill>
                      </w14:textFill>
                    </w:rPr>
                  </w:pPr>
                  <w:r>
                    <w:rPr>
                      <w:rFonts w:ascii="Times New Roman" w:hAnsi="Times New Roman" w:eastAsia="宋体"/>
                      <w:color w:val="000000" w:themeColor="text1"/>
                      <w:kern w:val="0"/>
                      <w:position w:val="-1"/>
                      <w:szCs w:val="21"/>
                      <w14:textFill>
                        <w14:solidFill>
                          <w14:schemeClr w14:val="tx1"/>
                        </w14:solidFill>
                      </w14:textFill>
                    </w:rPr>
                    <w:t>南面</w:t>
                  </w:r>
                </w:p>
              </w:tc>
              <w:tc>
                <w:tcPr>
                  <w:tcW w:w="2909" w:type="pct"/>
                  <w:shd w:val="clear" w:color="auto" w:fill="auto"/>
                  <w:vAlign w:val="center"/>
                </w:tcPr>
                <w:p>
                  <w:pPr>
                    <w:autoSpaceDE w:val="0"/>
                    <w:autoSpaceDN w:val="0"/>
                    <w:jc w:val="center"/>
                    <w:rPr>
                      <w:rFonts w:ascii="Times New Roman" w:hAnsi="Times New Roman" w:eastAsia="宋体"/>
                      <w:color w:val="000000" w:themeColor="text1"/>
                      <w:kern w:val="0"/>
                      <w:position w:val="-1"/>
                      <w:szCs w:val="21"/>
                      <w14:textFill>
                        <w14:solidFill>
                          <w14:schemeClr w14:val="tx1"/>
                        </w14:solidFill>
                      </w14:textFill>
                    </w:rPr>
                  </w:pPr>
                  <w:r>
                    <w:rPr>
                      <w:rFonts w:ascii="Times New Roman" w:hAnsi="Times New Roman" w:eastAsia="宋体"/>
                      <w:color w:val="000000" w:themeColor="text1"/>
                      <w:kern w:val="0"/>
                      <w:position w:val="-1"/>
                      <w:szCs w:val="21"/>
                      <w14:textFill>
                        <w14:solidFill>
                          <w14:schemeClr w14:val="tx1"/>
                        </w14:solidFill>
                      </w14:textFill>
                    </w:rPr>
                    <w:t>中深爱的科技园</w:t>
                  </w:r>
                  <w:r>
                    <w:rPr>
                      <w:rFonts w:hint="eastAsia" w:ascii="Times New Roman" w:hAnsi="Times New Roman" w:eastAsia="宋体"/>
                      <w:color w:val="000000" w:themeColor="text1"/>
                      <w:kern w:val="0"/>
                      <w:position w:val="-1"/>
                      <w:szCs w:val="21"/>
                      <w14:textFill>
                        <w14:solidFill>
                          <w14:schemeClr w14:val="tx1"/>
                        </w14:solidFill>
                      </w14:textFill>
                    </w:rPr>
                    <w:t>、豪顶新型材料科技有限公司</w:t>
                  </w:r>
                </w:p>
              </w:tc>
              <w:tc>
                <w:tcPr>
                  <w:tcW w:w="1208" w:type="pct"/>
                  <w:shd w:val="clear" w:color="auto" w:fill="auto"/>
                  <w:vAlign w:val="center"/>
                </w:tcPr>
                <w:p>
                  <w:pPr>
                    <w:autoSpaceDE w:val="0"/>
                    <w:autoSpaceDN w:val="0"/>
                    <w:jc w:val="center"/>
                    <w:rPr>
                      <w:rFonts w:ascii="Times New Roman" w:hAnsi="Times New Roman" w:eastAsia="宋体"/>
                      <w:color w:val="000000" w:themeColor="text1"/>
                      <w:kern w:val="0"/>
                      <w:position w:val="-1"/>
                      <w:szCs w:val="21"/>
                      <w14:textFill>
                        <w14:solidFill>
                          <w14:schemeClr w14:val="tx1"/>
                        </w14:solidFill>
                      </w14:textFill>
                    </w:rPr>
                  </w:pPr>
                  <w:r>
                    <w:rPr>
                      <w:rFonts w:ascii="Times New Roman" w:hAnsi="Times New Roman" w:eastAsia="宋体"/>
                      <w:color w:val="000000" w:themeColor="text1"/>
                      <w:kern w:val="0"/>
                      <w:position w:val="-1"/>
                      <w:szCs w:val="21"/>
                      <w14:textFill>
                        <w14:solidFill>
                          <w14:schemeClr w14:val="tx1"/>
                        </w14:solidFill>
                      </w14:textFill>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8" w:type="pct"/>
                  <w:vAlign w:val="center"/>
                </w:tcPr>
                <w:p>
                  <w:pPr>
                    <w:tabs>
                      <w:tab w:val="left" w:pos="1081"/>
                    </w:tabs>
                    <w:adjustRightInd w:val="0"/>
                    <w:snapToGrid w:val="0"/>
                    <w:jc w:val="center"/>
                    <w:rPr>
                      <w:rFonts w:ascii="Times New Roman" w:hAnsi="Times New Roman"/>
                      <w:color w:val="000000" w:themeColor="text1"/>
                      <w:kern w:val="18"/>
                      <w:szCs w:val="21"/>
                      <w14:textFill>
                        <w14:solidFill>
                          <w14:schemeClr w14:val="tx1"/>
                        </w14:solidFill>
                      </w14:textFill>
                    </w:rPr>
                  </w:pPr>
                  <w:r>
                    <w:rPr>
                      <w:rFonts w:ascii="Times New Roman" w:hAnsi="Times New Roman"/>
                      <w:color w:val="000000" w:themeColor="text1"/>
                      <w:kern w:val="18"/>
                      <w:szCs w:val="21"/>
                      <w14:textFill>
                        <w14:solidFill>
                          <w14:schemeClr w14:val="tx1"/>
                        </w14:solidFill>
                      </w14:textFill>
                    </w:rPr>
                    <w:t>4</w:t>
                  </w:r>
                </w:p>
              </w:tc>
              <w:tc>
                <w:tcPr>
                  <w:tcW w:w="485" w:type="pct"/>
                  <w:shd w:val="clear" w:color="auto" w:fill="auto"/>
                  <w:vAlign w:val="center"/>
                </w:tcPr>
                <w:p>
                  <w:pPr>
                    <w:autoSpaceDE w:val="0"/>
                    <w:autoSpaceDN w:val="0"/>
                    <w:jc w:val="center"/>
                    <w:rPr>
                      <w:rFonts w:ascii="Times New Roman" w:hAnsi="Times New Roman" w:eastAsia="宋体"/>
                      <w:color w:val="000000" w:themeColor="text1"/>
                      <w:kern w:val="0"/>
                      <w:position w:val="-1"/>
                      <w:szCs w:val="21"/>
                      <w14:textFill>
                        <w14:solidFill>
                          <w14:schemeClr w14:val="tx1"/>
                        </w14:solidFill>
                      </w14:textFill>
                    </w:rPr>
                  </w:pPr>
                  <w:r>
                    <w:rPr>
                      <w:rFonts w:ascii="Times New Roman" w:hAnsi="Times New Roman" w:eastAsia="宋体"/>
                      <w:color w:val="000000" w:themeColor="text1"/>
                      <w:kern w:val="0"/>
                      <w:position w:val="-1"/>
                      <w:szCs w:val="21"/>
                      <w14:textFill>
                        <w14:solidFill>
                          <w14:schemeClr w14:val="tx1"/>
                        </w14:solidFill>
                      </w14:textFill>
                    </w:rPr>
                    <w:t>西面</w:t>
                  </w:r>
                </w:p>
              </w:tc>
              <w:tc>
                <w:tcPr>
                  <w:tcW w:w="2909" w:type="pct"/>
                  <w:shd w:val="clear" w:color="auto" w:fill="auto"/>
                  <w:vAlign w:val="center"/>
                </w:tcPr>
                <w:p>
                  <w:pPr>
                    <w:autoSpaceDE w:val="0"/>
                    <w:autoSpaceDN w:val="0"/>
                    <w:jc w:val="center"/>
                    <w:rPr>
                      <w:rFonts w:ascii="Times New Roman" w:hAnsi="Times New Roman" w:eastAsia="宋体"/>
                      <w:color w:val="000000" w:themeColor="text1"/>
                      <w:kern w:val="0"/>
                      <w:position w:val="-1"/>
                      <w:szCs w:val="21"/>
                      <w14:textFill>
                        <w14:solidFill>
                          <w14:schemeClr w14:val="tx1"/>
                        </w14:solidFill>
                      </w14:textFill>
                    </w:rPr>
                  </w:pPr>
                  <w:r>
                    <w:rPr>
                      <w:rFonts w:ascii="Times New Roman" w:hAnsi="Times New Roman" w:eastAsia="宋体"/>
                      <w:color w:val="000000" w:themeColor="text1"/>
                      <w:kern w:val="0"/>
                      <w:position w:val="-1"/>
                      <w:szCs w:val="21"/>
                      <w14:textFill>
                        <w14:solidFill>
                          <w14:schemeClr w14:val="tx1"/>
                        </w14:solidFill>
                      </w14:textFill>
                    </w:rPr>
                    <w:t>山地与空地</w:t>
                  </w:r>
                </w:p>
              </w:tc>
              <w:tc>
                <w:tcPr>
                  <w:tcW w:w="1208" w:type="pct"/>
                  <w:shd w:val="clear" w:color="auto" w:fill="auto"/>
                  <w:vAlign w:val="center"/>
                </w:tcPr>
                <w:p>
                  <w:pPr>
                    <w:autoSpaceDE w:val="0"/>
                    <w:autoSpaceDN w:val="0"/>
                    <w:jc w:val="center"/>
                    <w:rPr>
                      <w:rFonts w:ascii="Times New Roman" w:hAnsi="Times New Roman" w:eastAsia="宋体"/>
                      <w:color w:val="000000" w:themeColor="text1"/>
                      <w:kern w:val="0"/>
                      <w:position w:val="-1"/>
                      <w:szCs w:val="21"/>
                      <w14:textFill>
                        <w14:solidFill>
                          <w14:schemeClr w14:val="tx1"/>
                        </w14:solidFill>
                      </w14:textFill>
                    </w:rPr>
                  </w:pPr>
                  <w:r>
                    <w:rPr>
                      <w:rFonts w:ascii="Times New Roman" w:hAnsi="Times New Roman" w:eastAsia="宋体"/>
                      <w:color w:val="000000" w:themeColor="text1"/>
                      <w:kern w:val="0"/>
                      <w:position w:val="-1"/>
                      <w:szCs w:val="21"/>
                      <w14:textFill>
                        <w14:solidFill>
                          <w14:schemeClr w14:val="tx1"/>
                        </w14:solidFill>
                      </w14:textFill>
                    </w:rPr>
                    <w:t>34</w:t>
                  </w:r>
                </w:p>
              </w:tc>
            </w:tr>
          </w:tbl>
          <w:p>
            <w:pPr>
              <w:widowControl/>
              <w:spacing w:line="360" w:lineRule="auto"/>
              <w:ind w:firstLine="468"/>
              <w:rPr>
                <w:rFonts w:ascii="Times New Roman" w:hAnsi="Times New Roman"/>
                <w:b/>
                <w:bCs/>
                <w:color w:val="000000" w:themeColor="text1"/>
                <w:kern w:val="0"/>
                <w:sz w:val="24"/>
                <w14:textFill>
                  <w14:solidFill>
                    <w14:schemeClr w14:val="tx1"/>
                  </w14:solidFill>
                </w14:textFill>
              </w:rPr>
            </w:pPr>
            <w:r>
              <w:rPr>
                <w:rFonts w:ascii="Times New Roman" w:hAnsi="Times New Roman"/>
                <w:b/>
                <w:bCs/>
                <w:color w:val="000000" w:themeColor="text1"/>
                <w:kern w:val="0"/>
                <w:sz w:val="24"/>
                <w14:textFill>
                  <w14:solidFill>
                    <w14:schemeClr w14:val="tx1"/>
                  </w14:solidFill>
                </w14:textFill>
              </w:rPr>
              <w:t>四、项目平面布置</w:t>
            </w:r>
          </w:p>
          <w:p>
            <w:pPr>
              <w:tabs>
                <w:tab w:val="left" w:pos="1081"/>
              </w:tabs>
              <w:adjustRightInd w:val="0"/>
              <w:snapToGrid w:val="0"/>
              <w:spacing w:line="348" w:lineRule="auto"/>
              <w:ind w:firstLine="480"/>
              <w:rPr>
                <w:rFonts w:ascii="Times New Roman" w:hAnsi="Times New Roman"/>
                <w:color w:val="000000" w:themeColor="text1"/>
                <w:sz w:val="24"/>
                <w14:textFill>
                  <w14:solidFill>
                    <w14:schemeClr w14:val="tx1"/>
                  </w14:solidFill>
                </w14:textFill>
              </w:rPr>
            </w:pPr>
            <w:r>
              <w:rPr>
                <w:rFonts w:hint="eastAsia" w:ascii="Times New Roman" w:hAnsi="Times New Roman"/>
                <w:color w:val="000000" w:themeColor="text1"/>
                <w:sz w:val="24"/>
                <w14:textFill>
                  <w14:solidFill>
                    <w14:schemeClr w14:val="tx1"/>
                  </w14:solidFill>
                </w14:textFill>
              </w:rPr>
              <w:t>本项目所在厂区总占地面积为</w:t>
            </w:r>
            <w:r>
              <w:rPr>
                <w:rFonts w:ascii="Times New Roman" w:hAnsi="Times New Roman"/>
                <w:color w:val="000000" w:themeColor="text1"/>
                <w:sz w:val="24"/>
                <w14:textFill>
                  <w14:solidFill>
                    <w14:schemeClr w14:val="tx1"/>
                  </w14:solidFill>
                </w14:textFill>
              </w:rPr>
              <w:t>22525m</w:t>
            </w:r>
            <w:r>
              <w:rPr>
                <w:rFonts w:ascii="Times New Roman" w:hAnsi="Times New Roman"/>
                <w:color w:val="000000" w:themeColor="text1"/>
                <w:sz w:val="24"/>
                <w:vertAlign w:val="superscript"/>
                <w14:textFill>
                  <w14:solidFill>
                    <w14:schemeClr w14:val="tx1"/>
                  </w14:solidFill>
                </w14:textFill>
              </w:rPr>
              <w:t>2</w:t>
            </w:r>
            <w:r>
              <w:rPr>
                <w:rFonts w:hint="eastAsia" w:ascii="Times New Roman" w:hAnsi="Times New Roman"/>
                <w:color w:val="000000" w:themeColor="text1"/>
                <w:sz w:val="24"/>
                <w14:textFill>
                  <w14:solidFill>
                    <w14:schemeClr w14:val="tx1"/>
                  </w14:solidFill>
                </w14:textFill>
              </w:rPr>
              <w:t>，其中本项目占地面积为</w:t>
            </w:r>
            <w:r>
              <w:rPr>
                <w:rFonts w:ascii="Times New Roman" w:hAnsi="Times New Roman"/>
                <w:color w:val="000000" w:themeColor="text1"/>
                <w:sz w:val="24"/>
                <w14:textFill>
                  <w14:solidFill>
                    <w14:schemeClr w14:val="tx1"/>
                  </w14:solidFill>
                </w14:textFill>
              </w:rPr>
              <w:t>2100 m</w:t>
            </w:r>
            <w:r>
              <w:rPr>
                <w:rFonts w:ascii="Times New Roman" w:hAnsi="Times New Roman"/>
                <w:color w:val="000000" w:themeColor="text1"/>
                <w:sz w:val="24"/>
                <w:vertAlign w:val="superscript"/>
                <w14:textFill>
                  <w14:solidFill>
                    <w14:schemeClr w14:val="tx1"/>
                  </w14:solidFill>
                </w14:textFill>
              </w:rPr>
              <w:t>2</w:t>
            </w:r>
            <w:r>
              <w:rPr>
                <w:rFonts w:hint="eastAsia" w:ascii="Times New Roman" w:hAnsi="Times New Roman"/>
                <w:color w:val="000000" w:themeColor="text1"/>
                <w:sz w:val="24"/>
                <w14:textFill>
                  <w14:solidFill>
                    <w14:schemeClr w14:val="tx1"/>
                  </w14:solidFill>
                </w14:textFill>
              </w:rPr>
              <w:t>，建筑面积为</w:t>
            </w:r>
            <w:r>
              <w:rPr>
                <w:rFonts w:ascii="Times New Roman" w:hAnsi="Times New Roman"/>
                <w:color w:val="000000" w:themeColor="text1"/>
                <w:sz w:val="24"/>
                <w14:textFill>
                  <w14:solidFill>
                    <w14:schemeClr w14:val="tx1"/>
                  </w14:solidFill>
                </w14:textFill>
              </w:rPr>
              <w:t>4125m</w:t>
            </w:r>
            <w:r>
              <w:rPr>
                <w:rFonts w:ascii="Times New Roman" w:hAnsi="Times New Roman"/>
                <w:color w:val="000000" w:themeColor="text1"/>
                <w:sz w:val="24"/>
                <w:vertAlign w:val="superscript"/>
                <w14:textFill>
                  <w14:solidFill>
                    <w14:schemeClr w14:val="tx1"/>
                  </w14:solidFill>
                </w14:textFill>
              </w:rPr>
              <w:t>2</w:t>
            </w:r>
            <w:r>
              <w:rPr>
                <w:rFonts w:hint="eastAsia" w:ascii="Times New Roman" w:hAnsi="Times New Roman"/>
                <w:color w:val="000000" w:themeColor="text1"/>
                <w:sz w:val="24"/>
                <w14:textFill>
                  <w14:solidFill>
                    <w14:schemeClr w14:val="tx1"/>
                  </w14:solidFill>
                </w14:textFill>
              </w:rPr>
              <w:t>，</w:t>
            </w:r>
            <w:r>
              <w:rPr>
                <w:rFonts w:ascii="Times New Roman" w:hAnsi="Times New Roman"/>
                <w:color w:val="000000" w:themeColor="text1"/>
                <w:sz w:val="24"/>
                <w14:textFill>
                  <w14:solidFill>
                    <w14:schemeClr w14:val="tx1"/>
                  </w14:solidFill>
                </w14:textFill>
              </w:rPr>
              <w:t>厂区内的其余地块为发展预留用地，用途尚未规划。本项目共建设1栋3层生产</w:t>
            </w:r>
            <w:r>
              <w:rPr>
                <w:rFonts w:ascii="Times New Roman" w:hAnsi="Times New Roman" w:eastAsia="宋体"/>
                <w:snapToGrid w:val="0"/>
                <w:color w:val="000000" w:themeColor="text1"/>
                <w:kern w:val="0"/>
                <w:sz w:val="24"/>
                <w14:textFill>
                  <w14:solidFill>
                    <w14:schemeClr w14:val="tx1"/>
                  </w14:solidFill>
                </w14:textFill>
              </w:rPr>
              <w:t>车间</w:t>
            </w:r>
            <w:r>
              <w:rPr>
                <w:rFonts w:ascii="Times New Roman" w:hAnsi="Times New Roman"/>
                <w:color w:val="000000" w:themeColor="text1"/>
                <w:sz w:val="24"/>
                <w14:textFill>
                  <w14:solidFill>
                    <w14:schemeClr w14:val="tx1"/>
                  </w14:solidFill>
                </w14:textFill>
              </w:rPr>
              <w:t>、1栋2层办公楼、锅炉房、污水站以及酒精储罐区等。项目平面布局具体详见附图</w:t>
            </w:r>
            <w:r>
              <w:rPr>
                <w:rFonts w:hint="eastAsia" w:ascii="Times New Roman" w:hAnsi="Times New Roman"/>
                <w:color w:val="000000" w:themeColor="text1"/>
                <w:sz w:val="24"/>
                <w14:textFill>
                  <w14:solidFill>
                    <w14:schemeClr w14:val="tx1"/>
                  </w14:solidFill>
                </w14:textFill>
              </w:rPr>
              <w:t>4</w:t>
            </w:r>
            <w:r>
              <w:rPr>
                <w:rFonts w:ascii="Times New Roman" w:hAnsi="Times New Roman"/>
                <w:color w:val="000000" w:themeColor="text1"/>
                <w:sz w:val="24"/>
                <w14:textFill>
                  <w14:solidFill>
                    <w14:schemeClr w14:val="tx1"/>
                  </w14:solidFill>
                </w14:textFill>
              </w:rPr>
              <w:t>。</w:t>
            </w:r>
          </w:p>
          <w:p>
            <w:pPr>
              <w:adjustRightInd w:val="0"/>
              <w:snapToGrid w:val="0"/>
              <w:spacing w:line="360" w:lineRule="auto"/>
              <w:ind w:firstLine="480" w:firstLineChars="200"/>
              <w:rPr>
                <w:rFonts w:ascii="Times New Roman" w:hAnsi="Times New Roman"/>
                <w:bCs/>
                <w:color w:val="000000" w:themeColor="text1"/>
                <w:kern w:val="21"/>
                <w:sz w:val="24"/>
                <w:szCs w:val="21"/>
                <w14:textFill>
                  <w14:solidFill>
                    <w14:schemeClr w14:val="tx1"/>
                  </w14:solidFill>
                </w14:textFill>
              </w:rPr>
            </w:pPr>
            <w:r>
              <w:rPr>
                <w:rFonts w:ascii="Times New Roman" w:hAnsi="Times New Roman"/>
                <w:bCs/>
                <w:color w:val="000000" w:themeColor="text1"/>
                <w:kern w:val="21"/>
                <w:sz w:val="24"/>
                <w14:textFill>
                  <w14:solidFill>
                    <w14:schemeClr w14:val="tx1"/>
                  </w14:solidFill>
                </w14:textFill>
              </w:rPr>
              <w:t>项目出入口设在厂区东侧，办公楼位于厂区东北侧，办公楼西侧依次为生产车间、锅炉房和自建污水站，酒精储罐区则位于厂区中南部。生产车间一层主要为提取浓缩车间及后处理车间，二层主要为前处理车间，三层主要为发酵车间。项目办公区、生产区</w:t>
            </w:r>
            <w:r>
              <w:rPr>
                <w:rFonts w:ascii="Times New Roman" w:hAnsi="Times New Roman"/>
                <w:bCs/>
                <w:color w:val="000000" w:themeColor="text1"/>
                <w:kern w:val="21"/>
                <w:sz w:val="24"/>
                <w:szCs w:val="21"/>
                <w14:textFill>
                  <w14:solidFill>
                    <w14:schemeClr w14:val="tx1"/>
                  </w14:solidFill>
                </w14:textFill>
              </w:rPr>
              <w:t>分区隔开。办公区靠近东侧主出入口布局，方便厂区主入口物流、人流管控。项目总体布局功能分区明确、人员进出口及污物运输路线分开</w:t>
            </w:r>
            <w:r>
              <w:rPr>
                <w:rFonts w:hint="eastAsia" w:ascii="Times New Roman" w:hAnsi="Times New Roman"/>
                <w:bCs/>
                <w:color w:val="000000" w:themeColor="text1"/>
                <w:kern w:val="21"/>
                <w:sz w:val="24"/>
                <w:szCs w:val="21"/>
                <w14:textFill>
                  <w14:solidFill>
                    <w14:schemeClr w14:val="tx1"/>
                  </w14:solidFill>
                </w14:textFill>
              </w:rPr>
              <w:t xml:space="preserve">。 </w:t>
            </w:r>
          </w:p>
          <w:p>
            <w:pPr>
              <w:adjustRightInd w:val="0"/>
              <w:snapToGrid w:val="0"/>
              <w:spacing w:line="360" w:lineRule="auto"/>
              <w:ind w:firstLine="480" w:firstLineChars="200"/>
              <w:rPr>
                <w:rFonts w:ascii="Times New Roman" w:hAnsi="Times New Roman"/>
                <w:bCs/>
                <w:color w:val="000000" w:themeColor="text1"/>
                <w:kern w:val="21"/>
                <w:sz w:val="24"/>
                <w14:textFill>
                  <w14:solidFill>
                    <w14:schemeClr w14:val="tx1"/>
                  </w14:solidFill>
                </w14:textFill>
              </w:rPr>
            </w:pPr>
            <w:r>
              <w:rPr>
                <w:rFonts w:hint="eastAsia" w:ascii="Times New Roman" w:hAnsi="Times New Roman"/>
                <w:bCs/>
                <w:color w:val="000000" w:themeColor="text1"/>
                <w:kern w:val="21"/>
                <w:sz w:val="24"/>
                <w:szCs w:val="21"/>
                <w14:textFill>
                  <w14:solidFill>
                    <w14:schemeClr w14:val="tx1"/>
                  </w14:solidFill>
                </w14:textFill>
              </w:rPr>
              <w:t>本项目无生活区，本项目使用泵将生产废水抽至自建污水处理站，尾水处理达标后排入厂区门口的市政工业污水管网排至工业污水处理厂。本项目最近的敏感点三峰村位于东北侧451m处，敏感点位于本项目主导风向上风向。因此项目</w:t>
            </w:r>
            <w:r>
              <w:rPr>
                <w:rFonts w:ascii="Times New Roman" w:hAnsi="Times New Roman"/>
                <w:bCs/>
                <w:color w:val="000000" w:themeColor="text1"/>
                <w:kern w:val="21"/>
                <w:sz w:val="24"/>
                <w:szCs w:val="21"/>
                <w14:textFill>
                  <w14:solidFill>
                    <w14:schemeClr w14:val="tx1"/>
                  </w14:solidFill>
                </w14:textFill>
              </w:rPr>
              <w:t>布局合理，具体布局见附图</w:t>
            </w:r>
            <w:r>
              <w:rPr>
                <w:rFonts w:hint="eastAsia" w:ascii="Times New Roman" w:hAnsi="Times New Roman"/>
                <w:bCs/>
                <w:color w:val="000000" w:themeColor="text1"/>
                <w:kern w:val="21"/>
                <w:sz w:val="24"/>
                <w:szCs w:val="21"/>
                <w14:textFill>
                  <w14:solidFill>
                    <w14:schemeClr w14:val="tx1"/>
                  </w14:solidFill>
                </w14:textFill>
              </w:rPr>
              <w:t>4</w:t>
            </w:r>
            <w:r>
              <w:rPr>
                <w:rFonts w:ascii="Times New Roman" w:hAnsi="Times New Roman"/>
                <w:bCs/>
                <w:color w:val="000000" w:themeColor="text1"/>
                <w:kern w:val="21"/>
                <w:sz w:val="24"/>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249" w:type="pct"/>
            <w:vAlign w:val="center"/>
          </w:tcPr>
          <w:p>
            <w:pPr>
              <w:pStyle w:val="16"/>
              <w:adjustRightInd w:val="0"/>
              <w:snapToGrid w:val="0"/>
              <w:spacing w:before="0" w:beforeAutospacing="0" w:after="0" w:afterAutospacing="0"/>
              <w:jc w:val="center"/>
              <w:rPr>
                <w:rFonts w:ascii="Times New Roman" w:hAnsi="Times New Roman"/>
                <w:color w:val="000000" w:themeColor="text1"/>
                <w:kern w:val="21"/>
                <w:szCs w:val="24"/>
                <w14:textFill>
                  <w14:solidFill>
                    <w14:schemeClr w14:val="tx1"/>
                  </w14:solidFill>
                </w14:textFill>
              </w:rPr>
            </w:pPr>
            <w:r>
              <w:rPr>
                <w:rFonts w:ascii="Times New Roman" w:hAnsi="Times New Roman"/>
                <w:color w:val="000000" w:themeColor="text1"/>
                <w:kern w:val="21"/>
                <w:szCs w:val="24"/>
                <w14:textFill>
                  <w14:solidFill>
                    <w14:schemeClr w14:val="tx1"/>
                  </w14:solidFill>
                </w14:textFill>
              </w:rPr>
              <w:t>工艺流程和产排污环节</w:t>
            </w:r>
          </w:p>
        </w:tc>
        <w:tc>
          <w:tcPr>
            <w:tcW w:w="4751" w:type="pct"/>
            <w:vAlign w:val="center"/>
          </w:tcPr>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主要生产有前处理车间、提取浓缩车间、后处理车间、发酵车间等，提取浓缩车间共有5条生产线，分别为水提生产线、醇提生产线、水提醇沉生产线、醇提水提生产线、香茅油蒸馏生产线。此外，本项目醇沉过程的乙醇经乙醇回收塔进行回收再利用。</w:t>
            </w:r>
          </w:p>
          <w:p>
            <w:pPr>
              <w:spacing w:line="360" w:lineRule="auto"/>
              <w:ind w:firstLine="482" w:firstLineChars="200"/>
              <w:rPr>
                <w:rFonts w:ascii="Times New Roman" w:hAnsi="Times New Roman" w:eastAsia="宋体"/>
                <w:b/>
                <w:color w:val="000000" w:themeColor="text1"/>
                <w:sz w:val="24"/>
                <w14:textFill>
                  <w14:solidFill>
                    <w14:schemeClr w14:val="tx1"/>
                  </w14:solidFill>
                </w14:textFill>
              </w:rPr>
            </w:pPr>
          </w:p>
          <w:p>
            <w:pPr>
              <w:spacing w:line="360" w:lineRule="auto"/>
              <w:ind w:firstLine="482" w:firstLineChars="200"/>
              <w:rPr>
                <w:rFonts w:ascii="Times New Roman" w:hAnsi="Times New Roman" w:eastAsia="宋体"/>
                <w:b/>
                <w:color w:val="000000" w:themeColor="text1"/>
                <w:sz w:val="24"/>
                <w14:textFill>
                  <w14:solidFill>
                    <w14:schemeClr w14:val="tx1"/>
                  </w14:solidFill>
                </w14:textFill>
              </w:rPr>
            </w:pPr>
          </w:p>
          <w:p>
            <w:pPr>
              <w:spacing w:line="360" w:lineRule="auto"/>
              <w:ind w:firstLine="482" w:firstLineChars="200"/>
              <w:rPr>
                <w:rFonts w:ascii="Times New Roman" w:hAnsi="Times New Roman" w:eastAsia="宋体"/>
                <w:b/>
                <w:color w:val="000000" w:themeColor="text1"/>
                <w:sz w:val="24"/>
                <w14:textFill>
                  <w14:solidFill>
                    <w14:schemeClr w14:val="tx1"/>
                  </w14:solidFill>
                </w14:textFill>
              </w:rPr>
            </w:pPr>
          </w:p>
          <w:p>
            <w:pPr>
              <w:spacing w:line="360" w:lineRule="auto"/>
              <w:ind w:firstLine="482" w:firstLineChars="200"/>
              <w:rPr>
                <w:rFonts w:ascii="Times New Roman" w:hAnsi="Times New Roman" w:eastAsia="宋体"/>
                <w:b/>
                <w:color w:val="000000" w:themeColor="text1"/>
                <w:sz w:val="24"/>
                <w14:textFill>
                  <w14:solidFill>
                    <w14:schemeClr w14:val="tx1"/>
                  </w14:solidFill>
                </w14:textFill>
              </w:rPr>
            </w:pPr>
          </w:p>
          <w:p>
            <w:pPr>
              <w:spacing w:line="360" w:lineRule="auto"/>
              <w:ind w:firstLine="482" w:firstLineChars="200"/>
              <w:rPr>
                <w:rFonts w:ascii="Times New Roman" w:hAnsi="Times New Roman" w:eastAsia="宋体"/>
                <w:b/>
                <w:color w:val="000000" w:themeColor="text1"/>
                <w:sz w:val="24"/>
                <w14:textFill>
                  <w14:solidFill>
                    <w14:schemeClr w14:val="tx1"/>
                  </w14:solidFill>
                </w14:textFill>
              </w:rPr>
            </w:pPr>
          </w:p>
          <w:p>
            <w:pPr>
              <w:spacing w:line="360" w:lineRule="auto"/>
              <w:ind w:firstLine="482" w:firstLineChars="200"/>
              <w:rPr>
                <w:rFonts w:ascii="Times New Roman" w:hAnsi="Times New Roman" w:eastAsia="宋体"/>
                <w:b/>
                <w:color w:val="000000" w:themeColor="text1"/>
                <w:sz w:val="24"/>
                <w14:textFill>
                  <w14:solidFill>
                    <w14:schemeClr w14:val="tx1"/>
                  </w14:solidFill>
                </w14:textFill>
              </w:rPr>
            </w:pPr>
          </w:p>
          <w:p>
            <w:pPr>
              <w:spacing w:line="360" w:lineRule="auto"/>
              <w:ind w:firstLine="482" w:firstLineChars="200"/>
              <w:rPr>
                <w:rFonts w:ascii="Times New Roman" w:hAnsi="Times New Roman" w:eastAsia="宋体"/>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r>
              <w:rPr>
                <w:rFonts w:ascii="Times New Roman" w:hAnsi="Times New Roman" w:eastAsia="宋体"/>
                <w:b/>
                <w:color w:val="000000" w:themeColor="text1"/>
                <w:sz w:val="24"/>
                <w14:textFill>
                  <w14:solidFill>
                    <w14:schemeClr w14:val="tx1"/>
                  </w14:solidFill>
                </w14:textFill>
              </w:rPr>
              <w:t>1、</w:t>
            </w:r>
            <w:r>
              <w:rPr>
                <w:rFonts w:ascii="Times New Roman" w:hAnsi="Times New Roman"/>
                <w:b/>
                <w:color w:val="000000" w:themeColor="text1"/>
                <w:sz w:val="24"/>
                <w14:textFill>
                  <w14:solidFill>
                    <w14:schemeClr w14:val="tx1"/>
                  </w14:solidFill>
                </w14:textFill>
              </w:rPr>
              <w:t>西洋参粉生产（前处理工艺）</w:t>
            </w:r>
          </w:p>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5092700" cy="1616075"/>
                  <wp:effectExtent l="19050" t="19050" r="12700" b="222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0"/>
                          <a:stretch>
                            <a:fillRect/>
                          </a:stretch>
                        </pic:blipFill>
                        <pic:spPr>
                          <a:xfrm>
                            <a:off x="0" y="0"/>
                            <a:ext cx="5092995" cy="1616319"/>
                          </a:xfrm>
                          <a:prstGeom prst="rect">
                            <a:avLst/>
                          </a:prstGeom>
                          <a:ln>
                            <a:solidFill>
                              <a:schemeClr val="tx1"/>
                            </a:solidFill>
                          </a:ln>
                        </pic:spPr>
                      </pic:pic>
                    </a:graphicData>
                  </a:graphic>
                </wp:inline>
              </w:drawing>
            </w:r>
          </w:p>
          <w:p>
            <w:pPr>
              <w:pStyle w:val="59"/>
              <w:numPr>
                <w:ilvl w:val="0"/>
                <w:numId w:val="7"/>
              </w:numPr>
              <w:adjustRightInd w:val="0"/>
              <w:snapToGrid w:val="0"/>
              <w:spacing w:line="360" w:lineRule="auto"/>
              <w:ind w:firstLineChars="0"/>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西洋参粉生产工艺流程图</w:t>
            </w:r>
          </w:p>
          <w:p>
            <w:pPr>
              <w:pStyle w:val="90"/>
              <w:ind w:firstLine="480"/>
              <w:rPr>
                <w:rStyle w:val="88"/>
                <w:rFonts w:ascii="Times New Roman" w:hAnsi="Times New Roman" w:cs="Times New Roman"/>
                <w:b w:val="0"/>
                <w:color w:val="000000" w:themeColor="text1"/>
                <w14:textFill>
                  <w14:solidFill>
                    <w14:schemeClr w14:val="tx1"/>
                  </w14:solidFill>
                </w14:textFill>
              </w:rPr>
            </w:pPr>
            <w:r>
              <w:rPr>
                <w:rStyle w:val="88"/>
                <w:rFonts w:ascii="Times New Roman" w:hAnsi="Times New Roman" w:cs="Times New Roman"/>
                <w:b w:val="0"/>
                <w:color w:val="000000" w:themeColor="text1"/>
                <w14:textFill>
                  <w14:solidFill>
                    <w14:schemeClr w14:val="tx1"/>
                  </w14:solidFill>
                </w14:textFill>
              </w:rPr>
              <w:t>（1）工艺流程简介</w:t>
            </w:r>
          </w:p>
          <w:p>
            <w:pPr>
              <w:pStyle w:val="90"/>
              <w:ind w:firstLine="480"/>
              <w:rPr>
                <w:rStyle w:val="88"/>
                <w:rFonts w:ascii="Times New Roman" w:hAnsi="Times New Roman" w:cs="Times New Roman"/>
                <w:b w:val="0"/>
                <w:color w:val="000000" w:themeColor="text1"/>
                <w14:textFill>
                  <w14:solidFill>
                    <w14:schemeClr w14:val="tx1"/>
                  </w14:solidFill>
                </w14:textFill>
              </w:rPr>
            </w:pPr>
            <w:r>
              <w:rPr>
                <w:rStyle w:val="88"/>
                <w:rFonts w:ascii="Times New Roman" w:hAnsi="Times New Roman" w:cs="Times New Roman"/>
                <w:b w:val="0"/>
                <w:color w:val="000000" w:themeColor="text1"/>
                <w14:textFill>
                  <w14:solidFill>
                    <w14:schemeClr w14:val="tx1"/>
                  </w14:solidFill>
                </w14:textFill>
              </w:rPr>
              <w:t>将外购的西洋参使用洗药机进行清洗（</w:t>
            </w:r>
            <w:r>
              <w:rPr>
                <w:rFonts w:ascii="Times New Roman"/>
                <w:bCs/>
                <w:color w:val="000000" w:themeColor="text1"/>
                <w14:textFill>
                  <w14:solidFill>
                    <w14:schemeClr w14:val="tx1"/>
                  </w14:solidFill>
                </w14:textFill>
              </w:rPr>
              <w:t>清洗用自来水约8t/t药材</w:t>
            </w:r>
            <w:r>
              <w:rPr>
                <w:rStyle w:val="88"/>
                <w:rFonts w:ascii="Times New Roman" w:hAnsi="Times New Roman" w:cs="Times New Roman"/>
                <w:b w:val="0"/>
                <w:color w:val="000000" w:themeColor="text1"/>
                <w14:textFill>
                  <w14:solidFill>
                    <w14:schemeClr w14:val="tx1"/>
                  </w14:solidFill>
                </w14:textFill>
              </w:rPr>
              <w:t>），然后进入热风循环烘箱进行蒸汽间接加热烘干，烘干到一定程度后自动进入万能粉碎机进行密闭粉碎，粉碎后出料直接进行袋装包装，最后入净料库待售。清洗过程产生清洗废水，粉碎后出料过程产生粉尘。</w:t>
            </w:r>
          </w:p>
          <w:p>
            <w:pPr>
              <w:pStyle w:val="90"/>
              <w:ind w:firstLine="480"/>
              <w:rPr>
                <w:rStyle w:val="88"/>
                <w:rFonts w:ascii="Times New Roman" w:hAnsi="Times New Roman" w:cs="Times New Roman"/>
                <w:b w:val="0"/>
                <w:color w:val="000000" w:themeColor="text1"/>
                <w14:textFill>
                  <w14:solidFill>
                    <w14:schemeClr w14:val="tx1"/>
                  </w14:solidFill>
                </w14:textFill>
              </w:rPr>
            </w:pPr>
            <w:r>
              <w:rPr>
                <w:rStyle w:val="88"/>
                <w:rFonts w:ascii="Times New Roman" w:hAnsi="Times New Roman" w:cs="Times New Roman"/>
                <w:b w:val="0"/>
                <w:color w:val="000000" w:themeColor="text1"/>
                <w14:textFill>
                  <w14:solidFill>
                    <w14:schemeClr w14:val="tx1"/>
                  </w14:solidFill>
                </w14:textFill>
              </w:rPr>
              <w:t>（2）生产线物料平衡</w:t>
            </w:r>
          </w:p>
          <w:p>
            <w:pPr>
              <w:pStyle w:val="76"/>
              <w:numPr>
                <w:ilvl w:val="0"/>
                <w:numId w:val="4"/>
              </w:numPr>
              <w:ind w:left="0" w:firstLine="0"/>
              <w:rPr>
                <w:bCs/>
                <w:color w:val="000000" w:themeColor="text1"/>
                <w14:textFill>
                  <w14:solidFill>
                    <w14:schemeClr w14:val="tx1"/>
                  </w14:solidFill>
                </w14:textFill>
              </w:rPr>
            </w:pPr>
            <w:r>
              <w:rPr>
                <w:rStyle w:val="88"/>
                <w:rFonts w:hint="eastAsia" w:ascii="Times New Roman" w:hAnsi="Times New Roman" w:cs="Times New Roman"/>
                <w:b/>
                <w:color w:val="000000" w:themeColor="text1"/>
                <w14:textFill>
                  <w14:solidFill>
                    <w14:schemeClr w14:val="tx1"/>
                  </w14:solidFill>
                </w14:textFill>
              </w:rPr>
              <w:t>西洋参</w:t>
            </w:r>
            <w:r>
              <w:rPr>
                <w:rFonts w:hint="eastAsia"/>
                <w:bCs/>
                <w:color w:val="000000" w:themeColor="text1"/>
                <w14:textFill>
                  <w14:solidFill>
                    <w14:schemeClr w14:val="tx1"/>
                  </w14:solidFill>
                </w14:textFill>
              </w:rPr>
              <w:t>粉生产线物料平衡表</w:t>
            </w:r>
          </w:p>
          <w:tbl>
            <w:tblPr>
              <w:tblStyle w:val="19"/>
              <w:tblW w:w="5000" w:type="pct"/>
              <w:tblInd w:w="0" w:type="dxa"/>
              <w:tblLayout w:type="autofit"/>
              <w:tblCellMar>
                <w:top w:w="0" w:type="dxa"/>
                <w:left w:w="108" w:type="dxa"/>
                <w:bottom w:w="0" w:type="dxa"/>
                <w:right w:w="108" w:type="dxa"/>
              </w:tblCellMar>
            </w:tblPr>
            <w:tblGrid>
              <w:gridCol w:w="1863"/>
              <w:gridCol w:w="2072"/>
              <w:gridCol w:w="2727"/>
              <w:gridCol w:w="2038"/>
            </w:tblGrid>
            <w:tr>
              <w:tblPrEx>
                <w:tblCellMar>
                  <w:top w:w="0" w:type="dxa"/>
                  <w:left w:w="108" w:type="dxa"/>
                  <w:bottom w:w="0" w:type="dxa"/>
                  <w:right w:w="108" w:type="dxa"/>
                </w:tblCellMar>
              </w:tblPrEx>
              <w:tc>
                <w:tcPr>
                  <w:tcW w:w="2262" w:type="pct"/>
                  <w:gridSpan w:val="2"/>
                  <w:tcBorders>
                    <w:top w:val="single" w:color="auto" w:sz="4" w:space="0"/>
                    <w:left w:val="single" w:color="auto" w:sz="8"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投入</w:t>
                  </w:r>
                </w:p>
              </w:tc>
              <w:tc>
                <w:tcPr>
                  <w:tcW w:w="2738" w:type="pct"/>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产出</w:t>
                  </w:r>
                </w:p>
              </w:tc>
            </w:tr>
            <w:tr>
              <w:tblPrEx>
                <w:tblCellMar>
                  <w:top w:w="0" w:type="dxa"/>
                  <w:left w:w="108" w:type="dxa"/>
                  <w:bottom w:w="0" w:type="dxa"/>
                  <w:right w:w="108" w:type="dxa"/>
                </w:tblCellMar>
              </w:tblPrEx>
              <w:trPr>
                <w:trHeight w:val="259" w:hRule="atLeast"/>
              </w:trPr>
              <w:tc>
                <w:tcPr>
                  <w:tcW w:w="1071" w:type="pct"/>
                  <w:tcBorders>
                    <w:top w:val="nil"/>
                    <w:left w:val="single" w:color="auto" w:sz="8"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物料</w:t>
                  </w:r>
                </w:p>
              </w:tc>
              <w:tc>
                <w:tcPr>
                  <w:tcW w:w="119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c>
                <w:tcPr>
                  <w:tcW w:w="1567"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出料</w:t>
                  </w:r>
                </w:p>
              </w:tc>
              <w:tc>
                <w:tcPr>
                  <w:tcW w:w="117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 </w:t>
                  </w:r>
                </w:p>
              </w:tc>
            </w:tr>
            <w:tr>
              <w:tblPrEx>
                <w:tblCellMar>
                  <w:top w:w="0" w:type="dxa"/>
                  <w:left w:w="108" w:type="dxa"/>
                  <w:bottom w:w="0" w:type="dxa"/>
                  <w:right w:w="108" w:type="dxa"/>
                </w:tblCellMar>
              </w:tblPrEx>
              <w:trPr>
                <w:trHeight w:val="108" w:hRule="atLeast"/>
              </w:trPr>
              <w:tc>
                <w:tcPr>
                  <w:tcW w:w="1071" w:type="pct"/>
                  <w:tcBorders>
                    <w:top w:val="nil"/>
                    <w:left w:val="single" w:color="auto" w:sz="8"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hint="eastAsia" w:ascii="Times New Roman" w:hAnsi="Times New Roman" w:eastAsia="宋体"/>
                      <w:color w:val="000000" w:themeColor="text1"/>
                      <w:kern w:val="0"/>
                      <w:szCs w:val="21"/>
                      <w14:textFill>
                        <w14:solidFill>
                          <w14:schemeClr w14:val="tx1"/>
                        </w14:solidFill>
                      </w14:textFill>
                    </w:rPr>
                    <w:t>西洋参</w:t>
                  </w:r>
                </w:p>
              </w:tc>
              <w:tc>
                <w:tcPr>
                  <w:tcW w:w="119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3.008</w:t>
                  </w:r>
                </w:p>
              </w:tc>
              <w:tc>
                <w:tcPr>
                  <w:tcW w:w="1567"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西洋参粉</w:t>
                  </w:r>
                </w:p>
              </w:tc>
              <w:tc>
                <w:tcPr>
                  <w:tcW w:w="117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w:t>
                  </w:r>
                </w:p>
              </w:tc>
            </w:tr>
            <w:tr>
              <w:tblPrEx>
                <w:tblCellMar>
                  <w:top w:w="0" w:type="dxa"/>
                  <w:left w:w="108" w:type="dxa"/>
                  <w:bottom w:w="0" w:type="dxa"/>
                  <w:right w:w="108" w:type="dxa"/>
                </w:tblCellMar>
              </w:tblPrEx>
              <w:trPr>
                <w:trHeight w:val="77" w:hRule="atLeast"/>
              </w:trPr>
              <w:tc>
                <w:tcPr>
                  <w:tcW w:w="1071" w:type="pct"/>
                  <w:tcBorders>
                    <w:top w:val="nil"/>
                    <w:left w:val="single" w:color="auto" w:sz="8"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自来水</w:t>
                  </w:r>
                </w:p>
              </w:tc>
              <w:tc>
                <w:tcPr>
                  <w:tcW w:w="119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24</w:t>
                  </w:r>
                </w:p>
              </w:tc>
              <w:tc>
                <w:tcPr>
                  <w:tcW w:w="1567"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清洗废水</w:t>
                  </w:r>
                </w:p>
              </w:tc>
              <w:tc>
                <w:tcPr>
                  <w:tcW w:w="117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20.3</w:t>
                  </w:r>
                </w:p>
              </w:tc>
            </w:tr>
            <w:tr>
              <w:tblPrEx>
                <w:tblCellMar>
                  <w:top w:w="0" w:type="dxa"/>
                  <w:left w:w="108" w:type="dxa"/>
                  <w:bottom w:w="0" w:type="dxa"/>
                  <w:right w:w="108" w:type="dxa"/>
                </w:tblCellMar>
              </w:tblPrEx>
              <w:tc>
                <w:tcPr>
                  <w:tcW w:w="1071" w:type="pct"/>
                  <w:tcBorders>
                    <w:top w:val="nil"/>
                    <w:left w:val="single" w:color="auto" w:sz="8"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c>
                <w:tcPr>
                  <w:tcW w:w="119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c>
                <w:tcPr>
                  <w:tcW w:w="1567"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水蒸发损耗</w:t>
                  </w:r>
                </w:p>
              </w:tc>
              <w:tc>
                <w:tcPr>
                  <w:tcW w:w="117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3.7</w:t>
                  </w:r>
                </w:p>
              </w:tc>
            </w:tr>
            <w:tr>
              <w:tblPrEx>
                <w:tblCellMar>
                  <w:top w:w="0" w:type="dxa"/>
                  <w:left w:w="108" w:type="dxa"/>
                  <w:bottom w:w="0" w:type="dxa"/>
                  <w:right w:w="108" w:type="dxa"/>
                </w:tblCellMar>
              </w:tblPrEx>
              <w:tc>
                <w:tcPr>
                  <w:tcW w:w="1071" w:type="pct"/>
                  <w:tcBorders>
                    <w:top w:val="nil"/>
                    <w:left w:val="single" w:color="auto" w:sz="8"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c>
                <w:tcPr>
                  <w:tcW w:w="119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c>
                <w:tcPr>
                  <w:tcW w:w="1567"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粉尘</w:t>
                  </w:r>
                </w:p>
              </w:tc>
              <w:tc>
                <w:tcPr>
                  <w:tcW w:w="117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0.008</w:t>
                  </w:r>
                </w:p>
              </w:tc>
            </w:tr>
            <w:tr>
              <w:tblPrEx>
                <w:tblCellMar>
                  <w:top w:w="0" w:type="dxa"/>
                  <w:left w:w="108" w:type="dxa"/>
                  <w:bottom w:w="0" w:type="dxa"/>
                  <w:right w:w="108" w:type="dxa"/>
                </w:tblCellMar>
              </w:tblPrEx>
              <w:tc>
                <w:tcPr>
                  <w:tcW w:w="1071" w:type="pct"/>
                  <w:tcBorders>
                    <w:top w:val="nil"/>
                    <w:left w:val="single" w:color="auto" w:sz="8"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小计</w:t>
                  </w:r>
                </w:p>
              </w:tc>
              <w:tc>
                <w:tcPr>
                  <w:tcW w:w="119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27.008</w:t>
                  </w:r>
                </w:p>
              </w:tc>
              <w:tc>
                <w:tcPr>
                  <w:tcW w:w="1567"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小计</w:t>
                  </w:r>
                </w:p>
              </w:tc>
              <w:tc>
                <w:tcPr>
                  <w:tcW w:w="117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27.008</w:t>
                  </w:r>
                </w:p>
              </w:tc>
            </w:tr>
          </w:tbl>
          <w:p>
            <w:pPr>
              <w:pStyle w:val="90"/>
              <w:ind w:firstLine="0" w:firstLineChars="0"/>
              <w:jc w:val="center"/>
              <w:rPr>
                <w:rStyle w:val="88"/>
                <w:rFonts w:ascii="Times New Roman" w:hAnsi="Times New Roman" w:cs="Times New Roman"/>
                <w:b w:val="0"/>
                <w:color w:val="000000" w:themeColor="text1"/>
                <w14:textFill>
                  <w14:solidFill>
                    <w14:schemeClr w14:val="tx1"/>
                  </w14:solidFill>
                </w14:textFill>
              </w:rPr>
            </w:pPr>
          </w:p>
          <w:p>
            <w:pPr>
              <w:pStyle w:val="90"/>
              <w:spacing w:line="240" w:lineRule="auto"/>
              <w:ind w:firstLine="0" w:firstLineChars="0"/>
              <w:jc w:val="center"/>
              <w:rPr>
                <w:rStyle w:val="88"/>
                <w:rFonts w:ascii="Times New Roman" w:hAnsi="Times New Roman" w:cs="Times New Roman"/>
                <w:b w:val="0"/>
                <w:color w:val="000000" w:themeColor="text1"/>
                <w14:textFill>
                  <w14:solidFill>
                    <w14:schemeClr w14:val="tx1"/>
                  </w14:solidFill>
                </w14:textFill>
              </w:rPr>
            </w:pPr>
            <w:r>
              <w:rPr>
                <w:rFonts w:ascii="Times New Roman"/>
                <w:color w:val="000000" w:themeColor="text1"/>
                <w14:textFill>
                  <w14:solidFill>
                    <w14:schemeClr w14:val="tx1"/>
                  </w14:solidFill>
                </w14:textFill>
              </w:rPr>
              <w:drawing>
                <wp:inline distT="0" distB="0" distL="0" distR="0">
                  <wp:extent cx="5368925" cy="1077595"/>
                  <wp:effectExtent l="19050" t="19050" r="22225" b="273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1"/>
                          <a:stretch>
                            <a:fillRect/>
                          </a:stretch>
                        </pic:blipFill>
                        <pic:spPr>
                          <a:xfrm>
                            <a:off x="0" y="0"/>
                            <a:ext cx="5369442" cy="1077617"/>
                          </a:xfrm>
                          <a:prstGeom prst="rect">
                            <a:avLst/>
                          </a:prstGeom>
                          <a:ln>
                            <a:solidFill>
                              <a:schemeClr val="tx1"/>
                            </a:solidFill>
                          </a:ln>
                        </pic:spPr>
                      </pic:pic>
                    </a:graphicData>
                  </a:graphic>
                </wp:inline>
              </w:drawing>
            </w:r>
          </w:p>
          <w:p>
            <w:pPr>
              <w:pStyle w:val="59"/>
              <w:numPr>
                <w:ilvl w:val="0"/>
                <w:numId w:val="7"/>
              </w:numPr>
              <w:adjustRightInd w:val="0"/>
              <w:snapToGrid w:val="0"/>
              <w:spacing w:line="360" w:lineRule="auto"/>
              <w:ind w:left="0" w:firstLine="0" w:firstLineChars="0"/>
              <w:jc w:val="center"/>
              <w:rPr>
                <w:rStyle w:val="88"/>
                <w:rFonts w:ascii="Times New Roman" w:hAnsi="Times New Roman" w:cs="Times New Roman"/>
                <w:color w:val="000000" w:themeColor="text1"/>
                <w14:textFill>
                  <w14:solidFill>
                    <w14:schemeClr w14:val="tx1"/>
                  </w14:solidFill>
                </w14:textFill>
              </w:rPr>
            </w:pPr>
            <w:r>
              <w:rPr>
                <w:rStyle w:val="88"/>
                <w:rFonts w:hint="eastAsia" w:ascii="Times New Roman" w:hAnsi="Times New Roman" w:cs="Times New Roman"/>
                <w:color w:val="000000" w:themeColor="text1"/>
                <w14:textFill>
                  <w14:solidFill>
                    <w14:schemeClr w14:val="tx1"/>
                  </w14:solidFill>
                </w14:textFill>
              </w:rPr>
              <w:t>西洋参粉生产线</w:t>
            </w:r>
            <w:r>
              <w:rPr>
                <w:rFonts w:hint="eastAsia"/>
                <w:b/>
                <w:color w:val="000000" w:themeColor="text1"/>
                <w:sz w:val="24"/>
                <w14:textFill>
                  <w14:solidFill>
                    <w14:schemeClr w14:val="tx1"/>
                  </w14:solidFill>
                </w14:textFill>
              </w:rPr>
              <w:t>物料平衡</w:t>
            </w:r>
            <w:r>
              <w:rPr>
                <w:rStyle w:val="88"/>
                <w:rFonts w:ascii="Times New Roman" w:hAnsi="Times New Roman" w:cs="Times New Roman"/>
                <w:color w:val="000000" w:themeColor="text1"/>
                <w14:textFill>
                  <w14:solidFill>
                    <w14:schemeClr w14:val="tx1"/>
                  </w14:solidFill>
                </w14:textFill>
              </w:rPr>
              <w:t>图</w:t>
            </w:r>
          </w:p>
          <w:p>
            <w:pPr>
              <w:pStyle w:val="90"/>
              <w:spacing w:line="240" w:lineRule="auto"/>
              <w:ind w:firstLine="0" w:firstLineChars="0"/>
              <w:jc w:val="center"/>
              <w:rPr>
                <w:rStyle w:val="88"/>
                <w:rFonts w:ascii="Times New Roman" w:hAnsi="Times New Roman" w:cs="Times New Roman"/>
                <w:color w:val="000000" w:themeColor="text1"/>
                <w14:textFill>
                  <w14:solidFill>
                    <w14:schemeClr w14:val="tx1"/>
                  </w14:solidFill>
                </w14:textFill>
              </w:rPr>
            </w:pPr>
          </w:p>
          <w:p>
            <w:pPr>
              <w:pStyle w:val="90"/>
              <w:ind w:firstLine="482"/>
              <w:rPr>
                <w:rStyle w:val="88"/>
                <w:rFonts w:ascii="Times New Roman" w:hAnsi="Times New Roman" w:cs="Times New Roman"/>
                <w:color w:val="000000" w:themeColor="text1"/>
                <w14:textFill>
                  <w14:solidFill>
                    <w14:schemeClr w14:val="tx1"/>
                  </w14:solidFill>
                </w14:textFill>
              </w:rPr>
            </w:pPr>
          </w:p>
          <w:p>
            <w:pPr>
              <w:pStyle w:val="90"/>
              <w:ind w:firstLine="482"/>
              <w:rPr>
                <w:rStyle w:val="88"/>
                <w:rFonts w:ascii="Times New Roman" w:hAnsi="Times New Roman" w:cs="Times New Roman"/>
                <w:color w:val="000000" w:themeColor="text1"/>
                <w14:textFill>
                  <w14:solidFill>
                    <w14:schemeClr w14:val="tx1"/>
                  </w14:solidFill>
                </w14:textFill>
              </w:rPr>
            </w:pPr>
          </w:p>
          <w:p>
            <w:pPr>
              <w:pStyle w:val="90"/>
              <w:ind w:firstLine="482"/>
              <w:rPr>
                <w:rStyle w:val="88"/>
                <w:rFonts w:ascii="Times New Roman" w:hAnsi="Times New Roman" w:cs="Times New Roman"/>
                <w:color w:val="000000" w:themeColor="text1"/>
                <w14:textFill>
                  <w14:solidFill>
                    <w14:schemeClr w14:val="tx1"/>
                  </w14:solidFill>
                </w14:textFill>
              </w:rPr>
            </w:pPr>
          </w:p>
          <w:p>
            <w:pPr>
              <w:pStyle w:val="90"/>
              <w:ind w:firstLine="482"/>
              <w:rPr>
                <w:rStyle w:val="88"/>
                <w:rFonts w:ascii="Times New Roman" w:hAnsi="Times New Roman" w:cs="Times New Roman"/>
                <w:color w:val="000000" w:themeColor="text1"/>
                <w14:textFill>
                  <w14:solidFill>
                    <w14:schemeClr w14:val="tx1"/>
                  </w14:solidFill>
                </w14:textFill>
              </w:rPr>
            </w:pPr>
          </w:p>
          <w:p>
            <w:pPr>
              <w:pStyle w:val="90"/>
              <w:ind w:firstLine="482"/>
              <w:rPr>
                <w:rStyle w:val="88"/>
                <w:rFonts w:ascii="Times New Roman" w:hAnsi="Times New Roman" w:cs="Times New Roman"/>
                <w:color w:val="000000" w:themeColor="text1"/>
                <w14:textFill>
                  <w14:solidFill>
                    <w14:schemeClr w14:val="tx1"/>
                  </w14:solidFill>
                </w14:textFill>
              </w:rPr>
            </w:pPr>
          </w:p>
          <w:p>
            <w:pPr>
              <w:pStyle w:val="90"/>
              <w:ind w:firstLine="482"/>
              <w:rPr>
                <w:rStyle w:val="88"/>
                <w:rFonts w:ascii="Times New Roman" w:hAnsi="Times New Roman" w:cs="Times New Roman"/>
                <w:color w:val="000000" w:themeColor="text1"/>
                <w14:textFill>
                  <w14:solidFill>
                    <w14:schemeClr w14:val="tx1"/>
                  </w14:solidFill>
                </w14:textFill>
              </w:rPr>
            </w:pPr>
          </w:p>
          <w:p>
            <w:pPr>
              <w:pStyle w:val="90"/>
              <w:ind w:firstLine="482"/>
              <w:rPr>
                <w:rStyle w:val="88"/>
                <w:rFonts w:ascii="Times New Roman" w:hAnsi="Times New Roman" w:cs="Times New Roman"/>
                <w:b w:val="0"/>
                <w:color w:val="000000" w:themeColor="text1"/>
                <w14:textFill>
                  <w14:solidFill>
                    <w14:schemeClr w14:val="tx1"/>
                  </w14:solidFill>
                </w14:textFill>
              </w:rPr>
            </w:pPr>
            <w:r>
              <w:rPr>
                <w:rStyle w:val="88"/>
                <w:rFonts w:ascii="Times New Roman" w:hAnsi="Times New Roman" w:cs="Times New Roman"/>
                <w:color w:val="000000" w:themeColor="text1"/>
                <w14:textFill>
                  <w14:solidFill>
                    <w14:schemeClr w14:val="tx1"/>
                  </w14:solidFill>
                </w14:textFill>
              </w:rPr>
              <w:t>2、</w:t>
            </w:r>
            <w:r>
              <w:rPr>
                <w:rFonts w:ascii="Times New Roman"/>
                <w:b/>
                <w:color w:val="000000" w:themeColor="text1"/>
                <w14:textFill>
                  <w14:solidFill>
                    <w14:schemeClr w14:val="tx1"/>
                  </w14:solidFill>
                </w14:textFill>
              </w:rPr>
              <w:t>风湿定胶囊干膏粉、壮腰健肾胶囊干膏粉生产（前处理+水提工艺）</w:t>
            </w:r>
          </w:p>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4922520" cy="6934200"/>
                  <wp:effectExtent l="19050" t="19050" r="11430" b="190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2"/>
                          <a:stretch>
                            <a:fillRect/>
                          </a:stretch>
                        </pic:blipFill>
                        <pic:spPr>
                          <a:xfrm>
                            <a:off x="0" y="0"/>
                            <a:ext cx="4922874" cy="6934757"/>
                          </a:xfrm>
                          <a:prstGeom prst="rect">
                            <a:avLst/>
                          </a:prstGeom>
                          <a:ln>
                            <a:solidFill>
                              <a:schemeClr val="tx1"/>
                            </a:solidFill>
                          </a:ln>
                        </pic:spPr>
                      </pic:pic>
                    </a:graphicData>
                  </a:graphic>
                </wp:inline>
              </w:drawing>
            </w:r>
          </w:p>
          <w:p>
            <w:pPr>
              <w:pStyle w:val="59"/>
              <w:numPr>
                <w:ilvl w:val="0"/>
                <w:numId w:val="7"/>
              </w:numPr>
              <w:adjustRightInd w:val="0"/>
              <w:snapToGrid w:val="0"/>
              <w:spacing w:line="360" w:lineRule="auto"/>
              <w:ind w:left="0" w:firstLine="0" w:firstLineChars="0"/>
              <w:jc w:val="center"/>
              <w:rPr>
                <w:b/>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风湿定胶囊干膏粉、壮腰健肾胶囊干膏粉生产工艺流程图</w:t>
            </w:r>
          </w:p>
          <w:p>
            <w:pPr>
              <w:pStyle w:val="90"/>
              <w:ind w:firstLine="48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（1）工艺流程简介</w:t>
            </w:r>
          </w:p>
          <w:p>
            <w:pPr>
              <w:pStyle w:val="90"/>
              <w:ind w:firstLine="480"/>
              <w:rPr>
                <w:rFonts w:ascii="Times New Roman"/>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①</w:t>
            </w:r>
            <w:r>
              <w:rPr>
                <w:rFonts w:ascii="Times New Roman"/>
                <w:color w:val="000000" w:themeColor="text1"/>
                <w14:textFill>
                  <w14:solidFill>
                    <w14:schemeClr w14:val="tx1"/>
                  </w14:solidFill>
                </w14:textFill>
              </w:rPr>
              <w:t>中药材前处理</w:t>
            </w:r>
          </w:p>
          <w:p>
            <w:pPr>
              <w:pStyle w:val="90"/>
              <w:ind w:firstLine="48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A）挑选、清洗、烘干</w:t>
            </w:r>
          </w:p>
          <w:p>
            <w:pPr>
              <w:pStyle w:val="90"/>
              <w:ind w:firstLine="480"/>
              <w:rPr>
                <w:rStyle w:val="88"/>
                <w:rFonts w:ascii="Times New Roman" w:hAnsi="Times New Roman" w:cs="Times New Roman"/>
                <w:b w:val="0"/>
                <w:color w:val="000000" w:themeColor="text1"/>
                <w14:textFill>
                  <w14:solidFill>
                    <w14:schemeClr w14:val="tx1"/>
                  </w14:solidFill>
                </w14:textFill>
              </w:rPr>
            </w:pPr>
            <w:r>
              <w:rPr>
                <w:rFonts w:ascii="Times New Roman"/>
                <w:color w:val="000000" w:themeColor="text1"/>
                <w14:textFill>
                  <w14:solidFill>
                    <w14:schemeClr w14:val="tx1"/>
                  </w14:solidFill>
                </w14:textFill>
              </w:rPr>
              <w:t>生产所需外购的中药原材料为杆状、块状，需经人工挑选去除泥块、非药用部分等杂质后方可</w:t>
            </w:r>
            <w:r>
              <w:rPr>
                <w:rStyle w:val="88"/>
                <w:rFonts w:ascii="Times New Roman" w:hAnsi="Times New Roman" w:cs="Times New Roman"/>
                <w:b w:val="0"/>
                <w:color w:val="000000" w:themeColor="text1"/>
                <w14:textFill>
                  <w14:solidFill>
                    <w14:schemeClr w14:val="tx1"/>
                  </w14:solidFill>
                </w14:textFill>
              </w:rPr>
              <w:t>使用洗药机进行清洗（</w:t>
            </w:r>
            <w:r>
              <w:rPr>
                <w:rFonts w:ascii="Times New Roman"/>
                <w:bCs/>
                <w:color w:val="000000" w:themeColor="text1"/>
                <w14:textFill>
                  <w14:solidFill>
                    <w14:schemeClr w14:val="tx1"/>
                  </w14:solidFill>
                </w14:textFill>
              </w:rPr>
              <w:t>清洗用自来水约8t/t药材</w:t>
            </w:r>
            <w:r>
              <w:rPr>
                <w:rStyle w:val="88"/>
                <w:rFonts w:ascii="Times New Roman" w:hAnsi="Times New Roman" w:cs="Times New Roman"/>
                <w:b w:val="0"/>
                <w:color w:val="000000" w:themeColor="text1"/>
                <w14:textFill>
                  <w14:solidFill>
                    <w14:schemeClr w14:val="tx1"/>
                  </w14:solidFill>
                </w14:textFill>
              </w:rPr>
              <w:t>），然后进入热风循环烘箱进行蒸汽间接加热烘干。挑选过程产生药材杂质、粉尘，清洗过程产生清洗废水。</w:t>
            </w:r>
          </w:p>
          <w:p>
            <w:pPr>
              <w:pStyle w:val="90"/>
              <w:ind w:firstLine="480"/>
              <w:rPr>
                <w:rStyle w:val="88"/>
                <w:rFonts w:ascii="Times New Roman" w:hAnsi="Times New Roman" w:cs="Times New Roman"/>
                <w:b w:val="0"/>
                <w:color w:val="000000" w:themeColor="text1"/>
                <w14:textFill>
                  <w14:solidFill>
                    <w14:schemeClr w14:val="tx1"/>
                  </w14:solidFill>
                </w14:textFill>
              </w:rPr>
            </w:pPr>
            <w:r>
              <w:rPr>
                <w:rStyle w:val="88"/>
                <w:rFonts w:ascii="Times New Roman" w:hAnsi="Times New Roman" w:eastAsia="宋体" w:cs="Times New Roman"/>
                <w:b w:val="0"/>
                <w:color w:val="000000" w:themeColor="text1"/>
                <w14:textFill>
                  <w14:solidFill>
                    <w14:schemeClr w14:val="tx1"/>
                  </w14:solidFill>
                </w14:textFill>
              </w:rPr>
              <w:t>B）</w:t>
            </w:r>
            <w:r>
              <w:rPr>
                <w:rFonts w:ascii="Times New Roman"/>
                <w:color w:val="000000" w:themeColor="text1"/>
                <w14:textFill>
                  <w14:solidFill>
                    <w14:schemeClr w14:val="tx1"/>
                  </w14:solidFill>
                </w14:textFill>
              </w:rPr>
              <w:t>切药、粉碎、混合</w:t>
            </w:r>
          </w:p>
          <w:p>
            <w:pPr>
              <w:pStyle w:val="90"/>
              <w:ind w:firstLine="480"/>
              <w:rPr>
                <w:rStyle w:val="88"/>
                <w:rFonts w:ascii="Times New Roman" w:hAnsi="Times New Roman" w:cs="Times New Roman"/>
                <w:b w:val="0"/>
                <w:color w:val="000000" w:themeColor="text1"/>
                <w14:textFill>
                  <w14:solidFill>
                    <w14:schemeClr w14:val="tx1"/>
                  </w14:solidFill>
                </w14:textFill>
              </w:rPr>
            </w:pPr>
            <w:r>
              <w:rPr>
                <w:rStyle w:val="88"/>
                <w:rFonts w:ascii="Times New Roman" w:hAnsi="Times New Roman" w:cs="Times New Roman"/>
                <w:b w:val="0"/>
                <w:color w:val="000000" w:themeColor="text1"/>
                <w14:textFill>
                  <w14:solidFill>
                    <w14:schemeClr w14:val="tx1"/>
                  </w14:solidFill>
                </w14:textFill>
              </w:rPr>
              <w:t>烘干到一定程度后药材进入往复式切药机进行切药、万能粉碎机进行密闭粉碎、三维混合机进行密闭混合，混合完成后出料直接进行袋装，进入到净料库中待后续处理。粉碎混合过程为密闭式操作，混合后出料过程产生粉尘。</w:t>
            </w:r>
          </w:p>
          <w:p>
            <w:pPr>
              <w:pStyle w:val="90"/>
              <w:ind w:firstLine="480"/>
              <w:rPr>
                <w:rFonts w:ascii="Times New Roman"/>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②</w:t>
            </w:r>
            <w:r>
              <w:rPr>
                <w:rFonts w:ascii="Times New Roman"/>
                <w:color w:val="000000" w:themeColor="text1"/>
                <w14:textFill>
                  <w14:solidFill>
                    <w14:schemeClr w14:val="tx1"/>
                  </w14:solidFill>
                </w14:textFill>
              </w:rPr>
              <w:t>水提浓缩处理</w:t>
            </w:r>
          </w:p>
          <w:p>
            <w:pPr>
              <w:pStyle w:val="90"/>
              <w:ind w:firstLine="48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A）取料、水提</w:t>
            </w:r>
          </w:p>
          <w:p>
            <w:pPr>
              <w:pStyle w:val="90"/>
              <w:ind w:firstLine="48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经前处理后的净药材投入多功能提取罐中，加入饮用水，蒸汽间接加热至100</w:t>
            </w:r>
            <w:r>
              <w:rPr>
                <w:rFonts w:hint="eastAsia" w:hAnsi="宋体" w:cs="宋体"/>
                <w:color w:val="000000" w:themeColor="text1"/>
                <w14:textFill>
                  <w14:solidFill>
                    <w14:schemeClr w14:val="tx1"/>
                  </w14:solidFill>
                </w14:textFill>
              </w:rPr>
              <w:t>℃</w:t>
            </w:r>
            <w:r>
              <w:rPr>
                <w:rFonts w:ascii="Times New Roman"/>
                <w:color w:val="000000" w:themeColor="text1"/>
                <w14:textFill>
                  <w14:solidFill>
                    <w14:schemeClr w14:val="tx1"/>
                  </w14:solidFill>
                </w14:textFill>
              </w:rPr>
              <w:t>，煎煮2次（饮用水总用量约15t/t药材），每次煎煮2小时。提取过程全密闭状态，无异味散逸。</w:t>
            </w:r>
          </w:p>
          <w:p>
            <w:pPr>
              <w:pStyle w:val="90"/>
              <w:ind w:firstLine="48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B）过滤</w:t>
            </w:r>
          </w:p>
          <w:p>
            <w:pPr>
              <w:pStyle w:val="90"/>
              <w:ind w:firstLine="48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煎煮完成后药液静置，静置完成后通过提取罐底部自带的过滤器对提取液进行过滤，过滤后的提取液使用储罐暂存。过滤后产生的药渣排出，暂存于提取车间内，日产日清，药渣排渣过程产生异味。</w:t>
            </w:r>
          </w:p>
          <w:p>
            <w:pPr>
              <w:pStyle w:val="90"/>
              <w:ind w:firstLine="48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C）真空浓缩</w:t>
            </w:r>
          </w:p>
          <w:p>
            <w:pPr>
              <w:pStyle w:val="90"/>
              <w:ind w:firstLine="48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水提过滤后的提取液管道输送进入浓缩蒸发器中，采取蒸汽间接加热抽真空的方式进行浓缩。浓缩过程持续约4h，温度控制在60~80</w:t>
            </w:r>
            <w:r>
              <w:rPr>
                <w:rFonts w:hint="eastAsia" w:hAnsi="宋体" w:cs="宋体"/>
                <w:color w:val="000000" w:themeColor="text1"/>
                <w14:textFill>
                  <w14:solidFill>
                    <w14:schemeClr w14:val="tx1"/>
                  </w14:solidFill>
                </w14:textFill>
              </w:rPr>
              <w:t>℃</w:t>
            </w:r>
            <w:r>
              <w:rPr>
                <w:rFonts w:ascii="Times New Roman"/>
                <w:color w:val="000000" w:themeColor="text1"/>
                <w14:textFill>
                  <w14:solidFill>
                    <w14:schemeClr w14:val="tx1"/>
                  </w14:solidFill>
                </w14:textFill>
              </w:rPr>
              <w:t>。蒸发浓缩过程的水蒸气经冷凝后产生水提浓缩</w:t>
            </w:r>
            <w:r>
              <w:rPr>
                <w:rFonts w:hint="eastAsia" w:ascii="Times New Roman"/>
                <w:color w:val="000000" w:themeColor="text1"/>
                <w14:textFill>
                  <w14:solidFill>
                    <w14:schemeClr w14:val="tx1"/>
                  </w14:solidFill>
                </w14:textFill>
              </w:rPr>
              <w:t>蒸馏</w:t>
            </w:r>
            <w:r>
              <w:rPr>
                <w:rFonts w:ascii="Times New Roman"/>
                <w:color w:val="000000" w:themeColor="text1"/>
                <w14:textFill>
                  <w14:solidFill>
                    <w14:schemeClr w14:val="tx1"/>
                  </w14:solidFill>
                </w14:textFill>
              </w:rPr>
              <w:t>废水。</w:t>
            </w:r>
          </w:p>
          <w:p>
            <w:pPr>
              <w:pStyle w:val="90"/>
              <w:ind w:firstLine="480"/>
              <w:rPr>
                <w:rFonts w:ascii="Times New Roman"/>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③</w:t>
            </w:r>
            <w:r>
              <w:rPr>
                <w:rFonts w:ascii="Times New Roman"/>
                <w:color w:val="000000" w:themeColor="text1"/>
                <w14:textFill>
                  <w14:solidFill>
                    <w14:schemeClr w14:val="tx1"/>
                  </w14:solidFill>
                </w14:textFill>
              </w:rPr>
              <w:t>药材后处理（洁净区）</w:t>
            </w:r>
          </w:p>
          <w:p>
            <w:pPr>
              <w:pStyle w:val="90"/>
              <w:ind w:firstLine="48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A）干燥、粉碎、混合</w:t>
            </w:r>
          </w:p>
          <w:p>
            <w:pPr>
              <w:pStyle w:val="90"/>
              <w:ind w:firstLine="480"/>
              <w:rPr>
                <w:rStyle w:val="88"/>
                <w:rFonts w:ascii="Times New Roman" w:hAnsi="Times New Roman" w:cs="Times New Roman"/>
                <w:b w:val="0"/>
                <w:color w:val="000000" w:themeColor="text1"/>
                <w14:textFill>
                  <w14:solidFill>
                    <w14:schemeClr w14:val="tx1"/>
                  </w14:solidFill>
                </w14:textFill>
              </w:rPr>
            </w:pPr>
            <w:r>
              <w:rPr>
                <w:rFonts w:ascii="Times New Roman"/>
                <w:color w:val="000000" w:themeColor="text1"/>
                <w14:textFill>
                  <w14:solidFill>
                    <w14:schemeClr w14:val="tx1"/>
                  </w14:solidFill>
                </w14:textFill>
              </w:rPr>
              <w:t>浓缩后的浸膏经密闭干燥（蒸汽间接加热）后，与净料库灭菌（蒸汽间接加热）后的其他药材细粉按比例投入万能粉碎机进行密闭粉碎，过筛后进行密闭混合</w:t>
            </w:r>
            <w:r>
              <w:rPr>
                <w:rStyle w:val="88"/>
                <w:rFonts w:ascii="Times New Roman" w:hAnsi="Times New Roman" w:cs="Times New Roman"/>
                <w:b w:val="0"/>
                <w:color w:val="000000" w:themeColor="text1"/>
                <w14:textFill>
                  <w14:solidFill>
                    <w14:schemeClr w14:val="tx1"/>
                  </w14:solidFill>
                </w14:textFill>
              </w:rPr>
              <w:t>，混合完成后出料直接进行袋装，进入到成品仓库待售。粉碎混合过程为密闭式操作，混合后出料过程产生粉尘。</w:t>
            </w:r>
          </w:p>
          <w:p>
            <w:pPr>
              <w:pStyle w:val="90"/>
              <w:adjustRightInd/>
              <w:snapToGrid/>
              <w:ind w:firstLine="480"/>
              <w:rPr>
                <w:rStyle w:val="88"/>
                <w:rFonts w:ascii="Times New Roman" w:hAnsi="Times New Roman" w:cs="Times New Roman"/>
                <w:b w:val="0"/>
                <w:color w:val="000000" w:themeColor="text1"/>
                <w14:textFill>
                  <w14:solidFill>
                    <w14:schemeClr w14:val="tx1"/>
                  </w14:solidFill>
                </w14:textFill>
              </w:rPr>
            </w:pPr>
            <w:r>
              <w:rPr>
                <w:rStyle w:val="88"/>
                <w:rFonts w:ascii="Times New Roman" w:hAnsi="Times New Roman" w:cs="Times New Roman"/>
                <w:b w:val="0"/>
                <w:color w:val="000000" w:themeColor="text1"/>
                <w14:textFill>
                  <w14:solidFill>
                    <w14:schemeClr w14:val="tx1"/>
                  </w14:solidFill>
                </w14:textFill>
              </w:rPr>
              <w:t>（2）生产线物料平衡</w:t>
            </w:r>
          </w:p>
          <w:p>
            <w:pPr>
              <w:pStyle w:val="90"/>
              <w:adjustRightInd/>
              <w:snapToGrid/>
              <w:ind w:firstLine="480"/>
              <w:rPr>
                <w:rStyle w:val="88"/>
                <w:rFonts w:ascii="Times New Roman" w:hAnsi="Times New Roman" w:cs="Times New Roman"/>
                <w:b w:val="0"/>
                <w:color w:val="000000" w:themeColor="text1"/>
                <w14:textFill>
                  <w14:solidFill>
                    <w14:schemeClr w14:val="tx1"/>
                  </w14:solidFill>
                </w14:textFill>
              </w:rPr>
            </w:pPr>
            <w:r>
              <w:rPr>
                <w:rStyle w:val="88"/>
                <w:rFonts w:ascii="Times New Roman" w:hAnsi="Times New Roman" w:cs="Times New Roman"/>
                <w:b w:val="0"/>
                <w:color w:val="000000" w:themeColor="text1"/>
                <w14:textFill>
                  <w14:solidFill>
                    <w14:schemeClr w14:val="tx1"/>
                  </w14:solidFill>
                </w14:textFill>
              </w:rPr>
              <w:t>白芷、黑老虎前处理后直接灭菌混合，其余中药需水提。</w:t>
            </w:r>
          </w:p>
          <w:p>
            <w:pPr>
              <w:pStyle w:val="76"/>
              <w:numPr>
                <w:ilvl w:val="0"/>
                <w:numId w:val="4"/>
              </w:numPr>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风湿定胶囊干膏粉、壮腰健肾胶囊干膏粉生产线物料平衡表</w:t>
            </w:r>
          </w:p>
          <w:tbl>
            <w:tblPr>
              <w:tblStyle w:val="19"/>
              <w:tblW w:w="5000" w:type="pct"/>
              <w:tblInd w:w="0" w:type="dxa"/>
              <w:tblLayout w:type="autofit"/>
              <w:tblCellMar>
                <w:top w:w="0" w:type="dxa"/>
                <w:left w:w="28" w:type="dxa"/>
                <w:bottom w:w="0" w:type="dxa"/>
                <w:right w:w="28" w:type="dxa"/>
              </w:tblCellMar>
            </w:tblPr>
            <w:tblGrid>
              <w:gridCol w:w="1316"/>
              <w:gridCol w:w="1082"/>
              <w:gridCol w:w="1736"/>
              <w:gridCol w:w="1271"/>
              <w:gridCol w:w="2216"/>
              <w:gridCol w:w="1079"/>
            </w:tblGrid>
            <w:tr>
              <w:tblPrEx>
                <w:tblCellMar>
                  <w:top w:w="0" w:type="dxa"/>
                  <w:left w:w="28" w:type="dxa"/>
                  <w:bottom w:w="0" w:type="dxa"/>
                  <w:right w:w="28" w:type="dxa"/>
                </w:tblCellMar>
              </w:tblPrEx>
              <w:tc>
                <w:tcPr>
                  <w:tcW w:w="3070" w:type="pct"/>
                  <w:gridSpan w:val="4"/>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投入</w:t>
                  </w:r>
                </w:p>
              </w:tc>
              <w:tc>
                <w:tcPr>
                  <w:tcW w:w="1930" w:type="pct"/>
                  <w:gridSpan w:val="2"/>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产出</w:t>
                  </w:r>
                </w:p>
              </w:tc>
            </w:tr>
            <w:tr>
              <w:tblPrEx>
                <w:tblCellMar>
                  <w:top w:w="0" w:type="dxa"/>
                  <w:left w:w="28" w:type="dxa"/>
                  <w:bottom w:w="0" w:type="dxa"/>
                  <w:right w:w="28" w:type="dxa"/>
                </w:tblCellMar>
              </w:tblPrEx>
              <w:tc>
                <w:tcPr>
                  <w:tcW w:w="75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物料</w:t>
                  </w:r>
                </w:p>
              </w:tc>
              <w:tc>
                <w:tcPr>
                  <w:tcW w:w="65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c>
                <w:tcPr>
                  <w:tcW w:w="90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物料</w:t>
                  </w:r>
                </w:p>
              </w:tc>
              <w:tc>
                <w:tcPr>
                  <w:tcW w:w="74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c>
                <w:tcPr>
                  <w:tcW w:w="129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出料</w:t>
                  </w:r>
                </w:p>
              </w:tc>
              <w:tc>
                <w:tcPr>
                  <w:tcW w:w="63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r>
            <w:tr>
              <w:tblPrEx>
                <w:tblCellMar>
                  <w:top w:w="0" w:type="dxa"/>
                  <w:left w:w="28" w:type="dxa"/>
                  <w:bottom w:w="0" w:type="dxa"/>
                  <w:right w:w="28" w:type="dxa"/>
                </w:tblCellMar>
              </w:tblPrEx>
              <w:tc>
                <w:tcPr>
                  <w:tcW w:w="75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八角枫</w:t>
                  </w:r>
                </w:p>
              </w:tc>
              <w:tc>
                <w:tcPr>
                  <w:tcW w:w="65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9.6</w:t>
                  </w:r>
                </w:p>
              </w:tc>
              <w:tc>
                <w:tcPr>
                  <w:tcW w:w="90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鸡血藤</w:t>
                  </w:r>
                </w:p>
              </w:tc>
              <w:tc>
                <w:tcPr>
                  <w:tcW w:w="74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1.3</w:t>
                  </w:r>
                </w:p>
              </w:tc>
              <w:tc>
                <w:tcPr>
                  <w:tcW w:w="129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风湿定胶囊干膏粉</w:t>
                  </w:r>
                </w:p>
              </w:tc>
              <w:tc>
                <w:tcPr>
                  <w:tcW w:w="63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w:t>
                  </w:r>
                </w:p>
              </w:tc>
            </w:tr>
            <w:tr>
              <w:tblPrEx>
                <w:tblCellMar>
                  <w:top w:w="0" w:type="dxa"/>
                  <w:left w:w="28" w:type="dxa"/>
                  <w:bottom w:w="0" w:type="dxa"/>
                  <w:right w:w="28" w:type="dxa"/>
                </w:tblCellMar>
              </w:tblPrEx>
              <w:tc>
                <w:tcPr>
                  <w:tcW w:w="75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白芷</w:t>
                  </w:r>
                </w:p>
              </w:tc>
              <w:tc>
                <w:tcPr>
                  <w:tcW w:w="65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0.32</w:t>
                  </w:r>
                </w:p>
              </w:tc>
              <w:tc>
                <w:tcPr>
                  <w:tcW w:w="90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金樱子</w:t>
                  </w:r>
                </w:p>
              </w:tc>
              <w:tc>
                <w:tcPr>
                  <w:tcW w:w="74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0.72</w:t>
                  </w:r>
                </w:p>
              </w:tc>
              <w:tc>
                <w:tcPr>
                  <w:tcW w:w="129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壮腰健肾胶囊干膏粉</w:t>
                  </w:r>
                </w:p>
              </w:tc>
              <w:tc>
                <w:tcPr>
                  <w:tcW w:w="63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w:t>
                  </w:r>
                </w:p>
              </w:tc>
            </w:tr>
            <w:tr>
              <w:tblPrEx>
                <w:tblCellMar>
                  <w:top w:w="0" w:type="dxa"/>
                  <w:left w:w="28" w:type="dxa"/>
                  <w:bottom w:w="0" w:type="dxa"/>
                  <w:right w:w="28" w:type="dxa"/>
                </w:tblCellMar>
              </w:tblPrEx>
              <w:tc>
                <w:tcPr>
                  <w:tcW w:w="75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徐长卿</w:t>
                  </w:r>
                </w:p>
              </w:tc>
              <w:tc>
                <w:tcPr>
                  <w:tcW w:w="65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0.96</w:t>
                  </w:r>
                </w:p>
              </w:tc>
              <w:tc>
                <w:tcPr>
                  <w:tcW w:w="90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女贞子（蒸）</w:t>
                  </w:r>
                </w:p>
              </w:tc>
              <w:tc>
                <w:tcPr>
                  <w:tcW w:w="74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0.12</w:t>
                  </w:r>
                </w:p>
              </w:tc>
              <w:tc>
                <w:tcPr>
                  <w:tcW w:w="129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杂质</w:t>
                  </w:r>
                </w:p>
              </w:tc>
              <w:tc>
                <w:tcPr>
                  <w:tcW w:w="63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0.827</w:t>
                  </w:r>
                </w:p>
              </w:tc>
            </w:tr>
            <w:tr>
              <w:tblPrEx>
                <w:tblCellMar>
                  <w:top w:w="0" w:type="dxa"/>
                  <w:left w:w="28" w:type="dxa"/>
                  <w:bottom w:w="0" w:type="dxa"/>
                  <w:right w:w="28" w:type="dxa"/>
                </w:tblCellMar>
              </w:tblPrEx>
              <w:tc>
                <w:tcPr>
                  <w:tcW w:w="75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甘草</w:t>
                  </w:r>
                </w:p>
              </w:tc>
              <w:tc>
                <w:tcPr>
                  <w:tcW w:w="65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0.13</w:t>
                  </w:r>
                </w:p>
              </w:tc>
              <w:tc>
                <w:tcPr>
                  <w:tcW w:w="90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牛大力</w:t>
                  </w:r>
                </w:p>
              </w:tc>
              <w:tc>
                <w:tcPr>
                  <w:tcW w:w="74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0.9</w:t>
                  </w:r>
                </w:p>
              </w:tc>
              <w:tc>
                <w:tcPr>
                  <w:tcW w:w="129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粉尘</w:t>
                  </w:r>
                </w:p>
              </w:tc>
              <w:tc>
                <w:tcPr>
                  <w:tcW w:w="63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0.062</w:t>
                  </w:r>
                </w:p>
              </w:tc>
            </w:tr>
            <w:tr>
              <w:tblPrEx>
                <w:tblCellMar>
                  <w:top w:w="0" w:type="dxa"/>
                  <w:left w:w="28" w:type="dxa"/>
                  <w:bottom w:w="0" w:type="dxa"/>
                  <w:right w:w="28" w:type="dxa"/>
                </w:tblCellMar>
              </w:tblPrEx>
              <w:tc>
                <w:tcPr>
                  <w:tcW w:w="75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狗脊</w:t>
                  </w:r>
                </w:p>
              </w:tc>
              <w:tc>
                <w:tcPr>
                  <w:tcW w:w="65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2.3</w:t>
                  </w:r>
                </w:p>
              </w:tc>
              <w:tc>
                <w:tcPr>
                  <w:tcW w:w="90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菟丝子（盐水制）</w:t>
                  </w:r>
                </w:p>
              </w:tc>
              <w:tc>
                <w:tcPr>
                  <w:tcW w:w="74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0.12</w:t>
                  </w:r>
                </w:p>
              </w:tc>
              <w:tc>
                <w:tcPr>
                  <w:tcW w:w="129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清洗废水</w:t>
                  </w:r>
                </w:p>
              </w:tc>
              <w:tc>
                <w:tcPr>
                  <w:tcW w:w="63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129</w:t>
                  </w:r>
                </w:p>
              </w:tc>
            </w:tr>
            <w:tr>
              <w:tblPrEx>
                <w:tblCellMar>
                  <w:top w:w="0" w:type="dxa"/>
                  <w:left w:w="28" w:type="dxa"/>
                  <w:bottom w:w="0" w:type="dxa"/>
                  <w:right w:w="28" w:type="dxa"/>
                </w:tblCellMar>
              </w:tblPrEx>
              <w:tc>
                <w:tcPr>
                  <w:tcW w:w="75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黑老虎</w:t>
                  </w:r>
                </w:p>
              </w:tc>
              <w:tc>
                <w:tcPr>
                  <w:tcW w:w="65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1.3</w:t>
                  </w:r>
                </w:p>
              </w:tc>
              <w:tc>
                <w:tcPr>
                  <w:tcW w:w="90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自来水</w:t>
                  </w:r>
                </w:p>
              </w:tc>
              <w:tc>
                <w:tcPr>
                  <w:tcW w:w="74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152</w:t>
                  </w:r>
                </w:p>
              </w:tc>
              <w:tc>
                <w:tcPr>
                  <w:tcW w:w="129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水提浓缩蒸馏废水</w:t>
                  </w:r>
                </w:p>
              </w:tc>
              <w:tc>
                <w:tcPr>
                  <w:tcW w:w="63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250.24</w:t>
                  </w:r>
                </w:p>
              </w:tc>
            </w:tr>
            <w:tr>
              <w:tblPrEx>
                <w:tblCellMar>
                  <w:top w:w="0" w:type="dxa"/>
                  <w:left w:w="28" w:type="dxa"/>
                  <w:bottom w:w="0" w:type="dxa"/>
                  <w:right w:w="28" w:type="dxa"/>
                </w:tblCellMar>
              </w:tblPrEx>
              <w:tc>
                <w:tcPr>
                  <w:tcW w:w="75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千斤拔</w:t>
                  </w:r>
                </w:p>
              </w:tc>
              <w:tc>
                <w:tcPr>
                  <w:tcW w:w="65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0.54</w:t>
                  </w:r>
                </w:p>
              </w:tc>
              <w:tc>
                <w:tcPr>
                  <w:tcW w:w="906"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饮用水</w:t>
                  </w:r>
                </w:p>
              </w:tc>
              <w:tc>
                <w:tcPr>
                  <w:tcW w:w="74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257</w:t>
                  </w:r>
                </w:p>
              </w:tc>
              <w:tc>
                <w:tcPr>
                  <w:tcW w:w="129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水蒸发损耗</w:t>
                  </w:r>
                </w:p>
              </w:tc>
              <w:tc>
                <w:tcPr>
                  <w:tcW w:w="63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23.06</w:t>
                  </w:r>
                </w:p>
              </w:tc>
            </w:tr>
            <w:tr>
              <w:tblPrEx>
                <w:tblCellMar>
                  <w:top w:w="0" w:type="dxa"/>
                  <w:left w:w="28" w:type="dxa"/>
                  <w:bottom w:w="0" w:type="dxa"/>
                  <w:right w:w="28" w:type="dxa"/>
                </w:tblCellMar>
              </w:tblPrEx>
              <w:tc>
                <w:tcPr>
                  <w:tcW w:w="75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桑寄生（蒸）</w:t>
                  </w:r>
                </w:p>
              </w:tc>
              <w:tc>
                <w:tcPr>
                  <w:tcW w:w="65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0.67</w:t>
                  </w:r>
                </w:p>
              </w:tc>
              <w:tc>
                <w:tcPr>
                  <w:tcW w:w="90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c>
                <w:tcPr>
                  <w:tcW w:w="74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c>
                <w:tcPr>
                  <w:tcW w:w="129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药渣（含30%水）</w:t>
                  </w:r>
                </w:p>
              </w:tc>
              <w:tc>
                <w:tcPr>
                  <w:tcW w:w="63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22.791</w:t>
                  </w:r>
                </w:p>
              </w:tc>
            </w:tr>
            <w:tr>
              <w:tblPrEx>
                <w:tblCellMar>
                  <w:top w:w="0" w:type="dxa"/>
                  <w:left w:w="28" w:type="dxa"/>
                  <w:bottom w:w="0" w:type="dxa"/>
                  <w:right w:w="28" w:type="dxa"/>
                </w:tblCellMar>
              </w:tblPrEx>
              <w:tc>
                <w:tcPr>
                  <w:tcW w:w="75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小计</w:t>
                  </w:r>
                </w:p>
              </w:tc>
              <w:tc>
                <w:tcPr>
                  <w:tcW w:w="2313" w:type="pct"/>
                  <w:gridSpan w:val="3"/>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427.980</w:t>
                  </w:r>
                </w:p>
              </w:tc>
              <w:tc>
                <w:tcPr>
                  <w:tcW w:w="129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小计</w:t>
                  </w:r>
                </w:p>
              </w:tc>
              <w:tc>
                <w:tcPr>
                  <w:tcW w:w="63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427.980</w:t>
                  </w:r>
                </w:p>
              </w:tc>
            </w:tr>
          </w:tbl>
          <w:p>
            <w:pPr>
              <w:pStyle w:val="90"/>
              <w:adjustRightInd/>
              <w:snapToGrid/>
              <w:ind w:firstLine="199" w:firstLineChars="83"/>
              <w:jc w:val="center"/>
              <w:rPr>
                <w:rStyle w:val="88"/>
                <w:rFonts w:ascii="Times New Roman" w:hAnsi="Times New Roman" w:cs="Times New Roman"/>
                <w:b w:val="0"/>
                <w:color w:val="000000" w:themeColor="text1"/>
                <w14:textFill>
                  <w14:solidFill>
                    <w14:schemeClr w14:val="tx1"/>
                  </w14:solidFill>
                </w14:textFill>
              </w:rPr>
            </w:pPr>
          </w:p>
          <w:p>
            <w:pPr>
              <w:pStyle w:val="90"/>
              <w:adjustRightInd/>
              <w:snapToGrid/>
              <w:spacing w:line="240" w:lineRule="auto"/>
              <w:ind w:firstLine="0" w:firstLineChars="0"/>
              <w:jc w:val="center"/>
              <w:rPr>
                <w:rStyle w:val="88"/>
                <w:rFonts w:ascii="Times New Roman" w:hAnsi="Times New Roman" w:cs="Times New Roman"/>
                <w:b w:val="0"/>
                <w:color w:val="000000" w:themeColor="text1"/>
                <w14:textFill>
                  <w14:solidFill>
                    <w14:schemeClr w14:val="tx1"/>
                  </w14:solidFill>
                </w14:textFill>
              </w:rPr>
            </w:pPr>
            <w:r>
              <w:rPr>
                <w:rFonts w:ascii="Times New Roman"/>
                <w:color w:val="000000" w:themeColor="text1"/>
                <w14:textFill>
                  <w14:solidFill>
                    <w14:schemeClr w14:val="tx1"/>
                  </w14:solidFill>
                </w14:textFill>
              </w:rPr>
              <w:drawing>
                <wp:inline distT="0" distB="0" distL="0" distR="0">
                  <wp:extent cx="5486400" cy="1769110"/>
                  <wp:effectExtent l="19050" t="19050" r="19050" b="2159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3"/>
                          <a:stretch>
                            <a:fillRect/>
                          </a:stretch>
                        </pic:blipFill>
                        <pic:spPr>
                          <a:xfrm>
                            <a:off x="0" y="0"/>
                            <a:ext cx="5499160" cy="1773225"/>
                          </a:xfrm>
                          <a:prstGeom prst="rect">
                            <a:avLst/>
                          </a:prstGeom>
                          <a:ln>
                            <a:solidFill>
                              <a:schemeClr val="tx1"/>
                            </a:solidFill>
                          </a:ln>
                        </pic:spPr>
                      </pic:pic>
                    </a:graphicData>
                  </a:graphic>
                </wp:inline>
              </w:drawing>
            </w:r>
          </w:p>
          <w:p>
            <w:pPr>
              <w:pStyle w:val="59"/>
              <w:numPr>
                <w:ilvl w:val="0"/>
                <w:numId w:val="7"/>
              </w:numPr>
              <w:adjustRightInd w:val="0"/>
              <w:snapToGrid w:val="0"/>
              <w:spacing w:line="360" w:lineRule="auto"/>
              <w:ind w:left="0" w:firstLine="0" w:firstLineChars="0"/>
              <w:jc w:val="center"/>
              <w:rPr>
                <w:rStyle w:val="88"/>
                <w:rFonts w:ascii="Times New Roman" w:hAnsi="Times New Roman" w:cs="Times New Roman"/>
                <w:color w:val="000000" w:themeColor="text1"/>
                <w14:textFill>
                  <w14:solidFill>
                    <w14:schemeClr w14:val="tx1"/>
                  </w14:solidFill>
                </w14:textFill>
              </w:rPr>
            </w:pPr>
            <w:r>
              <w:rPr>
                <w:rStyle w:val="88"/>
                <w:rFonts w:ascii="Times New Roman" w:hAnsi="Times New Roman" w:cs="Times New Roman"/>
                <w:color w:val="000000" w:themeColor="text1"/>
                <w14:textFill>
                  <w14:solidFill>
                    <w14:schemeClr w14:val="tx1"/>
                  </w14:solidFill>
                </w14:textFill>
              </w:rPr>
              <w:t>风湿定胶囊干膏粉、壮腰</w:t>
            </w:r>
            <w:r>
              <w:rPr>
                <w:b/>
                <w:color w:val="000000" w:themeColor="text1"/>
                <w:sz w:val="24"/>
                <w:szCs w:val="24"/>
                <w14:textFill>
                  <w14:solidFill>
                    <w14:schemeClr w14:val="tx1"/>
                  </w14:solidFill>
                </w14:textFill>
              </w:rPr>
              <w:t>健</w:t>
            </w:r>
            <w:r>
              <w:rPr>
                <w:b/>
                <w:bCs/>
                <w:color w:val="000000" w:themeColor="text1"/>
                <w:sz w:val="24"/>
                <w:szCs w:val="24"/>
                <w14:textFill>
                  <w14:solidFill>
                    <w14:schemeClr w14:val="tx1"/>
                  </w14:solidFill>
                </w14:textFill>
              </w:rPr>
              <w:t>肾胶囊</w:t>
            </w:r>
            <w:r>
              <w:rPr>
                <w:b/>
                <w:color w:val="000000" w:themeColor="text1"/>
                <w:sz w:val="24"/>
                <w:szCs w:val="24"/>
                <w14:textFill>
                  <w14:solidFill>
                    <w14:schemeClr w14:val="tx1"/>
                  </w14:solidFill>
                </w14:textFill>
              </w:rPr>
              <w:t>干膏粉生产线物料平衡图</w:t>
            </w:r>
          </w:p>
          <w:p>
            <w:pPr>
              <w:pStyle w:val="90"/>
              <w:adjustRightInd/>
              <w:snapToGrid/>
              <w:ind w:firstLineChars="83"/>
              <w:jc w:val="center"/>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color w:val="000000" w:themeColor="text1"/>
                <w14:textFill>
                  <w14:solidFill>
                    <w14:schemeClr w14:val="tx1"/>
                  </w14:solidFill>
                </w14:textFill>
              </w:rPr>
            </w:pPr>
          </w:p>
          <w:p>
            <w:pPr>
              <w:pStyle w:val="90"/>
              <w:adjustRightInd/>
              <w:snapToGrid/>
              <w:ind w:firstLine="482"/>
              <w:rPr>
                <w:rStyle w:val="88"/>
                <w:rFonts w:ascii="Times New Roman" w:hAnsi="Times New Roman" w:cs="Times New Roman"/>
                <w:b w:val="0"/>
                <w:bCs w:val="0"/>
                <w:color w:val="000000" w:themeColor="text1"/>
                <w14:textFill>
                  <w14:solidFill>
                    <w14:schemeClr w14:val="tx1"/>
                  </w14:solidFill>
                </w14:textFill>
              </w:rPr>
            </w:pPr>
            <w:r>
              <w:rPr>
                <w:rStyle w:val="88"/>
                <w:rFonts w:ascii="Times New Roman" w:hAnsi="Times New Roman" w:cs="Times New Roman"/>
                <w:color w:val="000000" w:themeColor="text1"/>
                <w14:textFill>
                  <w14:solidFill>
                    <w14:schemeClr w14:val="tx1"/>
                  </w14:solidFill>
                </w14:textFill>
              </w:rPr>
              <w:t>3、</w:t>
            </w:r>
            <w:r>
              <w:rPr>
                <w:rFonts w:ascii="Times New Roman"/>
                <w:b/>
                <w:color w:val="000000" w:themeColor="text1"/>
                <w14:textFill>
                  <w14:solidFill>
                    <w14:schemeClr w14:val="tx1"/>
                  </w14:solidFill>
                </w14:textFill>
              </w:rPr>
              <w:t>元胡止痛片干膏粉生产工艺（前处理+醇提工艺）</w:t>
            </w:r>
          </w:p>
          <w:p>
            <w:pPr>
              <w:spacing w:line="360" w:lineRule="auto"/>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4920615" cy="6080760"/>
                  <wp:effectExtent l="19050" t="19050" r="13335" b="152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4"/>
                          <a:stretch>
                            <a:fillRect/>
                          </a:stretch>
                        </pic:blipFill>
                        <pic:spPr>
                          <a:xfrm>
                            <a:off x="0" y="0"/>
                            <a:ext cx="4921200" cy="6080872"/>
                          </a:xfrm>
                          <a:prstGeom prst="rect">
                            <a:avLst/>
                          </a:prstGeom>
                          <a:ln>
                            <a:solidFill>
                              <a:schemeClr val="tx1"/>
                            </a:solidFill>
                          </a:ln>
                        </pic:spPr>
                      </pic:pic>
                    </a:graphicData>
                  </a:graphic>
                </wp:inline>
              </w:drawing>
            </w:r>
          </w:p>
          <w:p>
            <w:pPr>
              <w:pStyle w:val="59"/>
              <w:numPr>
                <w:ilvl w:val="0"/>
                <w:numId w:val="7"/>
              </w:numPr>
              <w:adjustRightInd w:val="0"/>
              <w:snapToGrid w:val="0"/>
              <w:spacing w:line="360" w:lineRule="auto"/>
              <w:ind w:left="0" w:firstLine="0" w:firstLineChars="0"/>
              <w:jc w:val="center"/>
              <w:rPr>
                <w:rStyle w:val="88"/>
                <w:rFonts w:ascii="Times New Roman" w:hAnsi="Times New Roman" w:cs="Times New Roman"/>
                <w:bCs w:val="0"/>
                <w:color w:val="000000" w:themeColor="text1"/>
                <w14:textFill>
                  <w14:solidFill>
                    <w14:schemeClr w14:val="tx1"/>
                  </w14:solidFill>
                </w14:textFill>
              </w:rPr>
            </w:pPr>
            <w:r>
              <w:rPr>
                <w:rStyle w:val="88"/>
                <w:rFonts w:ascii="Times New Roman" w:hAnsi="Times New Roman" w:cs="Times New Roman"/>
                <w:bCs w:val="0"/>
                <w:color w:val="000000" w:themeColor="text1"/>
                <w14:textFill>
                  <w14:solidFill>
                    <w14:schemeClr w14:val="tx1"/>
                  </w14:solidFill>
                </w14:textFill>
              </w:rPr>
              <w:t>元胡止痛片干膏粉生产工艺流程及产污环节图</w:t>
            </w:r>
          </w:p>
          <w:p>
            <w:pPr>
              <w:pStyle w:val="90"/>
              <w:adjustRightInd/>
              <w:snapToGrid/>
              <w:ind w:firstLine="48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（1）工艺流程简介</w:t>
            </w:r>
          </w:p>
          <w:p>
            <w:pPr>
              <w:pStyle w:val="90"/>
              <w:adjustRightInd/>
              <w:snapToGrid/>
              <w:ind w:firstLine="480"/>
              <w:rPr>
                <w:rFonts w:ascii="Times New Roman"/>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①</w:t>
            </w:r>
            <w:r>
              <w:rPr>
                <w:rFonts w:ascii="Times New Roman"/>
                <w:color w:val="000000" w:themeColor="text1"/>
                <w:szCs w:val="24"/>
                <w14:textFill>
                  <w14:solidFill>
                    <w14:schemeClr w14:val="tx1"/>
                  </w14:solidFill>
                </w14:textFill>
              </w:rPr>
              <w:t>中药材前处理：同上文。</w:t>
            </w:r>
          </w:p>
          <w:p>
            <w:pPr>
              <w:pStyle w:val="90"/>
              <w:adjustRightInd/>
              <w:snapToGrid/>
              <w:ind w:firstLine="480"/>
              <w:rPr>
                <w:rFonts w:ascii="Times New Roman"/>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②</w:t>
            </w:r>
            <w:r>
              <w:rPr>
                <w:rFonts w:ascii="Times New Roman"/>
                <w:color w:val="000000" w:themeColor="text1"/>
                <w:szCs w:val="24"/>
                <w14:textFill>
                  <w14:solidFill>
                    <w14:schemeClr w14:val="tx1"/>
                  </w14:solidFill>
                </w14:textFill>
              </w:rPr>
              <w:t>醇提浓缩处理</w:t>
            </w:r>
          </w:p>
          <w:p>
            <w:pPr>
              <w:pStyle w:val="90"/>
              <w:adjustRightInd/>
              <w:snapToGrid/>
              <w:ind w:firstLine="48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A）</w:t>
            </w:r>
            <w:r>
              <w:rPr>
                <w:rFonts w:ascii="Times New Roman"/>
                <w:color w:val="000000" w:themeColor="text1"/>
                <w14:textFill>
                  <w14:solidFill>
                    <w14:schemeClr w14:val="tx1"/>
                  </w14:solidFill>
                </w14:textFill>
              </w:rPr>
              <w:t>投料、醇提、过滤</w:t>
            </w:r>
          </w:p>
          <w:p>
            <w:pPr>
              <w:pStyle w:val="90"/>
              <w:adjustRightInd/>
              <w:snapToGrid/>
              <w:ind w:firstLine="48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提取溶剂采用95%乙醇进行醇提煎煮（乙醇总用量约</w:t>
            </w:r>
            <w:r>
              <w:rPr>
                <w:rFonts w:ascii="Times New Roman"/>
                <w:color w:val="000000" w:themeColor="text1"/>
                <w14:textFill>
                  <w14:solidFill>
                    <w14:schemeClr w14:val="tx1"/>
                  </w14:solidFill>
                </w14:textFill>
              </w:rPr>
              <w:t>2t/t药材</w:t>
            </w:r>
            <w:r>
              <w:rPr>
                <w:rFonts w:ascii="Times New Roman"/>
                <w:color w:val="000000" w:themeColor="text1"/>
                <w:szCs w:val="24"/>
                <w14:textFill>
                  <w14:solidFill>
                    <w14:schemeClr w14:val="tx1"/>
                  </w14:solidFill>
                </w14:textFill>
              </w:rPr>
              <w:t>），其余操作同水提工序。提取过程全密闭状态，无异味散逸。过滤后产生的药渣排出，暂存于提取车间内，日产日清，药渣排渣过程产生异味及乙醇废气。</w:t>
            </w:r>
          </w:p>
          <w:p>
            <w:pPr>
              <w:pStyle w:val="90"/>
              <w:adjustRightInd/>
              <w:snapToGrid/>
              <w:ind w:firstLine="48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B）真空浓缩</w:t>
            </w:r>
          </w:p>
          <w:p>
            <w:pPr>
              <w:pStyle w:val="90"/>
              <w:adjustRightInd/>
              <w:snapToGrid/>
              <w:ind w:firstLine="48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醇提过滤后的提取液经过真空浓缩后，得到浓缩液备用。蒸发浓缩过程的乙醇蒸汽大部分经冷凝后回收进入到乙醇储罐暂存，少量乙醇不凝气随真空泵进入到水封吸收池中处理，外排量基本为零，对外环境影响不明显。</w:t>
            </w:r>
          </w:p>
          <w:p>
            <w:pPr>
              <w:pStyle w:val="90"/>
              <w:adjustRightInd/>
              <w:snapToGrid/>
              <w:ind w:firstLine="480"/>
              <w:rPr>
                <w:rFonts w:ascii="Times New Roman"/>
                <w:color w:val="000000" w:themeColor="text1"/>
                <w:szCs w:val="24"/>
                <w14:textFill>
                  <w14:solidFill>
                    <w14:schemeClr w14:val="tx1"/>
                  </w14:solidFill>
                </w14:textFill>
              </w:rPr>
            </w:pPr>
            <w:r>
              <w:rPr>
                <w:rFonts w:hint="eastAsia" w:hAnsi="宋体" w:cs="宋体"/>
                <w:color w:val="000000" w:themeColor="text1"/>
                <w14:textFill>
                  <w14:solidFill>
                    <w14:schemeClr w14:val="tx1"/>
                  </w14:solidFill>
                </w14:textFill>
              </w:rPr>
              <w:t>③</w:t>
            </w:r>
            <w:r>
              <w:rPr>
                <w:rFonts w:ascii="Times New Roman"/>
                <w:color w:val="000000" w:themeColor="text1"/>
                <w14:textFill>
                  <w14:solidFill>
                    <w14:schemeClr w14:val="tx1"/>
                  </w14:solidFill>
                </w14:textFill>
              </w:rPr>
              <w:t>药材后处理（洁净区）</w:t>
            </w:r>
          </w:p>
          <w:p>
            <w:pPr>
              <w:pStyle w:val="90"/>
              <w:adjustRightInd/>
              <w:snapToGrid/>
              <w:ind w:firstLine="48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A）干燥、粉碎、混合</w:t>
            </w:r>
          </w:p>
          <w:p>
            <w:pPr>
              <w:pStyle w:val="90"/>
              <w:adjustRightInd/>
              <w:snapToGrid/>
              <w:ind w:firstLine="480"/>
              <w:rPr>
                <w:rFonts w:ascii="Times New Roman"/>
                <w:color w:val="000000" w:themeColor="text1"/>
                <w:szCs w:val="24"/>
                <w14:textFill>
                  <w14:solidFill>
                    <w14:schemeClr w14:val="tx1"/>
                  </w14:solidFill>
                </w14:textFill>
              </w:rPr>
            </w:pPr>
            <w:r>
              <w:rPr>
                <w:rFonts w:ascii="Times New Roman"/>
                <w:color w:val="000000" w:themeColor="text1"/>
                <w14:textFill>
                  <w14:solidFill>
                    <w14:schemeClr w14:val="tx1"/>
                  </w14:solidFill>
                </w14:textFill>
              </w:rPr>
              <w:t>浓缩后的浸膏经密闭干燥（蒸汽间接加热）后，与净料库灭菌（蒸汽间接加热）后的其他药材细粉按比例投入万能粉碎机进行密闭粉碎，过筛后进行密闭混合</w:t>
            </w:r>
            <w:r>
              <w:rPr>
                <w:rStyle w:val="88"/>
                <w:rFonts w:ascii="Times New Roman" w:hAnsi="Times New Roman" w:cs="Times New Roman"/>
                <w:b w:val="0"/>
                <w:color w:val="000000" w:themeColor="text1"/>
                <w14:textFill>
                  <w14:solidFill>
                    <w14:schemeClr w14:val="tx1"/>
                  </w14:solidFill>
                </w14:textFill>
              </w:rPr>
              <w:t>，混合完成后出料直接进行袋装，进入到成品仓库待售。混合后出料过程产生粉尘。</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（2）生产线物料平衡</w:t>
            </w:r>
          </w:p>
          <w:p>
            <w:pPr>
              <w:pStyle w:val="90"/>
              <w:adjustRightInd/>
              <w:snapToGrid/>
              <w:ind w:firstLine="480"/>
              <w:rPr>
                <w:rStyle w:val="88"/>
                <w:rFonts w:ascii="Times New Roman" w:hAnsi="Times New Roman" w:cs="Times New Roman"/>
                <w:b w:val="0"/>
                <w:color w:val="000000" w:themeColor="text1"/>
                <w14:textFill>
                  <w14:solidFill>
                    <w14:schemeClr w14:val="tx1"/>
                  </w14:solidFill>
                </w14:textFill>
              </w:rPr>
            </w:pPr>
            <w:r>
              <w:rPr>
                <w:rStyle w:val="88"/>
                <w:rFonts w:ascii="Times New Roman" w:hAnsi="Times New Roman" w:cs="Times New Roman"/>
                <w:b w:val="0"/>
                <w:color w:val="000000" w:themeColor="text1"/>
                <w14:textFill>
                  <w14:solidFill>
                    <w14:schemeClr w14:val="tx1"/>
                  </w14:solidFill>
                </w14:textFill>
              </w:rPr>
              <w:t>白芷前处理后直接灭菌混合，其余中药需醇提。</w:t>
            </w:r>
          </w:p>
          <w:p>
            <w:pPr>
              <w:pStyle w:val="76"/>
              <w:numPr>
                <w:ilvl w:val="0"/>
                <w:numId w:val="4"/>
              </w:numPr>
              <w:ind w:left="0" w:firstLine="0"/>
              <w:rPr>
                <w:b w:val="0"/>
                <w:bCs/>
                <w:color w:val="000000" w:themeColor="text1"/>
                <w14:textFill>
                  <w14:solidFill>
                    <w14:schemeClr w14:val="tx1"/>
                  </w14:solidFill>
                </w14:textFill>
              </w:rPr>
            </w:pPr>
            <w:r>
              <w:rPr>
                <w:color w:val="000000" w:themeColor="text1"/>
                <w14:textFill>
                  <w14:solidFill>
                    <w14:schemeClr w14:val="tx1"/>
                  </w14:solidFill>
                </w14:textFill>
              </w:rPr>
              <w:t>元胡止痛片干膏粉</w:t>
            </w:r>
            <w:r>
              <w:rPr>
                <w:rFonts w:hint="eastAsia"/>
                <w:color w:val="000000" w:themeColor="text1"/>
                <w14:textFill>
                  <w14:solidFill>
                    <w14:schemeClr w14:val="tx1"/>
                  </w14:solidFill>
                </w14:textFill>
              </w:rPr>
              <w:t>生产线物料平衡表</w:t>
            </w:r>
          </w:p>
          <w:tbl>
            <w:tblPr>
              <w:tblStyle w:val="19"/>
              <w:tblW w:w="5000" w:type="pct"/>
              <w:jc w:val="center"/>
              <w:tblLayout w:type="autofit"/>
              <w:tblCellMar>
                <w:top w:w="0" w:type="dxa"/>
                <w:left w:w="108" w:type="dxa"/>
                <w:bottom w:w="0" w:type="dxa"/>
                <w:right w:w="108" w:type="dxa"/>
              </w:tblCellMar>
            </w:tblPr>
            <w:tblGrid>
              <w:gridCol w:w="1754"/>
              <w:gridCol w:w="1082"/>
              <w:gridCol w:w="1978"/>
              <w:gridCol w:w="847"/>
              <w:gridCol w:w="2079"/>
              <w:gridCol w:w="960"/>
            </w:tblGrid>
            <w:tr>
              <w:tblPrEx>
                <w:tblCellMar>
                  <w:top w:w="0" w:type="dxa"/>
                  <w:left w:w="108" w:type="dxa"/>
                  <w:bottom w:w="0" w:type="dxa"/>
                  <w:right w:w="108" w:type="dxa"/>
                </w:tblCellMar>
              </w:tblPrEx>
              <w:trPr>
                <w:jc w:val="center"/>
              </w:trPr>
              <w:tc>
                <w:tcPr>
                  <w:tcW w:w="163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投入</w:t>
                  </w:r>
                </w:p>
              </w:tc>
              <w:tc>
                <w:tcPr>
                  <w:tcW w:w="3370" w:type="pct"/>
                  <w:gridSpan w:val="4"/>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产出</w:t>
                  </w:r>
                </w:p>
              </w:tc>
            </w:tr>
            <w:tr>
              <w:tblPrEx>
                <w:tblCellMar>
                  <w:top w:w="0" w:type="dxa"/>
                  <w:left w:w="108" w:type="dxa"/>
                  <w:bottom w:w="0" w:type="dxa"/>
                  <w:right w:w="108" w:type="dxa"/>
                </w:tblCellMar>
              </w:tblPrEx>
              <w:trPr>
                <w:jc w:val="center"/>
              </w:trPr>
              <w:tc>
                <w:tcPr>
                  <w:tcW w:w="1008"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物料</w:t>
                  </w:r>
                </w:p>
              </w:tc>
              <w:tc>
                <w:tcPr>
                  <w:tcW w:w="62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w:t>
                  </w:r>
                </w:p>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（t/a）</w:t>
                  </w:r>
                </w:p>
              </w:tc>
              <w:tc>
                <w:tcPr>
                  <w:tcW w:w="1137"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出料</w:t>
                  </w:r>
                </w:p>
              </w:tc>
              <w:tc>
                <w:tcPr>
                  <w:tcW w:w="487"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c>
                <w:tcPr>
                  <w:tcW w:w="1195" w:type="pct"/>
                  <w:tcBorders>
                    <w:top w:val="nil"/>
                    <w:left w:val="nil"/>
                    <w:bottom w:val="single" w:color="auto" w:sz="4" w:space="0"/>
                    <w:right w:val="single" w:color="auto" w:sz="4" w:space="0"/>
                  </w:tcBorders>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出料</w:t>
                  </w:r>
                </w:p>
              </w:tc>
              <w:tc>
                <w:tcPr>
                  <w:tcW w:w="551" w:type="pct"/>
                  <w:tcBorders>
                    <w:top w:val="nil"/>
                    <w:left w:val="nil"/>
                    <w:bottom w:val="single" w:color="auto" w:sz="4" w:space="0"/>
                    <w:right w:val="single" w:color="auto" w:sz="4" w:space="0"/>
                  </w:tcBorders>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r>
            <w:tr>
              <w:tblPrEx>
                <w:tblCellMar>
                  <w:top w:w="0" w:type="dxa"/>
                  <w:left w:w="108" w:type="dxa"/>
                  <w:bottom w:w="0" w:type="dxa"/>
                  <w:right w:w="108" w:type="dxa"/>
                </w:tblCellMar>
              </w:tblPrEx>
              <w:trPr>
                <w:jc w:val="center"/>
              </w:trPr>
              <w:tc>
                <w:tcPr>
                  <w:tcW w:w="1008"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延胡索(醋制)</w:t>
                  </w:r>
                </w:p>
              </w:tc>
              <w:tc>
                <w:tcPr>
                  <w:tcW w:w="62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1.78</w:t>
                  </w:r>
                </w:p>
              </w:tc>
              <w:tc>
                <w:tcPr>
                  <w:tcW w:w="113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元胡止痛片干膏粉</w:t>
                  </w:r>
                </w:p>
              </w:tc>
              <w:tc>
                <w:tcPr>
                  <w:tcW w:w="48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hint="eastAsia" w:ascii="Times New Roman" w:hAnsi="Times New Roman" w:eastAsia="宋体"/>
                      <w:color w:val="000000" w:themeColor="text1"/>
                      <w:kern w:val="0"/>
                      <w:szCs w:val="21"/>
                      <w14:textFill>
                        <w14:solidFill>
                          <w14:schemeClr w14:val="tx1"/>
                        </w14:solidFill>
                      </w14:textFill>
                    </w:rPr>
                    <w:t>1</w:t>
                  </w:r>
                </w:p>
              </w:tc>
              <w:tc>
                <w:tcPr>
                  <w:tcW w:w="1195" w:type="pct"/>
                  <w:tcBorders>
                    <w:top w:val="nil"/>
                    <w:left w:val="nil"/>
                    <w:bottom w:val="single" w:color="auto" w:sz="4" w:space="0"/>
                    <w:right w:val="single" w:color="auto" w:sz="4" w:space="0"/>
                  </w:tcBorders>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药渣(含30%醇水)</w:t>
                  </w:r>
                </w:p>
              </w:tc>
              <w:tc>
                <w:tcPr>
                  <w:tcW w:w="551" w:type="pct"/>
                  <w:tcBorders>
                    <w:top w:val="nil"/>
                    <w:left w:val="nil"/>
                    <w:bottom w:val="single" w:color="auto" w:sz="4" w:space="0"/>
                    <w:right w:val="single" w:color="auto" w:sz="4" w:space="0"/>
                  </w:tcBorders>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 xml:space="preserve">2.237 </w:t>
                  </w:r>
                </w:p>
              </w:tc>
            </w:tr>
            <w:tr>
              <w:tblPrEx>
                <w:tblCellMar>
                  <w:top w:w="0" w:type="dxa"/>
                  <w:left w:w="108" w:type="dxa"/>
                  <w:bottom w:w="0" w:type="dxa"/>
                  <w:right w:w="108" w:type="dxa"/>
                </w:tblCellMar>
              </w:tblPrEx>
              <w:trPr>
                <w:jc w:val="center"/>
              </w:trPr>
              <w:tc>
                <w:tcPr>
                  <w:tcW w:w="1008"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白芷</w:t>
                  </w:r>
                </w:p>
              </w:tc>
              <w:tc>
                <w:tcPr>
                  <w:tcW w:w="62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0.9</w:t>
                  </w:r>
                </w:p>
              </w:tc>
              <w:tc>
                <w:tcPr>
                  <w:tcW w:w="113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杂质</w:t>
                  </w:r>
                </w:p>
              </w:tc>
              <w:tc>
                <w:tcPr>
                  <w:tcW w:w="48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0.027</w:t>
                  </w:r>
                </w:p>
              </w:tc>
              <w:tc>
                <w:tcPr>
                  <w:tcW w:w="1195" w:type="pct"/>
                  <w:tcBorders>
                    <w:top w:val="nil"/>
                    <w:left w:val="nil"/>
                    <w:bottom w:val="single" w:color="auto" w:sz="4" w:space="0"/>
                    <w:right w:val="single" w:color="auto" w:sz="4" w:space="0"/>
                  </w:tcBorders>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药渣挥发乙醇废气</w:t>
                  </w:r>
                </w:p>
              </w:tc>
              <w:tc>
                <w:tcPr>
                  <w:tcW w:w="551" w:type="pct"/>
                  <w:tcBorders>
                    <w:top w:val="nil"/>
                    <w:left w:val="nil"/>
                    <w:bottom w:val="single" w:color="auto" w:sz="4" w:space="0"/>
                    <w:right w:val="single" w:color="auto" w:sz="4" w:space="0"/>
                  </w:tcBorders>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0.102</w:t>
                  </w:r>
                </w:p>
              </w:tc>
            </w:tr>
            <w:tr>
              <w:tblPrEx>
                <w:tblCellMar>
                  <w:top w:w="0" w:type="dxa"/>
                  <w:left w:w="108" w:type="dxa"/>
                  <w:bottom w:w="0" w:type="dxa"/>
                  <w:right w:w="108" w:type="dxa"/>
                </w:tblCellMar>
              </w:tblPrEx>
              <w:trPr>
                <w:jc w:val="center"/>
              </w:trPr>
              <w:tc>
                <w:tcPr>
                  <w:tcW w:w="1008"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自来水</w:t>
                  </w:r>
                </w:p>
              </w:tc>
              <w:tc>
                <w:tcPr>
                  <w:tcW w:w="62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22</w:t>
                  </w:r>
                </w:p>
              </w:tc>
              <w:tc>
                <w:tcPr>
                  <w:tcW w:w="113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粉尘</w:t>
                  </w:r>
                </w:p>
              </w:tc>
              <w:tc>
                <w:tcPr>
                  <w:tcW w:w="48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0.014</w:t>
                  </w:r>
                </w:p>
              </w:tc>
              <w:tc>
                <w:tcPr>
                  <w:tcW w:w="1195" w:type="pct"/>
                  <w:tcBorders>
                    <w:top w:val="nil"/>
                    <w:left w:val="nil"/>
                    <w:bottom w:val="single" w:color="auto" w:sz="4" w:space="0"/>
                    <w:right w:val="single" w:color="auto" w:sz="4" w:space="0"/>
                  </w:tcBorders>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乙醇回收</w:t>
                  </w:r>
                </w:p>
              </w:tc>
              <w:tc>
                <w:tcPr>
                  <w:tcW w:w="551" w:type="pct"/>
                  <w:tcBorders>
                    <w:top w:val="nil"/>
                    <w:left w:val="nil"/>
                    <w:bottom w:val="single" w:color="auto" w:sz="4" w:space="0"/>
                    <w:right w:val="single" w:color="auto" w:sz="4" w:space="0"/>
                  </w:tcBorders>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3.209</w:t>
                  </w:r>
                </w:p>
              </w:tc>
            </w:tr>
            <w:tr>
              <w:tblPrEx>
                <w:tblCellMar>
                  <w:top w:w="0" w:type="dxa"/>
                  <w:left w:w="108" w:type="dxa"/>
                  <w:bottom w:w="0" w:type="dxa"/>
                  <w:right w:w="108" w:type="dxa"/>
                </w:tblCellMar>
              </w:tblPrEx>
              <w:trPr>
                <w:jc w:val="center"/>
              </w:trPr>
              <w:tc>
                <w:tcPr>
                  <w:tcW w:w="1008"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95%乙醇</w:t>
                  </w:r>
                </w:p>
              </w:tc>
              <w:tc>
                <w:tcPr>
                  <w:tcW w:w="62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4</w:t>
                  </w:r>
                </w:p>
              </w:tc>
              <w:tc>
                <w:tcPr>
                  <w:tcW w:w="113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清洗废水</w:t>
                  </w:r>
                </w:p>
              </w:tc>
              <w:tc>
                <w:tcPr>
                  <w:tcW w:w="48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w:t>
                  </w:r>
                  <w:r>
                    <w:rPr>
                      <w:rFonts w:hint="eastAsia" w:ascii="Times New Roman" w:hAnsi="Times New Roman" w:eastAsia="宋体"/>
                      <w:color w:val="000000" w:themeColor="text1"/>
                      <w:kern w:val="0"/>
                      <w:szCs w:val="21"/>
                      <w14:textFill>
                        <w14:solidFill>
                          <w14:schemeClr w14:val="tx1"/>
                        </w14:solidFill>
                      </w14:textFill>
                    </w:rPr>
                    <w:t>8</w:t>
                  </w:r>
                  <w:r>
                    <w:rPr>
                      <w:rFonts w:ascii="Times New Roman" w:hAnsi="Times New Roman" w:eastAsia="宋体"/>
                      <w:color w:val="000000" w:themeColor="text1"/>
                      <w:kern w:val="0"/>
                      <w:szCs w:val="21"/>
                      <w14:textFill>
                        <w14:solidFill>
                          <w14:schemeClr w14:val="tx1"/>
                        </w14:solidFill>
                      </w14:textFill>
                    </w:rPr>
                    <w:t>.7</w:t>
                  </w:r>
                </w:p>
              </w:tc>
              <w:tc>
                <w:tcPr>
                  <w:tcW w:w="1195" w:type="pct"/>
                  <w:tcBorders>
                    <w:top w:val="nil"/>
                    <w:left w:val="nil"/>
                    <w:bottom w:val="single" w:color="auto" w:sz="4" w:space="0"/>
                    <w:right w:val="single" w:color="auto" w:sz="4" w:space="0"/>
                  </w:tcBorders>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乙醇不凝气</w:t>
                  </w:r>
                </w:p>
              </w:tc>
              <w:tc>
                <w:tcPr>
                  <w:tcW w:w="551" w:type="pct"/>
                  <w:tcBorders>
                    <w:top w:val="nil"/>
                    <w:left w:val="nil"/>
                    <w:bottom w:val="single" w:color="auto" w:sz="4" w:space="0"/>
                    <w:right w:val="single" w:color="auto" w:sz="4" w:space="0"/>
                  </w:tcBorders>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0.085</w:t>
                  </w:r>
                </w:p>
              </w:tc>
            </w:tr>
            <w:tr>
              <w:tblPrEx>
                <w:tblCellMar>
                  <w:top w:w="0" w:type="dxa"/>
                  <w:left w:w="108" w:type="dxa"/>
                  <w:bottom w:w="0" w:type="dxa"/>
                  <w:right w:w="108" w:type="dxa"/>
                </w:tblCellMar>
              </w:tblPrEx>
              <w:trPr>
                <w:jc w:val="center"/>
              </w:trPr>
              <w:tc>
                <w:tcPr>
                  <w:tcW w:w="1008"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c>
                <w:tcPr>
                  <w:tcW w:w="62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c>
                <w:tcPr>
                  <w:tcW w:w="113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水蒸发损耗</w:t>
                  </w:r>
                </w:p>
              </w:tc>
              <w:tc>
                <w:tcPr>
                  <w:tcW w:w="48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3.306</w:t>
                  </w:r>
                </w:p>
              </w:tc>
              <w:tc>
                <w:tcPr>
                  <w:tcW w:w="1195" w:type="pct"/>
                  <w:tcBorders>
                    <w:top w:val="nil"/>
                    <w:left w:val="nil"/>
                    <w:bottom w:val="single" w:color="auto" w:sz="4" w:space="0"/>
                    <w:right w:val="single" w:color="auto" w:sz="4" w:space="0"/>
                  </w:tcBorders>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c>
                <w:tcPr>
                  <w:tcW w:w="551" w:type="pct"/>
                  <w:tcBorders>
                    <w:top w:val="nil"/>
                    <w:left w:val="nil"/>
                    <w:bottom w:val="single" w:color="auto" w:sz="4" w:space="0"/>
                    <w:right w:val="single" w:color="auto" w:sz="4" w:space="0"/>
                  </w:tcBorders>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r>
            <w:tr>
              <w:tblPrEx>
                <w:tblCellMar>
                  <w:top w:w="0" w:type="dxa"/>
                  <w:left w:w="108" w:type="dxa"/>
                  <w:bottom w:w="0" w:type="dxa"/>
                  <w:right w:w="108" w:type="dxa"/>
                </w:tblCellMar>
              </w:tblPrEx>
              <w:trPr>
                <w:jc w:val="center"/>
              </w:trPr>
              <w:tc>
                <w:tcPr>
                  <w:tcW w:w="1008"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小计</w:t>
                  </w:r>
                </w:p>
              </w:tc>
              <w:tc>
                <w:tcPr>
                  <w:tcW w:w="62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28.68</w:t>
                  </w:r>
                </w:p>
              </w:tc>
              <w:tc>
                <w:tcPr>
                  <w:tcW w:w="113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小计</w:t>
                  </w:r>
                </w:p>
              </w:tc>
              <w:tc>
                <w:tcPr>
                  <w:tcW w:w="2233" w:type="pct"/>
                  <w:gridSpan w:val="3"/>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28.68</w:t>
                  </w:r>
                </w:p>
              </w:tc>
            </w:tr>
          </w:tbl>
          <w:p>
            <w:pPr>
              <w:pStyle w:val="90"/>
              <w:adjustRightInd/>
              <w:snapToGrid/>
              <w:spacing w:line="240" w:lineRule="auto"/>
              <w:ind w:firstLine="0" w:firstLineChars="0"/>
              <w:jc w:val="center"/>
              <w:rPr>
                <w:rStyle w:val="88"/>
                <w:rFonts w:ascii="Times New Roman" w:hAnsi="Times New Roman" w:cs="Times New Roman"/>
                <w:b w:val="0"/>
                <w:color w:val="000000" w:themeColor="text1"/>
                <w14:textFill>
                  <w14:solidFill>
                    <w14:schemeClr w14:val="tx1"/>
                  </w14:solidFill>
                </w14:textFill>
              </w:rPr>
            </w:pPr>
          </w:p>
          <w:p>
            <w:pPr>
              <w:pStyle w:val="90"/>
              <w:adjustRightInd/>
              <w:snapToGrid/>
              <w:spacing w:line="240" w:lineRule="auto"/>
              <w:ind w:firstLine="0" w:firstLineChars="0"/>
              <w:jc w:val="center"/>
              <w:rPr>
                <w:rStyle w:val="88"/>
                <w:rFonts w:ascii="Times New Roman" w:hAnsi="Times New Roman" w:cs="Times New Roman"/>
                <w:b w:val="0"/>
                <w:color w:val="000000" w:themeColor="text1"/>
                <w14:textFill>
                  <w14:solidFill>
                    <w14:schemeClr w14:val="tx1"/>
                  </w14:solidFill>
                </w14:textFill>
              </w:rPr>
            </w:pPr>
          </w:p>
          <w:p>
            <w:pPr>
              <w:pStyle w:val="90"/>
              <w:adjustRightInd/>
              <w:snapToGrid/>
              <w:spacing w:line="240" w:lineRule="auto"/>
              <w:ind w:firstLine="0" w:firstLineChars="0"/>
              <w:jc w:val="center"/>
              <w:rPr>
                <w:rStyle w:val="88"/>
                <w:rFonts w:ascii="Times New Roman" w:hAnsi="Times New Roman" w:cs="Times New Roman"/>
                <w:b w:val="0"/>
                <w:color w:val="000000" w:themeColor="text1"/>
                <w14:textFill>
                  <w14:solidFill>
                    <w14:schemeClr w14:val="tx1"/>
                  </w14:solidFill>
                </w14:textFill>
              </w:rPr>
            </w:pPr>
            <w:r>
              <w:rPr>
                <w:rFonts w:ascii="Times New Roman"/>
                <w:color w:val="000000" w:themeColor="text1"/>
                <w14:textFill>
                  <w14:solidFill>
                    <w14:schemeClr w14:val="tx1"/>
                  </w14:solidFill>
                </w14:textFill>
              </w:rPr>
              <w:drawing>
                <wp:inline distT="0" distB="0" distL="0" distR="0">
                  <wp:extent cx="5486400" cy="2072640"/>
                  <wp:effectExtent l="19050" t="19050" r="19050" b="2286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5"/>
                          <a:stretch>
                            <a:fillRect/>
                          </a:stretch>
                        </pic:blipFill>
                        <pic:spPr>
                          <a:xfrm>
                            <a:off x="0" y="0"/>
                            <a:ext cx="5486400" cy="2072640"/>
                          </a:xfrm>
                          <a:prstGeom prst="rect">
                            <a:avLst/>
                          </a:prstGeom>
                          <a:ln>
                            <a:solidFill>
                              <a:schemeClr val="tx1"/>
                            </a:solidFill>
                          </a:ln>
                        </pic:spPr>
                      </pic:pic>
                    </a:graphicData>
                  </a:graphic>
                </wp:inline>
              </w:drawing>
            </w:r>
          </w:p>
          <w:p>
            <w:pPr>
              <w:pStyle w:val="59"/>
              <w:numPr>
                <w:ilvl w:val="0"/>
                <w:numId w:val="7"/>
              </w:numPr>
              <w:adjustRightInd w:val="0"/>
              <w:snapToGrid w:val="0"/>
              <w:spacing w:line="360" w:lineRule="auto"/>
              <w:ind w:left="0" w:firstLine="0" w:firstLineChars="0"/>
              <w:jc w:val="center"/>
              <w:rPr>
                <w:rStyle w:val="88"/>
                <w:rFonts w:ascii="Times New Roman" w:hAnsi="Times New Roman" w:cs="Times New Roman"/>
                <w:bCs w:val="0"/>
                <w:color w:val="000000" w:themeColor="text1"/>
                <w14:textFill>
                  <w14:solidFill>
                    <w14:schemeClr w14:val="tx1"/>
                  </w14:solidFill>
                </w14:textFill>
              </w:rPr>
            </w:pPr>
            <w:r>
              <w:rPr>
                <w:rStyle w:val="88"/>
                <w:rFonts w:ascii="Times New Roman" w:hAnsi="Times New Roman" w:cs="Times New Roman"/>
                <w:color w:val="000000" w:themeColor="text1"/>
                <w14:textFill>
                  <w14:solidFill>
                    <w14:schemeClr w14:val="tx1"/>
                  </w14:solidFill>
                </w14:textFill>
              </w:rPr>
              <w:t>元胡止痛片干膏粉</w:t>
            </w:r>
            <w:r>
              <w:rPr>
                <w:rStyle w:val="88"/>
                <w:rFonts w:ascii="Times New Roman" w:hAnsi="Times New Roman" w:cs="Times New Roman"/>
                <w:bCs w:val="0"/>
                <w:color w:val="000000" w:themeColor="text1"/>
                <w14:textFill>
                  <w14:solidFill>
                    <w14:schemeClr w14:val="tx1"/>
                  </w14:solidFill>
                </w14:textFill>
              </w:rPr>
              <w:t>生产线物料平衡图</w:t>
            </w:r>
          </w:p>
          <w:p>
            <w:pPr>
              <w:spacing w:line="360" w:lineRule="auto"/>
              <w:jc w:val="center"/>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4、六味地黄胶囊干膏粉、心可宁胶囊干膏粉、降糖宁胶囊干膏粉、复方丹参片干膏粉提取工艺（前处理+醇提、水提工艺）</w:t>
            </w:r>
          </w:p>
          <w:p>
            <w:pPr>
              <w:spacing w:line="360" w:lineRule="auto"/>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4920615" cy="6976110"/>
                  <wp:effectExtent l="19050" t="19050" r="13335" b="1524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6"/>
                          <a:stretch>
                            <a:fillRect/>
                          </a:stretch>
                        </pic:blipFill>
                        <pic:spPr>
                          <a:xfrm>
                            <a:off x="0" y="0"/>
                            <a:ext cx="4921200" cy="6976307"/>
                          </a:xfrm>
                          <a:prstGeom prst="rect">
                            <a:avLst/>
                          </a:prstGeom>
                          <a:ln>
                            <a:solidFill>
                              <a:schemeClr val="tx1"/>
                            </a:solidFill>
                          </a:ln>
                        </pic:spPr>
                      </pic:pic>
                    </a:graphicData>
                  </a:graphic>
                </wp:inline>
              </w:drawing>
            </w:r>
          </w:p>
          <w:p>
            <w:pPr>
              <w:pStyle w:val="59"/>
              <w:numPr>
                <w:ilvl w:val="0"/>
                <w:numId w:val="7"/>
              </w:numPr>
              <w:adjustRightInd w:val="0"/>
              <w:snapToGrid w:val="0"/>
              <w:ind w:left="0" w:firstLine="0" w:firstLineChars="0"/>
              <w:jc w:val="center"/>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六味地黄胶囊干膏粉、心可宁胶囊干膏粉、降糖宁胶囊干膏粉、</w:t>
            </w:r>
          </w:p>
          <w:p>
            <w:pPr>
              <w:pStyle w:val="59"/>
              <w:ind w:firstLine="0" w:firstLineChars="0"/>
              <w:jc w:val="center"/>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复方丹参片干膏粉生产工艺流程及产污环节图</w:t>
            </w:r>
          </w:p>
          <w:p>
            <w:pPr>
              <w:pStyle w:val="90"/>
              <w:adjustRightInd/>
              <w:snapToGrid/>
              <w:ind w:firstLine="48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（1）工艺流程简介</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①</w:t>
            </w:r>
            <w:r>
              <w:rPr>
                <w:rFonts w:ascii="Times New Roman" w:eastAsiaTheme="minorEastAsia"/>
                <w:color w:val="000000" w:themeColor="text1"/>
                <w:szCs w:val="24"/>
                <w14:textFill>
                  <w14:solidFill>
                    <w14:schemeClr w14:val="tx1"/>
                  </w14:solidFill>
                </w14:textFill>
              </w:rPr>
              <w:t>中药材前处理：同上文。</w:t>
            </w:r>
          </w:p>
          <w:p>
            <w:pPr>
              <w:pStyle w:val="90"/>
              <w:adjustRightInd/>
              <w:snapToGrid/>
              <w:ind w:firstLine="480"/>
              <w:rPr>
                <w:rFonts w:ascii="Times New Roman"/>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②</w:t>
            </w:r>
            <w:r>
              <w:rPr>
                <w:rFonts w:ascii="Times New Roman"/>
                <w:color w:val="000000" w:themeColor="text1"/>
                <w:szCs w:val="24"/>
                <w14:textFill>
                  <w14:solidFill>
                    <w14:schemeClr w14:val="tx1"/>
                  </w14:solidFill>
                </w14:textFill>
              </w:rPr>
              <w:t>醇提浓缩、水提浓缩处理</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A）</w:t>
            </w:r>
            <w:r>
              <w:rPr>
                <w:rFonts w:ascii="Times New Roman" w:eastAsiaTheme="minorEastAsia"/>
                <w:color w:val="000000" w:themeColor="text1"/>
                <w:szCs w:val="24"/>
                <w14:textFill>
                  <w14:solidFill>
                    <w14:schemeClr w14:val="tx1"/>
                  </w14:solidFill>
                </w14:textFill>
              </w:rPr>
              <w:t>醇提浓缩</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提取溶剂采用95%乙醇进行醇提煎煮（乙醇总用量分别为2t/</w:t>
            </w:r>
            <w:r>
              <w:rPr>
                <w:rFonts w:ascii="Times New Roman"/>
                <w:color w:val="000000" w:themeColor="text1"/>
                <w14:textFill>
                  <w14:solidFill>
                    <w14:schemeClr w14:val="tx1"/>
                  </w14:solidFill>
                </w14:textFill>
              </w:rPr>
              <w:t>t药材</w:t>
            </w:r>
            <w:r>
              <w:rPr>
                <w:rFonts w:ascii="Times New Roman"/>
                <w:color w:val="000000" w:themeColor="text1"/>
                <w:szCs w:val="24"/>
                <w14:textFill>
                  <w14:solidFill>
                    <w14:schemeClr w14:val="tx1"/>
                  </w14:solidFill>
                </w14:textFill>
              </w:rPr>
              <w:t>），其余操作同水提工序。</w:t>
            </w:r>
            <w:r>
              <w:rPr>
                <w:rFonts w:ascii="Times New Roman" w:eastAsiaTheme="minorEastAsia"/>
                <w:color w:val="000000" w:themeColor="text1"/>
                <w:szCs w:val="24"/>
                <w14:textFill>
                  <w14:solidFill>
                    <w14:schemeClr w14:val="tx1"/>
                  </w14:solidFill>
                </w14:textFill>
              </w:rPr>
              <w:t>醇提过滤后的提取液经过真空浓缩后，得到浓缩液备用，</w:t>
            </w:r>
            <w:r>
              <w:rPr>
                <w:rFonts w:ascii="Times New Roman"/>
                <w:color w:val="000000" w:themeColor="text1"/>
                <w:szCs w:val="24"/>
                <w14:textFill>
                  <w14:solidFill>
                    <w14:schemeClr w14:val="tx1"/>
                  </w14:solidFill>
                </w14:textFill>
              </w:rPr>
              <w:t>蒸发浓缩过程的乙醇蒸汽大部分经冷凝后回收进入到乙醇储罐暂存，少量乙醇不凝气随真空泵进入到水封吸收池中处理，外排量基本为零，对外环境影响不明显。</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B）</w:t>
            </w:r>
            <w:r>
              <w:rPr>
                <w:rFonts w:ascii="Times New Roman" w:eastAsiaTheme="minorEastAsia"/>
                <w:color w:val="000000" w:themeColor="text1"/>
                <w:szCs w:val="24"/>
                <w14:textFill>
                  <w14:solidFill>
                    <w14:schemeClr w14:val="tx1"/>
                  </w14:solidFill>
                </w14:textFill>
              </w:rPr>
              <w:t>水提浓缩</w:t>
            </w:r>
          </w:p>
          <w:p>
            <w:pPr>
              <w:pStyle w:val="90"/>
              <w:ind w:firstLine="480"/>
              <w:rPr>
                <w:rFonts w:ascii="Times New Roman" w:eastAsiaTheme="minorEastAsia"/>
                <w:color w:val="000000" w:themeColor="text1"/>
                <w:szCs w:val="24"/>
                <w14:textFill>
                  <w14:solidFill>
                    <w14:schemeClr w14:val="tx1"/>
                  </w14:solidFill>
                </w14:textFill>
              </w:rPr>
            </w:pPr>
            <w:r>
              <w:rPr>
                <w:rFonts w:ascii="Times New Roman"/>
                <w:color w:val="000000" w:themeColor="text1"/>
                <w14:textFill>
                  <w14:solidFill>
                    <w14:schemeClr w14:val="tx1"/>
                  </w14:solidFill>
                </w14:textFill>
              </w:rPr>
              <w:t>醇提过滤后的药渣进一步进行水提过滤浓缩。水提煎煮（饮用水总用量约15t/t药材）过程全密闭状态，无异味散逸。过滤排渣过程产生异味、药渣，蒸发浓缩过程的水蒸气经冷凝后产生的水提浓缩</w:t>
            </w:r>
            <w:r>
              <w:rPr>
                <w:rFonts w:hint="eastAsia" w:ascii="Times New Roman"/>
                <w:color w:val="000000" w:themeColor="text1"/>
                <w14:textFill>
                  <w14:solidFill>
                    <w14:schemeClr w14:val="tx1"/>
                  </w14:solidFill>
                </w14:textFill>
              </w:rPr>
              <w:t>蒸馏</w:t>
            </w:r>
            <w:r>
              <w:rPr>
                <w:rFonts w:ascii="Times New Roman"/>
                <w:color w:val="000000" w:themeColor="text1"/>
                <w14:textFill>
                  <w14:solidFill>
                    <w14:schemeClr w14:val="tx1"/>
                  </w14:solidFill>
                </w14:textFill>
              </w:rPr>
              <w:t>废水。</w:t>
            </w:r>
          </w:p>
          <w:p>
            <w:pPr>
              <w:pStyle w:val="90"/>
              <w:adjustRightInd/>
              <w:snapToGrid/>
              <w:ind w:firstLine="480"/>
              <w:rPr>
                <w:rFonts w:ascii="Times New Roman"/>
                <w:color w:val="000000" w:themeColor="text1"/>
                <w:szCs w:val="24"/>
                <w14:textFill>
                  <w14:solidFill>
                    <w14:schemeClr w14:val="tx1"/>
                  </w14:solidFill>
                </w14:textFill>
              </w:rPr>
            </w:pPr>
            <w:r>
              <w:rPr>
                <w:rFonts w:hint="eastAsia" w:hAnsi="宋体" w:cs="宋体"/>
                <w:color w:val="000000" w:themeColor="text1"/>
                <w14:textFill>
                  <w14:solidFill>
                    <w14:schemeClr w14:val="tx1"/>
                  </w14:solidFill>
                </w14:textFill>
              </w:rPr>
              <w:t>③</w:t>
            </w:r>
            <w:r>
              <w:rPr>
                <w:rFonts w:ascii="Times New Roman"/>
                <w:color w:val="000000" w:themeColor="text1"/>
                <w14:textFill>
                  <w14:solidFill>
                    <w14:schemeClr w14:val="tx1"/>
                  </w14:solidFill>
                </w14:textFill>
              </w:rPr>
              <w:t>药材后处理（洁净区）</w:t>
            </w:r>
          </w:p>
          <w:p>
            <w:pPr>
              <w:pStyle w:val="90"/>
              <w:adjustRightInd/>
              <w:snapToGrid/>
              <w:ind w:firstLine="48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A）干燥、粉碎、混合</w:t>
            </w:r>
          </w:p>
          <w:p>
            <w:pPr>
              <w:pStyle w:val="90"/>
              <w:adjustRightInd/>
              <w:snapToGrid/>
              <w:ind w:firstLine="480"/>
              <w:rPr>
                <w:rFonts w:ascii="Times New Roman"/>
                <w:color w:val="000000" w:themeColor="text1"/>
                <w:szCs w:val="24"/>
                <w14:textFill>
                  <w14:solidFill>
                    <w14:schemeClr w14:val="tx1"/>
                  </w14:solidFill>
                </w14:textFill>
              </w:rPr>
            </w:pPr>
            <w:r>
              <w:rPr>
                <w:rFonts w:ascii="Times New Roman"/>
                <w:color w:val="000000" w:themeColor="text1"/>
                <w14:textFill>
                  <w14:solidFill>
                    <w14:schemeClr w14:val="tx1"/>
                  </w14:solidFill>
                </w14:textFill>
              </w:rPr>
              <w:t>对醇提、水提浓缩后的浸膏进行密闭干燥（蒸汽间接加热），然后与净料库灭菌（蒸汽间接加热）后的其他药材细粉按比例投入万能粉碎机进行密闭粉碎，过筛后进行密闭混合</w:t>
            </w:r>
            <w:r>
              <w:rPr>
                <w:rStyle w:val="88"/>
                <w:rFonts w:ascii="Times New Roman" w:hAnsi="Times New Roman" w:cs="Times New Roman"/>
                <w:b w:val="0"/>
                <w:color w:val="000000" w:themeColor="text1"/>
                <w14:textFill>
                  <w14:solidFill>
                    <w14:schemeClr w14:val="tx1"/>
                  </w14:solidFill>
                </w14:textFill>
              </w:rPr>
              <w:t>，混合完成后出料直接进行袋装，进入到成品仓库待售。混合后出料过程产生粉尘。</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（2）生产线物料平衡</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三七、红花前处理</w:t>
            </w:r>
            <w:r>
              <w:rPr>
                <w:rStyle w:val="88"/>
                <w:rFonts w:ascii="Times New Roman" w:hAnsi="Times New Roman" w:cs="Times New Roman"/>
                <w:b w:val="0"/>
                <w:color w:val="000000" w:themeColor="text1"/>
                <w14:textFill>
                  <w14:solidFill>
                    <w14:schemeClr w14:val="tx1"/>
                  </w14:solidFill>
                </w14:textFill>
              </w:rPr>
              <w:t>后直接灭菌混合，其余中药需醇提水提。</w:t>
            </w:r>
          </w:p>
          <w:p>
            <w:pPr>
              <w:pStyle w:val="76"/>
              <w:numPr>
                <w:ilvl w:val="0"/>
                <w:numId w:val="4"/>
              </w:numPr>
              <w:ind w:left="0" w:firstLine="0"/>
              <w:rPr>
                <w:b w:val="0"/>
                <w:bCs/>
                <w:color w:val="000000" w:themeColor="text1"/>
                <w14:textFill>
                  <w14:solidFill>
                    <w14:schemeClr w14:val="tx1"/>
                  </w14:solidFill>
                </w14:textFill>
              </w:rPr>
            </w:pPr>
            <w:r>
              <w:rPr>
                <w:color w:val="000000" w:themeColor="text1"/>
                <w14:textFill>
                  <w14:solidFill>
                    <w14:schemeClr w14:val="tx1"/>
                  </w14:solidFill>
                </w14:textFill>
              </w:rPr>
              <w:t>六味地黄胶囊干膏粉、心可宁胶囊干膏粉、降糖宁胶囊干膏粉、复方丹参片干膏粉</w:t>
            </w:r>
            <w:r>
              <w:rPr>
                <w:rFonts w:hint="eastAsia"/>
                <w:color w:val="000000" w:themeColor="text1"/>
                <w14:textFill>
                  <w14:solidFill>
                    <w14:schemeClr w14:val="tx1"/>
                  </w14:solidFill>
                </w14:textFill>
              </w:rPr>
              <w:t>生产线物料平衡表</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4"/>
              <w:gridCol w:w="1411"/>
              <w:gridCol w:w="1060"/>
              <w:gridCol w:w="1413"/>
              <w:gridCol w:w="2449"/>
              <w:gridCol w:w="14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78" w:type="pct"/>
                  <w:gridSpan w:val="4"/>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投入</w:t>
                  </w:r>
                </w:p>
              </w:tc>
              <w:tc>
                <w:tcPr>
                  <w:tcW w:w="2222" w:type="pct"/>
                  <w:gridSpan w:val="2"/>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物料</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c>
                <w:tcPr>
                  <w:tcW w:w="610"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物料</w:t>
                  </w:r>
                </w:p>
              </w:tc>
              <w:tc>
                <w:tcPr>
                  <w:tcW w:w="812"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c>
                <w:tcPr>
                  <w:tcW w:w="1409"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出料</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熟地黄</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w:t>
                  </w:r>
                </w:p>
              </w:tc>
              <w:tc>
                <w:tcPr>
                  <w:tcW w:w="610"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麦冬</w:t>
                  </w:r>
                </w:p>
              </w:tc>
              <w:tc>
                <w:tcPr>
                  <w:tcW w:w="812"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0.24</w:t>
                  </w:r>
                </w:p>
              </w:tc>
              <w:tc>
                <w:tcPr>
                  <w:tcW w:w="1409"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六味地黄胶囊干膏粉</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牡丹皮</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1.1</w:t>
                  </w:r>
                </w:p>
              </w:tc>
              <w:tc>
                <w:tcPr>
                  <w:tcW w:w="610"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生地黄</w:t>
                  </w:r>
                </w:p>
              </w:tc>
              <w:tc>
                <w:tcPr>
                  <w:tcW w:w="812"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0.3</w:t>
                  </w:r>
                </w:p>
              </w:tc>
              <w:tc>
                <w:tcPr>
                  <w:tcW w:w="1409"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降糖灵胶囊干膏粉</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山药</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1.4</w:t>
                  </w:r>
                </w:p>
              </w:tc>
              <w:tc>
                <w:tcPr>
                  <w:tcW w:w="610"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地骨皮</w:t>
                  </w:r>
                </w:p>
              </w:tc>
              <w:tc>
                <w:tcPr>
                  <w:tcW w:w="812"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0.3</w:t>
                  </w:r>
                </w:p>
              </w:tc>
              <w:tc>
                <w:tcPr>
                  <w:tcW w:w="1409" w:type="pct"/>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心可宁胶囊干膏粉</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山茱萸</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1.4</w:t>
                  </w:r>
                </w:p>
              </w:tc>
              <w:tc>
                <w:tcPr>
                  <w:tcW w:w="610"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玉米须</w:t>
                  </w:r>
                </w:p>
              </w:tc>
              <w:tc>
                <w:tcPr>
                  <w:tcW w:w="812"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0.3</w:t>
                  </w:r>
                </w:p>
              </w:tc>
              <w:tc>
                <w:tcPr>
                  <w:tcW w:w="1409" w:type="pct"/>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复方丹参片干膏粉</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泽泻</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1.1</w:t>
                  </w:r>
                </w:p>
              </w:tc>
              <w:tc>
                <w:tcPr>
                  <w:tcW w:w="610"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山茱萸</w:t>
                  </w:r>
                </w:p>
              </w:tc>
              <w:tc>
                <w:tcPr>
                  <w:tcW w:w="812"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0.12</w:t>
                  </w:r>
                </w:p>
              </w:tc>
              <w:tc>
                <w:tcPr>
                  <w:tcW w:w="1409"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杂质</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茯苓</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1.1</w:t>
                  </w:r>
                </w:p>
              </w:tc>
              <w:tc>
                <w:tcPr>
                  <w:tcW w:w="610"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甘草</w:t>
                  </w:r>
                </w:p>
              </w:tc>
              <w:tc>
                <w:tcPr>
                  <w:tcW w:w="812"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0.12</w:t>
                  </w:r>
                </w:p>
              </w:tc>
              <w:tc>
                <w:tcPr>
                  <w:tcW w:w="1409"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粉尘</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0.077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人参</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0.06</w:t>
                  </w:r>
                </w:p>
              </w:tc>
              <w:tc>
                <w:tcPr>
                  <w:tcW w:w="610"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丹参</w:t>
                  </w:r>
                </w:p>
              </w:tc>
              <w:tc>
                <w:tcPr>
                  <w:tcW w:w="812"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3.3</w:t>
                  </w:r>
                </w:p>
              </w:tc>
              <w:tc>
                <w:tcPr>
                  <w:tcW w:w="1409"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清洗废水</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山药</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0.24</w:t>
                  </w:r>
                </w:p>
              </w:tc>
              <w:tc>
                <w:tcPr>
                  <w:tcW w:w="610"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人参须</w:t>
                  </w:r>
                </w:p>
              </w:tc>
              <w:tc>
                <w:tcPr>
                  <w:tcW w:w="812"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0.2</w:t>
                  </w:r>
                </w:p>
              </w:tc>
              <w:tc>
                <w:tcPr>
                  <w:tcW w:w="1409" w:type="pct"/>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乙醇不凝气</w:t>
                  </w:r>
                </w:p>
              </w:tc>
              <w:tc>
                <w:tcPr>
                  <w:tcW w:w="812" w:type="pct"/>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0.706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生石膏</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0.6</w:t>
                  </w:r>
                </w:p>
              </w:tc>
              <w:tc>
                <w:tcPr>
                  <w:tcW w:w="610"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三七</w:t>
                  </w:r>
                </w:p>
              </w:tc>
              <w:tc>
                <w:tcPr>
                  <w:tcW w:w="812"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0.9</w:t>
                  </w:r>
                </w:p>
              </w:tc>
              <w:tc>
                <w:tcPr>
                  <w:tcW w:w="1409" w:type="pct"/>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乙醇回收</w:t>
                  </w:r>
                </w:p>
              </w:tc>
              <w:tc>
                <w:tcPr>
                  <w:tcW w:w="812" w:type="pct"/>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26.564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知母</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0.2</w:t>
                  </w:r>
                </w:p>
              </w:tc>
              <w:tc>
                <w:tcPr>
                  <w:tcW w:w="610"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红花</w:t>
                  </w:r>
                </w:p>
              </w:tc>
              <w:tc>
                <w:tcPr>
                  <w:tcW w:w="812"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0.1</w:t>
                  </w:r>
                </w:p>
              </w:tc>
              <w:tc>
                <w:tcPr>
                  <w:tcW w:w="1409"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水提浓缩蒸馏废水</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235.264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黄芪</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0.24</w:t>
                  </w:r>
                </w:p>
              </w:tc>
              <w:tc>
                <w:tcPr>
                  <w:tcW w:w="610"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自来水</w:t>
                  </w:r>
                </w:p>
              </w:tc>
              <w:tc>
                <w:tcPr>
                  <w:tcW w:w="812"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136</w:t>
                  </w:r>
                </w:p>
              </w:tc>
              <w:tc>
                <w:tcPr>
                  <w:tcW w:w="1409"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药渣（含30%醇水）</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13.743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天花粉</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0.3</w:t>
                  </w:r>
                </w:p>
              </w:tc>
              <w:tc>
                <w:tcPr>
                  <w:tcW w:w="610"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95%乙醇</w:t>
                  </w:r>
                </w:p>
              </w:tc>
              <w:tc>
                <w:tcPr>
                  <w:tcW w:w="812"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32</w:t>
                  </w:r>
                </w:p>
              </w:tc>
              <w:tc>
                <w:tcPr>
                  <w:tcW w:w="1409" w:type="pct"/>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药渣挥发乙醇废气</w:t>
                  </w:r>
                </w:p>
              </w:tc>
              <w:tc>
                <w:tcPr>
                  <w:tcW w:w="812" w:type="pct"/>
                  <w:shd w:val="clear" w:color="auto" w:fill="auto"/>
                  <w:noWrap/>
                  <w:vAlign w:val="center"/>
                </w:tcPr>
                <w:p>
                  <w:pPr>
                    <w:widowControl/>
                    <w:jc w:val="center"/>
                    <w:rPr>
                      <w:rFonts w:ascii="Times New Roman" w:hAnsi="Times New Roman" w:eastAsia="宋体"/>
                      <w:color w:val="000000" w:themeColor="text1"/>
                      <w:kern w:val="0"/>
                      <w:sz w:val="22"/>
                      <w:szCs w:val="22"/>
                      <w14:textFill>
                        <w14:solidFill>
                          <w14:schemeClr w14:val="tx1"/>
                        </w14:solidFill>
                      </w14:textFill>
                    </w:rPr>
                  </w:pPr>
                  <w:r>
                    <w:rPr>
                      <w:rFonts w:ascii="Times New Roman" w:hAnsi="Times New Roman" w:eastAsia="宋体"/>
                      <w:color w:val="000000" w:themeColor="text1"/>
                      <w:kern w:val="0"/>
                      <w:sz w:val="22"/>
                      <w:szCs w:val="22"/>
                      <w14:textFill>
                        <w14:solidFill>
                          <w14:schemeClr w14:val="tx1"/>
                        </w14:solidFill>
                      </w14:textFill>
                    </w:rPr>
                    <w:t>0.011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茯苓</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0.24</w:t>
                  </w:r>
                </w:p>
              </w:tc>
              <w:tc>
                <w:tcPr>
                  <w:tcW w:w="610"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饮用水</w:t>
                  </w:r>
                </w:p>
              </w:tc>
              <w:tc>
                <w:tcPr>
                  <w:tcW w:w="812" w:type="pct"/>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235</w:t>
                  </w:r>
                </w:p>
              </w:tc>
              <w:tc>
                <w:tcPr>
                  <w:tcW w:w="1409" w:type="pct"/>
                  <w:shd w:val="clear" w:color="auto" w:fill="auto"/>
                  <w:noWrap/>
                  <w:vAlign w:val="center"/>
                </w:tcPr>
                <w:p>
                  <w:pPr>
                    <w:widowControl/>
                    <w:jc w:val="center"/>
                    <w:rPr>
                      <w:rFonts w:ascii="Times New Roman" w:hAnsi="Times New Roman" w:eastAsia="宋体"/>
                      <w:color w:val="000000" w:themeColor="text1"/>
                      <w:kern w:val="0"/>
                      <w:sz w:val="22"/>
                      <w:szCs w:val="22"/>
                      <w14:textFill>
                        <w14:solidFill>
                          <w14:schemeClr w14:val="tx1"/>
                        </w14:solidFill>
                      </w14:textFill>
                    </w:rPr>
                  </w:pPr>
                  <w:r>
                    <w:rPr>
                      <w:rFonts w:ascii="Times New Roman" w:hAnsi="Times New Roman" w:eastAsia="宋体"/>
                      <w:color w:val="000000" w:themeColor="text1"/>
                      <w:kern w:val="0"/>
                      <w:szCs w:val="22"/>
                      <w14:textFill>
                        <w14:solidFill>
                          <w14:schemeClr w14:val="tx1"/>
                        </w14:solidFill>
                      </w14:textFill>
                    </w:rPr>
                    <w:t>水蒸发损耗</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21.026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小计</w:t>
                  </w:r>
                </w:p>
              </w:tc>
              <w:tc>
                <w:tcPr>
                  <w:tcW w:w="2235" w:type="pct"/>
                  <w:gridSpan w:val="3"/>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419.860</w:t>
                  </w:r>
                </w:p>
              </w:tc>
              <w:tc>
                <w:tcPr>
                  <w:tcW w:w="1409"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小计</w:t>
                  </w:r>
                </w:p>
              </w:tc>
              <w:tc>
                <w:tcPr>
                  <w:tcW w:w="812" w:type="pct"/>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419.860</w:t>
                  </w:r>
                </w:p>
              </w:tc>
            </w:tr>
          </w:tbl>
          <w:p>
            <w:pPr>
              <w:pStyle w:val="90"/>
              <w:adjustRightInd/>
              <w:snapToGrid/>
              <w:spacing w:line="240" w:lineRule="auto"/>
              <w:ind w:firstLine="0" w:firstLineChars="0"/>
              <w:jc w:val="center"/>
              <w:rPr>
                <w:rStyle w:val="88"/>
                <w:rFonts w:ascii="Times New Roman" w:hAnsi="Times New Roman" w:cs="Times New Roman"/>
                <w:b w:val="0"/>
                <w:color w:val="000000" w:themeColor="text1"/>
                <w14:textFill>
                  <w14:solidFill>
                    <w14:schemeClr w14:val="tx1"/>
                  </w14:solidFill>
                </w14:textFill>
              </w:rPr>
            </w:pPr>
          </w:p>
          <w:p>
            <w:pPr>
              <w:pStyle w:val="90"/>
              <w:adjustRightInd/>
              <w:snapToGrid/>
              <w:spacing w:line="240" w:lineRule="auto"/>
              <w:ind w:firstLine="0" w:firstLineChars="0"/>
              <w:jc w:val="center"/>
              <w:rPr>
                <w:rStyle w:val="88"/>
                <w:rFonts w:ascii="Times New Roman" w:hAnsi="Times New Roman" w:cs="Times New Roman"/>
                <w:b w:val="0"/>
                <w:color w:val="000000" w:themeColor="text1"/>
                <w14:textFill>
                  <w14:solidFill>
                    <w14:schemeClr w14:val="tx1"/>
                  </w14:solidFill>
                </w14:textFill>
              </w:rPr>
            </w:pPr>
            <w:r>
              <w:rPr>
                <w:rFonts w:ascii="Times New Roman"/>
                <w:color w:val="000000" w:themeColor="text1"/>
                <w14:textFill>
                  <w14:solidFill>
                    <w14:schemeClr w14:val="tx1"/>
                  </w14:solidFill>
                </w14:textFill>
              </w:rPr>
              <w:drawing>
                <wp:inline distT="0" distB="0" distL="0" distR="0">
                  <wp:extent cx="5486400" cy="2289175"/>
                  <wp:effectExtent l="19050" t="19050" r="19050" b="158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7"/>
                          <a:stretch>
                            <a:fillRect/>
                          </a:stretch>
                        </pic:blipFill>
                        <pic:spPr>
                          <a:xfrm>
                            <a:off x="0" y="0"/>
                            <a:ext cx="5486400" cy="2289175"/>
                          </a:xfrm>
                          <a:prstGeom prst="rect">
                            <a:avLst/>
                          </a:prstGeom>
                          <a:ln>
                            <a:solidFill>
                              <a:schemeClr val="tx1"/>
                            </a:solidFill>
                          </a:ln>
                        </pic:spPr>
                      </pic:pic>
                    </a:graphicData>
                  </a:graphic>
                </wp:inline>
              </w:drawing>
            </w:r>
          </w:p>
          <w:p>
            <w:pPr>
              <w:pStyle w:val="59"/>
              <w:numPr>
                <w:ilvl w:val="0"/>
                <w:numId w:val="7"/>
              </w:numPr>
              <w:adjustRightInd w:val="0"/>
              <w:snapToGrid w:val="0"/>
              <w:ind w:left="0" w:firstLine="0" w:firstLineChars="0"/>
              <w:jc w:val="center"/>
              <w:rPr>
                <w:rFonts w:eastAsiaTheme="majorEastAsia"/>
                <w:b/>
                <w:bCs/>
                <w:color w:val="000000" w:themeColor="text1"/>
                <w:sz w:val="24"/>
                <w:szCs w:val="24"/>
                <w14:textFill>
                  <w14:solidFill>
                    <w14:schemeClr w14:val="tx1"/>
                  </w14:solidFill>
                </w14:textFill>
              </w:rPr>
            </w:pPr>
            <w:r>
              <w:rPr>
                <w:b/>
                <w:color w:val="000000" w:themeColor="text1"/>
                <w:sz w:val="24"/>
                <w14:textFill>
                  <w14:solidFill>
                    <w14:schemeClr w14:val="tx1"/>
                  </w14:solidFill>
                </w14:textFill>
              </w:rPr>
              <w:t>六味地黄胶囊干膏粉、心可宁</w:t>
            </w:r>
            <w:r>
              <w:rPr>
                <w:b/>
                <w:bCs/>
                <w:color w:val="000000" w:themeColor="text1"/>
                <w:sz w:val="24"/>
                <w:szCs w:val="24"/>
                <w14:textFill>
                  <w14:solidFill>
                    <w14:schemeClr w14:val="tx1"/>
                  </w14:solidFill>
                </w14:textFill>
              </w:rPr>
              <w:t>胶囊</w:t>
            </w:r>
            <w:r>
              <w:rPr>
                <w:b/>
                <w:color w:val="000000" w:themeColor="text1"/>
                <w:sz w:val="24"/>
                <w14:textFill>
                  <w14:solidFill>
                    <w14:schemeClr w14:val="tx1"/>
                  </w14:solidFill>
                </w14:textFill>
              </w:rPr>
              <w:t>干膏粉、降糖宁胶囊干膏粉、</w:t>
            </w:r>
          </w:p>
          <w:p>
            <w:pPr>
              <w:pStyle w:val="59"/>
              <w:ind w:firstLine="0" w:firstLineChars="0"/>
              <w:jc w:val="center"/>
              <w:rPr>
                <w:rStyle w:val="88"/>
                <w:rFonts w:ascii="Times New Roman" w:hAnsi="Times New Roman" w:cs="Times New Roman"/>
                <w:color w:val="000000" w:themeColor="text1"/>
                <w14:textFill>
                  <w14:solidFill>
                    <w14:schemeClr w14:val="tx1"/>
                  </w14:solidFill>
                </w14:textFill>
              </w:rPr>
            </w:pPr>
            <w:r>
              <w:rPr>
                <w:b/>
                <w:color w:val="000000" w:themeColor="text1"/>
                <w:sz w:val="24"/>
                <w14:textFill>
                  <w14:solidFill>
                    <w14:schemeClr w14:val="tx1"/>
                  </w14:solidFill>
                </w14:textFill>
              </w:rPr>
              <w:t>复方丹参片干膏粉</w:t>
            </w:r>
            <w:r>
              <w:rPr>
                <w:rStyle w:val="88"/>
                <w:rFonts w:ascii="Times New Roman" w:hAnsi="Times New Roman" w:cs="Times New Roman"/>
                <w:color w:val="000000" w:themeColor="text1"/>
                <w14:textFill>
                  <w14:solidFill>
                    <w14:schemeClr w14:val="tx1"/>
                  </w14:solidFill>
                </w14:textFill>
              </w:rPr>
              <w:t>生产线物料平衡图</w:t>
            </w:r>
          </w:p>
          <w:p>
            <w:pPr>
              <w:jc w:val="center"/>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p>
          <w:p>
            <w:pPr>
              <w:spacing w:line="360" w:lineRule="auto"/>
              <w:ind w:firstLine="482" w:firstLineChars="200"/>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5、感冒清胶囊干膏粉、消炎利胆片干膏粉、康乐鼻炎片干膏粉、清肝颗粒流浸膏提取工艺（前处理+水提、醇沉工艺）</w:t>
            </w:r>
          </w:p>
          <w:p>
            <w:pPr>
              <w:jc w:val="center"/>
              <w:rPr>
                <w:rFonts w:ascii="Times New Roman" w:hAnsi="Times New Roman"/>
                <w:b/>
                <w:color w:val="000000" w:themeColor="text1"/>
                <w:sz w:val="24"/>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5283835" cy="6999605"/>
                  <wp:effectExtent l="19050" t="19050" r="12065" b="1079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8"/>
                          <a:stretch>
                            <a:fillRect/>
                          </a:stretch>
                        </pic:blipFill>
                        <pic:spPr>
                          <a:xfrm>
                            <a:off x="0" y="0"/>
                            <a:ext cx="5289402" cy="7006485"/>
                          </a:xfrm>
                          <a:prstGeom prst="rect">
                            <a:avLst/>
                          </a:prstGeom>
                          <a:ln>
                            <a:solidFill>
                              <a:schemeClr val="tx1"/>
                            </a:solidFill>
                          </a:ln>
                        </pic:spPr>
                      </pic:pic>
                    </a:graphicData>
                  </a:graphic>
                </wp:inline>
              </w:drawing>
            </w:r>
          </w:p>
          <w:p>
            <w:pPr>
              <w:pStyle w:val="59"/>
              <w:numPr>
                <w:ilvl w:val="0"/>
                <w:numId w:val="7"/>
              </w:numPr>
              <w:adjustRightInd w:val="0"/>
              <w:snapToGrid w:val="0"/>
              <w:ind w:left="0" w:firstLine="0" w:firstLineChars="0"/>
              <w:jc w:val="center"/>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感冒清胶囊干膏粉、消炎利胆片干膏粉、康乐鼻炎片干膏粉、</w:t>
            </w:r>
          </w:p>
          <w:p>
            <w:pPr>
              <w:pStyle w:val="59"/>
              <w:ind w:firstLine="0" w:firstLineChars="0"/>
              <w:jc w:val="center"/>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清肝颗粒流浸膏生产工艺流程及产污环节图</w:t>
            </w:r>
          </w:p>
          <w:p>
            <w:pPr>
              <w:pStyle w:val="90"/>
              <w:adjustRightInd/>
              <w:snapToGrid/>
              <w:ind w:firstLine="48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（1）工艺流程简介</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①</w:t>
            </w:r>
            <w:r>
              <w:rPr>
                <w:rFonts w:ascii="Times New Roman" w:eastAsiaTheme="minorEastAsia"/>
                <w:color w:val="000000" w:themeColor="text1"/>
                <w:szCs w:val="24"/>
                <w14:textFill>
                  <w14:solidFill>
                    <w14:schemeClr w14:val="tx1"/>
                  </w14:solidFill>
                </w14:textFill>
              </w:rPr>
              <w:t>中药材前处理：同上文。</w:t>
            </w:r>
          </w:p>
          <w:p>
            <w:pPr>
              <w:pStyle w:val="90"/>
              <w:adjustRightInd/>
              <w:snapToGrid/>
              <w:ind w:firstLine="480"/>
              <w:rPr>
                <w:rFonts w:ascii="Times New Roman"/>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②</w:t>
            </w:r>
            <w:r>
              <w:rPr>
                <w:rFonts w:ascii="Times New Roman"/>
                <w:color w:val="000000" w:themeColor="text1"/>
                <w:szCs w:val="24"/>
                <w14:textFill>
                  <w14:solidFill>
                    <w14:schemeClr w14:val="tx1"/>
                  </w14:solidFill>
                </w14:textFill>
              </w:rPr>
              <w:t>水提浓缩、醇沉浓缩处理</w:t>
            </w:r>
          </w:p>
          <w:p>
            <w:pPr>
              <w:pStyle w:val="90"/>
              <w:adjustRightInd/>
              <w:snapToGrid/>
              <w:ind w:firstLine="48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A）水提浓缩处理</w:t>
            </w:r>
          </w:p>
          <w:p>
            <w:pPr>
              <w:pStyle w:val="90"/>
              <w:adjustRightInd/>
              <w:snapToGrid/>
              <w:ind w:firstLine="48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项目先进行水提浓缩处理，</w:t>
            </w:r>
            <w:r>
              <w:rPr>
                <w:rFonts w:ascii="Times New Roman"/>
                <w:color w:val="000000" w:themeColor="text1"/>
                <w14:textFill>
                  <w14:solidFill>
                    <w14:schemeClr w14:val="tx1"/>
                  </w14:solidFill>
                </w14:textFill>
              </w:rPr>
              <w:t>水提煎煮（饮用水总用量约15t/t药材）过程全密闭状态，无异味散逸。过滤排渣过程产生异味、药渣，蒸发浓缩过程的水蒸气经冷凝后产生的水提浓缩废水</w:t>
            </w:r>
            <w:r>
              <w:rPr>
                <w:rFonts w:hint="eastAsia" w:ascii="Times New Roman"/>
                <w:color w:val="000000" w:themeColor="text1"/>
                <w14:textFill>
                  <w14:solidFill>
                    <w14:schemeClr w14:val="tx1"/>
                  </w14:solidFill>
                </w14:textFill>
              </w:rPr>
              <w:t>，浓缩后的浓缩液含水30%~40%。</w:t>
            </w:r>
          </w:p>
          <w:p>
            <w:pPr>
              <w:pStyle w:val="90"/>
              <w:adjustRightInd/>
              <w:snapToGrid/>
              <w:ind w:firstLine="48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B）醇沉浓缩处理</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eastAsiaTheme="minorEastAsia"/>
                <w:color w:val="000000" w:themeColor="text1"/>
                <w:szCs w:val="24"/>
                <w14:textFill>
                  <w14:solidFill>
                    <w14:schemeClr w14:val="tx1"/>
                  </w14:solidFill>
                </w14:textFill>
              </w:rPr>
              <w:t>醇沉是往药物中加入乙醇使达到不同溶解度的含醇量，某些药物成分在醇溶液中溶解度降低析出沉淀，固液分离后使水提液得以精制。将需要醇沉的浓缩液吸入醇沉罐中，加入乙醇到一定浓度，充分搅拌，然后静置24h，此过程为全密闭状态、不加热。浓缩液经醇沉后将少量不溶性杂质进行过滤，过滤后的醇沉液将进入真空浓缩罐进行浓缩。过滤过程产生滤渣、异味。</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eastAsiaTheme="minorEastAsia"/>
                <w:color w:val="000000" w:themeColor="text1"/>
                <w:szCs w:val="24"/>
                <w14:textFill>
                  <w14:solidFill>
                    <w14:schemeClr w14:val="tx1"/>
                  </w14:solidFill>
                </w14:textFill>
              </w:rPr>
              <w:t>过滤后的醇沉液进入浓缩蒸发器中，采取加热抽真空的方式进行浓缩。浓缩过程持续约2h，温度控制在60</w:t>
            </w:r>
            <w:r>
              <w:rPr>
                <w:rFonts w:hint="eastAsia" w:hAnsi="宋体" w:cs="宋体"/>
                <w:color w:val="000000" w:themeColor="text1"/>
                <w:szCs w:val="24"/>
                <w14:textFill>
                  <w14:solidFill>
                    <w14:schemeClr w14:val="tx1"/>
                  </w14:solidFill>
                </w14:textFill>
              </w:rPr>
              <w:t>℃</w:t>
            </w:r>
            <w:r>
              <w:rPr>
                <w:rFonts w:ascii="Times New Roman" w:eastAsiaTheme="minorEastAsia"/>
                <w:color w:val="000000" w:themeColor="text1"/>
                <w:szCs w:val="24"/>
                <w14:textFill>
                  <w14:solidFill>
                    <w14:schemeClr w14:val="tx1"/>
                  </w14:solidFill>
                </w14:textFill>
              </w:rPr>
              <w:t>。</w:t>
            </w:r>
            <w:r>
              <w:rPr>
                <w:rFonts w:ascii="Times New Roman"/>
                <w:color w:val="000000" w:themeColor="text1"/>
                <w:szCs w:val="24"/>
                <w14:textFill>
                  <w14:solidFill>
                    <w14:schemeClr w14:val="tx1"/>
                  </w14:solidFill>
                </w14:textFill>
              </w:rPr>
              <w:t>蒸发浓缩过程的水蒸气、乙醇蒸汽大部分经冷凝后回收进入到稀乙醇暂存罐暂存，少量乙醇不凝气随真空泵进入到水封吸收池中处理，外排量基本为零，对外环境影响不明显。</w:t>
            </w:r>
          </w:p>
          <w:p>
            <w:pPr>
              <w:pStyle w:val="90"/>
              <w:adjustRightInd/>
              <w:snapToGrid/>
              <w:ind w:firstLine="480"/>
              <w:rPr>
                <w:rFonts w:ascii="Times New Roman"/>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③</w:t>
            </w:r>
            <w:r>
              <w:rPr>
                <w:rFonts w:ascii="Times New Roman"/>
                <w:color w:val="000000" w:themeColor="text1"/>
                <w14:textFill>
                  <w14:solidFill>
                    <w14:schemeClr w14:val="tx1"/>
                  </w14:solidFill>
                </w14:textFill>
              </w:rPr>
              <w:t>药材后处理（洁净区）</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A）</w:t>
            </w:r>
            <w:r>
              <w:rPr>
                <w:rFonts w:ascii="Times New Roman" w:eastAsiaTheme="minorEastAsia"/>
                <w:color w:val="000000" w:themeColor="text1"/>
                <w:szCs w:val="24"/>
                <w14:textFill>
                  <w14:solidFill>
                    <w14:schemeClr w14:val="tx1"/>
                  </w14:solidFill>
                </w14:textFill>
              </w:rPr>
              <w:t>干燥、粉碎、混合</w:t>
            </w:r>
          </w:p>
          <w:p>
            <w:pPr>
              <w:pStyle w:val="90"/>
              <w:adjustRightInd/>
              <w:snapToGrid/>
              <w:ind w:firstLine="480"/>
              <w:rPr>
                <w:rStyle w:val="88"/>
                <w:rFonts w:ascii="Times New Roman" w:hAnsi="Times New Roman" w:cs="Times New Roman"/>
                <w:b w:val="0"/>
                <w:color w:val="000000" w:themeColor="text1"/>
                <w14:textFill>
                  <w14:solidFill>
                    <w14:schemeClr w14:val="tx1"/>
                  </w14:solidFill>
                </w14:textFill>
              </w:rPr>
            </w:pPr>
            <w:r>
              <w:rPr>
                <w:rFonts w:ascii="Times New Roman"/>
                <w:color w:val="000000" w:themeColor="text1"/>
                <w14:textFill>
                  <w14:solidFill>
                    <w14:schemeClr w14:val="tx1"/>
                  </w14:solidFill>
                </w14:textFill>
              </w:rPr>
              <w:t>浓缩后的药膏经密闭干燥（蒸汽间接加热）后，投入万能粉碎机进行密闭粉碎，过筛后进行密闭混合</w:t>
            </w:r>
            <w:r>
              <w:rPr>
                <w:rStyle w:val="88"/>
                <w:rFonts w:ascii="Times New Roman" w:hAnsi="Times New Roman" w:cs="Times New Roman"/>
                <w:b w:val="0"/>
                <w:color w:val="000000" w:themeColor="text1"/>
                <w14:textFill>
                  <w14:solidFill>
                    <w14:schemeClr w14:val="tx1"/>
                  </w14:solidFill>
                </w14:textFill>
              </w:rPr>
              <w:t>，混合完成后出料直接进行袋装，进入到成品仓库待售。混合后出料过程产生粉尘。</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（2）生产线物料平衡</w:t>
            </w:r>
          </w:p>
          <w:p>
            <w:pPr>
              <w:pStyle w:val="90"/>
              <w:adjustRightInd/>
              <w:snapToGrid/>
              <w:ind w:firstLine="480"/>
              <w:rPr>
                <w:rStyle w:val="88"/>
                <w:rFonts w:ascii="Times New Roman" w:hAnsi="Times New Roman" w:cs="Times New Roman"/>
                <w:b w:val="0"/>
                <w:color w:val="000000" w:themeColor="text1"/>
                <w14:textFill>
                  <w14:solidFill>
                    <w14:schemeClr w14:val="tx1"/>
                  </w14:solidFill>
                </w14:textFill>
              </w:rPr>
            </w:pPr>
            <w:r>
              <w:rPr>
                <w:rStyle w:val="88"/>
                <w:rFonts w:ascii="Times New Roman" w:hAnsi="Times New Roman" w:cs="Times New Roman"/>
                <w:b w:val="0"/>
                <w:color w:val="000000" w:themeColor="text1"/>
                <w14:textFill>
                  <w14:solidFill>
                    <w14:schemeClr w14:val="tx1"/>
                  </w14:solidFill>
                </w14:textFill>
              </w:rPr>
              <w:t>中药原材全部水提醇沉。</w:t>
            </w:r>
          </w:p>
          <w:p>
            <w:pPr>
              <w:pStyle w:val="76"/>
              <w:numPr>
                <w:ilvl w:val="0"/>
                <w:numId w:val="4"/>
              </w:numPr>
              <w:ind w:left="0" w:firstLine="0"/>
              <w:rPr>
                <w:bCs/>
                <w:color w:val="000000" w:themeColor="text1"/>
                <w14:textFill>
                  <w14:solidFill>
                    <w14:schemeClr w14:val="tx1"/>
                  </w14:solidFill>
                </w14:textFill>
              </w:rPr>
            </w:pPr>
            <w:r>
              <w:rPr>
                <w:color w:val="000000" w:themeColor="text1"/>
                <w14:textFill>
                  <w14:solidFill>
                    <w14:schemeClr w14:val="tx1"/>
                  </w14:solidFill>
                </w14:textFill>
              </w:rPr>
              <w:t>感冒清胶囊干膏粉、消炎利胆片干膏粉、康乐鼻炎片干膏粉、清肝颗粒流浸膏</w:t>
            </w:r>
            <w:r>
              <w:rPr>
                <w:rFonts w:hint="eastAsia"/>
                <w:bCs/>
                <w:color w:val="000000" w:themeColor="text1"/>
                <w14:textFill>
                  <w14:solidFill>
                    <w14:schemeClr w14:val="tx1"/>
                  </w14:solidFill>
                </w14:textFill>
              </w:rPr>
              <w:t>生产线物料平衡表</w:t>
            </w:r>
          </w:p>
          <w:tbl>
            <w:tblPr>
              <w:tblStyle w:val="19"/>
              <w:tblW w:w="86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5"/>
              <w:gridCol w:w="1275"/>
              <w:gridCol w:w="1281"/>
              <w:gridCol w:w="1665"/>
              <w:gridCol w:w="2016"/>
              <w:gridCol w:w="1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406" w:type="dxa"/>
                  <w:gridSpan w:val="4"/>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投入</w:t>
                  </w:r>
                </w:p>
              </w:tc>
              <w:tc>
                <w:tcPr>
                  <w:tcW w:w="3284" w:type="dxa"/>
                  <w:gridSpan w:val="2"/>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8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物料</w:t>
                  </w:r>
                </w:p>
              </w:tc>
              <w:tc>
                <w:tcPr>
                  <w:tcW w:w="127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c>
                <w:tcPr>
                  <w:tcW w:w="1281"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物料</w:t>
                  </w:r>
                </w:p>
              </w:tc>
              <w:tc>
                <w:tcPr>
                  <w:tcW w:w="1665"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c>
                <w:tcPr>
                  <w:tcW w:w="2016"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出料名称</w:t>
                  </w:r>
                </w:p>
              </w:tc>
              <w:tc>
                <w:tcPr>
                  <w:tcW w:w="1268"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8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甘草</w:t>
                  </w:r>
                </w:p>
              </w:tc>
              <w:tc>
                <w:tcPr>
                  <w:tcW w:w="127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0.13</w:t>
                  </w:r>
                </w:p>
              </w:tc>
              <w:tc>
                <w:tcPr>
                  <w:tcW w:w="1281"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麻黄</w:t>
                  </w:r>
                </w:p>
              </w:tc>
              <w:tc>
                <w:tcPr>
                  <w:tcW w:w="1665"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w:t>
                  </w:r>
                </w:p>
              </w:tc>
              <w:tc>
                <w:tcPr>
                  <w:tcW w:w="2016"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成品</w:t>
                  </w:r>
                </w:p>
              </w:tc>
              <w:tc>
                <w:tcPr>
                  <w:tcW w:w="1268"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8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大青叶</w:t>
                  </w:r>
                </w:p>
              </w:tc>
              <w:tc>
                <w:tcPr>
                  <w:tcW w:w="127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4</w:t>
                  </w:r>
                </w:p>
              </w:tc>
              <w:tc>
                <w:tcPr>
                  <w:tcW w:w="1281"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穿心莲</w:t>
                  </w:r>
                </w:p>
              </w:tc>
              <w:tc>
                <w:tcPr>
                  <w:tcW w:w="1665"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w:t>
                  </w:r>
                </w:p>
              </w:tc>
              <w:tc>
                <w:tcPr>
                  <w:tcW w:w="2016"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杂质</w:t>
                  </w:r>
                </w:p>
              </w:tc>
              <w:tc>
                <w:tcPr>
                  <w:tcW w:w="1268"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0.474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8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金盏银盘</w:t>
                  </w:r>
                </w:p>
              </w:tc>
              <w:tc>
                <w:tcPr>
                  <w:tcW w:w="127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6.6</w:t>
                  </w:r>
                </w:p>
              </w:tc>
              <w:tc>
                <w:tcPr>
                  <w:tcW w:w="1281"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黄芩</w:t>
                  </w:r>
                </w:p>
              </w:tc>
              <w:tc>
                <w:tcPr>
                  <w:tcW w:w="1665"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1.32</w:t>
                  </w:r>
                </w:p>
              </w:tc>
              <w:tc>
                <w:tcPr>
                  <w:tcW w:w="2016"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粉尘</w:t>
                  </w:r>
                </w:p>
              </w:tc>
              <w:tc>
                <w:tcPr>
                  <w:tcW w:w="1268"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8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岗梅</w:t>
                  </w:r>
                </w:p>
              </w:tc>
              <w:tc>
                <w:tcPr>
                  <w:tcW w:w="127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8.6</w:t>
                  </w:r>
                </w:p>
              </w:tc>
              <w:tc>
                <w:tcPr>
                  <w:tcW w:w="1281"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防风</w:t>
                  </w:r>
                </w:p>
              </w:tc>
              <w:tc>
                <w:tcPr>
                  <w:tcW w:w="1665"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1.66</w:t>
                  </w:r>
                </w:p>
              </w:tc>
              <w:tc>
                <w:tcPr>
                  <w:tcW w:w="2016"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清洗废水</w:t>
                  </w:r>
                </w:p>
              </w:tc>
              <w:tc>
                <w:tcPr>
                  <w:tcW w:w="1268"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8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山芝麻</w:t>
                  </w:r>
                </w:p>
              </w:tc>
              <w:tc>
                <w:tcPr>
                  <w:tcW w:w="127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4.6</w:t>
                  </w:r>
                </w:p>
              </w:tc>
              <w:tc>
                <w:tcPr>
                  <w:tcW w:w="1281"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广藿香</w:t>
                  </w:r>
                </w:p>
              </w:tc>
              <w:tc>
                <w:tcPr>
                  <w:tcW w:w="1665"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w:t>
                  </w:r>
                </w:p>
              </w:tc>
              <w:tc>
                <w:tcPr>
                  <w:tcW w:w="2016"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水蒸发损耗</w:t>
                  </w:r>
                </w:p>
              </w:tc>
              <w:tc>
                <w:tcPr>
                  <w:tcW w:w="1268"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8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穿心莲叶</w:t>
                  </w:r>
                </w:p>
              </w:tc>
              <w:tc>
                <w:tcPr>
                  <w:tcW w:w="127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0.4</w:t>
                  </w:r>
                </w:p>
              </w:tc>
              <w:tc>
                <w:tcPr>
                  <w:tcW w:w="1281"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牡丹皮</w:t>
                  </w:r>
                </w:p>
              </w:tc>
              <w:tc>
                <w:tcPr>
                  <w:tcW w:w="1665"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w:t>
                  </w:r>
                </w:p>
              </w:tc>
              <w:tc>
                <w:tcPr>
                  <w:tcW w:w="2016"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药渣（含30%水）</w:t>
                  </w:r>
                </w:p>
              </w:tc>
              <w:tc>
                <w:tcPr>
                  <w:tcW w:w="1268"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55.309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8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穿心莲</w:t>
                  </w:r>
                </w:p>
              </w:tc>
              <w:tc>
                <w:tcPr>
                  <w:tcW w:w="127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1.8</w:t>
                  </w:r>
                </w:p>
              </w:tc>
              <w:tc>
                <w:tcPr>
                  <w:tcW w:w="1281"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板蓝根</w:t>
                  </w:r>
                </w:p>
              </w:tc>
              <w:tc>
                <w:tcPr>
                  <w:tcW w:w="1665"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1.2</w:t>
                  </w:r>
                </w:p>
              </w:tc>
              <w:tc>
                <w:tcPr>
                  <w:tcW w:w="2016"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水提浓缩蒸馏废水</w:t>
                  </w:r>
                </w:p>
              </w:tc>
              <w:tc>
                <w:tcPr>
                  <w:tcW w:w="1268"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680.9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8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溪黄草</w:t>
                  </w:r>
                </w:p>
              </w:tc>
              <w:tc>
                <w:tcPr>
                  <w:tcW w:w="127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1.8</w:t>
                  </w:r>
                </w:p>
              </w:tc>
              <w:tc>
                <w:tcPr>
                  <w:tcW w:w="1281"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茵陈</w:t>
                  </w:r>
                </w:p>
              </w:tc>
              <w:tc>
                <w:tcPr>
                  <w:tcW w:w="1665"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0.6</w:t>
                  </w:r>
                </w:p>
              </w:tc>
              <w:tc>
                <w:tcPr>
                  <w:tcW w:w="2016"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滤渣（含30%醇水）</w:t>
                  </w:r>
                </w:p>
              </w:tc>
              <w:tc>
                <w:tcPr>
                  <w:tcW w:w="1268"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8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苦木</w:t>
                  </w:r>
                </w:p>
              </w:tc>
              <w:tc>
                <w:tcPr>
                  <w:tcW w:w="127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1.8</w:t>
                  </w:r>
                </w:p>
              </w:tc>
              <w:tc>
                <w:tcPr>
                  <w:tcW w:w="1281"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甘草</w:t>
                  </w:r>
                </w:p>
              </w:tc>
              <w:tc>
                <w:tcPr>
                  <w:tcW w:w="1665"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0.24</w:t>
                  </w:r>
                </w:p>
              </w:tc>
              <w:tc>
                <w:tcPr>
                  <w:tcW w:w="2016"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药渣挥发乙醇废气</w:t>
                  </w:r>
                </w:p>
              </w:tc>
              <w:tc>
                <w:tcPr>
                  <w:tcW w:w="1268"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8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苍耳子</w:t>
                  </w:r>
                </w:p>
              </w:tc>
              <w:tc>
                <w:tcPr>
                  <w:tcW w:w="127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w:t>
                  </w:r>
                </w:p>
              </w:tc>
              <w:tc>
                <w:tcPr>
                  <w:tcW w:w="1281"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自来水</w:t>
                  </w:r>
                </w:p>
              </w:tc>
              <w:tc>
                <w:tcPr>
                  <w:tcW w:w="1665"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380</w:t>
                  </w:r>
                </w:p>
              </w:tc>
              <w:tc>
                <w:tcPr>
                  <w:tcW w:w="2016"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乙醇不凝气</w:t>
                  </w:r>
                </w:p>
              </w:tc>
              <w:tc>
                <w:tcPr>
                  <w:tcW w:w="1268"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0.359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8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辛夷</w:t>
                  </w:r>
                </w:p>
              </w:tc>
              <w:tc>
                <w:tcPr>
                  <w:tcW w:w="127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0.32</w:t>
                  </w:r>
                </w:p>
              </w:tc>
              <w:tc>
                <w:tcPr>
                  <w:tcW w:w="1281"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饮用水</w:t>
                  </w:r>
                </w:p>
              </w:tc>
              <w:tc>
                <w:tcPr>
                  <w:tcW w:w="1665"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702</w:t>
                  </w:r>
                </w:p>
              </w:tc>
              <w:tc>
                <w:tcPr>
                  <w:tcW w:w="2016"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乙醇回收</w:t>
                  </w:r>
                </w:p>
                <w:p>
                  <w:pPr>
                    <w:widowControl/>
                    <w:jc w:val="center"/>
                    <w:rPr>
                      <w:rFonts w:ascii="Times New Roman" w:hAnsi="Times New Roman" w:eastAsia="宋体"/>
                      <w:color w:val="000000" w:themeColor="text1"/>
                      <w:kern w:val="0"/>
                      <w:szCs w:val="21"/>
                      <w14:textFill>
                        <w14:solidFill>
                          <w14:schemeClr w14:val="tx1"/>
                        </w14:solidFill>
                      </w14:textFill>
                    </w:rPr>
                  </w:pPr>
                  <w:r>
                    <w:rPr>
                      <w:rFonts w:hint="eastAsia" w:ascii="Times New Roman" w:hAnsi="Times New Roman" w:eastAsia="宋体"/>
                      <w:color w:val="000000" w:themeColor="text1"/>
                      <w:kern w:val="0"/>
                      <w:szCs w:val="21"/>
                      <w14:textFill>
                        <w14:solidFill>
                          <w14:schemeClr w14:val="tx1"/>
                        </w14:solidFill>
                      </w14:textFill>
                    </w:rPr>
                    <w:t>（含93.2%醇）</w:t>
                  </w:r>
                </w:p>
              </w:tc>
              <w:tc>
                <w:tcPr>
                  <w:tcW w:w="1268"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11.227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8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白芷</w:t>
                  </w:r>
                </w:p>
              </w:tc>
              <w:tc>
                <w:tcPr>
                  <w:tcW w:w="127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1.32</w:t>
                  </w:r>
                </w:p>
              </w:tc>
              <w:tc>
                <w:tcPr>
                  <w:tcW w:w="1281"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95%乙醇</w:t>
                  </w:r>
                </w:p>
              </w:tc>
              <w:tc>
                <w:tcPr>
                  <w:tcW w:w="1665"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14</w:t>
                  </w:r>
                </w:p>
              </w:tc>
              <w:tc>
                <w:tcPr>
                  <w:tcW w:w="2016"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乙醇回收塔残留水溶液</w:t>
                  </w:r>
                </w:p>
              </w:tc>
              <w:tc>
                <w:tcPr>
                  <w:tcW w:w="1268" w:type="dxa"/>
                  <w:shd w:val="clear" w:color="auto" w:fill="auto"/>
                  <w:noWrap/>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6.49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8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小计</w:t>
                  </w:r>
                </w:p>
              </w:tc>
              <w:tc>
                <w:tcPr>
                  <w:tcW w:w="127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1143.390</w:t>
                  </w:r>
                </w:p>
              </w:tc>
              <w:tc>
                <w:tcPr>
                  <w:tcW w:w="1281"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c>
                <w:tcPr>
                  <w:tcW w:w="1665"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c>
                <w:tcPr>
                  <w:tcW w:w="2016"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小计</w:t>
                  </w:r>
                </w:p>
              </w:tc>
              <w:tc>
                <w:tcPr>
                  <w:tcW w:w="1268"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1143.390</w:t>
                  </w:r>
                </w:p>
              </w:tc>
            </w:tr>
          </w:tbl>
          <w:p>
            <w:pPr>
              <w:pStyle w:val="90"/>
              <w:adjustRightInd/>
              <w:snapToGrid/>
              <w:spacing w:line="240" w:lineRule="auto"/>
              <w:ind w:firstLine="0" w:firstLineChars="0"/>
              <w:jc w:val="center"/>
              <w:rPr>
                <w:rStyle w:val="88"/>
                <w:rFonts w:ascii="Times New Roman" w:hAnsi="Times New Roman" w:cs="Times New Roman"/>
                <w:b w:val="0"/>
                <w:color w:val="000000" w:themeColor="text1"/>
                <w14:textFill>
                  <w14:solidFill>
                    <w14:schemeClr w14:val="tx1"/>
                  </w14:solidFill>
                </w14:textFill>
              </w:rPr>
            </w:pPr>
          </w:p>
          <w:p>
            <w:pPr>
              <w:pStyle w:val="90"/>
              <w:adjustRightInd/>
              <w:snapToGrid/>
              <w:spacing w:line="240" w:lineRule="auto"/>
              <w:ind w:firstLine="0" w:firstLineChars="0"/>
              <w:jc w:val="center"/>
              <w:rPr>
                <w:rStyle w:val="88"/>
                <w:rFonts w:ascii="Times New Roman" w:hAnsi="Times New Roman" w:cs="Times New Roman"/>
                <w:b w:val="0"/>
                <w:color w:val="000000" w:themeColor="text1"/>
                <w14:textFill>
                  <w14:solidFill>
                    <w14:schemeClr w14:val="tx1"/>
                  </w14:solidFill>
                </w14:textFill>
              </w:rPr>
            </w:pPr>
            <w:r>
              <w:rPr>
                <w:rFonts w:ascii="Times New Roman"/>
                <w:color w:val="000000" w:themeColor="text1"/>
                <w14:textFill>
                  <w14:solidFill>
                    <w14:schemeClr w14:val="tx1"/>
                  </w14:solidFill>
                </w14:textFill>
              </w:rPr>
              <w:drawing>
                <wp:inline distT="0" distB="0" distL="0" distR="0">
                  <wp:extent cx="5486400" cy="1675765"/>
                  <wp:effectExtent l="19050" t="19050" r="19050" b="1968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19"/>
                          <a:stretch>
                            <a:fillRect/>
                          </a:stretch>
                        </pic:blipFill>
                        <pic:spPr>
                          <a:xfrm>
                            <a:off x="0" y="0"/>
                            <a:ext cx="5486400" cy="1675765"/>
                          </a:xfrm>
                          <a:prstGeom prst="rect">
                            <a:avLst/>
                          </a:prstGeom>
                          <a:ln>
                            <a:solidFill>
                              <a:schemeClr val="tx1"/>
                            </a:solidFill>
                          </a:ln>
                        </pic:spPr>
                      </pic:pic>
                    </a:graphicData>
                  </a:graphic>
                </wp:inline>
              </w:drawing>
            </w:r>
          </w:p>
          <w:p>
            <w:pPr>
              <w:pStyle w:val="59"/>
              <w:numPr>
                <w:ilvl w:val="0"/>
                <w:numId w:val="7"/>
              </w:numPr>
              <w:adjustRightInd w:val="0"/>
              <w:snapToGrid w:val="0"/>
              <w:ind w:left="0" w:firstLine="0" w:firstLineChars="0"/>
              <w:jc w:val="center"/>
              <w:rPr>
                <w:bCs/>
                <w:color w:val="000000" w:themeColor="text1"/>
                <w14:textFill>
                  <w14:solidFill>
                    <w14:schemeClr w14:val="tx1"/>
                  </w14:solidFill>
                </w14:textFill>
              </w:rPr>
            </w:pPr>
            <w:r>
              <w:rPr>
                <w:b/>
                <w:color w:val="000000" w:themeColor="text1"/>
                <w:sz w:val="24"/>
                <w14:textFill>
                  <w14:solidFill>
                    <w14:schemeClr w14:val="tx1"/>
                  </w14:solidFill>
                </w14:textFill>
              </w:rPr>
              <w:t>感冒清胶囊干膏粉、消炎利胆片干膏粉、康乐鼻炎片干膏粉、</w:t>
            </w:r>
          </w:p>
          <w:p>
            <w:pPr>
              <w:ind w:left="851"/>
              <w:jc w:val="center"/>
              <w:rPr>
                <w:rFonts w:eastAsia="宋体"/>
                <w:bCs/>
                <w:color w:val="000000" w:themeColor="text1"/>
                <w:szCs w:val="20"/>
                <w14:textFill>
                  <w14:solidFill>
                    <w14:schemeClr w14:val="tx1"/>
                  </w14:solidFill>
                </w14:textFill>
              </w:rPr>
            </w:pPr>
            <w:r>
              <w:rPr>
                <w:b/>
                <w:color w:val="000000" w:themeColor="text1"/>
                <w:sz w:val="24"/>
                <w14:textFill>
                  <w14:solidFill>
                    <w14:schemeClr w14:val="tx1"/>
                  </w14:solidFill>
                </w14:textFill>
              </w:rPr>
              <w:t>清肝颗粒流浸膏生产线</w:t>
            </w:r>
            <w:r>
              <w:rPr>
                <w:rFonts w:hint="eastAsia" w:eastAsia="宋体"/>
                <w:b/>
                <w:color w:val="000000" w:themeColor="text1"/>
                <w:sz w:val="24"/>
                <w:szCs w:val="20"/>
                <w14:textFill>
                  <w14:solidFill>
                    <w14:schemeClr w14:val="tx1"/>
                  </w14:solidFill>
                </w14:textFill>
              </w:rPr>
              <w:t>物料平衡图</w:t>
            </w:r>
          </w:p>
          <w:p>
            <w:pPr>
              <w:pStyle w:val="90"/>
              <w:adjustRightInd/>
              <w:snapToGrid/>
              <w:ind w:firstLine="482"/>
              <w:rPr>
                <w:rFonts w:ascii="Times New Roman"/>
                <w:b/>
                <w:color w:val="000000" w:themeColor="text1"/>
                <w14:textFill>
                  <w14:solidFill>
                    <w14:schemeClr w14:val="tx1"/>
                  </w14:solidFill>
                </w14:textFill>
              </w:rPr>
            </w:pPr>
          </w:p>
          <w:p>
            <w:pPr>
              <w:pStyle w:val="90"/>
              <w:adjustRightInd/>
              <w:snapToGrid/>
              <w:ind w:firstLine="482"/>
              <w:rPr>
                <w:rFonts w:ascii="Times New Roman"/>
                <w:b/>
                <w:color w:val="000000" w:themeColor="text1"/>
                <w14:textFill>
                  <w14:solidFill>
                    <w14:schemeClr w14:val="tx1"/>
                  </w14:solidFill>
                </w14:textFill>
              </w:rPr>
            </w:pPr>
            <w:r>
              <w:rPr>
                <w:rFonts w:ascii="Times New Roman"/>
                <w:b/>
                <w:color w:val="000000" w:themeColor="text1"/>
                <w14:textFill>
                  <w14:solidFill>
                    <w14:schemeClr w14:val="tx1"/>
                  </w14:solidFill>
                </w14:textFill>
              </w:rPr>
              <w:t>6、香茅油生产工艺</w:t>
            </w:r>
          </w:p>
          <w:p>
            <w:pPr>
              <w:pStyle w:val="90"/>
              <w:adjustRightInd/>
              <w:snapToGrid/>
              <w:spacing w:line="240" w:lineRule="auto"/>
              <w:ind w:firstLine="0" w:firstLineChars="0"/>
              <w:jc w:val="center"/>
              <w:rPr>
                <w:rFonts w:ascii="Times New Roman" w:eastAsiaTheme="minorEastAsia"/>
                <w:color w:val="000000" w:themeColor="text1"/>
                <w:szCs w:val="24"/>
                <w14:textFill>
                  <w14:solidFill>
                    <w14:schemeClr w14:val="tx1"/>
                  </w14:solidFill>
                </w14:textFill>
              </w:rPr>
            </w:pPr>
            <w:r>
              <w:rPr>
                <w:rFonts w:ascii="Times New Roman"/>
                <w:color w:val="000000" w:themeColor="text1"/>
                <w14:textFill>
                  <w14:solidFill>
                    <w14:schemeClr w14:val="tx1"/>
                  </w14:solidFill>
                </w14:textFill>
              </w:rPr>
              <w:drawing>
                <wp:inline distT="0" distB="0" distL="0" distR="0">
                  <wp:extent cx="4109085" cy="3448050"/>
                  <wp:effectExtent l="19050" t="19050" r="24765" b="1905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20"/>
                          <a:stretch>
                            <a:fillRect/>
                          </a:stretch>
                        </pic:blipFill>
                        <pic:spPr>
                          <a:xfrm>
                            <a:off x="0" y="0"/>
                            <a:ext cx="4119989" cy="3456691"/>
                          </a:xfrm>
                          <a:prstGeom prst="rect">
                            <a:avLst/>
                          </a:prstGeom>
                          <a:ln>
                            <a:solidFill>
                              <a:schemeClr val="tx1"/>
                            </a:solidFill>
                          </a:ln>
                        </pic:spPr>
                      </pic:pic>
                    </a:graphicData>
                  </a:graphic>
                </wp:inline>
              </w:drawing>
            </w:r>
          </w:p>
          <w:p>
            <w:pPr>
              <w:pStyle w:val="59"/>
              <w:numPr>
                <w:ilvl w:val="0"/>
                <w:numId w:val="7"/>
              </w:numPr>
              <w:adjustRightInd w:val="0"/>
              <w:snapToGrid w:val="0"/>
              <w:ind w:left="0" w:firstLine="0" w:firstLineChars="0"/>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香茅油提取工艺流程图</w:t>
            </w:r>
          </w:p>
          <w:p>
            <w:pPr>
              <w:pStyle w:val="90"/>
              <w:adjustRightInd/>
              <w:snapToGrid/>
              <w:ind w:firstLine="48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（1）工艺流程简介</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①</w:t>
            </w:r>
            <w:r>
              <w:rPr>
                <w:rFonts w:ascii="Times New Roman" w:eastAsiaTheme="minorEastAsia"/>
                <w:color w:val="000000" w:themeColor="text1"/>
                <w:szCs w:val="24"/>
                <w14:textFill>
                  <w14:solidFill>
                    <w14:schemeClr w14:val="tx1"/>
                  </w14:solidFill>
                </w14:textFill>
              </w:rPr>
              <w:t>中药材前处理</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color w:val="000000" w:themeColor="text1"/>
                <w14:textFill>
                  <w14:solidFill>
                    <w14:schemeClr w14:val="tx1"/>
                  </w14:solidFill>
                </w14:textFill>
              </w:rPr>
              <w:t>将外购的香茅草进行切断处理，切药完成后进入净料库待后续处理。</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②</w:t>
            </w:r>
            <w:r>
              <w:rPr>
                <w:rFonts w:ascii="Times New Roman" w:eastAsiaTheme="minorEastAsia"/>
                <w:color w:val="000000" w:themeColor="text1"/>
                <w:szCs w:val="24"/>
                <w14:textFill>
                  <w14:solidFill>
                    <w14:schemeClr w14:val="tx1"/>
                  </w14:solidFill>
                </w14:textFill>
              </w:rPr>
              <w:t>蒸馏提取处理</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eastAsiaTheme="minorEastAsia"/>
                <w:color w:val="000000" w:themeColor="text1"/>
                <w:szCs w:val="24"/>
                <w14:textFill>
                  <w14:solidFill>
                    <w14:schemeClr w14:val="tx1"/>
                  </w14:solidFill>
                </w14:textFill>
              </w:rPr>
              <w:t>香茅草按一定量称取后放入提取罐，通入蒸汽直接接触加热蒸馏，蒸馏完成后</w:t>
            </w:r>
            <w:r>
              <w:rPr>
                <w:rFonts w:ascii="Times New Roman"/>
                <w:color w:val="000000" w:themeColor="text1"/>
                <w14:textFill>
                  <w14:solidFill>
                    <w14:schemeClr w14:val="tx1"/>
                  </w14:solidFill>
                </w14:textFill>
              </w:rPr>
              <w:t>通过提取罐底部自带的过滤器</w:t>
            </w:r>
            <w:r>
              <w:rPr>
                <w:rFonts w:ascii="Times New Roman" w:eastAsiaTheme="minorEastAsia"/>
                <w:color w:val="000000" w:themeColor="text1"/>
                <w:szCs w:val="24"/>
                <w14:textFill>
                  <w14:solidFill>
                    <w14:schemeClr w14:val="tx1"/>
                  </w14:solidFill>
                </w14:textFill>
              </w:rPr>
              <w:t>进行固液分离，去除药渣，再将油水混合液进行油水物理分离，分离出来的油即为成品香茅油。上述生产工序物料通过管道输送，均在密闭设备中进行。过滤过程产生药渣及其异味，油水分离过程产生</w:t>
            </w:r>
            <w:r>
              <w:rPr>
                <w:rFonts w:hint="eastAsia" w:ascii="Times New Roman" w:eastAsiaTheme="minorEastAsia"/>
                <w:color w:val="000000" w:themeColor="text1"/>
                <w:szCs w:val="24"/>
                <w14:textFill>
                  <w14:solidFill>
                    <w14:schemeClr w14:val="tx1"/>
                  </w14:solidFill>
                </w14:textFill>
              </w:rPr>
              <w:t>含油废水</w:t>
            </w:r>
            <w:r>
              <w:rPr>
                <w:rFonts w:ascii="Times New Roman" w:eastAsiaTheme="minorEastAsia"/>
                <w:color w:val="000000" w:themeColor="text1"/>
                <w:szCs w:val="24"/>
                <w14:textFill>
                  <w14:solidFill>
                    <w14:schemeClr w14:val="tx1"/>
                  </w14:solidFill>
                </w14:textFill>
              </w:rPr>
              <w:t>。</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（2）生产线物料平衡</w:t>
            </w:r>
          </w:p>
          <w:p>
            <w:pPr>
              <w:pStyle w:val="76"/>
              <w:numPr>
                <w:ilvl w:val="0"/>
                <w:numId w:val="4"/>
              </w:numPr>
              <w:ind w:left="0" w:firstLine="0"/>
              <w:rPr>
                <w:bCs/>
                <w:color w:val="000000" w:themeColor="text1"/>
                <w14:textFill>
                  <w14:solidFill>
                    <w14:schemeClr w14:val="tx1"/>
                  </w14:solidFill>
                </w14:textFill>
              </w:rPr>
            </w:pPr>
            <w:r>
              <w:rPr>
                <w:color w:val="000000" w:themeColor="text1"/>
                <w14:textFill>
                  <w14:solidFill>
                    <w14:schemeClr w14:val="tx1"/>
                  </w14:solidFill>
                </w14:textFill>
              </w:rPr>
              <w:t>香茅油</w:t>
            </w:r>
            <w:r>
              <w:rPr>
                <w:rFonts w:hint="eastAsia"/>
                <w:bCs/>
                <w:color w:val="000000" w:themeColor="text1"/>
                <w14:textFill>
                  <w14:solidFill>
                    <w14:schemeClr w14:val="tx1"/>
                  </w14:solidFill>
                </w14:textFill>
              </w:rPr>
              <w:t>生产线物料平衡表</w:t>
            </w:r>
          </w:p>
          <w:tbl>
            <w:tblPr>
              <w:tblStyle w:val="19"/>
              <w:tblW w:w="86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5"/>
              <w:gridCol w:w="1417"/>
              <w:gridCol w:w="1559"/>
              <w:gridCol w:w="1245"/>
              <w:gridCol w:w="2016"/>
              <w:gridCol w:w="1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02" w:type="dxa"/>
                  <w:gridSpan w:val="2"/>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投入</w:t>
                  </w:r>
                </w:p>
              </w:tc>
              <w:tc>
                <w:tcPr>
                  <w:tcW w:w="6088" w:type="dxa"/>
                  <w:gridSpan w:val="4"/>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8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物料</w:t>
                  </w:r>
                </w:p>
              </w:tc>
              <w:tc>
                <w:tcPr>
                  <w:tcW w:w="1417"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c>
                <w:tcPr>
                  <w:tcW w:w="1559"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出料</w:t>
                  </w:r>
                </w:p>
              </w:tc>
              <w:tc>
                <w:tcPr>
                  <w:tcW w:w="1245"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c>
                <w:tcPr>
                  <w:tcW w:w="2016"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出料</w:t>
                  </w:r>
                </w:p>
              </w:tc>
              <w:tc>
                <w:tcPr>
                  <w:tcW w:w="1268"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trPr>
              <w:tc>
                <w:tcPr>
                  <w:tcW w:w="1185" w:type="dxa"/>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香茅草</w:t>
                  </w:r>
                </w:p>
              </w:tc>
              <w:tc>
                <w:tcPr>
                  <w:tcW w:w="1417" w:type="dxa"/>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240</w:t>
                  </w:r>
                </w:p>
              </w:tc>
              <w:tc>
                <w:tcPr>
                  <w:tcW w:w="1559" w:type="dxa"/>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香茅油</w:t>
                  </w:r>
                </w:p>
              </w:tc>
              <w:tc>
                <w:tcPr>
                  <w:tcW w:w="1245" w:type="dxa"/>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2.5</w:t>
                  </w:r>
                </w:p>
              </w:tc>
              <w:tc>
                <w:tcPr>
                  <w:tcW w:w="2016" w:type="dxa"/>
                  <w:shd w:val="clear" w:color="auto" w:fill="auto"/>
                  <w:noWrap/>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药渣（含10%水）</w:t>
                  </w:r>
                </w:p>
              </w:tc>
              <w:tc>
                <w:tcPr>
                  <w:tcW w:w="1268" w:type="dxa"/>
                  <w:shd w:val="clear" w:color="auto" w:fill="auto"/>
                  <w:noWrap/>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263.9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85" w:type="dxa"/>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蒸汽</w:t>
                  </w:r>
                </w:p>
              </w:tc>
              <w:tc>
                <w:tcPr>
                  <w:tcW w:w="1417" w:type="dxa"/>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121</w:t>
                  </w:r>
                </w:p>
              </w:tc>
              <w:tc>
                <w:tcPr>
                  <w:tcW w:w="1559" w:type="dxa"/>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水蒸发损耗</w:t>
                  </w:r>
                </w:p>
              </w:tc>
              <w:tc>
                <w:tcPr>
                  <w:tcW w:w="1245" w:type="dxa"/>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18</w:t>
                  </w:r>
                </w:p>
              </w:tc>
              <w:tc>
                <w:tcPr>
                  <w:tcW w:w="2016" w:type="dxa"/>
                  <w:shd w:val="clear" w:color="auto" w:fill="auto"/>
                  <w:noWrap/>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含油废水</w:t>
                  </w:r>
                </w:p>
              </w:tc>
              <w:tc>
                <w:tcPr>
                  <w:tcW w:w="1268" w:type="dxa"/>
                  <w:shd w:val="clear" w:color="auto" w:fill="auto"/>
                  <w:noWrap/>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76.6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185"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小计</w:t>
                  </w:r>
                </w:p>
              </w:tc>
              <w:tc>
                <w:tcPr>
                  <w:tcW w:w="1417" w:type="dxa"/>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361.0</w:t>
                  </w:r>
                </w:p>
              </w:tc>
              <w:tc>
                <w:tcPr>
                  <w:tcW w:w="1559" w:type="dxa"/>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小计</w:t>
                  </w:r>
                </w:p>
              </w:tc>
              <w:tc>
                <w:tcPr>
                  <w:tcW w:w="4529" w:type="dxa"/>
                  <w:gridSpan w:val="3"/>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361.0</w:t>
                  </w:r>
                </w:p>
              </w:tc>
            </w:tr>
          </w:tbl>
          <w:p>
            <w:pPr>
              <w:pStyle w:val="90"/>
              <w:adjustRightInd/>
              <w:snapToGrid/>
              <w:spacing w:line="240" w:lineRule="auto"/>
              <w:ind w:firstLine="0" w:firstLineChars="0"/>
              <w:jc w:val="center"/>
              <w:rPr>
                <w:rFonts w:ascii="Times New Roman"/>
                <w:b/>
                <w:color w:val="000000" w:themeColor="text1"/>
                <w14:textFill>
                  <w14:solidFill>
                    <w14:schemeClr w14:val="tx1"/>
                  </w14:solidFill>
                </w14:textFill>
              </w:rPr>
            </w:pPr>
          </w:p>
          <w:p>
            <w:pPr>
              <w:pStyle w:val="90"/>
              <w:adjustRightInd/>
              <w:snapToGrid/>
              <w:spacing w:line="240" w:lineRule="auto"/>
              <w:ind w:firstLine="0" w:firstLineChars="0"/>
              <w:jc w:val="center"/>
              <w:rPr>
                <w:rFonts w:ascii="Times New Roman"/>
                <w:b/>
                <w:color w:val="000000" w:themeColor="text1"/>
                <w14:textFill>
                  <w14:solidFill>
                    <w14:schemeClr w14:val="tx1"/>
                  </w14:solidFill>
                </w14:textFill>
              </w:rPr>
            </w:pPr>
            <w:r>
              <w:rPr>
                <w:rFonts w:ascii="Times New Roman"/>
                <w:color w:val="000000" w:themeColor="text1"/>
                <w14:textFill>
                  <w14:solidFill>
                    <w14:schemeClr w14:val="tx1"/>
                  </w14:solidFill>
                </w14:textFill>
              </w:rPr>
              <w:drawing>
                <wp:inline distT="0" distB="0" distL="0" distR="0">
                  <wp:extent cx="5267325" cy="1365885"/>
                  <wp:effectExtent l="19050" t="19050" r="9525" b="2476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21"/>
                          <a:stretch>
                            <a:fillRect/>
                          </a:stretch>
                        </pic:blipFill>
                        <pic:spPr>
                          <a:xfrm>
                            <a:off x="0" y="0"/>
                            <a:ext cx="5281465" cy="1369880"/>
                          </a:xfrm>
                          <a:prstGeom prst="rect">
                            <a:avLst/>
                          </a:prstGeom>
                          <a:ln>
                            <a:solidFill>
                              <a:schemeClr val="tx1"/>
                            </a:solidFill>
                          </a:ln>
                        </pic:spPr>
                      </pic:pic>
                    </a:graphicData>
                  </a:graphic>
                </wp:inline>
              </w:drawing>
            </w:r>
          </w:p>
          <w:p>
            <w:pPr>
              <w:pStyle w:val="59"/>
              <w:numPr>
                <w:ilvl w:val="0"/>
                <w:numId w:val="7"/>
              </w:numPr>
              <w:adjustRightInd w:val="0"/>
              <w:snapToGrid w:val="0"/>
              <w:ind w:left="0" w:firstLine="0" w:firstLineChars="0"/>
              <w:jc w:val="center"/>
              <w:rPr>
                <w:rStyle w:val="88"/>
                <w:rFonts w:ascii="Times New Roman" w:hAnsi="Times New Roman" w:cs="Times New Roman"/>
                <w:b w:val="0"/>
                <w:color w:val="000000" w:themeColor="text1"/>
                <w14:textFill>
                  <w14:solidFill>
                    <w14:schemeClr w14:val="tx1"/>
                  </w14:solidFill>
                </w14:textFill>
              </w:rPr>
            </w:pPr>
            <w:r>
              <w:rPr>
                <w:b/>
                <w:color w:val="000000" w:themeColor="text1"/>
                <w:sz w:val="24"/>
                <w14:textFill>
                  <w14:solidFill>
                    <w14:schemeClr w14:val="tx1"/>
                  </w14:solidFill>
                </w14:textFill>
              </w:rPr>
              <w:t>香茅油生产线</w:t>
            </w:r>
            <w:r>
              <w:rPr>
                <w:rStyle w:val="88"/>
                <w:rFonts w:ascii="Times New Roman" w:hAnsi="Times New Roman" w:cs="Times New Roman"/>
                <w:color w:val="000000" w:themeColor="text1"/>
                <w14:textFill>
                  <w14:solidFill>
                    <w14:schemeClr w14:val="tx1"/>
                  </w14:solidFill>
                </w14:textFill>
              </w:rPr>
              <w:t>物料平衡图</w:t>
            </w:r>
          </w:p>
          <w:p>
            <w:pPr>
              <w:pStyle w:val="90"/>
              <w:adjustRightInd/>
              <w:snapToGrid/>
              <w:ind w:firstLine="482"/>
              <w:rPr>
                <w:rFonts w:ascii="Times New Roman" w:eastAsiaTheme="minorEastAsia"/>
                <w:b/>
                <w:color w:val="000000" w:themeColor="text1"/>
                <w:szCs w:val="24"/>
                <w14:textFill>
                  <w14:solidFill>
                    <w14:schemeClr w14:val="tx1"/>
                  </w14:solidFill>
                </w14:textFill>
              </w:rPr>
            </w:pPr>
          </w:p>
          <w:p>
            <w:pPr>
              <w:pStyle w:val="90"/>
              <w:adjustRightInd/>
              <w:snapToGrid/>
              <w:ind w:firstLine="482"/>
              <w:rPr>
                <w:rFonts w:ascii="Times New Roman" w:eastAsiaTheme="minorEastAsia"/>
                <w:b/>
                <w:color w:val="000000" w:themeColor="text1"/>
                <w:szCs w:val="24"/>
                <w14:textFill>
                  <w14:solidFill>
                    <w14:schemeClr w14:val="tx1"/>
                  </w14:solidFill>
                </w14:textFill>
              </w:rPr>
            </w:pPr>
            <w:r>
              <w:rPr>
                <w:rFonts w:ascii="Times New Roman" w:eastAsiaTheme="minorEastAsia"/>
                <w:b/>
                <w:color w:val="000000" w:themeColor="text1"/>
                <w:szCs w:val="24"/>
                <w14:textFill>
                  <w14:solidFill>
                    <w14:schemeClr w14:val="tx1"/>
                  </w14:solidFill>
                </w14:textFill>
              </w:rPr>
              <w:t>7、克癀胶囊粉生产工艺</w:t>
            </w:r>
          </w:p>
          <w:p>
            <w:pPr>
              <w:pStyle w:val="90"/>
              <w:adjustRightInd/>
              <w:snapToGrid/>
              <w:spacing w:line="240" w:lineRule="auto"/>
              <w:ind w:firstLine="0" w:firstLineChars="0"/>
              <w:jc w:val="center"/>
              <w:rPr>
                <w:rFonts w:ascii="Times New Roman" w:eastAsiaTheme="minorEastAsia"/>
                <w:color w:val="000000" w:themeColor="text1"/>
                <w:szCs w:val="24"/>
                <w14:textFill>
                  <w14:solidFill>
                    <w14:schemeClr w14:val="tx1"/>
                  </w14:solidFill>
                </w14:textFill>
              </w:rPr>
            </w:pPr>
            <w:r>
              <w:rPr>
                <w:rFonts w:ascii="Times New Roman"/>
                <w:color w:val="000000" w:themeColor="text1"/>
                <w14:textFill>
                  <w14:solidFill>
                    <w14:schemeClr w14:val="tx1"/>
                  </w14:solidFill>
                </w14:textFill>
              </w:rPr>
              <w:drawing>
                <wp:inline distT="0" distB="0" distL="0" distR="0">
                  <wp:extent cx="3990975" cy="3847465"/>
                  <wp:effectExtent l="19050" t="19050" r="9525" b="1968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2"/>
                          <a:stretch>
                            <a:fillRect/>
                          </a:stretch>
                        </pic:blipFill>
                        <pic:spPr>
                          <a:xfrm>
                            <a:off x="0" y="0"/>
                            <a:ext cx="3993812" cy="3850654"/>
                          </a:xfrm>
                          <a:prstGeom prst="rect">
                            <a:avLst/>
                          </a:prstGeom>
                          <a:ln>
                            <a:solidFill>
                              <a:schemeClr val="tx1"/>
                            </a:solidFill>
                          </a:ln>
                        </pic:spPr>
                      </pic:pic>
                    </a:graphicData>
                  </a:graphic>
                </wp:inline>
              </w:drawing>
            </w:r>
          </w:p>
          <w:p>
            <w:pPr>
              <w:pStyle w:val="59"/>
              <w:numPr>
                <w:ilvl w:val="0"/>
                <w:numId w:val="7"/>
              </w:numPr>
              <w:adjustRightInd w:val="0"/>
              <w:snapToGrid w:val="0"/>
              <w:ind w:left="0" w:firstLine="0" w:firstLineChars="0"/>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克癀胶囊粉生产工艺流程图</w:t>
            </w:r>
          </w:p>
          <w:p>
            <w:pPr>
              <w:pStyle w:val="90"/>
              <w:adjustRightInd/>
              <w:snapToGrid/>
              <w:ind w:firstLine="480"/>
              <w:rPr>
                <w:rFonts w:ascii="Times New Roman"/>
                <w:color w:val="000000" w:themeColor="text1"/>
                <w:szCs w:val="24"/>
                <w14:textFill>
                  <w14:solidFill>
                    <w14:schemeClr w14:val="tx1"/>
                  </w14:solidFill>
                </w14:textFill>
              </w:rPr>
            </w:pPr>
            <w:r>
              <w:rPr>
                <w:rFonts w:ascii="Times New Roman" w:eastAsiaTheme="minorEastAsia"/>
                <w:color w:val="000000" w:themeColor="text1"/>
                <w:szCs w:val="24"/>
                <w14:textFill>
                  <w14:solidFill>
                    <w14:schemeClr w14:val="tx1"/>
                  </w14:solidFill>
                </w14:textFill>
              </w:rPr>
              <w:t>（1</w:t>
            </w:r>
            <w:r>
              <w:rPr>
                <w:rFonts w:ascii="Times New Roman"/>
                <w:color w:val="000000" w:themeColor="text1"/>
                <w:szCs w:val="24"/>
                <w14:textFill>
                  <w14:solidFill>
                    <w14:schemeClr w14:val="tx1"/>
                  </w14:solidFill>
                </w14:textFill>
              </w:rPr>
              <w:t>）工艺流程简介</w:t>
            </w:r>
          </w:p>
          <w:p>
            <w:pPr>
              <w:pStyle w:val="90"/>
              <w:adjustRightInd/>
              <w:snapToGrid/>
              <w:ind w:firstLine="480"/>
              <w:rPr>
                <w:rFonts w:ascii="Times New Roman"/>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①</w:t>
            </w:r>
            <w:r>
              <w:rPr>
                <w:rFonts w:ascii="Times New Roman"/>
                <w:color w:val="000000" w:themeColor="text1"/>
                <w:szCs w:val="24"/>
                <w14:textFill>
                  <w14:solidFill>
                    <w14:schemeClr w14:val="tx1"/>
                  </w14:solidFill>
                </w14:textFill>
              </w:rPr>
              <w:t>发酵处理</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eastAsiaTheme="minorEastAsia"/>
                <w:color w:val="000000" w:themeColor="text1"/>
                <w:szCs w:val="24"/>
                <w14:textFill>
                  <w14:solidFill>
                    <w14:schemeClr w14:val="tx1"/>
                  </w14:solidFill>
                </w14:textFill>
              </w:rPr>
              <w:t>A）配料混合</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eastAsiaTheme="minorEastAsia"/>
                <w:color w:val="000000" w:themeColor="text1"/>
                <w:szCs w:val="24"/>
                <w14:textFill>
                  <w14:solidFill>
                    <w14:schemeClr w14:val="tx1"/>
                  </w14:solidFill>
                </w14:textFill>
              </w:rPr>
              <w:t>将外购的三七粉、黄连粉 、黄芩粉、黄柏粉、大黄粉、白花蛇舌草粉、山银花粉、皂角刺粉、郁金粉、防风粉、石菖蒲粉、甘草粉，并放入多向运动混合机内进行混合，每锅混合30分钟，需混合2锅，每味药材要按处方比例均匀分成相应的等份进行混合。混合出料过程产生少量粉尘。</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B）</w:t>
            </w:r>
            <w:r>
              <w:rPr>
                <w:rFonts w:ascii="Times New Roman" w:eastAsiaTheme="minorEastAsia"/>
                <w:color w:val="000000" w:themeColor="text1"/>
                <w:szCs w:val="24"/>
                <w14:textFill>
                  <w14:solidFill>
                    <w14:schemeClr w14:val="tx1"/>
                  </w14:solidFill>
                </w14:textFill>
              </w:rPr>
              <w:t>灭菌</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eastAsiaTheme="minorEastAsia"/>
                <w:color w:val="000000" w:themeColor="text1"/>
                <w:szCs w:val="24"/>
                <w14:textFill>
                  <w14:solidFill>
                    <w14:schemeClr w14:val="tx1"/>
                  </w14:solidFill>
                </w14:textFill>
              </w:rPr>
              <w:t>将混合均匀的药材粉送入灭菌柜的洁净托盘内，在100-108</w:t>
            </w:r>
            <w:r>
              <w:rPr>
                <w:rFonts w:hint="eastAsia" w:hAnsi="宋体" w:cs="宋体"/>
                <w:color w:val="000000" w:themeColor="text1"/>
                <w:szCs w:val="24"/>
                <w14:textFill>
                  <w14:solidFill>
                    <w14:schemeClr w14:val="tx1"/>
                  </w14:solidFill>
                </w14:textFill>
              </w:rPr>
              <w:t>℃</w:t>
            </w:r>
            <w:r>
              <w:rPr>
                <w:rFonts w:ascii="Times New Roman" w:eastAsiaTheme="minorEastAsia"/>
                <w:color w:val="000000" w:themeColor="text1"/>
                <w:szCs w:val="24"/>
                <w14:textFill>
                  <w14:solidFill>
                    <w14:schemeClr w14:val="tx1"/>
                  </w14:solidFill>
                </w14:textFill>
              </w:rPr>
              <w:t>灭菌1小时（蒸汽间接加热），在洁净区一侧出料，用洁净的容器密闭盛装，然后与冰片用过筛粉碎机密闭粉碎并进行过筛处理。</w:t>
            </w:r>
          </w:p>
          <w:p>
            <w:pPr>
              <w:pStyle w:val="90"/>
              <w:adjustRightInd/>
              <w:snapToGrid/>
              <w:ind w:firstLine="48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C）制软才、发酵</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eastAsiaTheme="minorEastAsia"/>
                <w:color w:val="000000" w:themeColor="text1"/>
                <w:szCs w:val="24"/>
                <w14:textFill>
                  <w14:solidFill>
                    <w14:schemeClr w14:val="tx1"/>
                  </w14:solidFill>
                </w14:textFill>
              </w:rPr>
              <w:t>制软才主要是将保存于含醇量为50%以上白酒中的蛇胆（酒与蛇胆质量比1:1）使用榨汁机除去胆衣，以净蛇胆汁连同酒液通过管道投料使用。榨汁过程为密闭操作，无异味散逸。</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eastAsiaTheme="minorEastAsia"/>
                <w:color w:val="000000" w:themeColor="text1"/>
                <w:szCs w:val="24"/>
                <w14:textFill>
                  <w14:solidFill>
                    <w14:schemeClr w14:val="tx1"/>
                  </w14:solidFill>
                </w14:textFill>
              </w:rPr>
              <w:t>发酵主要是将过筛后的药材粉、冰片与纯水、人工牛黄、人工麝香、蛇胆汁和红曲粉（1000粒胶囊加45.7g红曲），在混合槽内密闭搅拌混匀，每锅混合15分钟，加入适量纯水（纯水用量约0.4t/t药材，40～50</w:t>
            </w:r>
            <w:r>
              <w:rPr>
                <w:rFonts w:hint="eastAsia" w:hAnsi="宋体" w:cs="宋体"/>
                <w:color w:val="000000" w:themeColor="text1"/>
                <w:szCs w:val="24"/>
                <w14:textFill>
                  <w14:solidFill>
                    <w14:schemeClr w14:val="tx1"/>
                  </w14:solidFill>
                </w14:textFill>
              </w:rPr>
              <w:t>℃</w:t>
            </w:r>
            <w:r>
              <w:rPr>
                <w:rFonts w:ascii="Times New Roman"/>
                <w:color w:val="000000" w:themeColor="text1"/>
                <w:szCs w:val="24"/>
                <w14:textFill>
                  <w14:solidFill>
                    <w14:schemeClr w14:val="tx1"/>
                  </w14:solidFill>
                </w14:textFill>
              </w:rPr>
              <w:t>，蒸汽间接加热</w:t>
            </w:r>
            <w:r>
              <w:rPr>
                <w:rFonts w:ascii="Times New Roman" w:eastAsiaTheme="minorEastAsia"/>
                <w:color w:val="000000" w:themeColor="text1"/>
                <w:szCs w:val="24"/>
                <w14:textFill>
                  <w14:solidFill>
                    <w14:schemeClr w14:val="tx1"/>
                  </w14:solidFill>
                </w14:textFill>
              </w:rPr>
              <w:t>）调和成泥块状，制成立方寸方块置于发酵用托盘，于26</w:t>
            </w:r>
            <w:r>
              <w:rPr>
                <w:rFonts w:hint="eastAsia" w:hAnsi="宋体" w:cs="宋体"/>
                <w:color w:val="000000" w:themeColor="text1"/>
                <w:szCs w:val="24"/>
                <w14:textFill>
                  <w14:solidFill>
                    <w14:schemeClr w14:val="tx1"/>
                  </w14:solidFill>
                </w14:textFill>
              </w:rPr>
              <w:t>℃</w:t>
            </w:r>
            <w:r>
              <w:rPr>
                <w:rFonts w:ascii="Times New Roman" w:eastAsiaTheme="minorEastAsia"/>
                <w:color w:val="000000" w:themeColor="text1"/>
                <w:szCs w:val="24"/>
                <w14:textFill>
                  <w14:solidFill>
                    <w14:schemeClr w14:val="tx1"/>
                  </w14:solidFill>
                </w14:textFill>
              </w:rPr>
              <w:t>+2</w:t>
            </w:r>
            <w:r>
              <w:rPr>
                <w:rFonts w:hint="eastAsia" w:hAnsi="宋体" w:cs="宋体"/>
                <w:color w:val="000000" w:themeColor="text1"/>
                <w:szCs w:val="24"/>
                <w14:textFill>
                  <w14:solidFill>
                    <w14:schemeClr w14:val="tx1"/>
                  </w14:solidFill>
                </w14:textFill>
              </w:rPr>
              <w:t>℃</w:t>
            </w:r>
            <w:r>
              <w:rPr>
                <w:rFonts w:ascii="Times New Roman" w:eastAsiaTheme="minorEastAsia"/>
                <w:color w:val="000000" w:themeColor="text1"/>
                <w:szCs w:val="24"/>
                <w14:textFill>
                  <w14:solidFill>
                    <w14:schemeClr w14:val="tx1"/>
                  </w14:solidFill>
                </w14:textFill>
              </w:rPr>
              <w:t>保温发酵7天，相对湿度控制在75%以上，让其表面长出乳黄色的茸毛膜。发酵过程在密闭设备内进行，无异味散逸。发酵出料过程中散逸发酵异味。</w:t>
            </w:r>
          </w:p>
          <w:p>
            <w:pPr>
              <w:pStyle w:val="90"/>
              <w:adjustRightInd/>
              <w:snapToGrid/>
              <w:ind w:firstLine="480"/>
              <w:rPr>
                <w:rFonts w:ascii="Times New Roman"/>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②</w:t>
            </w:r>
            <w:r>
              <w:rPr>
                <w:rFonts w:ascii="Times New Roman"/>
                <w:color w:val="000000" w:themeColor="text1"/>
                <w:szCs w:val="24"/>
                <w14:textFill>
                  <w14:solidFill>
                    <w14:schemeClr w14:val="tx1"/>
                  </w14:solidFill>
                </w14:textFill>
              </w:rPr>
              <w:t>药材后处理</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eastAsiaTheme="minorEastAsia"/>
                <w:color w:val="000000" w:themeColor="text1"/>
                <w:szCs w:val="24"/>
                <w14:textFill>
                  <w14:solidFill>
                    <w14:schemeClr w14:val="tx1"/>
                  </w14:solidFill>
                </w14:textFill>
              </w:rPr>
              <w:t>A）干燥</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eastAsiaTheme="minorEastAsia"/>
                <w:color w:val="000000" w:themeColor="text1"/>
                <w:szCs w:val="24"/>
                <w14:textFill>
                  <w14:solidFill>
                    <w14:schemeClr w14:val="tx1"/>
                  </w14:solidFill>
                </w14:textFill>
              </w:rPr>
              <w:t>发酵结束后把发酵物置于真空干燥箱内干燥，真空度控制在-0.06~-0.08 Mpa之间，温度控制在45～50</w:t>
            </w:r>
            <w:r>
              <w:rPr>
                <w:rFonts w:hint="eastAsia" w:hAnsi="宋体" w:cs="宋体"/>
                <w:color w:val="000000" w:themeColor="text1"/>
                <w:szCs w:val="24"/>
                <w14:textFill>
                  <w14:solidFill>
                    <w14:schemeClr w14:val="tx1"/>
                  </w14:solidFill>
                </w14:textFill>
              </w:rPr>
              <w:t>℃</w:t>
            </w:r>
            <w:r>
              <w:rPr>
                <w:rFonts w:ascii="Times New Roman" w:eastAsiaTheme="minorEastAsia"/>
                <w:color w:val="000000" w:themeColor="text1"/>
                <w:szCs w:val="24"/>
                <w14:textFill>
                  <w14:solidFill>
                    <w14:schemeClr w14:val="tx1"/>
                  </w14:solidFill>
                </w14:textFill>
              </w:rPr>
              <w:t>（蒸汽间接加热），干燥15～17小时后取样，用快速水份测定仪测得水份应≤5%，如水份超出则继续干燥，直至水份达到要求。</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B）</w:t>
            </w:r>
            <w:r>
              <w:rPr>
                <w:rFonts w:ascii="Times New Roman" w:eastAsiaTheme="minorEastAsia"/>
                <w:color w:val="000000" w:themeColor="text1"/>
                <w:szCs w:val="24"/>
                <w14:textFill>
                  <w14:solidFill>
                    <w14:schemeClr w14:val="tx1"/>
                  </w14:solidFill>
                </w14:textFill>
              </w:rPr>
              <w:t>粉碎、总混</w:t>
            </w:r>
          </w:p>
          <w:p>
            <w:pPr>
              <w:pStyle w:val="90"/>
              <w:adjustRightInd/>
              <w:snapToGrid/>
              <w:ind w:firstLine="480"/>
              <w:rPr>
                <w:rFonts w:ascii="Times New Roman" w:eastAsiaTheme="minorEastAsia"/>
                <w:color w:val="000000" w:themeColor="text1"/>
                <w:szCs w:val="24"/>
                <w14:textFill>
                  <w14:solidFill>
                    <w14:schemeClr w14:val="tx1"/>
                  </w14:solidFill>
                </w14:textFill>
              </w:rPr>
            </w:pPr>
            <w:r>
              <w:rPr>
                <w:rFonts w:ascii="Times New Roman" w:eastAsiaTheme="minorEastAsia"/>
                <w:color w:val="000000" w:themeColor="text1"/>
                <w:szCs w:val="24"/>
                <w14:textFill>
                  <w14:solidFill>
                    <w14:schemeClr w14:val="tx1"/>
                  </w14:solidFill>
                </w14:textFill>
              </w:rPr>
              <w:t>干燥好的发酵物、滑石粉用粉碎机进行密闭粉碎，粉碎后进行密闭混合，</w:t>
            </w:r>
            <w:r>
              <w:rPr>
                <w:rStyle w:val="88"/>
                <w:rFonts w:ascii="Times New Roman" w:hAnsi="Times New Roman" w:cs="Times New Roman"/>
                <w:b w:val="0"/>
                <w:color w:val="000000" w:themeColor="text1"/>
                <w14:textFill>
                  <w14:solidFill>
                    <w14:schemeClr w14:val="tx1"/>
                  </w14:solidFill>
                </w14:textFill>
              </w:rPr>
              <w:t>混合完成后出料直接进行袋装，进入到成品仓库待售。总混出料过程产生粉尘。</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（2）生产线物料平衡</w:t>
            </w:r>
          </w:p>
          <w:p>
            <w:pPr>
              <w:pStyle w:val="76"/>
              <w:numPr>
                <w:ilvl w:val="0"/>
                <w:numId w:val="4"/>
              </w:numPr>
              <w:ind w:left="0" w:firstLine="0"/>
              <w:rPr>
                <w:bCs/>
                <w:color w:val="000000" w:themeColor="text1"/>
                <w14:textFill>
                  <w14:solidFill>
                    <w14:schemeClr w14:val="tx1"/>
                  </w14:solidFill>
                </w14:textFill>
              </w:rPr>
            </w:pPr>
            <w:r>
              <w:rPr>
                <w:color w:val="000000" w:themeColor="text1"/>
                <w14:textFill>
                  <w14:solidFill>
                    <w14:schemeClr w14:val="tx1"/>
                  </w14:solidFill>
                </w14:textFill>
              </w:rPr>
              <w:t>克癀胶囊粉</w:t>
            </w:r>
            <w:r>
              <w:rPr>
                <w:rFonts w:hint="eastAsia"/>
                <w:bCs/>
                <w:color w:val="000000" w:themeColor="text1"/>
                <w14:textFill>
                  <w14:solidFill>
                    <w14:schemeClr w14:val="tx1"/>
                  </w14:solidFill>
                </w14:textFill>
              </w:rPr>
              <w:t>生产线物料平衡表</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9"/>
              <w:gridCol w:w="1448"/>
              <w:gridCol w:w="1208"/>
              <w:gridCol w:w="1448"/>
              <w:gridCol w:w="1448"/>
              <w:gridCol w:w="14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4"/>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投入</w:t>
                  </w:r>
                </w:p>
              </w:tc>
              <w:tc>
                <w:tcPr>
                  <w:tcW w:w="0" w:type="auto"/>
                  <w:gridSpan w:val="2"/>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物料</w:t>
                  </w: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c>
                <w:tcPr>
                  <w:tcW w:w="0" w:type="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物料</w:t>
                  </w:r>
                </w:p>
              </w:tc>
              <w:tc>
                <w:tcPr>
                  <w:tcW w:w="0" w:type="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出料</w:t>
                  </w: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数量（t/a）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三七粉</w:t>
                  </w:r>
                </w:p>
              </w:tc>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4.7</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石菖蒲粉</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0.45</w:t>
                  </w: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克癀胶囊粉</w:t>
                  </w: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黄连粉</w:t>
                  </w:r>
                </w:p>
              </w:tc>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1.4</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甘草粉</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0.35</w:t>
                  </w: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粉尘</w:t>
                  </w: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0.085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黄芩粉</w:t>
                  </w:r>
                </w:p>
              </w:tc>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2.25</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红曲粉</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1.65</w:t>
                  </w: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水蒸发损耗</w:t>
                  </w: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黄柏粉</w:t>
                  </w:r>
                </w:p>
              </w:tc>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0.95</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蛇胆</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0.3</w:t>
                  </w: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生长消耗</w:t>
                  </w: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4.965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大黄粉</w:t>
                  </w:r>
                </w:p>
              </w:tc>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0.95</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人工牛黄</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0.15</w:t>
                  </w: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白花蛇舌草粉</w:t>
                  </w:r>
                </w:p>
              </w:tc>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0.95</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人工麝香</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0.1</w:t>
                  </w: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山银花粉</w:t>
                  </w:r>
                </w:p>
              </w:tc>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0.7</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冰片</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0.15</w:t>
                  </w:r>
                </w:p>
              </w:tc>
              <w:tc>
                <w:tcPr>
                  <w:tcW w:w="0" w:type="auto"/>
                  <w:shd w:val="clear" w:color="auto" w:fill="auto"/>
                  <w:noWrap/>
                  <w:vAlign w:val="center"/>
                </w:tcPr>
                <w:p>
                  <w:pPr>
                    <w:widowControl/>
                    <w:jc w:val="center"/>
                    <w:rPr>
                      <w:rFonts w:ascii="Times New Roman" w:hAnsi="Times New Roman" w:eastAsia="宋体"/>
                      <w:color w:val="000000" w:themeColor="text1"/>
                      <w:kern w:val="0"/>
                      <w:sz w:val="22"/>
                      <w:szCs w:val="22"/>
                      <w14:textFill>
                        <w14:solidFill>
                          <w14:schemeClr w14:val="tx1"/>
                        </w14:solidFill>
                      </w14:textFill>
                    </w:rPr>
                  </w:pPr>
                </w:p>
              </w:tc>
              <w:tc>
                <w:tcPr>
                  <w:tcW w:w="0" w:type="auto"/>
                  <w:shd w:val="clear" w:color="auto" w:fill="auto"/>
                  <w:noWrap/>
                  <w:vAlign w:val="center"/>
                </w:tcPr>
                <w:p>
                  <w:pPr>
                    <w:widowControl/>
                    <w:jc w:val="center"/>
                    <w:rPr>
                      <w:rFonts w:ascii="Times New Roman" w:hAnsi="Times New Roman" w:eastAsia="宋体"/>
                      <w:color w:val="000000" w:themeColor="text1"/>
                      <w:kern w:val="0"/>
                      <w:sz w:val="22"/>
                      <w:szCs w:val="2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皂角刺粉</w:t>
                  </w:r>
                </w:p>
              </w:tc>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0.45</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滑石粉</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0.4</w:t>
                  </w:r>
                </w:p>
              </w:tc>
              <w:tc>
                <w:tcPr>
                  <w:tcW w:w="0" w:type="auto"/>
                  <w:shd w:val="clear" w:color="auto" w:fill="auto"/>
                  <w:noWrap/>
                  <w:vAlign w:val="center"/>
                </w:tcPr>
                <w:p>
                  <w:pPr>
                    <w:widowControl/>
                    <w:jc w:val="center"/>
                    <w:rPr>
                      <w:rFonts w:ascii="Times New Roman" w:hAnsi="Times New Roman" w:eastAsia="宋体"/>
                      <w:color w:val="000000" w:themeColor="text1"/>
                      <w:kern w:val="0"/>
                      <w:sz w:val="22"/>
                      <w:szCs w:val="22"/>
                      <w14:textFill>
                        <w14:solidFill>
                          <w14:schemeClr w14:val="tx1"/>
                        </w14:solidFill>
                      </w14:textFill>
                    </w:rPr>
                  </w:pPr>
                </w:p>
              </w:tc>
              <w:tc>
                <w:tcPr>
                  <w:tcW w:w="0" w:type="auto"/>
                  <w:shd w:val="clear" w:color="auto" w:fill="auto"/>
                  <w:noWrap/>
                  <w:vAlign w:val="center"/>
                </w:tcPr>
                <w:p>
                  <w:pPr>
                    <w:widowControl/>
                    <w:jc w:val="center"/>
                    <w:rPr>
                      <w:rFonts w:ascii="Times New Roman" w:hAnsi="Times New Roman" w:eastAsia="宋体"/>
                      <w:color w:val="000000" w:themeColor="text1"/>
                      <w:kern w:val="0"/>
                      <w:sz w:val="22"/>
                      <w:szCs w:val="2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郁金粉</w:t>
                  </w:r>
                </w:p>
              </w:tc>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0.4</w:t>
                  </w:r>
                </w:p>
              </w:tc>
              <w:tc>
                <w:tcPr>
                  <w:tcW w:w="0" w:type="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纯水</w:t>
                  </w:r>
                </w:p>
              </w:tc>
              <w:tc>
                <w:tcPr>
                  <w:tcW w:w="0" w:type="auto"/>
                  <w:vAlign w:val="bottom"/>
                </w:tcPr>
                <w:p>
                  <w:pPr>
                    <w:jc w:val="center"/>
                    <w:rPr>
                      <w:rFonts w:ascii="Times New Roman" w:hAnsi="Times New Roman" w:eastAsia="宋体"/>
                      <w:color w:val="000000" w:themeColor="text1"/>
                      <w:sz w:val="22"/>
                      <w:szCs w:val="22"/>
                      <w14:textFill>
                        <w14:solidFill>
                          <w14:schemeClr w14:val="tx1"/>
                        </w14:solidFill>
                      </w14:textFill>
                    </w:rPr>
                  </w:pPr>
                  <w:r>
                    <w:rPr>
                      <w:rFonts w:ascii="Times New Roman" w:hAnsi="Times New Roman"/>
                      <w:color w:val="000000" w:themeColor="text1"/>
                      <w:sz w:val="22"/>
                      <w:szCs w:val="22"/>
                      <w14:textFill>
                        <w14:solidFill>
                          <w14:schemeClr w14:val="tx1"/>
                        </w14:solidFill>
                      </w14:textFill>
                    </w:rPr>
                    <w:t>11</w:t>
                  </w:r>
                </w:p>
              </w:tc>
              <w:tc>
                <w:tcPr>
                  <w:tcW w:w="0" w:type="auto"/>
                  <w:shd w:val="clear" w:color="auto" w:fill="auto"/>
                  <w:noWrap/>
                  <w:vAlign w:val="center"/>
                </w:tcPr>
                <w:p>
                  <w:pPr>
                    <w:widowControl/>
                    <w:jc w:val="center"/>
                    <w:rPr>
                      <w:rFonts w:ascii="Times New Roman" w:hAnsi="Times New Roman" w:eastAsia="宋体"/>
                      <w:color w:val="000000" w:themeColor="text1"/>
                      <w:kern w:val="0"/>
                      <w:sz w:val="22"/>
                      <w:szCs w:val="22"/>
                      <w14:textFill>
                        <w14:solidFill>
                          <w14:schemeClr w14:val="tx1"/>
                        </w14:solidFill>
                      </w14:textFill>
                    </w:rPr>
                  </w:pPr>
                </w:p>
              </w:tc>
              <w:tc>
                <w:tcPr>
                  <w:tcW w:w="0" w:type="auto"/>
                  <w:shd w:val="clear" w:color="auto" w:fill="auto"/>
                  <w:noWrap/>
                  <w:vAlign w:val="center"/>
                </w:tcPr>
                <w:p>
                  <w:pPr>
                    <w:widowControl/>
                    <w:jc w:val="center"/>
                    <w:rPr>
                      <w:rFonts w:ascii="Times New Roman" w:hAnsi="Times New Roman" w:eastAsia="宋体"/>
                      <w:color w:val="000000" w:themeColor="text1"/>
                      <w:kern w:val="0"/>
                      <w:sz w:val="22"/>
                      <w:szCs w:val="2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防风粉</w:t>
                  </w:r>
                </w:p>
              </w:tc>
              <w:tc>
                <w:tcPr>
                  <w:tcW w:w="0" w:type="auto"/>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0.45</w:t>
                  </w:r>
                </w:p>
              </w:tc>
              <w:tc>
                <w:tcPr>
                  <w:tcW w:w="0" w:type="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p>
              </w:tc>
              <w:tc>
                <w:tcPr>
                  <w:tcW w:w="0" w:type="auto"/>
                  <w:vAlign w:val="center"/>
                </w:tcPr>
                <w:p>
                  <w:pPr>
                    <w:widowControl/>
                    <w:jc w:val="center"/>
                    <w:rPr>
                      <w:rFonts w:ascii="Times New Roman" w:hAnsi="Times New Roman" w:eastAsia="宋体"/>
                      <w:color w:val="000000" w:themeColor="text1"/>
                      <w:kern w:val="0"/>
                      <w:sz w:val="22"/>
                      <w:szCs w:val="22"/>
                      <w14:textFill>
                        <w14:solidFill>
                          <w14:schemeClr w14:val="tx1"/>
                        </w14:solidFill>
                      </w14:textFill>
                    </w:rPr>
                  </w:pPr>
                </w:p>
              </w:tc>
              <w:tc>
                <w:tcPr>
                  <w:tcW w:w="0" w:type="auto"/>
                  <w:shd w:val="clear" w:color="auto" w:fill="auto"/>
                  <w:noWrap/>
                  <w:vAlign w:val="center"/>
                </w:tcPr>
                <w:p>
                  <w:pPr>
                    <w:widowControl/>
                    <w:jc w:val="center"/>
                    <w:rPr>
                      <w:rFonts w:ascii="Times New Roman" w:hAnsi="Times New Roman" w:eastAsia="宋体"/>
                      <w:color w:val="000000" w:themeColor="text1"/>
                      <w:kern w:val="0"/>
                      <w:sz w:val="22"/>
                      <w:szCs w:val="22"/>
                      <w14:textFill>
                        <w14:solidFill>
                          <w14:schemeClr w14:val="tx1"/>
                        </w14:solidFill>
                      </w14:textFill>
                    </w:rPr>
                  </w:pPr>
                </w:p>
              </w:tc>
              <w:tc>
                <w:tcPr>
                  <w:tcW w:w="0" w:type="auto"/>
                  <w:shd w:val="clear" w:color="auto" w:fill="auto"/>
                  <w:noWrap/>
                  <w:vAlign w:val="center"/>
                </w:tcPr>
                <w:p>
                  <w:pPr>
                    <w:widowControl/>
                    <w:jc w:val="center"/>
                    <w:rPr>
                      <w:rFonts w:ascii="Times New Roman" w:hAnsi="Times New Roman" w:eastAsia="宋体"/>
                      <w:color w:val="000000" w:themeColor="text1"/>
                      <w:kern w:val="0"/>
                      <w:sz w:val="22"/>
                      <w:szCs w:val="2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小计</w:t>
                  </w:r>
                </w:p>
              </w:tc>
              <w:tc>
                <w:tcPr>
                  <w:tcW w:w="0" w:type="auto"/>
                  <w:gridSpan w:val="3"/>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27.750</w:t>
                  </w: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小计</w:t>
                  </w:r>
                </w:p>
              </w:tc>
              <w:tc>
                <w:tcPr>
                  <w:tcW w:w="0" w:type="auto"/>
                  <w:shd w:val="clear" w:color="auto" w:fill="auto"/>
                  <w:vAlign w:val="center"/>
                </w:tcPr>
                <w:p>
                  <w:pPr>
                    <w:widowControl/>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27.750</w:t>
                  </w:r>
                </w:p>
              </w:tc>
            </w:tr>
          </w:tbl>
          <w:p>
            <w:pPr>
              <w:pStyle w:val="90"/>
              <w:adjustRightInd/>
              <w:snapToGrid/>
              <w:spacing w:line="240" w:lineRule="auto"/>
              <w:ind w:firstLine="0" w:firstLineChars="0"/>
              <w:jc w:val="center"/>
              <w:rPr>
                <w:rFonts w:ascii="Times New Roman"/>
                <w:b/>
                <w:color w:val="000000" w:themeColor="text1"/>
                <w14:textFill>
                  <w14:solidFill>
                    <w14:schemeClr w14:val="tx1"/>
                  </w14:solidFill>
                </w14:textFill>
              </w:rPr>
            </w:pPr>
          </w:p>
          <w:p>
            <w:pPr>
              <w:pStyle w:val="90"/>
              <w:adjustRightInd/>
              <w:snapToGrid/>
              <w:ind w:firstLine="0" w:firstLineChars="0"/>
              <w:jc w:val="center"/>
              <w:rPr>
                <w:rFonts w:ascii="Times New Roman" w:eastAsiaTheme="minorEastAsia"/>
                <w:b/>
                <w:color w:val="000000" w:themeColor="text1"/>
                <w:szCs w:val="24"/>
                <w14:textFill>
                  <w14:solidFill>
                    <w14:schemeClr w14:val="tx1"/>
                  </w14:solidFill>
                </w14:textFill>
              </w:rPr>
            </w:pPr>
            <w:r>
              <w:rPr>
                <w:rFonts w:ascii="Times New Roman"/>
                <w:color w:val="000000" w:themeColor="text1"/>
                <w14:textFill>
                  <w14:solidFill>
                    <w14:schemeClr w14:val="tx1"/>
                  </w14:solidFill>
                </w14:textFill>
              </w:rPr>
              <w:drawing>
                <wp:inline distT="0" distB="0" distL="0" distR="0">
                  <wp:extent cx="5486400" cy="1762125"/>
                  <wp:effectExtent l="19050" t="19050" r="19050" b="2857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23"/>
                          <a:stretch>
                            <a:fillRect/>
                          </a:stretch>
                        </pic:blipFill>
                        <pic:spPr>
                          <a:xfrm>
                            <a:off x="0" y="0"/>
                            <a:ext cx="5486400" cy="1762125"/>
                          </a:xfrm>
                          <a:prstGeom prst="rect">
                            <a:avLst/>
                          </a:prstGeom>
                          <a:ln>
                            <a:solidFill>
                              <a:schemeClr val="tx1"/>
                            </a:solidFill>
                          </a:ln>
                        </pic:spPr>
                      </pic:pic>
                    </a:graphicData>
                  </a:graphic>
                </wp:inline>
              </w:drawing>
            </w:r>
          </w:p>
          <w:p>
            <w:pPr>
              <w:pStyle w:val="59"/>
              <w:numPr>
                <w:ilvl w:val="0"/>
                <w:numId w:val="7"/>
              </w:numPr>
              <w:adjustRightInd w:val="0"/>
              <w:snapToGrid w:val="0"/>
              <w:ind w:left="0" w:firstLine="0" w:firstLineChars="0"/>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克癀胶囊粉生产线</w:t>
            </w:r>
            <w:r>
              <w:rPr>
                <w:rFonts w:hint="eastAsia"/>
                <w:b/>
                <w:color w:val="000000" w:themeColor="text1"/>
                <w:sz w:val="24"/>
                <w14:textFill>
                  <w14:solidFill>
                    <w14:schemeClr w14:val="tx1"/>
                  </w14:solidFill>
                </w14:textFill>
              </w:rPr>
              <w:t>物料平衡图</w:t>
            </w:r>
          </w:p>
          <w:p>
            <w:pPr>
              <w:pStyle w:val="90"/>
              <w:adjustRightInd/>
              <w:snapToGrid/>
              <w:ind w:firstLine="482"/>
              <w:rPr>
                <w:rFonts w:ascii="Times New Roman" w:eastAsiaTheme="minorEastAsia"/>
                <w:b/>
                <w:color w:val="000000" w:themeColor="text1"/>
                <w:szCs w:val="24"/>
                <w14:textFill>
                  <w14:solidFill>
                    <w14:schemeClr w14:val="tx1"/>
                  </w14:solidFill>
                </w14:textFill>
              </w:rPr>
            </w:pPr>
          </w:p>
          <w:p>
            <w:pPr>
              <w:pStyle w:val="90"/>
              <w:adjustRightInd/>
              <w:snapToGrid/>
              <w:ind w:firstLine="482"/>
              <w:rPr>
                <w:rFonts w:ascii="Times New Roman" w:eastAsiaTheme="minorEastAsia"/>
                <w:b/>
                <w:color w:val="000000" w:themeColor="text1"/>
                <w:szCs w:val="24"/>
                <w14:textFill>
                  <w14:solidFill>
                    <w14:schemeClr w14:val="tx1"/>
                  </w14:solidFill>
                </w14:textFill>
              </w:rPr>
            </w:pPr>
            <w:r>
              <w:rPr>
                <w:rFonts w:ascii="Times New Roman" w:eastAsiaTheme="minorEastAsia"/>
                <w:b/>
                <w:color w:val="000000" w:themeColor="text1"/>
                <w:szCs w:val="24"/>
                <w14:textFill>
                  <w14:solidFill>
                    <w14:schemeClr w14:val="tx1"/>
                  </w14:solidFill>
                </w14:textFill>
              </w:rPr>
              <w:t>8、乙醇冷凝回收工艺</w:t>
            </w:r>
          </w:p>
          <w:p>
            <w:pPr>
              <w:pStyle w:val="90"/>
              <w:adjustRightInd/>
              <w:snapToGrid/>
              <w:ind w:firstLine="0" w:firstLineChars="0"/>
              <w:jc w:val="center"/>
              <w:rPr>
                <w:rFonts w:ascii="Times New Roman" w:eastAsiaTheme="minorEastAsia"/>
                <w:color w:val="000000" w:themeColor="text1"/>
                <w:szCs w:val="24"/>
                <w14:textFill>
                  <w14:solidFill>
                    <w14:schemeClr w14:val="tx1"/>
                  </w14:solidFill>
                </w14:textFill>
              </w:rPr>
            </w:pPr>
            <w:r>
              <w:rPr>
                <w:rFonts w:ascii="Times New Roman"/>
                <w:color w:val="000000" w:themeColor="text1"/>
                <w14:textFill>
                  <w14:solidFill>
                    <w14:schemeClr w14:val="tx1"/>
                  </w14:solidFill>
                </w14:textFill>
              </w:rPr>
              <w:drawing>
                <wp:inline distT="0" distB="0" distL="0" distR="0">
                  <wp:extent cx="4837430" cy="1270635"/>
                  <wp:effectExtent l="19050" t="19050" r="20320" b="2476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4"/>
                          <a:stretch>
                            <a:fillRect/>
                          </a:stretch>
                        </pic:blipFill>
                        <pic:spPr>
                          <a:xfrm>
                            <a:off x="0" y="0"/>
                            <a:ext cx="4853084" cy="1275058"/>
                          </a:xfrm>
                          <a:prstGeom prst="rect">
                            <a:avLst/>
                          </a:prstGeom>
                          <a:ln>
                            <a:solidFill>
                              <a:schemeClr val="tx1"/>
                            </a:solidFill>
                          </a:ln>
                        </pic:spPr>
                      </pic:pic>
                    </a:graphicData>
                  </a:graphic>
                </wp:inline>
              </w:drawing>
            </w:r>
          </w:p>
          <w:p>
            <w:pPr>
              <w:pStyle w:val="59"/>
              <w:numPr>
                <w:ilvl w:val="0"/>
                <w:numId w:val="7"/>
              </w:numPr>
              <w:adjustRightInd w:val="0"/>
              <w:snapToGrid w:val="0"/>
              <w:ind w:left="0" w:firstLine="0" w:firstLineChars="0"/>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乙醇回收工艺流程图</w:t>
            </w:r>
          </w:p>
          <w:p>
            <w:pPr>
              <w:pStyle w:val="90"/>
              <w:ind w:firstLine="482"/>
              <w:rPr>
                <w:rFonts w:ascii="Times New Roman"/>
                <w:b/>
                <w:color w:val="000000" w:themeColor="text1"/>
                <w14:textFill>
                  <w14:solidFill>
                    <w14:schemeClr w14:val="tx1"/>
                  </w14:solidFill>
                </w14:textFill>
              </w:rPr>
            </w:pPr>
            <w:r>
              <w:rPr>
                <w:rFonts w:ascii="Times New Roman"/>
                <w:b/>
                <w:color w:val="000000" w:themeColor="text1"/>
                <w14:textFill>
                  <w14:solidFill>
                    <w14:schemeClr w14:val="tx1"/>
                  </w14:solidFill>
                </w14:textFill>
              </w:rPr>
              <w:t>工艺说明：</w:t>
            </w:r>
          </w:p>
          <w:p>
            <w:pPr>
              <w:pStyle w:val="90"/>
              <w:adjustRightInd/>
              <w:snapToGrid/>
              <w:ind w:firstLine="48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在生产过程中，提取液在水提醇沉后经过蒸汽间接加热</w:t>
            </w:r>
            <w:r>
              <w:rPr>
                <w:rFonts w:ascii="Times New Roman"/>
                <w:color w:val="000000" w:themeColor="text1"/>
                <w:szCs w:val="24"/>
                <w14:textFill>
                  <w14:solidFill>
                    <w14:schemeClr w14:val="tx1"/>
                  </w14:solidFill>
                </w14:textFill>
              </w:rPr>
              <w:t>蒸发浓缩过程的水蒸气、乙醇蒸汽，经冷凝后回收进入到稀乙醇暂存罐暂存。</w:t>
            </w:r>
            <w:r>
              <w:rPr>
                <w:rFonts w:ascii="Times New Roman"/>
                <w:color w:val="000000" w:themeColor="text1"/>
                <w14:textFill>
                  <w14:solidFill>
                    <w14:schemeClr w14:val="tx1"/>
                  </w14:solidFill>
                </w14:textFill>
              </w:rPr>
              <w:t>本项目采用乙醇回收塔将</w:t>
            </w:r>
            <w:r>
              <w:rPr>
                <w:rFonts w:ascii="Times New Roman"/>
                <w:color w:val="000000" w:themeColor="text1"/>
                <w:szCs w:val="24"/>
                <w14:textFill>
                  <w14:solidFill>
                    <w14:schemeClr w14:val="tx1"/>
                  </w14:solidFill>
                </w14:textFill>
              </w:rPr>
              <w:t>稀乙醇暂存罐的</w:t>
            </w:r>
            <w:r>
              <w:rPr>
                <w:rFonts w:ascii="Times New Roman"/>
                <w:color w:val="000000" w:themeColor="text1"/>
                <w14:textFill>
                  <w14:solidFill>
                    <w14:schemeClr w14:val="tx1"/>
                  </w14:solidFill>
                </w14:textFill>
              </w:rPr>
              <w:t>乙醇进行冷凝回收，回收乙醇的浓度达到90%以上</w:t>
            </w:r>
            <w:r>
              <w:rPr>
                <w:rFonts w:hint="eastAsia" w:ascii="Times New Roman"/>
                <w:color w:val="000000" w:themeColor="text1"/>
                <w14:textFill>
                  <w14:solidFill>
                    <w14:schemeClr w14:val="tx1"/>
                  </w14:solidFill>
                </w14:textFill>
              </w:rPr>
              <w:t>即可回用</w:t>
            </w:r>
            <w:r>
              <w:rPr>
                <w:rFonts w:ascii="Times New Roman"/>
                <w:color w:val="000000" w:themeColor="text1"/>
                <w14:textFill>
                  <w14:solidFill>
                    <w14:schemeClr w14:val="tx1"/>
                  </w14:solidFill>
                </w14:textFill>
              </w:rPr>
              <w:t>，有少量乙醇溶于底部的残留溶液中。工作原理：利用乙醇沸点低于水及其他溶液沸点的原理，用稍高于乙醇沸点的温度，将需回收的稀乙醇溶液进行加热蒸发，经塔体精馏后，析出纯乙醇气体，提高乙醇溶液的浓度，达到回收乙醇的目的。其中，塔顶乙醇气相进入冷凝器中被全部冷凝，被送出作为塔顶产品（浓乙醇液体）。回收塔底端的残留水溶液排入厂区污水处理厂进行处理。</w:t>
            </w:r>
          </w:p>
          <w:p>
            <w:pPr>
              <w:spacing w:line="360" w:lineRule="auto"/>
              <w:ind w:firstLine="482" w:firstLineChars="200"/>
              <w:jc w:val="left"/>
              <w:rPr>
                <w:rFonts w:ascii="Times New Roman" w:hAnsi="Times New Roman" w:eastAsia="宋体"/>
                <w:b/>
                <w:color w:val="000000" w:themeColor="text1"/>
                <w:sz w:val="24"/>
                <w14:textFill>
                  <w14:solidFill>
                    <w14:schemeClr w14:val="tx1"/>
                  </w14:solidFill>
                </w14:textFill>
              </w:rPr>
            </w:pPr>
            <w:r>
              <w:rPr>
                <w:rFonts w:ascii="Times New Roman" w:hAnsi="Times New Roman" w:eastAsia="宋体"/>
                <w:b/>
                <w:color w:val="000000" w:themeColor="text1"/>
                <w:sz w:val="24"/>
                <w14:textFill>
                  <w14:solidFill>
                    <w14:schemeClr w14:val="tx1"/>
                  </w14:solidFill>
                </w14:textFill>
              </w:rPr>
              <w:t>运营期主要产污节点及主要污染物情况</w:t>
            </w:r>
          </w:p>
          <w:p>
            <w:pPr>
              <w:pStyle w:val="76"/>
              <w:numPr>
                <w:ilvl w:val="0"/>
                <w:numId w:val="4"/>
              </w:numPr>
              <w:ind w:left="0" w:firstLine="0"/>
              <w:rPr>
                <w:color w:val="000000" w:themeColor="text1"/>
                <w14:textFill>
                  <w14:solidFill>
                    <w14:schemeClr w14:val="tx1"/>
                  </w14:solidFill>
                </w14:textFill>
              </w:rPr>
            </w:pPr>
            <w:r>
              <w:rPr>
                <w:color w:val="000000" w:themeColor="text1"/>
                <w14:textFill>
                  <w14:solidFill>
                    <w14:schemeClr w14:val="tx1"/>
                  </w14:solidFill>
                </w14:textFill>
              </w:rPr>
              <w:t>项目运营期主要产污节点及主要污染物一览表</w:t>
            </w:r>
          </w:p>
          <w:tbl>
            <w:tblPr>
              <w:tblStyle w:val="2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387"/>
              <w:gridCol w:w="562"/>
              <w:gridCol w:w="986"/>
              <w:gridCol w:w="1561"/>
              <w:gridCol w:w="2814"/>
              <w:gridCol w:w="237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Align w:val="center"/>
                </w:tcPr>
                <w:p>
                  <w:pPr>
                    <w:pStyle w:val="66"/>
                    <w:rPr>
                      <w:b/>
                      <w:color w:val="000000" w:themeColor="text1"/>
                      <w:szCs w:val="21"/>
                      <w14:textFill>
                        <w14:solidFill>
                          <w14:schemeClr w14:val="tx1"/>
                        </w14:solidFill>
                      </w14:textFill>
                    </w:rPr>
                  </w:pPr>
                  <w:r>
                    <w:rPr>
                      <w:b/>
                      <w:color w:val="000000" w:themeColor="text1"/>
                      <w:szCs w:val="21"/>
                      <w14:textFill>
                        <w14:solidFill>
                          <w14:schemeClr w14:val="tx1"/>
                        </w14:solidFill>
                      </w14:textFill>
                    </w:rPr>
                    <w:t>类别</w:t>
                  </w:r>
                </w:p>
              </w:tc>
              <w:tc>
                <w:tcPr>
                  <w:tcW w:w="324" w:type="pct"/>
                  <w:vAlign w:val="center"/>
                </w:tcPr>
                <w:p>
                  <w:pPr>
                    <w:pStyle w:val="66"/>
                    <w:rPr>
                      <w:b/>
                      <w:color w:val="000000" w:themeColor="text1"/>
                      <w:szCs w:val="21"/>
                      <w14:textFill>
                        <w14:solidFill>
                          <w14:schemeClr w14:val="tx1"/>
                        </w14:solidFill>
                      </w14:textFill>
                    </w:rPr>
                  </w:pPr>
                  <w:r>
                    <w:rPr>
                      <w:b/>
                      <w:color w:val="000000" w:themeColor="text1"/>
                      <w:szCs w:val="21"/>
                      <w14:textFill>
                        <w14:solidFill>
                          <w14:schemeClr w14:val="tx1"/>
                        </w14:solidFill>
                      </w14:textFill>
                    </w:rPr>
                    <w:t>编号</w:t>
                  </w:r>
                </w:p>
              </w:tc>
              <w:tc>
                <w:tcPr>
                  <w:tcW w:w="1467" w:type="pct"/>
                  <w:gridSpan w:val="2"/>
                  <w:vAlign w:val="center"/>
                </w:tcPr>
                <w:p>
                  <w:pPr>
                    <w:pStyle w:val="66"/>
                    <w:rPr>
                      <w:b/>
                      <w:color w:val="000000" w:themeColor="text1"/>
                      <w:szCs w:val="21"/>
                      <w14:textFill>
                        <w14:solidFill>
                          <w14:schemeClr w14:val="tx1"/>
                        </w14:solidFill>
                      </w14:textFill>
                    </w:rPr>
                  </w:pPr>
                  <w:r>
                    <w:rPr>
                      <w:b/>
                      <w:color w:val="000000" w:themeColor="text1"/>
                      <w:szCs w:val="21"/>
                      <w14:textFill>
                        <w14:solidFill>
                          <w14:schemeClr w14:val="tx1"/>
                        </w14:solidFill>
                      </w14:textFill>
                    </w:rPr>
                    <w:t>污染源</w:t>
                  </w:r>
                </w:p>
              </w:tc>
              <w:tc>
                <w:tcPr>
                  <w:tcW w:w="1621" w:type="pct"/>
                  <w:vAlign w:val="center"/>
                </w:tcPr>
                <w:p>
                  <w:pPr>
                    <w:pStyle w:val="66"/>
                    <w:rPr>
                      <w:b/>
                      <w:color w:val="000000" w:themeColor="text1"/>
                      <w:szCs w:val="21"/>
                      <w14:textFill>
                        <w14:solidFill>
                          <w14:schemeClr w14:val="tx1"/>
                        </w14:solidFill>
                      </w14:textFill>
                    </w:rPr>
                  </w:pPr>
                  <w:r>
                    <w:rPr>
                      <w:b/>
                      <w:color w:val="000000" w:themeColor="text1"/>
                      <w:szCs w:val="21"/>
                      <w14:textFill>
                        <w14:solidFill>
                          <w14:schemeClr w14:val="tx1"/>
                        </w14:solidFill>
                      </w14:textFill>
                    </w:rPr>
                    <w:t>主要污染物</w:t>
                  </w:r>
                </w:p>
              </w:tc>
              <w:tc>
                <w:tcPr>
                  <w:tcW w:w="1365" w:type="pct"/>
                  <w:vAlign w:val="center"/>
                </w:tcPr>
                <w:p>
                  <w:pPr>
                    <w:pStyle w:val="66"/>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restar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废水</w:t>
                  </w: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W1</w:t>
                  </w:r>
                </w:p>
              </w:tc>
              <w:tc>
                <w:tcPr>
                  <w:tcW w:w="568"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前处理车间</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药材清洗废水</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SS</w:t>
                  </w:r>
                </w:p>
              </w:tc>
              <w:tc>
                <w:tcPr>
                  <w:tcW w:w="1365" w:type="pct"/>
                  <w:vMerge w:val="restar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自建污水处理站处理预处理后排入园区工业污水处理厂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W2</w:t>
                  </w:r>
                </w:p>
              </w:tc>
              <w:tc>
                <w:tcPr>
                  <w:tcW w:w="568" w:type="pct"/>
                  <w:vMerge w:val="restar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提取浓缩车间</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水提浓缩废水</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CODcr、BOD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1365" w:type="pct"/>
                  <w:vMerge w:val="continue"/>
                  <w:vAlign w:val="center"/>
                </w:tcPr>
                <w:p>
                  <w:pPr>
                    <w:pStyle w:val="66"/>
                    <w:rPr>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W3</w:t>
                  </w:r>
                </w:p>
              </w:tc>
              <w:tc>
                <w:tcPr>
                  <w:tcW w:w="568" w:type="pct"/>
                  <w:vMerge w:val="continue"/>
                  <w:vAlign w:val="center"/>
                </w:tcPr>
                <w:p>
                  <w:pPr>
                    <w:pStyle w:val="66"/>
                    <w:rPr>
                      <w:color w:val="000000" w:themeColor="text1"/>
                      <w:szCs w:val="21"/>
                      <w14:textFill>
                        <w14:solidFill>
                          <w14:schemeClr w14:val="tx1"/>
                        </w14:solidFill>
                      </w14:textFill>
                    </w:rPr>
                  </w:pP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蒸馏水溶液</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CODcr、BOD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 xml:space="preserve">-N、植物油 </w:t>
                  </w:r>
                </w:p>
              </w:tc>
              <w:tc>
                <w:tcPr>
                  <w:tcW w:w="1365" w:type="pct"/>
                  <w:vMerge w:val="continue"/>
                  <w:vAlign w:val="center"/>
                </w:tcPr>
                <w:p>
                  <w:pPr>
                    <w:pStyle w:val="66"/>
                    <w:rPr>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W4</w:t>
                  </w:r>
                </w:p>
              </w:tc>
              <w:tc>
                <w:tcPr>
                  <w:tcW w:w="568"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乙醇回收塔</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残留水溶液</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CODcr、BOD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1365" w:type="pct"/>
                  <w:vMerge w:val="continue"/>
                  <w:vAlign w:val="center"/>
                </w:tcPr>
                <w:p>
                  <w:pPr>
                    <w:pStyle w:val="66"/>
                    <w:rPr>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W5</w:t>
                  </w:r>
                </w:p>
              </w:tc>
              <w:tc>
                <w:tcPr>
                  <w:tcW w:w="568"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生产车间</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罐体及设备清洗废水</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CODcr、BOD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1365" w:type="pct"/>
                  <w:vMerge w:val="continue"/>
                  <w:vAlign w:val="center"/>
                </w:tcPr>
                <w:p>
                  <w:pPr>
                    <w:pStyle w:val="66"/>
                    <w:rPr>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W6</w:t>
                  </w:r>
                </w:p>
              </w:tc>
              <w:tc>
                <w:tcPr>
                  <w:tcW w:w="568"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生产车间</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车间地面清洗废水</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CODcr、SS、NH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1365" w:type="pct"/>
                  <w:vMerge w:val="continue"/>
                  <w:vAlign w:val="center"/>
                </w:tcPr>
                <w:p>
                  <w:pPr>
                    <w:pStyle w:val="66"/>
                    <w:rPr>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W7</w:t>
                  </w:r>
                </w:p>
              </w:tc>
              <w:tc>
                <w:tcPr>
                  <w:tcW w:w="568"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冷却塔</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冷却塔更换废水</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CODcr、SS</w:t>
                  </w:r>
                </w:p>
              </w:tc>
              <w:tc>
                <w:tcPr>
                  <w:tcW w:w="1365" w:type="pct"/>
                  <w:vMerge w:val="continue"/>
                  <w:vAlign w:val="center"/>
                </w:tcPr>
                <w:p>
                  <w:pPr>
                    <w:pStyle w:val="66"/>
                    <w:rPr>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W8</w:t>
                  </w:r>
                </w:p>
              </w:tc>
              <w:tc>
                <w:tcPr>
                  <w:tcW w:w="568"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锅炉房</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锅炉软化废水</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Ca</w:t>
                  </w:r>
                  <w:r>
                    <w:rPr>
                      <w:color w:val="000000" w:themeColor="text1"/>
                      <w:szCs w:val="21"/>
                      <w:vertAlign w:val="superscript"/>
                      <w14:textFill>
                        <w14:solidFill>
                          <w14:schemeClr w14:val="tx1"/>
                        </w14:solidFill>
                      </w14:textFill>
                    </w:rPr>
                    <w:t>2+</w:t>
                  </w:r>
                  <w:r>
                    <w:rPr>
                      <w:color w:val="000000" w:themeColor="text1"/>
                      <w:szCs w:val="21"/>
                      <w14:textFill>
                        <w14:solidFill>
                          <w14:schemeClr w14:val="tx1"/>
                        </w14:solidFill>
                      </w14:textFill>
                    </w:rPr>
                    <w:t>、Mg</w:t>
                  </w:r>
                  <w:r>
                    <w:rPr>
                      <w:color w:val="000000" w:themeColor="text1"/>
                      <w:szCs w:val="21"/>
                      <w:vertAlign w:val="superscript"/>
                      <w14:textFill>
                        <w14:solidFill>
                          <w14:schemeClr w14:val="tx1"/>
                        </w14:solidFill>
                      </w14:textFill>
                    </w:rPr>
                    <w:t>2+</w:t>
                  </w:r>
                </w:p>
              </w:tc>
              <w:tc>
                <w:tcPr>
                  <w:tcW w:w="1365" w:type="pct"/>
                  <w:vMerge w:val="continue"/>
                  <w:vAlign w:val="center"/>
                </w:tcPr>
                <w:p>
                  <w:pPr>
                    <w:pStyle w:val="66"/>
                    <w:rPr>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W9</w:t>
                  </w:r>
                </w:p>
              </w:tc>
              <w:tc>
                <w:tcPr>
                  <w:tcW w:w="568"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纯水制备</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浓水</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pH、SS、盐分</w:t>
                  </w:r>
                </w:p>
              </w:tc>
              <w:tc>
                <w:tcPr>
                  <w:tcW w:w="1365" w:type="pct"/>
                  <w:vMerge w:val="continue"/>
                  <w:vAlign w:val="center"/>
                </w:tcPr>
                <w:p>
                  <w:pPr>
                    <w:pStyle w:val="66"/>
                    <w:rPr>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W1</w:t>
                  </w:r>
                </w:p>
              </w:tc>
              <w:tc>
                <w:tcPr>
                  <w:tcW w:w="568"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水喷淋塔</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水封吸收池废水</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CODcr、BOD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1365" w:type="pct"/>
                  <w:vMerge w:val="continue"/>
                  <w:vAlign w:val="center"/>
                </w:tcPr>
                <w:p>
                  <w:pPr>
                    <w:pStyle w:val="66"/>
                    <w:rPr>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W11</w:t>
                  </w:r>
                </w:p>
              </w:tc>
              <w:tc>
                <w:tcPr>
                  <w:tcW w:w="568"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员工生活</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生活污水</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CODcr、BOD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1365"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化粪池预处理后排入河口镇污水处理厂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restar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废气</w:t>
                  </w: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G1</w:t>
                  </w:r>
                </w:p>
              </w:tc>
              <w:tc>
                <w:tcPr>
                  <w:tcW w:w="568" w:type="pct"/>
                  <w:tcBorders>
                    <w:bottom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锅炉房</w:t>
                  </w:r>
                </w:p>
              </w:tc>
              <w:tc>
                <w:tcPr>
                  <w:tcW w:w="899" w:type="pct"/>
                  <w:tcBorders>
                    <w:bottom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天然气燃烧废气</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SO</w:t>
                  </w:r>
                  <w:r>
                    <w:rPr>
                      <w:color w:val="000000" w:themeColor="text1"/>
                      <w:szCs w:val="21"/>
                      <w:vertAlign w:val="subscript"/>
                      <w14:textFill>
                        <w14:solidFill>
                          <w14:schemeClr w14:val="tx1"/>
                        </w14:solidFill>
                      </w14:textFill>
                    </w:rPr>
                    <w:t>2</w:t>
                  </w:r>
                  <w:r>
                    <w:rPr>
                      <w:color w:val="000000" w:themeColor="text1"/>
                      <w:szCs w:val="21"/>
                      <w14:textFill>
                        <w14:solidFill>
                          <w14:schemeClr w14:val="tx1"/>
                        </w14:solidFill>
                      </w14:textFill>
                    </w:rPr>
                    <w:t>、NO</w:t>
                  </w:r>
                  <w:r>
                    <w:rPr>
                      <w:color w:val="000000" w:themeColor="text1"/>
                      <w:szCs w:val="21"/>
                      <w:vertAlign w:val="subscript"/>
                      <w14:textFill>
                        <w14:solidFill>
                          <w14:schemeClr w14:val="tx1"/>
                        </w14:solidFill>
                      </w14:textFill>
                    </w:rPr>
                    <w:t>X</w:t>
                  </w:r>
                  <w:r>
                    <w:rPr>
                      <w:color w:val="000000" w:themeColor="text1"/>
                      <w:szCs w:val="21"/>
                      <w14:textFill>
                        <w14:solidFill>
                          <w14:schemeClr w14:val="tx1"/>
                        </w14:solidFill>
                      </w14:textFill>
                    </w:rPr>
                    <w:t>、颗粒物</w:t>
                  </w:r>
                </w:p>
              </w:tc>
              <w:tc>
                <w:tcPr>
                  <w:tcW w:w="1365"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经15m排气筒排放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G2</w:t>
                  </w:r>
                </w:p>
              </w:tc>
              <w:tc>
                <w:tcPr>
                  <w:tcW w:w="568" w:type="pct"/>
                  <w:vMerge w:val="restart"/>
                  <w:tcBorders>
                    <w:top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前处理车间</w:t>
                  </w:r>
                </w:p>
              </w:tc>
              <w:tc>
                <w:tcPr>
                  <w:tcW w:w="899" w:type="pct"/>
                  <w:tcBorders>
                    <w:top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西洋参粉碎出料粉尘</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1365"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经袋式除尘器处理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G3</w:t>
                  </w:r>
                </w:p>
              </w:tc>
              <w:tc>
                <w:tcPr>
                  <w:tcW w:w="568" w:type="pct"/>
                  <w:vMerge w:val="continue"/>
                  <w:vAlign w:val="center"/>
                </w:tcPr>
                <w:p>
                  <w:pPr>
                    <w:pStyle w:val="66"/>
                    <w:rPr>
                      <w:color w:val="000000" w:themeColor="text1"/>
                      <w:szCs w:val="21"/>
                      <w14:textFill>
                        <w14:solidFill>
                          <w14:schemeClr w14:val="tx1"/>
                        </w14:solidFill>
                      </w14:textFill>
                    </w:rPr>
                  </w:pP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药材挑选粉尘</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1365"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经袋式除尘器处理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tcBorders>
                    <w:bottom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G4</w:t>
                  </w:r>
                </w:p>
              </w:tc>
              <w:tc>
                <w:tcPr>
                  <w:tcW w:w="568" w:type="pct"/>
                  <w:vMerge w:val="continue"/>
                  <w:tcBorders>
                    <w:bottom w:val="single" w:color="auto" w:sz="4" w:space="0"/>
                  </w:tcBorders>
                  <w:vAlign w:val="center"/>
                </w:tcPr>
                <w:p>
                  <w:pPr>
                    <w:pStyle w:val="66"/>
                    <w:rPr>
                      <w:color w:val="000000" w:themeColor="text1"/>
                      <w:szCs w:val="21"/>
                      <w14:textFill>
                        <w14:solidFill>
                          <w14:schemeClr w14:val="tx1"/>
                        </w14:solidFill>
                      </w14:textFill>
                    </w:rPr>
                  </w:pPr>
                </w:p>
              </w:tc>
              <w:tc>
                <w:tcPr>
                  <w:tcW w:w="899" w:type="pct"/>
                  <w:tcBorders>
                    <w:bottom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混合出料粉尘</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1365"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经袋式除尘器处理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tcBorders>
                    <w:top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G5</w:t>
                  </w:r>
                </w:p>
              </w:tc>
              <w:tc>
                <w:tcPr>
                  <w:tcW w:w="568" w:type="pct"/>
                  <w:vMerge w:val="restart"/>
                  <w:tcBorders>
                    <w:top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提取浓缩车间</w:t>
                  </w:r>
                </w:p>
              </w:tc>
              <w:tc>
                <w:tcPr>
                  <w:tcW w:w="899" w:type="pct"/>
                  <w:tcBorders>
                    <w:top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药渣异味</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臭气浓度</w:t>
                  </w:r>
                </w:p>
              </w:tc>
              <w:tc>
                <w:tcPr>
                  <w:tcW w:w="1365" w:type="pct"/>
                  <w:vMerge w:val="restar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加强通风、日产日清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G6</w:t>
                  </w:r>
                </w:p>
              </w:tc>
              <w:tc>
                <w:tcPr>
                  <w:tcW w:w="568" w:type="pct"/>
                  <w:vMerge w:val="continue"/>
                  <w:vAlign w:val="center"/>
                </w:tcPr>
                <w:p>
                  <w:pPr>
                    <w:pStyle w:val="66"/>
                    <w:rPr>
                      <w:color w:val="000000" w:themeColor="text1"/>
                      <w:szCs w:val="21"/>
                      <w14:textFill>
                        <w14:solidFill>
                          <w14:schemeClr w14:val="tx1"/>
                        </w14:solidFill>
                      </w14:textFill>
                    </w:rPr>
                  </w:pP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药渣散逸的乙醇废气</w:t>
                  </w:r>
                </w:p>
              </w:tc>
              <w:tc>
                <w:tcPr>
                  <w:tcW w:w="1621" w:type="pct"/>
                  <w:tcBorders>
                    <w:bottom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VOCs</w:t>
                  </w:r>
                </w:p>
              </w:tc>
              <w:tc>
                <w:tcPr>
                  <w:tcW w:w="1365" w:type="pct"/>
                  <w:vMerge w:val="continue"/>
                  <w:tcBorders>
                    <w:bottom w:val="single" w:color="auto" w:sz="4" w:space="0"/>
                  </w:tcBorders>
                  <w:vAlign w:val="center"/>
                </w:tcPr>
                <w:p>
                  <w:pPr>
                    <w:pStyle w:val="66"/>
                    <w:rPr>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G7</w:t>
                  </w:r>
                </w:p>
              </w:tc>
              <w:tc>
                <w:tcPr>
                  <w:tcW w:w="568" w:type="pct"/>
                  <w:vMerge w:val="continue"/>
                  <w:tcBorders>
                    <w:bottom w:val="single" w:color="auto" w:sz="4" w:space="0"/>
                  </w:tcBorders>
                  <w:vAlign w:val="center"/>
                </w:tcPr>
                <w:p>
                  <w:pPr>
                    <w:pStyle w:val="66"/>
                    <w:rPr>
                      <w:color w:val="000000" w:themeColor="text1"/>
                      <w:szCs w:val="21"/>
                      <w14:textFill>
                        <w14:solidFill>
                          <w14:schemeClr w14:val="tx1"/>
                        </w14:solidFill>
                      </w14:textFill>
                    </w:rPr>
                  </w:pPr>
                </w:p>
              </w:tc>
              <w:tc>
                <w:tcPr>
                  <w:tcW w:w="899" w:type="pct"/>
                  <w:tcBorders>
                    <w:bottom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醇提、醇沉浓缩的乙醇不凝气</w:t>
                  </w:r>
                </w:p>
              </w:tc>
              <w:tc>
                <w:tcPr>
                  <w:tcW w:w="1621" w:type="pct"/>
                  <w:tcBorders>
                    <w:top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VOCs</w:t>
                  </w:r>
                </w:p>
              </w:tc>
              <w:tc>
                <w:tcPr>
                  <w:tcW w:w="1365" w:type="pct"/>
                  <w:tcBorders>
                    <w:top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水封池吸收处理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G8</w:t>
                  </w:r>
                </w:p>
              </w:tc>
              <w:tc>
                <w:tcPr>
                  <w:tcW w:w="568" w:type="pct"/>
                  <w:tcBorders>
                    <w:top w:val="single" w:color="auto" w:sz="4" w:space="0"/>
                    <w:bottom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后处理车间</w:t>
                  </w:r>
                </w:p>
              </w:tc>
              <w:tc>
                <w:tcPr>
                  <w:tcW w:w="899" w:type="pct"/>
                  <w:tcBorders>
                    <w:top w:val="single" w:color="auto" w:sz="4" w:space="0"/>
                    <w:bottom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混合出料粉尘</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1365"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经袋式除尘器处理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G9</w:t>
                  </w:r>
                </w:p>
              </w:tc>
              <w:tc>
                <w:tcPr>
                  <w:tcW w:w="568" w:type="pct"/>
                  <w:vMerge w:val="restart"/>
                  <w:tcBorders>
                    <w:top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发酵车间</w:t>
                  </w:r>
                </w:p>
              </w:tc>
              <w:tc>
                <w:tcPr>
                  <w:tcW w:w="899" w:type="pct"/>
                  <w:tcBorders>
                    <w:top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配料混合出料粉尘</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1365"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经袋式除尘器处理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G10</w:t>
                  </w:r>
                </w:p>
              </w:tc>
              <w:tc>
                <w:tcPr>
                  <w:tcW w:w="568" w:type="pct"/>
                  <w:vMerge w:val="continue"/>
                  <w:vAlign w:val="center"/>
                </w:tcPr>
                <w:p>
                  <w:pPr>
                    <w:pStyle w:val="66"/>
                    <w:rPr>
                      <w:color w:val="000000" w:themeColor="text1"/>
                      <w:szCs w:val="21"/>
                      <w14:textFill>
                        <w14:solidFill>
                          <w14:schemeClr w14:val="tx1"/>
                        </w14:solidFill>
                      </w14:textFill>
                    </w:rPr>
                  </w:pPr>
                </w:p>
              </w:tc>
              <w:tc>
                <w:tcPr>
                  <w:tcW w:w="899" w:type="pct"/>
                  <w:tcBorders>
                    <w:top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发酵出料散逸的异味</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臭气浓度</w:t>
                  </w:r>
                </w:p>
              </w:tc>
              <w:tc>
                <w:tcPr>
                  <w:tcW w:w="1365"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加强通风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G11</w:t>
                  </w:r>
                </w:p>
              </w:tc>
              <w:tc>
                <w:tcPr>
                  <w:tcW w:w="568" w:type="pct"/>
                  <w:vMerge w:val="continue"/>
                  <w:vAlign w:val="center"/>
                </w:tcPr>
                <w:p>
                  <w:pPr>
                    <w:pStyle w:val="66"/>
                    <w:rPr>
                      <w:color w:val="000000" w:themeColor="text1"/>
                      <w:szCs w:val="21"/>
                      <w14:textFill>
                        <w14:solidFill>
                          <w14:schemeClr w14:val="tx1"/>
                        </w14:solidFill>
                      </w14:textFill>
                    </w:rPr>
                  </w:pP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总混出料粉尘</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1365"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经袋式除尘器处理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G12</w:t>
                  </w:r>
                </w:p>
              </w:tc>
              <w:tc>
                <w:tcPr>
                  <w:tcW w:w="568"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乙醇储罐区</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大、小呼吸损耗</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VOCs</w:t>
                  </w:r>
                </w:p>
              </w:tc>
              <w:tc>
                <w:tcPr>
                  <w:tcW w:w="1365"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加强通风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G13</w:t>
                  </w:r>
                </w:p>
              </w:tc>
              <w:tc>
                <w:tcPr>
                  <w:tcW w:w="568"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污水站</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恶臭</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臭气浓度</w:t>
                  </w:r>
                </w:p>
              </w:tc>
              <w:tc>
                <w:tcPr>
                  <w:tcW w:w="1365"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加强通风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restar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噪声</w:t>
                  </w: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N1</w:t>
                  </w:r>
                </w:p>
              </w:tc>
              <w:tc>
                <w:tcPr>
                  <w:tcW w:w="568"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生产车间</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生产设备噪声</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等效连续A声级</w:t>
                  </w:r>
                </w:p>
              </w:tc>
              <w:tc>
                <w:tcPr>
                  <w:tcW w:w="1365" w:type="pct"/>
                  <w:vMerge w:val="restar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基础减振、隔声等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N2</w:t>
                  </w:r>
                </w:p>
              </w:tc>
              <w:tc>
                <w:tcPr>
                  <w:tcW w:w="568"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锅炉房</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锅炉噪声</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等效连续A声级</w:t>
                  </w:r>
                </w:p>
              </w:tc>
              <w:tc>
                <w:tcPr>
                  <w:tcW w:w="1365" w:type="pct"/>
                  <w:vMerge w:val="continue"/>
                  <w:vAlign w:val="center"/>
                </w:tcPr>
                <w:p>
                  <w:pPr>
                    <w:pStyle w:val="66"/>
                    <w:rPr>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restar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固体废物</w:t>
                  </w: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S1</w:t>
                  </w:r>
                </w:p>
              </w:tc>
              <w:tc>
                <w:tcPr>
                  <w:tcW w:w="568"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前处理车间</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药材挑</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药材杂质</w:t>
                  </w:r>
                </w:p>
              </w:tc>
              <w:tc>
                <w:tcPr>
                  <w:tcW w:w="1365"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环卫部门处理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S2</w:t>
                  </w:r>
                </w:p>
              </w:tc>
              <w:tc>
                <w:tcPr>
                  <w:tcW w:w="568" w:type="pct"/>
                  <w:vMerge w:val="restar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提取浓缩车间</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水提、醇提过滤</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药渣</w:t>
                  </w:r>
                </w:p>
              </w:tc>
              <w:tc>
                <w:tcPr>
                  <w:tcW w:w="1365" w:type="pct"/>
                  <w:vMerge w:val="restar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有机肥厂家综合利用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S2</w:t>
                  </w:r>
                </w:p>
              </w:tc>
              <w:tc>
                <w:tcPr>
                  <w:tcW w:w="568" w:type="pct"/>
                  <w:vMerge w:val="continue"/>
                  <w:vAlign w:val="center"/>
                </w:tcPr>
                <w:p>
                  <w:pPr>
                    <w:pStyle w:val="66"/>
                    <w:rPr>
                      <w:color w:val="000000" w:themeColor="text1"/>
                      <w:szCs w:val="21"/>
                      <w14:textFill>
                        <w14:solidFill>
                          <w14:schemeClr w14:val="tx1"/>
                        </w14:solidFill>
                      </w14:textFill>
                    </w:rPr>
                  </w:pP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醇沉过滤</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滤渣</w:t>
                  </w:r>
                </w:p>
              </w:tc>
              <w:tc>
                <w:tcPr>
                  <w:tcW w:w="1365" w:type="pct"/>
                  <w:vMerge w:val="continue"/>
                  <w:vAlign w:val="center"/>
                </w:tcPr>
                <w:p>
                  <w:pPr>
                    <w:pStyle w:val="66"/>
                    <w:rPr>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S3</w:t>
                  </w:r>
                </w:p>
              </w:tc>
              <w:tc>
                <w:tcPr>
                  <w:tcW w:w="568" w:type="pct"/>
                  <w:vMerge w:val="continue"/>
                  <w:vAlign w:val="center"/>
                </w:tcPr>
                <w:p>
                  <w:pPr>
                    <w:pStyle w:val="66"/>
                    <w:rPr>
                      <w:color w:val="000000" w:themeColor="text1"/>
                      <w:szCs w:val="21"/>
                      <w14:textFill>
                        <w14:solidFill>
                          <w14:schemeClr w14:val="tx1"/>
                        </w14:solidFill>
                      </w14:textFill>
                    </w:rPr>
                  </w:pP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香茅草蒸馏过滤</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药渣</w:t>
                  </w:r>
                </w:p>
              </w:tc>
              <w:tc>
                <w:tcPr>
                  <w:tcW w:w="1365" w:type="pct"/>
                  <w:vMerge w:val="continue"/>
                  <w:vAlign w:val="center"/>
                </w:tcPr>
                <w:p>
                  <w:pPr>
                    <w:pStyle w:val="66"/>
                    <w:rPr>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S4</w:t>
                  </w:r>
                </w:p>
              </w:tc>
              <w:tc>
                <w:tcPr>
                  <w:tcW w:w="568"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后处理车间</w:t>
                  </w:r>
                </w:p>
              </w:tc>
              <w:tc>
                <w:tcPr>
                  <w:tcW w:w="899"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包装</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废包装材料</w:t>
                  </w:r>
                </w:p>
              </w:tc>
              <w:tc>
                <w:tcPr>
                  <w:tcW w:w="1365"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资源回收单位处理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S5</w:t>
                  </w:r>
                </w:p>
              </w:tc>
              <w:tc>
                <w:tcPr>
                  <w:tcW w:w="1467" w:type="pct"/>
                  <w:gridSpan w:val="2"/>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纯水制备</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废滤芯</w:t>
                  </w:r>
                </w:p>
              </w:tc>
              <w:tc>
                <w:tcPr>
                  <w:tcW w:w="1365" w:type="pct"/>
                  <w:vMerge w:val="restar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具危废资质单位处置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S6</w:t>
                  </w:r>
                </w:p>
              </w:tc>
              <w:tc>
                <w:tcPr>
                  <w:tcW w:w="1467" w:type="pct"/>
                  <w:gridSpan w:val="2"/>
                  <w:tcBorders>
                    <w:top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软水制备</w:t>
                  </w:r>
                </w:p>
              </w:tc>
              <w:tc>
                <w:tcPr>
                  <w:tcW w:w="1621" w:type="pct"/>
                  <w:tcBorders>
                    <w:bottom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废树脂</w:t>
                  </w:r>
                </w:p>
              </w:tc>
              <w:tc>
                <w:tcPr>
                  <w:tcW w:w="1365" w:type="pct"/>
                  <w:vMerge w:val="continue"/>
                  <w:tcBorders>
                    <w:bottom w:val="single" w:color="auto" w:sz="4" w:space="0"/>
                  </w:tcBorders>
                  <w:vAlign w:val="center"/>
                </w:tcPr>
                <w:p>
                  <w:pPr>
                    <w:pStyle w:val="66"/>
                    <w:rPr>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S7</w:t>
                  </w:r>
                </w:p>
              </w:tc>
              <w:tc>
                <w:tcPr>
                  <w:tcW w:w="1467" w:type="pct"/>
                  <w:gridSpan w:val="2"/>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污水处理站</w:t>
                  </w:r>
                </w:p>
              </w:tc>
              <w:tc>
                <w:tcPr>
                  <w:tcW w:w="1621" w:type="pct"/>
                  <w:tcBorders>
                    <w:top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污泥</w:t>
                  </w:r>
                </w:p>
              </w:tc>
              <w:tc>
                <w:tcPr>
                  <w:tcW w:w="1365" w:type="pct"/>
                  <w:tcBorders>
                    <w:top w:val="single" w:color="auto" w:sz="4" w:space="0"/>
                  </w:tcBorders>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环卫部门处理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S8</w:t>
                  </w:r>
                </w:p>
              </w:tc>
              <w:tc>
                <w:tcPr>
                  <w:tcW w:w="1467" w:type="pct"/>
                  <w:gridSpan w:val="2"/>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袋式除尘器</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收集粉尘</w:t>
                  </w:r>
                </w:p>
              </w:tc>
              <w:tc>
                <w:tcPr>
                  <w:tcW w:w="1365"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有机肥厂家综合利用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jc w:val="center"/>
              </w:trPr>
              <w:tc>
                <w:tcPr>
                  <w:tcW w:w="223" w:type="pct"/>
                  <w:vMerge w:val="continue"/>
                  <w:vAlign w:val="center"/>
                </w:tcPr>
                <w:p>
                  <w:pPr>
                    <w:pStyle w:val="66"/>
                    <w:rPr>
                      <w:color w:val="000000" w:themeColor="text1"/>
                      <w:szCs w:val="21"/>
                      <w14:textFill>
                        <w14:solidFill>
                          <w14:schemeClr w14:val="tx1"/>
                        </w14:solidFill>
                      </w14:textFill>
                    </w:rPr>
                  </w:pPr>
                </w:p>
              </w:tc>
              <w:tc>
                <w:tcPr>
                  <w:tcW w:w="324"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S9</w:t>
                  </w:r>
                </w:p>
              </w:tc>
              <w:tc>
                <w:tcPr>
                  <w:tcW w:w="1467" w:type="pct"/>
                  <w:gridSpan w:val="2"/>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员工生活</w:t>
                  </w:r>
                </w:p>
              </w:tc>
              <w:tc>
                <w:tcPr>
                  <w:tcW w:w="1621"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生活垃圾</w:t>
                  </w:r>
                </w:p>
              </w:tc>
              <w:tc>
                <w:tcPr>
                  <w:tcW w:w="1365" w:type="pct"/>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环卫部门处理</w:t>
                  </w:r>
                </w:p>
              </w:tc>
            </w:tr>
          </w:tbl>
          <w:p>
            <w:pPr>
              <w:adjustRightInd w:val="0"/>
              <w:snapToGrid w:val="0"/>
              <w:spacing w:line="360" w:lineRule="auto"/>
              <w:ind w:firstLine="420" w:firstLineChars="200"/>
              <w:jc w:val="left"/>
              <w:rPr>
                <w:rFonts w:ascii="Times New Roman" w:hAnsi="Times New Roman"/>
                <w:bCs/>
                <w:color w:val="000000" w:themeColor="text1"/>
                <w:kern w:val="21"/>
                <w:szCs w:val="21"/>
                <w14:textFill>
                  <w14:solidFill>
                    <w14:schemeClr w14:val="tx1"/>
                  </w14:solidFill>
                </w14:textFill>
              </w:rPr>
            </w:pPr>
          </w:p>
          <w:p>
            <w:pPr>
              <w:adjustRightInd w:val="0"/>
              <w:snapToGrid w:val="0"/>
              <w:spacing w:line="360" w:lineRule="auto"/>
              <w:ind w:firstLine="420" w:firstLineChars="200"/>
              <w:jc w:val="left"/>
              <w:rPr>
                <w:rFonts w:ascii="Times New Roman" w:hAnsi="Times New Roman"/>
                <w:bCs/>
                <w:color w:val="000000" w:themeColor="text1"/>
                <w:kern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249" w:type="pct"/>
            <w:vAlign w:val="center"/>
          </w:tcPr>
          <w:p>
            <w:pPr>
              <w:pStyle w:val="16"/>
              <w:adjustRightInd w:val="0"/>
              <w:snapToGrid w:val="0"/>
              <w:spacing w:before="0" w:beforeAutospacing="0" w:after="0" w:afterAutospacing="0"/>
              <w:jc w:val="center"/>
              <w:rPr>
                <w:rFonts w:ascii="Times New Roman" w:hAnsi="Times New Roman"/>
                <w:color w:val="000000" w:themeColor="text1"/>
                <w:kern w:val="21"/>
                <w:szCs w:val="24"/>
                <w14:textFill>
                  <w14:solidFill>
                    <w14:schemeClr w14:val="tx1"/>
                  </w14:solidFill>
                </w14:textFill>
              </w:rPr>
            </w:pPr>
            <w:r>
              <w:rPr>
                <w:rFonts w:ascii="Times New Roman" w:hAnsi="Times New Roman"/>
                <w:bCs/>
                <w:color w:val="000000" w:themeColor="text1"/>
                <w:kern w:val="21"/>
                <w:szCs w:val="24"/>
                <w14:textFill>
                  <w14:solidFill>
                    <w14:schemeClr w14:val="tx1"/>
                  </w14:solidFill>
                </w14:textFill>
              </w:rPr>
              <w:t>与项目有关的原有环境污染问题</w:t>
            </w:r>
          </w:p>
        </w:tc>
        <w:tc>
          <w:tcPr>
            <w:tcW w:w="4751" w:type="pct"/>
            <w:vAlign w:val="center"/>
          </w:tcPr>
          <w:p>
            <w:pPr>
              <w:adjustRightInd w:val="0"/>
              <w:snapToGrid w:val="0"/>
              <w:spacing w:line="360" w:lineRule="auto"/>
              <w:ind w:firstLine="480" w:firstLineChars="200"/>
              <w:jc w:val="left"/>
              <w:rPr>
                <w:rFonts w:ascii="Times New Roman" w:hAnsi="Times New Roman"/>
                <w:b/>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无</w:t>
            </w:r>
          </w:p>
        </w:tc>
      </w:tr>
    </w:tbl>
    <w:p>
      <w:pPr>
        <w:pStyle w:val="16"/>
        <w:jc w:val="center"/>
        <w:rPr>
          <w:rFonts w:ascii="Times New Roman" w:hAnsi="Times New Roman"/>
          <w:snapToGrid w:val="0"/>
          <w:color w:val="000000" w:themeColor="text1"/>
          <w:kern w:val="21"/>
          <w:sz w:val="36"/>
          <w:szCs w:val="36"/>
          <w14:textFill>
            <w14:solidFill>
              <w14:schemeClr w14:val="tx1"/>
            </w14:solidFill>
          </w14:textFill>
        </w:rPr>
        <w:sectPr>
          <w:pgSz w:w="11906" w:h="16838"/>
          <w:pgMar w:top="1418" w:right="1418" w:bottom="1418" w:left="1418" w:header="851" w:footer="851" w:gutter="0"/>
          <w:cols w:space="720" w:num="1"/>
          <w:docGrid w:linePitch="312" w:charSpace="0"/>
        </w:sectPr>
      </w:pPr>
    </w:p>
    <w:p>
      <w:pPr>
        <w:pStyle w:val="16"/>
        <w:adjustRightInd w:val="0"/>
        <w:snapToGrid w:val="0"/>
        <w:spacing w:before="0" w:beforeAutospacing="0" w:after="0" w:afterAutospacing="0" w:line="14" w:lineRule="auto"/>
        <w:jc w:val="center"/>
        <w:rPr>
          <w:rFonts w:ascii="Times New Roman" w:hAnsi="Times New Roman"/>
          <w:snapToGrid w:val="0"/>
          <w:color w:val="000000" w:themeColor="text1"/>
          <w:kern w:val="21"/>
          <w:sz w:val="30"/>
          <w:szCs w:val="30"/>
          <w14:textFill>
            <w14:solidFill>
              <w14:schemeClr w14:val="tx1"/>
            </w14:solidFill>
          </w14:textFill>
        </w:rPr>
      </w:pPr>
    </w:p>
    <w:p>
      <w:pPr>
        <w:pStyle w:val="16"/>
        <w:jc w:val="center"/>
        <w:outlineLvl w:val="0"/>
        <w:rPr>
          <w:rFonts w:ascii="Times New Roman" w:hAnsi="Times New Roman"/>
          <w:snapToGrid w:val="0"/>
          <w:color w:val="000000" w:themeColor="text1"/>
          <w:kern w:val="21"/>
          <w:sz w:val="30"/>
          <w:szCs w:val="30"/>
          <w14:textFill>
            <w14:solidFill>
              <w14:schemeClr w14:val="tx1"/>
            </w14:solidFill>
          </w14:textFill>
        </w:rPr>
      </w:pPr>
      <w:r>
        <w:rPr>
          <w:rFonts w:ascii="Times New Roman" w:hAnsi="Times New Roman"/>
          <w:snapToGrid w:val="0"/>
          <w:color w:val="000000" w:themeColor="text1"/>
          <w:kern w:val="21"/>
          <w:sz w:val="30"/>
          <w:szCs w:val="30"/>
          <w14:textFill>
            <w14:solidFill>
              <w14:schemeClr w14:val="tx1"/>
            </w14:solidFill>
          </w14:textFill>
        </w:rPr>
        <w:t>三、区域环境质量现状、环境保护目标及评价标准</w:t>
      </w:r>
    </w:p>
    <w:tbl>
      <w:tblPr>
        <w:tblStyle w:val="1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319"/>
        <w:gridCol w:w="88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175" w:type="pct"/>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区域</w:t>
            </w:r>
          </w:p>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环境</w:t>
            </w:r>
          </w:p>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质量</w:t>
            </w:r>
          </w:p>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现状</w:t>
            </w:r>
          </w:p>
        </w:tc>
        <w:tc>
          <w:tcPr>
            <w:tcW w:w="4825" w:type="pct"/>
            <w:vAlign w:val="center"/>
          </w:tcPr>
          <w:p>
            <w:pPr>
              <w:spacing w:line="360" w:lineRule="auto"/>
              <w:ind w:firstLine="482" w:firstLineChars="200"/>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一、大气环境</w:t>
            </w:r>
          </w:p>
          <w:p>
            <w:pPr>
              <w:adjustRightIn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bCs/>
                <w:color w:val="000000" w:themeColor="text1"/>
                <w:sz w:val="24"/>
                <w14:textFill>
                  <w14:solidFill>
                    <w14:schemeClr w14:val="tx1"/>
                  </w14:solidFill>
                </w14:textFill>
              </w:rPr>
              <w:t>项目所在地属环境空气二类区，执行《环境空气质量标准》（GB3095-2012）及其修改单的二级标准。</w:t>
            </w:r>
          </w:p>
          <w:p>
            <w:pPr>
              <w:adjustRightIn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1、项目所在区域环境质量达标情况</w:t>
            </w:r>
          </w:p>
          <w:p>
            <w:pPr>
              <w:spacing w:line="360" w:lineRule="auto"/>
              <w:ind w:firstLine="480" w:firstLineChars="200"/>
              <w:rPr>
                <w:rFonts w:ascii="Times New Roman" w:hAnsi="Times New Roman"/>
                <w:color w:val="000000" w:themeColor="text1"/>
                <w:sz w:val="24"/>
                <w:szCs w:val="22"/>
                <w14:textFill>
                  <w14:solidFill>
                    <w14:schemeClr w14:val="tx1"/>
                  </w14:solidFill>
                </w14:textFill>
              </w:rPr>
            </w:pPr>
            <w:r>
              <w:rPr>
                <w:rFonts w:ascii="Times New Roman" w:hAnsi="Times New Roman"/>
                <w:color w:val="000000" w:themeColor="text1"/>
                <w:sz w:val="24"/>
                <w:szCs w:val="22"/>
                <w14:textFill>
                  <w14:solidFill>
                    <w14:schemeClr w14:val="tx1"/>
                  </w14:solidFill>
                </w14:textFill>
              </w:rPr>
              <w:t>通过收集陆河县环境空气质量监测站2020年的常规监测数据可知，2020年陆河县二氧化硫、二氧化氮、可吸入颗粒物、细颗粒物、一氧化碳、臭氧指标符合《环境空气质量标准》（GB3095-2012）及其修改单</w:t>
            </w:r>
            <w:r>
              <w:rPr>
                <w:rFonts w:hint="eastAsia" w:ascii="Times New Roman" w:hAnsi="Times New Roman"/>
                <w:color w:val="000000" w:themeColor="text1"/>
                <w:sz w:val="24"/>
                <w:szCs w:val="22"/>
                <w14:textFill>
                  <w14:solidFill>
                    <w14:schemeClr w14:val="tx1"/>
                  </w14:solidFill>
                </w14:textFill>
              </w:rPr>
              <w:t>二级标准</w:t>
            </w:r>
            <w:r>
              <w:rPr>
                <w:rFonts w:ascii="Times New Roman" w:hAnsi="Times New Roman"/>
                <w:color w:val="000000" w:themeColor="text1"/>
                <w:sz w:val="24"/>
                <w:szCs w:val="22"/>
                <w14:textFill>
                  <w14:solidFill>
                    <w14:schemeClr w14:val="tx1"/>
                  </w14:solidFill>
                </w14:textFill>
              </w:rPr>
              <w:t>。</w:t>
            </w:r>
            <w:r>
              <w:rPr>
                <w:rFonts w:ascii="Times New Roman" w:hAnsi="Times New Roman"/>
                <w:color w:val="000000" w:themeColor="text1"/>
                <w:sz w:val="24"/>
                <w14:textFill>
                  <w14:solidFill>
                    <w14:schemeClr w14:val="tx1"/>
                  </w14:solidFill>
                </w14:textFill>
              </w:rPr>
              <w:t>因此</w:t>
            </w:r>
            <w:r>
              <w:rPr>
                <w:rFonts w:ascii="Times New Roman" w:hAnsi="Times New Roman"/>
                <w:color w:val="000000" w:themeColor="text1"/>
                <w:sz w:val="24"/>
                <w:szCs w:val="22"/>
                <w14:textFill>
                  <w14:solidFill>
                    <w14:schemeClr w14:val="tx1"/>
                  </w14:solidFill>
                </w14:textFill>
              </w:rPr>
              <w:t>本项目所在区域为环境质量达标区</w:t>
            </w:r>
            <w:r>
              <w:rPr>
                <w:rFonts w:ascii="Times New Roman" w:hAnsi="Times New Roman"/>
                <w:color w:val="000000" w:themeColor="text1"/>
                <w:szCs w:val="22"/>
                <w14:textFill>
                  <w14:solidFill>
                    <w14:schemeClr w14:val="tx1"/>
                  </w14:solidFill>
                </w14:textFill>
              </w:rPr>
              <w:t>。</w:t>
            </w:r>
          </w:p>
          <w:p>
            <w:pPr>
              <w:pStyle w:val="76"/>
              <w:numPr>
                <w:ilvl w:val="0"/>
                <w:numId w:val="8"/>
              </w:numPr>
              <w:ind w:left="0" w:firstLine="0"/>
              <w:rPr>
                <w:rFonts w:eastAsia="仿宋_GB2312"/>
                <w:color w:val="000000" w:themeColor="text1"/>
                <w:sz w:val="28"/>
                <w:szCs w:val="28"/>
                <w14:textFill>
                  <w14:solidFill>
                    <w14:schemeClr w14:val="tx1"/>
                  </w14:solidFill>
                </w14:textFill>
              </w:rPr>
            </w:pPr>
            <w:r>
              <w:rPr>
                <w:color w:val="000000" w:themeColor="text1"/>
                <w14:textFill>
                  <w14:solidFill>
                    <w14:schemeClr w14:val="tx1"/>
                  </w14:solidFill>
                </w14:textFill>
              </w:rPr>
              <w:t>2020年陆河县常规监测数据   单位：μg/m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，CO为mg/ m</w:t>
            </w:r>
            <w:r>
              <w:rPr>
                <w:color w:val="000000" w:themeColor="text1"/>
                <w:vertAlign w:val="superscript"/>
                <w14:textFill>
                  <w14:solidFill>
                    <w14:schemeClr w14:val="tx1"/>
                  </w14:solidFill>
                </w14:textFill>
              </w:rPr>
              <w:t>3</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377"/>
              <w:gridCol w:w="1133"/>
              <w:gridCol w:w="1135"/>
              <w:gridCol w:w="1133"/>
              <w:gridCol w:w="1135"/>
              <w:gridCol w:w="1276"/>
              <w:gridCol w:w="15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788" w:type="pct"/>
                  <w:vMerge w:val="restart"/>
                  <w:tcBorders>
                    <w:top w:val="single" w:color="auto" w:sz="4" w:space="0"/>
                    <w:left w:val="single" w:color="auto" w:sz="4" w:space="0"/>
                    <w:tl2br w:val="single" w:color="auto" w:sz="4" w:space="0"/>
                  </w:tcBorders>
                  <w:vAlign w:val="center"/>
                </w:tcPr>
                <w:p>
                  <w:pPr>
                    <w:pStyle w:val="90"/>
                    <w:spacing w:line="240" w:lineRule="auto"/>
                    <w:ind w:firstLine="0" w:firstLineChars="0"/>
                    <w:jc w:val="right"/>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污染物</w:t>
                  </w:r>
                </w:p>
                <w:p>
                  <w:pPr>
                    <w:pStyle w:val="90"/>
                    <w:spacing w:line="240" w:lineRule="auto"/>
                    <w:ind w:firstLine="105" w:firstLineChars="50"/>
                    <w:jc w:val="left"/>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年份</w:t>
                  </w:r>
                </w:p>
              </w:tc>
              <w:tc>
                <w:tcPr>
                  <w:tcW w:w="648" w:type="pct"/>
                  <w:tcBorders>
                    <w:top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SO</w:t>
                  </w:r>
                  <w:r>
                    <w:rPr>
                      <w:rFonts w:ascii="Times New Roman"/>
                      <w:color w:val="000000" w:themeColor="text1"/>
                      <w:sz w:val="21"/>
                      <w:szCs w:val="21"/>
                      <w:vertAlign w:val="subscript"/>
                      <w14:textFill>
                        <w14:solidFill>
                          <w14:schemeClr w14:val="tx1"/>
                        </w14:solidFill>
                      </w14:textFill>
                    </w:rPr>
                    <w:t>2</w:t>
                  </w:r>
                </w:p>
              </w:tc>
              <w:tc>
                <w:tcPr>
                  <w:tcW w:w="649" w:type="pct"/>
                  <w:tcBorders>
                    <w:top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NO</w:t>
                  </w:r>
                  <w:r>
                    <w:rPr>
                      <w:rFonts w:ascii="Times New Roman"/>
                      <w:color w:val="000000" w:themeColor="text1"/>
                      <w:sz w:val="21"/>
                      <w:szCs w:val="21"/>
                      <w:vertAlign w:val="subscript"/>
                      <w14:textFill>
                        <w14:solidFill>
                          <w14:schemeClr w14:val="tx1"/>
                        </w14:solidFill>
                      </w14:textFill>
                    </w:rPr>
                    <w:t>2</w:t>
                  </w:r>
                </w:p>
              </w:tc>
              <w:tc>
                <w:tcPr>
                  <w:tcW w:w="648" w:type="pct"/>
                  <w:tcBorders>
                    <w:top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PM</w:t>
                  </w:r>
                  <w:r>
                    <w:rPr>
                      <w:rFonts w:ascii="Times New Roman"/>
                      <w:color w:val="000000" w:themeColor="text1"/>
                      <w:sz w:val="21"/>
                      <w:szCs w:val="21"/>
                      <w:vertAlign w:val="subscript"/>
                      <w14:textFill>
                        <w14:solidFill>
                          <w14:schemeClr w14:val="tx1"/>
                        </w14:solidFill>
                      </w14:textFill>
                    </w:rPr>
                    <w:t>10</w:t>
                  </w:r>
                </w:p>
              </w:tc>
              <w:tc>
                <w:tcPr>
                  <w:tcW w:w="649" w:type="pct"/>
                  <w:tcBorders>
                    <w:top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PM</w:t>
                  </w:r>
                  <w:r>
                    <w:rPr>
                      <w:rFonts w:ascii="Times New Roman"/>
                      <w:color w:val="000000" w:themeColor="text1"/>
                      <w:sz w:val="21"/>
                      <w:szCs w:val="21"/>
                      <w:vertAlign w:val="subscript"/>
                      <w14:textFill>
                        <w14:solidFill>
                          <w14:schemeClr w14:val="tx1"/>
                        </w14:solidFill>
                      </w14:textFill>
                    </w:rPr>
                    <w:t>2.5</w:t>
                  </w:r>
                </w:p>
              </w:tc>
              <w:tc>
                <w:tcPr>
                  <w:tcW w:w="730" w:type="pct"/>
                  <w:tcBorders>
                    <w:top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CO</w:t>
                  </w:r>
                </w:p>
              </w:tc>
              <w:tc>
                <w:tcPr>
                  <w:tcW w:w="888" w:type="pct"/>
                  <w:tcBorders>
                    <w:top w:val="single" w:color="auto" w:sz="4" w:space="0"/>
                    <w:right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O</w:t>
                  </w:r>
                  <w:r>
                    <w:rPr>
                      <w:rFonts w:ascii="Times New Roman"/>
                      <w:color w:val="000000" w:themeColor="text1"/>
                      <w:sz w:val="21"/>
                      <w:szCs w:val="21"/>
                      <w:vertAlign w:val="sub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788" w:type="pct"/>
                  <w:vMerge w:val="continue"/>
                  <w:tcBorders>
                    <w:top w:val="single" w:color="auto" w:sz="4" w:space="0"/>
                    <w:left w:val="single" w:color="auto" w:sz="4" w:space="0"/>
                    <w:tl2br w:val="single" w:color="auto" w:sz="4" w:space="0"/>
                  </w:tcBorders>
                  <w:vAlign w:val="center"/>
                </w:tcPr>
                <w:p>
                  <w:pPr>
                    <w:pStyle w:val="90"/>
                    <w:spacing w:line="240" w:lineRule="auto"/>
                    <w:ind w:firstLine="315" w:firstLineChars="150"/>
                    <w:jc w:val="center"/>
                    <w:rPr>
                      <w:rFonts w:ascii="Times New Roman"/>
                      <w:color w:val="000000" w:themeColor="text1"/>
                      <w:sz w:val="21"/>
                      <w:szCs w:val="21"/>
                      <w14:textFill>
                        <w14:solidFill>
                          <w14:schemeClr w14:val="tx1"/>
                        </w14:solidFill>
                      </w14:textFill>
                    </w:rPr>
                  </w:pPr>
                </w:p>
              </w:tc>
              <w:tc>
                <w:tcPr>
                  <w:tcW w:w="648" w:type="pct"/>
                  <w:tcBorders>
                    <w:top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年平均质量浓度</w:t>
                  </w:r>
                </w:p>
              </w:tc>
              <w:tc>
                <w:tcPr>
                  <w:tcW w:w="649" w:type="pct"/>
                  <w:tcBorders>
                    <w:top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年平均质量浓度</w:t>
                  </w:r>
                </w:p>
              </w:tc>
              <w:tc>
                <w:tcPr>
                  <w:tcW w:w="648" w:type="pct"/>
                  <w:tcBorders>
                    <w:top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年平均质量浓度</w:t>
                  </w:r>
                </w:p>
              </w:tc>
              <w:tc>
                <w:tcPr>
                  <w:tcW w:w="649" w:type="pct"/>
                  <w:tcBorders>
                    <w:top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年平均质量</w:t>
                  </w:r>
                  <w:r>
                    <w:rPr>
                      <w:rFonts w:ascii="Times New Roman"/>
                      <w:color w:val="000000" w:themeColor="text1"/>
                      <w:sz w:val="21"/>
                      <w:szCs w:val="21"/>
                      <w14:textFill>
                        <w14:solidFill>
                          <w14:schemeClr w14:val="tx1"/>
                        </w14:solidFill>
                      </w14:textFill>
                    </w:rPr>
                    <w:cr/>
                  </w:r>
                  <w:r>
                    <w:rPr>
                      <w:rFonts w:ascii="Times New Roman"/>
                      <w:color w:val="000000" w:themeColor="text1"/>
                      <w:sz w:val="21"/>
                      <w:szCs w:val="21"/>
                      <w14:textFill>
                        <w14:solidFill>
                          <w14:schemeClr w14:val="tx1"/>
                        </w14:solidFill>
                      </w14:textFill>
                    </w:rPr>
                    <w:t>度</w:t>
                  </w:r>
                </w:p>
              </w:tc>
              <w:tc>
                <w:tcPr>
                  <w:tcW w:w="730" w:type="pct"/>
                  <w:tcBorders>
                    <w:top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24h平均第95百分位数</w:t>
                  </w:r>
                </w:p>
              </w:tc>
              <w:tc>
                <w:tcPr>
                  <w:tcW w:w="888" w:type="pct"/>
                  <w:tcBorders>
                    <w:top w:val="single" w:color="auto" w:sz="4" w:space="0"/>
                    <w:right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日最大8平均值第90百分位数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788" w:type="pct"/>
                  <w:tcBorders>
                    <w:left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2020</w:t>
                  </w:r>
                </w:p>
              </w:tc>
              <w:tc>
                <w:tcPr>
                  <w:tcW w:w="648" w:type="pct"/>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5</w:t>
                  </w:r>
                </w:p>
              </w:tc>
              <w:tc>
                <w:tcPr>
                  <w:tcW w:w="649" w:type="pct"/>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14</w:t>
                  </w:r>
                </w:p>
              </w:tc>
              <w:tc>
                <w:tcPr>
                  <w:tcW w:w="648" w:type="pct"/>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32</w:t>
                  </w:r>
                </w:p>
              </w:tc>
              <w:tc>
                <w:tcPr>
                  <w:tcW w:w="649" w:type="pct"/>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17</w:t>
                  </w:r>
                </w:p>
              </w:tc>
              <w:tc>
                <w:tcPr>
                  <w:tcW w:w="730" w:type="pct"/>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1100</w:t>
                  </w:r>
                </w:p>
              </w:tc>
              <w:tc>
                <w:tcPr>
                  <w:tcW w:w="888" w:type="pct"/>
                  <w:tcBorders>
                    <w:right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trPr>
              <w:tc>
                <w:tcPr>
                  <w:tcW w:w="788" w:type="pct"/>
                  <w:tcBorders>
                    <w:left w:val="single" w:color="auto" w:sz="4" w:space="0"/>
                    <w:bottom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标准限值</w:t>
                  </w:r>
                </w:p>
              </w:tc>
              <w:tc>
                <w:tcPr>
                  <w:tcW w:w="648" w:type="pct"/>
                  <w:tcBorders>
                    <w:bottom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60</w:t>
                  </w:r>
                </w:p>
              </w:tc>
              <w:tc>
                <w:tcPr>
                  <w:tcW w:w="649" w:type="pct"/>
                  <w:tcBorders>
                    <w:bottom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40</w:t>
                  </w:r>
                </w:p>
              </w:tc>
              <w:tc>
                <w:tcPr>
                  <w:tcW w:w="648" w:type="pct"/>
                  <w:tcBorders>
                    <w:bottom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70</w:t>
                  </w:r>
                </w:p>
              </w:tc>
              <w:tc>
                <w:tcPr>
                  <w:tcW w:w="649" w:type="pct"/>
                  <w:tcBorders>
                    <w:bottom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35</w:t>
                  </w:r>
                </w:p>
              </w:tc>
              <w:tc>
                <w:tcPr>
                  <w:tcW w:w="730" w:type="pct"/>
                  <w:tcBorders>
                    <w:bottom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40</w:t>
                  </w:r>
                  <w:r>
                    <w:rPr>
                      <w:rFonts w:hint="eastAsia" w:ascii="Times New Roman"/>
                      <w:color w:val="000000" w:themeColor="text1"/>
                      <w:sz w:val="21"/>
                      <w:szCs w:val="21"/>
                      <w14:textFill>
                        <w14:solidFill>
                          <w14:schemeClr w14:val="tx1"/>
                        </w14:solidFill>
                      </w14:textFill>
                    </w:rPr>
                    <w:t>0</w:t>
                  </w:r>
                  <w:r>
                    <w:rPr>
                      <w:rFonts w:ascii="Times New Roman"/>
                      <w:color w:val="000000" w:themeColor="text1"/>
                      <w:sz w:val="21"/>
                      <w:szCs w:val="21"/>
                      <w14:textFill>
                        <w14:solidFill>
                          <w14:schemeClr w14:val="tx1"/>
                        </w14:solidFill>
                      </w14:textFill>
                    </w:rPr>
                    <w:t>0</w:t>
                  </w:r>
                </w:p>
              </w:tc>
              <w:tc>
                <w:tcPr>
                  <w:tcW w:w="888" w:type="pct"/>
                  <w:tcBorders>
                    <w:bottom w:val="single" w:color="auto" w:sz="4" w:space="0"/>
                    <w:right w:val="single" w:color="auto" w:sz="4" w:space="0"/>
                  </w:tcBorders>
                  <w:vAlign w:val="center"/>
                </w:tcPr>
                <w:p>
                  <w:pPr>
                    <w:pStyle w:val="90"/>
                    <w:spacing w:line="240" w:lineRule="auto"/>
                    <w:ind w:firstLine="0" w:firstLineChars="0"/>
                    <w:jc w:val="center"/>
                    <w:rPr>
                      <w:rFonts w:ascii="Times New Roman"/>
                      <w:color w:val="000000" w:themeColor="text1"/>
                      <w:sz w:val="21"/>
                      <w:szCs w:val="21"/>
                      <w14:textFill>
                        <w14:solidFill>
                          <w14:schemeClr w14:val="tx1"/>
                        </w14:solidFill>
                      </w14:textFill>
                    </w:rPr>
                  </w:pPr>
                  <w:r>
                    <w:rPr>
                      <w:rFonts w:ascii="Times New Roman"/>
                      <w:color w:val="000000" w:themeColor="text1"/>
                      <w:sz w:val="21"/>
                      <w:szCs w:val="21"/>
                      <w14:textFill>
                        <w14:solidFill>
                          <w14:schemeClr w14:val="tx1"/>
                        </w14:solidFill>
                      </w14:textFill>
                    </w:rPr>
                    <w:t>160</w:t>
                  </w:r>
                </w:p>
              </w:tc>
            </w:tr>
          </w:tbl>
          <w:p>
            <w:pPr>
              <w:adjustRightIn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2、项目所在区域污染物环境质量现状</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hint="eastAsia" w:ascii="Times New Roman" w:hAnsi="Times New Roman"/>
                <w:color w:val="000000" w:themeColor="text1"/>
                <w:sz w:val="24"/>
                <w14:textFill>
                  <w14:solidFill>
                    <w14:schemeClr w14:val="tx1"/>
                  </w14:solidFill>
                </w14:textFill>
              </w:rPr>
              <w:t>本次环评委托广东华硕环境监测有限公司于2021年5月31日~6月2日</w:t>
            </w:r>
            <w:r>
              <w:rPr>
                <w:rFonts w:ascii="Times New Roman" w:hAnsi="Times New Roman"/>
                <w:color w:val="000000" w:themeColor="text1"/>
                <w:sz w:val="24"/>
                <w14:textFill>
                  <w14:solidFill>
                    <w14:schemeClr w14:val="tx1"/>
                  </w14:solidFill>
                </w14:textFill>
              </w:rPr>
              <w:t>在</w:t>
            </w:r>
            <w:r>
              <w:rPr>
                <w:rFonts w:hint="eastAsia" w:ascii="Times New Roman" w:hAnsi="Times New Roman"/>
                <w:color w:val="000000" w:themeColor="text1"/>
                <w:sz w:val="24"/>
                <w14:textFill>
                  <w14:solidFill>
                    <w14:schemeClr w14:val="tx1"/>
                  </w14:solidFill>
                </w14:textFill>
              </w:rPr>
              <w:t>项目西侧的进行</w:t>
            </w:r>
            <w:r>
              <w:rPr>
                <w:rFonts w:ascii="Times New Roman" w:hAnsi="Times New Roman"/>
                <w:color w:val="000000" w:themeColor="text1"/>
                <w:sz w:val="24"/>
                <w14:textFill>
                  <w14:solidFill>
                    <w14:schemeClr w14:val="tx1"/>
                  </w14:solidFill>
                </w14:textFill>
              </w:rPr>
              <w:t>监测，为近3年有效监测数据。</w:t>
            </w:r>
          </w:p>
          <w:p>
            <w:pPr>
              <w:pStyle w:val="76"/>
              <w:numPr>
                <w:ilvl w:val="0"/>
                <w:numId w:val="8"/>
              </w:numPr>
              <w:ind w:left="0" w:firstLine="0"/>
              <w:rPr>
                <w:color w:val="000000" w:themeColor="text1"/>
                <w14:textFill>
                  <w14:solidFill>
                    <w14:schemeClr w14:val="tx1"/>
                  </w14:solidFill>
                </w14:textFill>
              </w:rPr>
            </w:pPr>
            <w:r>
              <w:rPr>
                <w:color w:val="000000" w:themeColor="text1"/>
                <w14:textFill>
                  <w14:solidFill>
                    <w14:schemeClr w14:val="tx1"/>
                  </w14:solidFill>
                </w14:textFill>
              </w:rPr>
              <w:t>补充监测点位基本信息</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57"/>
              <w:gridCol w:w="2647"/>
              <w:gridCol w:w="2355"/>
              <w:gridCol w:w="2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33"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514"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监测位置</w:t>
                  </w:r>
                </w:p>
              </w:tc>
              <w:tc>
                <w:tcPr>
                  <w:tcW w:w="1347"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相对本项目位置</w:t>
                  </w:r>
                </w:p>
              </w:tc>
              <w:tc>
                <w:tcPr>
                  <w:tcW w:w="1706"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监测项目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33"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G</w:t>
                  </w:r>
                  <w:r>
                    <w:rPr>
                      <w:rFonts w:hint="eastAsia"/>
                      <w:color w:val="000000" w:themeColor="text1"/>
                      <w14:textFill>
                        <w14:solidFill>
                          <w14:schemeClr w14:val="tx1"/>
                        </w14:solidFill>
                      </w14:textFill>
                    </w:rPr>
                    <w:t>1</w:t>
                  </w:r>
                </w:p>
              </w:tc>
              <w:tc>
                <w:tcPr>
                  <w:tcW w:w="1514" w:type="pct"/>
                  <w:shd w:val="clear" w:color="auto" w:fill="auto"/>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项目西侧100m</w:t>
                  </w:r>
                </w:p>
              </w:tc>
              <w:tc>
                <w:tcPr>
                  <w:tcW w:w="1347" w:type="pct"/>
                  <w:shd w:val="clear" w:color="auto" w:fill="auto"/>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西侧100m</w:t>
                  </w:r>
                </w:p>
              </w:tc>
              <w:tc>
                <w:tcPr>
                  <w:tcW w:w="1706" w:type="pct"/>
                  <w:shd w:val="clear" w:color="auto" w:fill="auto"/>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TSP 、TVOC、</w:t>
                  </w:r>
                  <w:r>
                    <w:rPr>
                      <w:rFonts w:hint="eastAsia"/>
                      <w:color w:val="000000" w:themeColor="text1"/>
                      <w14:textFill>
                        <w14:solidFill>
                          <w14:schemeClr w14:val="tx1"/>
                        </w14:solidFill>
                      </w14:textFill>
                    </w:rPr>
                    <w:t>硫化氢、氨气、</w:t>
                  </w:r>
                  <w:r>
                    <w:rPr>
                      <w:color w:val="000000" w:themeColor="text1"/>
                      <w14:textFill>
                        <w14:solidFill>
                          <w14:schemeClr w14:val="tx1"/>
                        </w14:solidFill>
                      </w14:textFill>
                    </w:rPr>
                    <w:t>臭气浓度</w:t>
                  </w:r>
                </w:p>
              </w:tc>
            </w:tr>
          </w:tbl>
          <w:p>
            <w:pPr>
              <w:pStyle w:val="76"/>
              <w:numPr>
                <w:ilvl w:val="0"/>
                <w:numId w:val="8"/>
              </w:numPr>
              <w:ind w:left="0" w:firstLine="0"/>
              <w:rPr>
                <w:color w:val="000000" w:themeColor="text1"/>
                <w14:textFill>
                  <w14:solidFill>
                    <w14:schemeClr w14:val="tx1"/>
                  </w14:solidFill>
                </w14:textFill>
              </w:rPr>
            </w:pPr>
            <w:r>
              <w:rPr>
                <w:color w:val="000000" w:themeColor="text1"/>
                <w14:textFill>
                  <w14:solidFill>
                    <w14:schemeClr w14:val="tx1"/>
                  </w14:solidFill>
                </w14:textFill>
              </w:rPr>
              <w:t>环境空气质量现状监测结果  单位：mg/m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，臭气浓度无量纲</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834"/>
              <w:gridCol w:w="1834"/>
              <w:gridCol w:w="1834"/>
              <w:gridCol w:w="1619"/>
              <w:gridCol w:w="16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000" w:type="pct"/>
                  <w:gridSpan w:val="5"/>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采样点位：G</w:t>
                  </w:r>
                  <w:r>
                    <w:rPr>
                      <w:rStyle w:val="22"/>
                      <w:rFonts w:hint="eastAsia"/>
                      <w:b w:val="0"/>
                      <w:color w:val="000000" w:themeColor="text1"/>
                      <w:szCs w:val="21"/>
                      <w14:textFill>
                        <w14:solidFill>
                          <w14:schemeClr w14:val="tx1"/>
                        </w14:solidFill>
                      </w14:textFill>
                    </w:rPr>
                    <w:t>1</w:t>
                  </w:r>
                  <w:r>
                    <w:rPr>
                      <w:rFonts w:hint="eastAsia"/>
                      <w:color w:val="000000" w:themeColor="text1"/>
                      <w14:textFill>
                        <w14:solidFill>
                          <w14:schemeClr w14:val="tx1"/>
                        </w14:solidFill>
                      </w14:textFill>
                    </w:rPr>
                    <w:t>项目西侧100m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监测项目</w:t>
                  </w:r>
                </w:p>
              </w:tc>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采样时间</w:t>
                  </w:r>
                </w:p>
              </w:tc>
              <w:tc>
                <w:tcPr>
                  <w:tcW w:w="1049" w:type="pct"/>
                  <w:shd w:val="clear" w:color="auto" w:fill="auto"/>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2021.5.31</w:t>
                  </w:r>
                </w:p>
              </w:tc>
              <w:tc>
                <w:tcPr>
                  <w:tcW w:w="926" w:type="pct"/>
                  <w:shd w:val="clear" w:color="auto" w:fill="auto"/>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2021.6.1</w:t>
                  </w:r>
                </w:p>
              </w:tc>
              <w:tc>
                <w:tcPr>
                  <w:tcW w:w="927" w:type="pct"/>
                  <w:shd w:val="clear" w:color="auto" w:fill="auto"/>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2021.6.2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TSP</w:t>
                  </w:r>
                </w:p>
              </w:tc>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日均值</w:t>
                  </w:r>
                </w:p>
              </w:tc>
              <w:tc>
                <w:tcPr>
                  <w:tcW w:w="1049" w:type="pct"/>
                  <w:shd w:val="clear" w:color="auto" w:fill="auto"/>
                  <w:vAlign w:val="center"/>
                </w:tcPr>
                <w:p>
                  <w:pPr>
                    <w:widowControl/>
                    <w:jc w:val="center"/>
                    <w:rPr>
                      <w:rFonts w:ascii="Times New Roman" w:hAnsi="Times New Roman"/>
                      <w:color w:val="000000" w:themeColor="text1"/>
                      <w:kern w:val="0"/>
                      <w14:textFill>
                        <w14:solidFill>
                          <w14:schemeClr w14:val="tx1"/>
                        </w14:solidFill>
                      </w14:textFill>
                    </w:rPr>
                  </w:pPr>
                  <w:r>
                    <w:rPr>
                      <w:rFonts w:hint="eastAsia" w:ascii="Times New Roman" w:hAnsi="Times New Roman"/>
                      <w:color w:val="000000" w:themeColor="text1"/>
                      <w:kern w:val="0"/>
                      <w14:textFill>
                        <w14:solidFill>
                          <w14:schemeClr w14:val="tx1"/>
                        </w14:solidFill>
                      </w14:textFill>
                    </w:rPr>
                    <w:t>0.150</w:t>
                  </w:r>
                </w:p>
              </w:tc>
              <w:tc>
                <w:tcPr>
                  <w:tcW w:w="926" w:type="pct"/>
                  <w:shd w:val="clear" w:color="auto" w:fill="auto"/>
                  <w:vAlign w:val="center"/>
                </w:tcPr>
                <w:p>
                  <w:pPr>
                    <w:widowControl/>
                    <w:jc w:val="center"/>
                    <w:rPr>
                      <w:rFonts w:ascii="Times New Roman" w:hAnsi="Times New Roman"/>
                      <w:color w:val="000000" w:themeColor="text1"/>
                      <w:kern w:val="0"/>
                      <w14:textFill>
                        <w14:solidFill>
                          <w14:schemeClr w14:val="tx1"/>
                        </w14:solidFill>
                      </w14:textFill>
                    </w:rPr>
                  </w:pPr>
                  <w:r>
                    <w:rPr>
                      <w:rFonts w:hint="eastAsia" w:ascii="Times New Roman" w:hAnsi="Times New Roman"/>
                      <w:color w:val="000000" w:themeColor="text1"/>
                      <w:kern w:val="0"/>
                      <w14:textFill>
                        <w14:solidFill>
                          <w14:schemeClr w14:val="tx1"/>
                        </w14:solidFill>
                      </w14:textFill>
                    </w:rPr>
                    <w:t>0.167</w:t>
                  </w:r>
                </w:p>
              </w:tc>
              <w:tc>
                <w:tcPr>
                  <w:tcW w:w="927" w:type="pct"/>
                  <w:shd w:val="clear" w:color="auto" w:fill="auto"/>
                  <w:vAlign w:val="center"/>
                </w:tcPr>
                <w:p>
                  <w:pPr>
                    <w:widowControl/>
                    <w:jc w:val="center"/>
                    <w:rPr>
                      <w:rFonts w:ascii="Times New Roman" w:hAnsi="Times New Roman"/>
                      <w:color w:val="000000" w:themeColor="text1"/>
                      <w:kern w:val="0"/>
                      <w14:textFill>
                        <w14:solidFill>
                          <w14:schemeClr w14:val="tx1"/>
                        </w14:solidFill>
                      </w14:textFill>
                    </w:rPr>
                  </w:pPr>
                  <w:r>
                    <w:rPr>
                      <w:rFonts w:hint="eastAsia" w:ascii="Times New Roman" w:hAnsi="Times New Roman"/>
                      <w:color w:val="000000" w:themeColor="text1"/>
                      <w:kern w:val="0"/>
                      <w14:textFill>
                        <w14:solidFill>
                          <w14:schemeClr w14:val="tx1"/>
                        </w14:solidFill>
                      </w14:textFill>
                    </w:rPr>
                    <w:t>0.133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TVOC</w:t>
                  </w:r>
                </w:p>
              </w:tc>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8小时值</w:t>
                  </w:r>
                </w:p>
              </w:tc>
              <w:tc>
                <w:tcPr>
                  <w:tcW w:w="1049"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0.0133</w:t>
                  </w:r>
                </w:p>
              </w:tc>
              <w:tc>
                <w:tcPr>
                  <w:tcW w:w="926"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0.0106</w:t>
                  </w:r>
                </w:p>
              </w:tc>
              <w:tc>
                <w:tcPr>
                  <w:tcW w:w="927"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49" w:type="pct"/>
                  <w:vMerge w:val="restart"/>
                  <w:shd w:val="clear" w:color="auto" w:fill="auto"/>
                  <w:vAlign w:val="center"/>
                </w:tcPr>
                <w:p>
                  <w:pPr>
                    <w:pStyle w:val="66"/>
                    <w:rPr>
                      <w:rStyle w:val="22"/>
                      <w:b w:val="0"/>
                      <w:color w:val="000000" w:themeColor="text1"/>
                      <w:szCs w:val="21"/>
                      <w14:textFill>
                        <w14:solidFill>
                          <w14:schemeClr w14:val="tx1"/>
                        </w14:solidFill>
                      </w14:textFill>
                    </w:rPr>
                  </w:pPr>
                  <w:r>
                    <w:rPr>
                      <w:rFonts w:hint="eastAsia"/>
                      <w:color w:val="000000" w:themeColor="text1"/>
                      <w14:textFill>
                        <w14:solidFill>
                          <w14:schemeClr w14:val="tx1"/>
                        </w14:solidFill>
                      </w14:textFill>
                    </w:rPr>
                    <w:t>硫化氢</w:t>
                  </w:r>
                </w:p>
              </w:tc>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rFonts w:hint="eastAsia"/>
                      <w:b w:val="0"/>
                      <w:color w:val="000000" w:themeColor="text1"/>
                      <w:szCs w:val="21"/>
                      <w14:textFill>
                        <w14:solidFill>
                          <w14:schemeClr w14:val="tx1"/>
                        </w14:solidFill>
                      </w14:textFill>
                    </w:rPr>
                    <w:t>2:00~3:00</w:t>
                  </w:r>
                </w:p>
              </w:tc>
              <w:tc>
                <w:tcPr>
                  <w:tcW w:w="1049"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0.001L</w:t>
                  </w:r>
                </w:p>
              </w:tc>
              <w:tc>
                <w:tcPr>
                  <w:tcW w:w="926"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0.001L</w:t>
                  </w:r>
                </w:p>
              </w:tc>
              <w:tc>
                <w:tcPr>
                  <w:tcW w:w="927"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049" w:type="pct"/>
                  <w:vMerge w:val="continue"/>
                  <w:shd w:val="clear" w:color="auto" w:fill="auto"/>
                  <w:vAlign w:val="center"/>
                </w:tcPr>
                <w:p>
                  <w:pPr>
                    <w:pStyle w:val="66"/>
                    <w:rPr>
                      <w:color w:val="000000" w:themeColor="text1"/>
                      <w14:textFill>
                        <w14:solidFill>
                          <w14:schemeClr w14:val="tx1"/>
                        </w14:solidFill>
                      </w14:textFill>
                    </w:rPr>
                  </w:pPr>
                </w:p>
              </w:tc>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rFonts w:hint="eastAsia"/>
                      <w:b w:val="0"/>
                      <w:color w:val="000000" w:themeColor="text1"/>
                      <w:szCs w:val="21"/>
                      <w14:textFill>
                        <w14:solidFill>
                          <w14:schemeClr w14:val="tx1"/>
                        </w14:solidFill>
                      </w14:textFill>
                    </w:rPr>
                    <w:t>8:00~9:00</w:t>
                  </w:r>
                </w:p>
              </w:tc>
              <w:tc>
                <w:tcPr>
                  <w:tcW w:w="1049"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0.001L</w:t>
                  </w:r>
                </w:p>
              </w:tc>
              <w:tc>
                <w:tcPr>
                  <w:tcW w:w="926"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0.001L</w:t>
                  </w:r>
                </w:p>
              </w:tc>
              <w:tc>
                <w:tcPr>
                  <w:tcW w:w="927"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049" w:type="pct"/>
                  <w:vMerge w:val="continue"/>
                  <w:shd w:val="clear" w:color="auto" w:fill="auto"/>
                  <w:vAlign w:val="center"/>
                </w:tcPr>
                <w:p>
                  <w:pPr>
                    <w:pStyle w:val="66"/>
                    <w:rPr>
                      <w:color w:val="000000" w:themeColor="text1"/>
                      <w14:textFill>
                        <w14:solidFill>
                          <w14:schemeClr w14:val="tx1"/>
                        </w14:solidFill>
                      </w14:textFill>
                    </w:rPr>
                  </w:pPr>
                </w:p>
              </w:tc>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rFonts w:hint="eastAsia"/>
                      <w:b w:val="0"/>
                      <w:color w:val="000000" w:themeColor="text1"/>
                      <w:szCs w:val="21"/>
                      <w14:textFill>
                        <w14:solidFill>
                          <w14:schemeClr w14:val="tx1"/>
                        </w14:solidFill>
                      </w14:textFill>
                    </w:rPr>
                    <w:t>14:00~15:00</w:t>
                  </w:r>
                </w:p>
              </w:tc>
              <w:tc>
                <w:tcPr>
                  <w:tcW w:w="1049"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0.001L</w:t>
                  </w:r>
                </w:p>
              </w:tc>
              <w:tc>
                <w:tcPr>
                  <w:tcW w:w="926"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0.001L</w:t>
                  </w:r>
                </w:p>
              </w:tc>
              <w:tc>
                <w:tcPr>
                  <w:tcW w:w="927"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049" w:type="pct"/>
                  <w:vMerge w:val="continue"/>
                  <w:shd w:val="clear" w:color="auto" w:fill="auto"/>
                  <w:vAlign w:val="center"/>
                </w:tcPr>
                <w:p>
                  <w:pPr>
                    <w:pStyle w:val="66"/>
                    <w:rPr>
                      <w:color w:val="000000" w:themeColor="text1"/>
                      <w14:textFill>
                        <w14:solidFill>
                          <w14:schemeClr w14:val="tx1"/>
                        </w14:solidFill>
                      </w14:textFill>
                    </w:rPr>
                  </w:pPr>
                </w:p>
              </w:tc>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rFonts w:hint="eastAsia"/>
                      <w:b w:val="0"/>
                      <w:color w:val="000000" w:themeColor="text1"/>
                      <w:szCs w:val="21"/>
                      <w14:textFill>
                        <w14:solidFill>
                          <w14:schemeClr w14:val="tx1"/>
                        </w14:solidFill>
                      </w14:textFill>
                    </w:rPr>
                    <w:t>20:00~21:00</w:t>
                  </w:r>
                </w:p>
              </w:tc>
              <w:tc>
                <w:tcPr>
                  <w:tcW w:w="1049"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0.001L</w:t>
                  </w:r>
                </w:p>
              </w:tc>
              <w:tc>
                <w:tcPr>
                  <w:tcW w:w="926"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0.001L</w:t>
                  </w:r>
                </w:p>
              </w:tc>
              <w:tc>
                <w:tcPr>
                  <w:tcW w:w="927"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49" w:type="pct"/>
                  <w:vMerge w:val="restart"/>
                  <w:shd w:val="clear" w:color="auto" w:fill="auto"/>
                  <w:vAlign w:val="center"/>
                </w:tcPr>
                <w:p>
                  <w:pPr>
                    <w:pStyle w:val="66"/>
                    <w:rPr>
                      <w:rStyle w:val="22"/>
                      <w:b w:val="0"/>
                      <w:color w:val="000000" w:themeColor="text1"/>
                      <w:szCs w:val="21"/>
                      <w14:textFill>
                        <w14:solidFill>
                          <w14:schemeClr w14:val="tx1"/>
                        </w14:solidFill>
                      </w14:textFill>
                    </w:rPr>
                  </w:pPr>
                  <w:r>
                    <w:rPr>
                      <w:rFonts w:hint="eastAsia"/>
                      <w:color w:val="000000" w:themeColor="text1"/>
                      <w14:textFill>
                        <w14:solidFill>
                          <w14:schemeClr w14:val="tx1"/>
                        </w14:solidFill>
                      </w14:textFill>
                    </w:rPr>
                    <w:t>氨气</w:t>
                  </w:r>
                </w:p>
              </w:tc>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rFonts w:hint="eastAsia"/>
                      <w:b w:val="0"/>
                      <w:color w:val="000000" w:themeColor="text1"/>
                      <w:szCs w:val="21"/>
                      <w14:textFill>
                        <w14:solidFill>
                          <w14:schemeClr w14:val="tx1"/>
                        </w14:solidFill>
                      </w14:textFill>
                    </w:rPr>
                    <w:t>2:00~3:00</w:t>
                  </w:r>
                </w:p>
              </w:tc>
              <w:tc>
                <w:tcPr>
                  <w:tcW w:w="1049"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0.01L</w:t>
                  </w:r>
                </w:p>
              </w:tc>
              <w:tc>
                <w:tcPr>
                  <w:tcW w:w="926"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0.01L</w:t>
                  </w:r>
                </w:p>
              </w:tc>
              <w:tc>
                <w:tcPr>
                  <w:tcW w:w="927"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049" w:type="pct"/>
                  <w:vMerge w:val="continue"/>
                  <w:shd w:val="clear" w:color="auto" w:fill="auto"/>
                  <w:vAlign w:val="center"/>
                </w:tcPr>
                <w:p>
                  <w:pPr>
                    <w:pStyle w:val="66"/>
                    <w:rPr>
                      <w:color w:val="000000" w:themeColor="text1"/>
                      <w14:textFill>
                        <w14:solidFill>
                          <w14:schemeClr w14:val="tx1"/>
                        </w14:solidFill>
                      </w14:textFill>
                    </w:rPr>
                  </w:pPr>
                </w:p>
              </w:tc>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rFonts w:hint="eastAsia"/>
                      <w:b w:val="0"/>
                      <w:color w:val="000000" w:themeColor="text1"/>
                      <w:szCs w:val="21"/>
                      <w14:textFill>
                        <w14:solidFill>
                          <w14:schemeClr w14:val="tx1"/>
                        </w14:solidFill>
                      </w14:textFill>
                    </w:rPr>
                    <w:t>8:00~9:00</w:t>
                  </w:r>
                </w:p>
              </w:tc>
              <w:tc>
                <w:tcPr>
                  <w:tcW w:w="1049"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0.01L</w:t>
                  </w:r>
                </w:p>
              </w:tc>
              <w:tc>
                <w:tcPr>
                  <w:tcW w:w="926"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0.01L</w:t>
                  </w:r>
                </w:p>
              </w:tc>
              <w:tc>
                <w:tcPr>
                  <w:tcW w:w="927"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049" w:type="pct"/>
                  <w:vMerge w:val="continue"/>
                  <w:shd w:val="clear" w:color="auto" w:fill="auto"/>
                  <w:vAlign w:val="center"/>
                </w:tcPr>
                <w:p>
                  <w:pPr>
                    <w:pStyle w:val="66"/>
                    <w:rPr>
                      <w:color w:val="000000" w:themeColor="text1"/>
                      <w14:textFill>
                        <w14:solidFill>
                          <w14:schemeClr w14:val="tx1"/>
                        </w14:solidFill>
                      </w14:textFill>
                    </w:rPr>
                  </w:pPr>
                </w:p>
              </w:tc>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rFonts w:hint="eastAsia"/>
                      <w:b w:val="0"/>
                      <w:color w:val="000000" w:themeColor="text1"/>
                      <w:szCs w:val="21"/>
                      <w14:textFill>
                        <w14:solidFill>
                          <w14:schemeClr w14:val="tx1"/>
                        </w14:solidFill>
                      </w14:textFill>
                    </w:rPr>
                    <w:t>14:00~15:00</w:t>
                  </w:r>
                </w:p>
              </w:tc>
              <w:tc>
                <w:tcPr>
                  <w:tcW w:w="1049"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0.01L</w:t>
                  </w:r>
                </w:p>
              </w:tc>
              <w:tc>
                <w:tcPr>
                  <w:tcW w:w="926"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0.01L</w:t>
                  </w:r>
                </w:p>
              </w:tc>
              <w:tc>
                <w:tcPr>
                  <w:tcW w:w="927"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049" w:type="pct"/>
                  <w:vMerge w:val="continue"/>
                  <w:shd w:val="clear" w:color="auto" w:fill="auto"/>
                  <w:vAlign w:val="center"/>
                </w:tcPr>
                <w:p>
                  <w:pPr>
                    <w:pStyle w:val="66"/>
                    <w:rPr>
                      <w:color w:val="000000" w:themeColor="text1"/>
                      <w14:textFill>
                        <w14:solidFill>
                          <w14:schemeClr w14:val="tx1"/>
                        </w14:solidFill>
                      </w14:textFill>
                    </w:rPr>
                  </w:pPr>
                </w:p>
              </w:tc>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rFonts w:hint="eastAsia"/>
                      <w:b w:val="0"/>
                      <w:color w:val="000000" w:themeColor="text1"/>
                      <w:szCs w:val="21"/>
                      <w14:textFill>
                        <w14:solidFill>
                          <w14:schemeClr w14:val="tx1"/>
                        </w14:solidFill>
                      </w14:textFill>
                    </w:rPr>
                    <w:t>20:00~21:00</w:t>
                  </w:r>
                </w:p>
              </w:tc>
              <w:tc>
                <w:tcPr>
                  <w:tcW w:w="1049"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0.01L</w:t>
                  </w:r>
                </w:p>
              </w:tc>
              <w:tc>
                <w:tcPr>
                  <w:tcW w:w="926"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0.01L</w:t>
                  </w:r>
                </w:p>
              </w:tc>
              <w:tc>
                <w:tcPr>
                  <w:tcW w:w="927"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49" w:type="pct"/>
                  <w:vMerge w:val="restart"/>
                  <w:shd w:val="clear" w:color="auto" w:fill="auto"/>
                  <w:vAlign w:val="center"/>
                </w:tcPr>
                <w:p>
                  <w:pPr>
                    <w:pStyle w:val="66"/>
                    <w:rPr>
                      <w:rStyle w:val="22"/>
                      <w:b w:val="0"/>
                      <w:color w:val="000000" w:themeColor="text1"/>
                      <w:szCs w:val="21"/>
                      <w14:textFill>
                        <w14:solidFill>
                          <w14:schemeClr w14:val="tx1"/>
                        </w14:solidFill>
                      </w14:textFill>
                    </w:rPr>
                  </w:pPr>
                  <w:r>
                    <w:rPr>
                      <w:rFonts w:hint="eastAsia"/>
                      <w:color w:val="000000" w:themeColor="text1"/>
                      <w14:textFill>
                        <w14:solidFill>
                          <w14:schemeClr w14:val="tx1"/>
                        </w14:solidFill>
                      </w14:textFill>
                    </w:rPr>
                    <w:t>臭气浓度</w:t>
                  </w:r>
                </w:p>
              </w:tc>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rFonts w:hint="eastAsia"/>
                      <w:b w:val="0"/>
                      <w:color w:val="000000" w:themeColor="text1"/>
                      <w:szCs w:val="21"/>
                      <w14:textFill>
                        <w14:solidFill>
                          <w14:schemeClr w14:val="tx1"/>
                        </w14:solidFill>
                      </w14:textFill>
                    </w:rPr>
                    <w:t>2:00~3:00</w:t>
                  </w:r>
                </w:p>
              </w:tc>
              <w:tc>
                <w:tcPr>
                  <w:tcW w:w="1049"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＜10</w:t>
                  </w:r>
                </w:p>
              </w:tc>
              <w:tc>
                <w:tcPr>
                  <w:tcW w:w="926"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＜10</w:t>
                  </w:r>
                </w:p>
              </w:tc>
              <w:tc>
                <w:tcPr>
                  <w:tcW w:w="927"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49" w:type="pct"/>
                  <w:vMerge w:val="continue"/>
                  <w:shd w:val="clear" w:color="auto" w:fill="auto"/>
                  <w:vAlign w:val="center"/>
                </w:tcPr>
                <w:p>
                  <w:pPr>
                    <w:pStyle w:val="66"/>
                    <w:rPr>
                      <w:color w:val="000000" w:themeColor="text1"/>
                      <w14:textFill>
                        <w14:solidFill>
                          <w14:schemeClr w14:val="tx1"/>
                        </w14:solidFill>
                      </w14:textFill>
                    </w:rPr>
                  </w:pPr>
                </w:p>
              </w:tc>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rFonts w:hint="eastAsia"/>
                      <w:b w:val="0"/>
                      <w:color w:val="000000" w:themeColor="text1"/>
                      <w:szCs w:val="21"/>
                      <w14:textFill>
                        <w14:solidFill>
                          <w14:schemeClr w14:val="tx1"/>
                        </w14:solidFill>
                      </w14:textFill>
                    </w:rPr>
                    <w:t>8:00~9:00</w:t>
                  </w:r>
                </w:p>
              </w:tc>
              <w:tc>
                <w:tcPr>
                  <w:tcW w:w="1049"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12</w:t>
                  </w:r>
                </w:p>
              </w:tc>
              <w:tc>
                <w:tcPr>
                  <w:tcW w:w="926"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＜10</w:t>
                  </w:r>
                </w:p>
              </w:tc>
              <w:tc>
                <w:tcPr>
                  <w:tcW w:w="927"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49" w:type="pct"/>
                  <w:vMerge w:val="continue"/>
                  <w:shd w:val="clear" w:color="auto" w:fill="auto"/>
                  <w:vAlign w:val="center"/>
                </w:tcPr>
                <w:p>
                  <w:pPr>
                    <w:pStyle w:val="66"/>
                    <w:rPr>
                      <w:color w:val="000000" w:themeColor="text1"/>
                      <w14:textFill>
                        <w14:solidFill>
                          <w14:schemeClr w14:val="tx1"/>
                        </w14:solidFill>
                      </w14:textFill>
                    </w:rPr>
                  </w:pPr>
                </w:p>
              </w:tc>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rFonts w:hint="eastAsia"/>
                      <w:b w:val="0"/>
                      <w:color w:val="000000" w:themeColor="text1"/>
                      <w:szCs w:val="21"/>
                      <w14:textFill>
                        <w14:solidFill>
                          <w14:schemeClr w14:val="tx1"/>
                        </w14:solidFill>
                      </w14:textFill>
                    </w:rPr>
                    <w:t>14:00~15:00</w:t>
                  </w:r>
                </w:p>
              </w:tc>
              <w:tc>
                <w:tcPr>
                  <w:tcW w:w="1049"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14</w:t>
                  </w:r>
                </w:p>
              </w:tc>
              <w:tc>
                <w:tcPr>
                  <w:tcW w:w="926"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11</w:t>
                  </w:r>
                </w:p>
              </w:tc>
              <w:tc>
                <w:tcPr>
                  <w:tcW w:w="927"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49" w:type="pct"/>
                  <w:vMerge w:val="continue"/>
                  <w:shd w:val="clear" w:color="auto" w:fill="auto"/>
                  <w:vAlign w:val="center"/>
                </w:tcPr>
                <w:p>
                  <w:pPr>
                    <w:pStyle w:val="66"/>
                    <w:rPr>
                      <w:color w:val="000000" w:themeColor="text1"/>
                      <w14:textFill>
                        <w14:solidFill>
                          <w14:schemeClr w14:val="tx1"/>
                        </w14:solidFill>
                      </w14:textFill>
                    </w:rPr>
                  </w:pPr>
                </w:p>
              </w:tc>
              <w:tc>
                <w:tcPr>
                  <w:tcW w:w="1049" w:type="pct"/>
                  <w:shd w:val="clear" w:color="auto" w:fill="auto"/>
                  <w:vAlign w:val="center"/>
                </w:tcPr>
                <w:p>
                  <w:pPr>
                    <w:pStyle w:val="66"/>
                    <w:rPr>
                      <w:rStyle w:val="22"/>
                      <w:b w:val="0"/>
                      <w:color w:val="000000" w:themeColor="text1"/>
                      <w:szCs w:val="21"/>
                      <w14:textFill>
                        <w14:solidFill>
                          <w14:schemeClr w14:val="tx1"/>
                        </w14:solidFill>
                      </w14:textFill>
                    </w:rPr>
                  </w:pPr>
                  <w:r>
                    <w:rPr>
                      <w:rStyle w:val="22"/>
                      <w:rFonts w:hint="eastAsia"/>
                      <w:b w:val="0"/>
                      <w:color w:val="000000" w:themeColor="text1"/>
                      <w:szCs w:val="21"/>
                      <w14:textFill>
                        <w14:solidFill>
                          <w14:schemeClr w14:val="tx1"/>
                        </w14:solidFill>
                      </w14:textFill>
                    </w:rPr>
                    <w:t>20:00~21:00</w:t>
                  </w:r>
                </w:p>
              </w:tc>
              <w:tc>
                <w:tcPr>
                  <w:tcW w:w="1049"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11</w:t>
                  </w:r>
                </w:p>
              </w:tc>
              <w:tc>
                <w:tcPr>
                  <w:tcW w:w="926"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13</w:t>
                  </w:r>
                </w:p>
              </w:tc>
              <w:tc>
                <w:tcPr>
                  <w:tcW w:w="927"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11</w:t>
                  </w:r>
                </w:p>
              </w:tc>
            </w:tr>
          </w:tbl>
          <w:p>
            <w:pPr>
              <w:pStyle w:val="76"/>
              <w:numPr>
                <w:ilvl w:val="0"/>
                <w:numId w:val="0"/>
              </w:numPr>
              <w:jc w:val="both"/>
              <w:rPr>
                <w:rFonts w:eastAsiaTheme="majorEastAsia"/>
                <w:b w:val="0"/>
                <w:color w:val="000000" w:themeColor="text1"/>
                <w:sz w:val="21"/>
                <w14:textFill>
                  <w14:solidFill>
                    <w14:schemeClr w14:val="tx1"/>
                  </w14:solidFill>
                </w14:textFill>
              </w:rPr>
            </w:pPr>
            <w:r>
              <w:rPr>
                <w:rFonts w:eastAsiaTheme="majorEastAsia"/>
                <w:b w:val="0"/>
                <w:color w:val="000000" w:themeColor="text1"/>
                <w:sz w:val="21"/>
                <w14:textFill>
                  <w14:solidFill>
                    <w14:schemeClr w14:val="tx1"/>
                  </w14:solidFill>
                </w14:textFill>
              </w:rPr>
              <w:t>注：当检测结果未检出或低于检出限时，臭气浓度以“&lt;检出限”表示，其他以“检出限+L”表示。</w:t>
            </w:r>
          </w:p>
          <w:p>
            <w:pPr>
              <w:pStyle w:val="76"/>
              <w:numPr>
                <w:ilvl w:val="0"/>
                <w:numId w:val="8"/>
              </w:numPr>
              <w:ind w:left="0" w:firstLine="0"/>
              <w:rPr>
                <w:color w:val="000000" w:themeColor="text1"/>
                <w14:textFill>
                  <w14:solidFill>
                    <w14:schemeClr w14:val="tx1"/>
                  </w14:solidFill>
                </w14:textFill>
              </w:rPr>
            </w:pPr>
            <w:r>
              <w:rPr>
                <w:color w:val="000000" w:themeColor="text1"/>
                <w14:textFill>
                  <w14:solidFill>
                    <w14:schemeClr w14:val="tx1"/>
                  </w14:solidFill>
                </w14:textFill>
              </w:rPr>
              <w:t>监测结果统计表</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912"/>
              <w:gridCol w:w="740"/>
              <w:gridCol w:w="3261"/>
              <w:gridCol w:w="1278"/>
              <w:gridCol w:w="15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094" w:type="pct"/>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污染物</w:t>
                  </w:r>
                </w:p>
              </w:tc>
              <w:tc>
                <w:tcPr>
                  <w:tcW w:w="423" w:type="pct"/>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监测点</w:t>
                  </w:r>
                </w:p>
              </w:tc>
              <w:tc>
                <w:tcPr>
                  <w:tcW w:w="1865" w:type="pct"/>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浓度范围</w:t>
                  </w:r>
                </w:p>
              </w:tc>
              <w:tc>
                <w:tcPr>
                  <w:tcW w:w="731" w:type="pct"/>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评价标准</w:t>
                  </w:r>
                </w:p>
              </w:tc>
              <w:tc>
                <w:tcPr>
                  <w:tcW w:w="887" w:type="pct"/>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最大浓度占标率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094" w:type="pct"/>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TSP(（日均值）</w:t>
                  </w:r>
                </w:p>
              </w:tc>
              <w:tc>
                <w:tcPr>
                  <w:tcW w:w="423" w:type="pct"/>
                  <w:vMerge w:val="restart"/>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G</w:t>
                  </w:r>
                  <w:r>
                    <w:rPr>
                      <w:rStyle w:val="22"/>
                      <w:rFonts w:hint="eastAsia"/>
                      <w:b w:val="0"/>
                      <w:color w:val="000000" w:themeColor="text1"/>
                      <w:szCs w:val="21"/>
                      <w14:textFill>
                        <w14:solidFill>
                          <w14:schemeClr w14:val="tx1"/>
                        </w14:solidFill>
                      </w14:textFill>
                    </w:rPr>
                    <w:t>1</w:t>
                  </w:r>
                </w:p>
              </w:tc>
              <w:tc>
                <w:tcPr>
                  <w:tcW w:w="1865" w:type="pct"/>
                  <w:shd w:val="clear" w:color="auto" w:fill="auto"/>
                  <w:vAlign w:val="center"/>
                </w:tcPr>
                <w:p>
                  <w:pPr>
                    <w:pStyle w:val="66"/>
                    <w:rPr>
                      <w:rStyle w:val="22"/>
                      <w:b w:val="0"/>
                      <w:color w:val="000000" w:themeColor="text1"/>
                      <w:szCs w:val="21"/>
                      <w14:textFill>
                        <w14:solidFill>
                          <w14:schemeClr w14:val="tx1"/>
                        </w14:solidFill>
                      </w14:textFill>
                    </w:rPr>
                  </w:pPr>
                  <w:r>
                    <w:rPr>
                      <w:rStyle w:val="22"/>
                      <w:rFonts w:hint="eastAsia"/>
                      <w:b w:val="0"/>
                      <w:color w:val="000000" w:themeColor="text1"/>
                      <w:szCs w:val="21"/>
                      <w14:textFill>
                        <w14:solidFill>
                          <w14:schemeClr w14:val="tx1"/>
                        </w14:solidFill>
                      </w14:textFill>
                    </w:rPr>
                    <w:t>0.133</w:t>
                  </w:r>
                  <w:r>
                    <w:rPr>
                      <w:rStyle w:val="22"/>
                      <w:b w:val="0"/>
                      <w:color w:val="000000" w:themeColor="text1"/>
                      <w:szCs w:val="21"/>
                      <w14:textFill>
                        <w14:solidFill>
                          <w14:schemeClr w14:val="tx1"/>
                        </w14:solidFill>
                      </w14:textFill>
                    </w:rPr>
                    <w:t>mg/m</w:t>
                  </w:r>
                  <w:r>
                    <w:rPr>
                      <w:rStyle w:val="22"/>
                      <w:b w:val="0"/>
                      <w:color w:val="000000" w:themeColor="text1"/>
                      <w:szCs w:val="21"/>
                      <w:vertAlign w:val="superscript"/>
                      <w14:textFill>
                        <w14:solidFill>
                          <w14:schemeClr w14:val="tx1"/>
                        </w14:solidFill>
                      </w14:textFill>
                    </w:rPr>
                    <w:t>3</w:t>
                  </w:r>
                  <w:r>
                    <w:rPr>
                      <w:rFonts w:eastAsiaTheme="minorEastAsia"/>
                      <w:bCs/>
                      <w:color w:val="000000" w:themeColor="text1"/>
                      <w14:textFill>
                        <w14:solidFill>
                          <w14:schemeClr w14:val="tx1"/>
                        </w14:solidFill>
                      </w14:textFill>
                    </w:rPr>
                    <w:t>~</w:t>
                  </w:r>
                  <w:r>
                    <w:rPr>
                      <w:rFonts w:hint="eastAsia" w:eastAsiaTheme="minorEastAsia"/>
                      <w:bCs/>
                      <w:color w:val="000000" w:themeColor="text1"/>
                      <w14:textFill>
                        <w14:solidFill>
                          <w14:schemeClr w14:val="tx1"/>
                        </w14:solidFill>
                      </w14:textFill>
                    </w:rPr>
                    <w:t>0.167</w:t>
                  </w:r>
                  <w:r>
                    <w:rPr>
                      <w:rStyle w:val="22"/>
                      <w:b w:val="0"/>
                      <w:color w:val="000000" w:themeColor="text1"/>
                      <w:szCs w:val="21"/>
                      <w14:textFill>
                        <w14:solidFill>
                          <w14:schemeClr w14:val="tx1"/>
                        </w14:solidFill>
                      </w14:textFill>
                    </w:rPr>
                    <w:t>mg/m</w:t>
                  </w:r>
                  <w:r>
                    <w:rPr>
                      <w:rStyle w:val="22"/>
                      <w:b w:val="0"/>
                      <w:color w:val="000000" w:themeColor="text1"/>
                      <w:szCs w:val="21"/>
                      <w:vertAlign w:val="superscript"/>
                      <w14:textFill>
                        <w14:solidFill>
                          <w14:schemeClr w14:val="tx1"/>
                        </w14:solidFill>
                      </w14:textFill>
                    </w:rPr>
                    <w:t>3</w:t>
                  </w:r>
                </w:p>
              </w:tc>
              <w:tc>
                <w:tcPr>
                  <w:tcW w:w="731" w:type="pct"/>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0.3mg/m</w:t>
                  </w:r>
                  <w:r>
                    <w:rPr>
                      <w:rStyle w:val="22"/>
                      <w:b w:val="0"/>
                      <w:color w:val="000000" w:themeColor="text1"/>
                      <w:szCs w:val="21"/>
                      <w:vertAlign w:val="superscript"/>
                      <w14:textFill>
                        <w14:solidFill>
                          <w14:schemeClr w14:val="tx1"/>
                        </w14:solidFill>
                      </w14:textFill>
                    </w:rPr>
                    <w:t>3</w:t>
                  </w:r>
                </w:p>
              </w:tc>
              <w:tc>
                <w:tcPr>
                  <w:tcW w:w="887" w:type="pct"/>
                  <w:shd w:val="clear" w:color="auto" w:fill="auto"/>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bCs/>
                      <w:color w:val="000000" w:themeColor="text1"/>
                      <w14:textFill>
                        <w14:solidFill>
                          <w14:schemeClr w14:val="tx1"/>
                        </w14:solidFill>
                      </w14:textFill>
                    </w:rPr>
                    <w:t>55.6</w:t>
                  </w:r>
                  <w:r>
                    <w:rPr>
                      <w:rFonts w:ascii="Times New Roman" w:hAnsi="Times New Roman"/>
                      <w:bCs/>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094" w:type="pct"/>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TVOC（8小时值）</w:t>
                  </w:r>
                </w:p>
              </w:tc>
              <w:tc>
                <w:tcPr>
                  <w:tcW w:w="423" w:type="pct"/>
                  <w:vMerge w:val="continue"/>
                  <w:shd w:val="clear" w:color="auto" w:fill="auto"/>
                  <w:vAlign w:val="center"/>
                </w:tcPr>
                <w:p>
                  <w:pPr>
                    <w:pStyle w:val="66"/>
                    <w:rPr>
                      <w:rStyle w:val="22"/>
                      <w:b w:val="0"/>
                      <w:color w:val="000000" w:themeColor="text1"/>
                      <w:szCs w:val="21"/>
                      <w14:textFill>
                        <w14:solidFill>
                          <w14:schemeClr w14:val="tx1"/>
                        </w14:solidFill>
                      </w14:textFill>
                    </w:rPr>
                  </w:pPr>
                </w:p>
              </w:tc>
              <w:tc>
                <w:tcPr>
                  <w:tcW w:w="1865" w:type="pct"/>
                  <w:shd w:val="clear" w:color="auto" w:fill="auto"/>
                  <w:vAlign w:val="center"/>
                </w:tcPr>
                <w:p>
                  <w:pPr>
                    <w:pStyle w:val="66"/>
                    <w:rPr>
                      <w:rFonts w:eastAsiaTheme="minorEastAsia"/>
                      <w:bCs/>
                      <w:color w:val="000000" w:themeColor="text1"/>
                      <w14:textFill>
                        <w14:solidFill>
                          <w14:schemeClr w14:val="tx1"/>
                        </w14:solidFill>
                      </w14:textFill>
                    </w:rPr>
                  </w:pPr>
                  <w:r>
                    <w:rPr>
                      <w:rStyle w:val="22"/>
                      <w:rFonts w:hint="eastAsia"/>
                      <w:b w:val="0"/>
                      <w:color w:val="000000" w:themeColor="text1"/>
                      <w:szCs w:val="21"/>
                      <w14:textFill>
                        <w14:solidFill>
                          <w14:schemeClr w14:val="tx1"/>
                        </w14:solidFill>
                      </w14:textFill>
                    </w:rPr>
                    <w:t>0.0106</w:t>
                  </w:r>
                  <w:r>
                    <w:rPr>
                      <w:rStyle w:val="22"/>
                      <w:b w:val="0"/>
                      <w:color w:val="000000" w:themeColor="text1"/>
                      <w:szCs w:val="21"/>
                      <w14:textFill>
                        <w14:solidFill>
                          <w14:schemeClr w14:val="tx1"/>
                        </w14:solidFill>
                      </w14:textFill>
                    </w:rPr>
                    <w:t>mg/m</w:t>
                  </w:r>
                  <w:r>
                    <w:rPr>
                      <w:rStyle w:val="22"/>
                      <w:b w:val="0"/>
                      <w:color w:val="000000" w:themeColor="text1"/>
                      <w:szCs w:val="21"/>
                      <w:vertAlign w:val="superscript"/>
                      <w14:textFill>
                        <w14:solidFill>
                          <w14:schemeClr w14:val="tx1"/>
                        </w14:solidFill>
                      </w14:textFill>
                    </w:rPr>
                    <w:t>3</w:t>
                  </w:r>
                  <w:r>
                    <w:rPr>
                      <w:rFonts w:eastAsiaTheme="minorEastAsia"/>
                      <w:bCs/>
                      <w:color w:val="000000" w:themeColor="text1"/>
                      <w14:textFill>
                        <w14:solidFill>
                          <w14:schemeClr w14:val="tx1"/>
                        </w14:solidFill>
                      </w14:textFill>
                    </w:rPr>
                    <w:t>~</w:t>
                  </w:r>
                  <w:r>
                    <w:rPr>
                      <w:rFonts w:hint="eastAsia" w:eastAsiaTheme="minorEastAsia"/>
                      <w:bCs/>
                      <w:color w:val="000000" w:themeColor="text1"/>
                      <w14:textFill>
                        <w14:solidFill>
                          <w14:schemeClr w14:val="tx1"/>
                        </w14:solidFill>
                      </w14:textFill>
                    </w:rPr>
                    <w:t>0.0133</w:t>
                  </w:r>
                  <w:r>
                    <w:rPr>
                      <w:rStyle w:val="22"/>
                      <w:b w:val="0"/>
                      <w:color w:val="000000" w:themeColor="text1"/>
                      <w:szCs w:val="21"/>
                      <w14:textFill>
                        <w14:solidFill>
                          <w14:schemeClr w14:val="tx1"/>
                        </w14:solidFill>
                      </w14:textFill>
                    </w:rPr>
                    <w:t>mg/m</w:t>
                  </w:r>
                  <w:r>
                    <w:rPr>
                      <w:rStyle w:val="22"/>
                      <w:b w:val="0"/>
                      <w:color w:val="000000" w:themeColor="text1"/>
                      <w:szCs w:val="21"/>
                      <w:vertAlign w:val="superscript"/>
                      <w14:textFill>
                        <w14:solidFill>
                          <w14:schemeClr w14:val="tx1"/>
                        </w14:solidFill>
                      </w14:textFill>
                    </w:rPr>
                    <w:t>3</w:t>
                  </w:r>
                </w:p>
              </w:tc>
              <w:tc>
                <w:tcPr>
                  <w:tcW w:w="731" w:type="pct"/>
                  <w:shd w:val="clear" w:color="auto" w:fill="auto"/>
                  <w:vAlign w:val="center"/>
                </w:tcPr>
                <w:p>
                  <w:pPr>
                    <w:pStyle w:val="66"/>
                    <w:rPr>
                      <w:rStyle w:val="22"/>
                      <w:b w:val="0"/>
                      <w:color w:val="000000" w:themeColor="text1"/>
                      <w:szCs w:val="21"/>
                      <w14:textFill>
                        <w14:solidFill>
                          <w14:schemeClr w14:val="tx1"/>
                        </w14:solidFill>
                      </w14:textFill>
                    </w:rPr>
                  </w:pPr>
                  <w:r>
                    <w:rPr>
                      <w:rStyle w:val="22"/>
                      <w:rFonts w:hint="eastAsia"/>
                      <w:b w:val="0"/>
                      <w:color w:val="000000" w:themeColor="text1"/>
                      <w:szCs w:val="21"/>
                      <w14:textFill>
                        <w14:solidFill>
                          <w14:schemeClr w14:val="tx1"/>
                        </w14:solidFill>
                      </w14:textFill>
                    </w:rPr>
                    <w:t>0.6</w:t>
                  </w:r>
                  <w:r>
                    <w:rPr>
                      <w:rStyle w:val="22"/>
                      <w:b w:val="0"/>
                      <w:color w:val="000000" w:themeColor="text1"/>
                      <w:szCs w:val="21"/>
                      <w14:textFill>
                        <w14:solidFill>
                          <w14:schemeClr w14:val="tx1"/>
                        </w14:solidFill>
                      </w14:textFill>
                    </w:rPr>
                    <w:t>mg/m</w:t>
                  </w:r>
                  <w:r>
                    <w:rPr>
                      <w:rStyle w:val="22"/>
                      <w:b w:val="0"/>
                      <w:color w:val="000000" w:themeColor="text1"/>
                      <w:szCs w:val="21"/>
                      <w:vertAlign w:val="superscript"/>
                      <w14:textFill>
                        <w14:solidFill>
                          <w14:schemeClr w14:val="tx1"/>
                        </w14:solidFill>
                      </w14:textFill>
                    </w:rPr>
                    <w:t>3</w:t>
                  </w:r>
                </w:p>
              </w:tc>
              <w:tc>
                <w:tcPr>
                  <w:tcW w:w="887" w:type="pct"/>
                  <w:shd w:val="clear" w:color="auto" w:fill="auto"/>
                  <w:vAlign w:val="center"/>
                </w:tcPr>
                <w:p>
                  <w:pPr>
                    <w:jc w:val="center"/>
                    <w:rPr>
                      <w:rFonts w:ascii="Times New Roman" w:hAnsi="Times New Roman"/>
                      <w:bCs/>
                      <w:color w:val="000000" w:themeColor="text1"/>
                      <w14:textFill>
                        <w14:solidFill>
                          <w14:schemeClr w14:val="tx1"/>
                        </w14:solidFill>
                      </w14:textFill>
                    </w:rPr>
                  </w:pPr>
                  <w:r>
                    <w:rPr>
                      <w:rFonts w:hint="eastAsia" w:ascii="Times New Roman" w:hAnsi="Times New Roman"/>
                      <w:bCs/>
                      <w:color w:val="000000" w:themeColor="text1"/>
                      <w14:textFill>
                        <w14:solidFill>
                          <w14:schemeClr w14:val="tx1"/>
                        </w14:solidFill>
                      </w14:textFill>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094" w:type="pct"/>
                  <w:shd w:val="clear" w:color="auto" w:fill="auto"/>
                  <w:vAlign w:val="center"/>
                </w:tcPr>
                <w:p>
                  <w:pPr>
                    <w:pStyle w:val="66"/>
                    <w:rPr>
                      <w:rStyle w:val="22"/>
                      <w:b w:val="0"/>
                      <w:color w:val="000000" w:themeColor="text1"/>
                      <w:szCs w:val="21"/>
                      <w14:textFill>
                        <w14:solidFill>
                          <w14:schemeClr w14:val="tx1"/>
                        </w14:solidFill>
                      </w14:textFill>
                    </w:rPr>
                  </w:pPr>
                  <w:r>
                    <w:rPr>
                      <w:rFonts w:hint="eastAsia"/>
                      <w:color w:val="000000" w:themeColor="text1"/>
                      <w14:textFill>
                        <w14:solidFill>
                          <w14:schemeClr w14:val="tx1"/>
                        </w14:solidFill>
                      </w14:textFill>
                    </w:rPr>
                    <w:t>硫化氢</w:t>
                  </w:r>
                  <w:r>
                    <w:rPr>
                      <w:rStyle w:val="22"/>
                      <w:b w:val="0"/>
                      <w:color w:val="000000" w:themeColor="text1"/>
                      <w:szCs w:val="21"/>
                      <w14:textFill>
                        <w14:solidFill>
                          <w14:schemeClr w14:val="tx1"/>
                        </w14:solidFill>
                      </w14:textFill>
                    </w:rPr>
                    <w:t>（</w:t>
                  </w:r>
                  <w:r>
                    <w:rPr>
                      <w:rStyle w:val="22"/>
                      <w:rFonts w:hint="eastAsia"/>
                      <w:b w:val="0"/>
                      <w:color w:val="000000" w:themeColor="text1"/>
                      <w:szCs w:val="21"/>
                      <w14:textFill>
                        <w14:solidFill>
                          <w14:schemeClr w14:val="tx1"/>
                        </w14:solidFill>
                      </w14:textFill>
                    </w:rPr>
                    <w:t>1</w:t>
                  </w:r>
                  <w:r>
                    <w:rPr>
                      <w:rStyle w:val="22"/>
                      <w:b w:val="0"/>
                      <w:color w:val="000000" w:themeColor="text1"/>
                      <w:szCs w:val="21"/>
                      <w14:textFill>
                        <w14:solidFill>
                          <w14:schemeClr w14:val="tx1"/>
                        </w14:solidFill>
                      </w14:textFill>
                    </w:rPr>
                    <w:t>小时值）</w:t>
                  </w:r>
                </w:p>
              </w:tc>
              <w:tc>
                <w:tcPr>
                  <w:tcW w:w="423" w:type="pct"/>
                  <w:vMerge w:val="continue"/>
                  <w:shd w:val="clear" w:color="auto" w:fill="auto"/>
                  <w:vAlign w:val="center"/>
                </w:tcPr>
                <w:p>
                  <w:pPr>
                    <w:pStyle w:val="66"/>
                    <w:rPr>
                      <w:rStyle w:val="22"/>
                      <w:b w:val="0"/>
                      <w:color w:val="000000" w:themeColor="text1"/>
                      <w:szCs w:val="21"/>
                      <w14:textFill>
                        <w14:solidFill>
                          <w14:schemeClr w14:val="tx1"/>
                        </w14:solidFill>
                      </w14:textFill>
                    </w:rPr>
                  </w:pPr>
                </w:p>
              </w:tc>
              <w:tc>
                <w:tcPr>
                  <w:tcW w:w="1865" w:type="pct"/>
                  <w:shd w:val="clear" w:color="auto" w:fill="auto"/>
                  <w:vAlign w:val="center"/>
                </w:tcPr>
                <w:p>
                  <w:pPr>
                    <w:pStyle w:val="66"/>
                    <w:rPr>
                      <w:rFonts w:eastAsiaTheme="minorEastAsia"/>
                      <w:bCs/>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0.001</w:t>
                  </w:r>
                  <w:r>
                    <w:rPr>
                      <w:rStyle w:val="22"/>
                      <w:b w:val="0"/>
                      <w:color w:val="000000" w:themeColor="text1"/>
                      <w:szCs w:val="21"/>
                      <w14:textFill>
                        <w14:solidFill>
                          <w14:schemeClr w14:val="tx1"/>
                        </w14:solidFill>
                      </w14:textFill>
                    </w:rPr>
                    <w:t>mg/m</w:t>
                  </w:r>
                  <w:r>
                    <w:rPr>
                      <w:rStyle w:val="22"/>
                      <w:b w:val="0"/>
                      <w:color w:val="000000" w:themeColor="text1"/>
                      <w:szCs w:val="21"/>
                      <w:vertAlign w:val="superscript"/>
                      <w14:textFill>
                        <w14:solidFill>
                          <w14:schemeClr w14:val="tx1"/>
                        </w14:solidFill>
                      </w14:textFill>
                    </w:rPr>
                    <w:t>3</w:t>
                  </w:r>
                </w:p>
              </w:tc>
              <w:tc>
                <w:tcPr>
                  <w:tcW w:w="731" w:type="pct"/>
                  <w:shd w:val="clear" w:color="auto" w:fill="auto"/>
                  <w:vAlign w:val="center"/>
                </w:tcPr>
                <w:p>
                  <w:pPr>
                    <w:pStyle w:val="66"/>
                    <w:rPr>
                      <w:rStyle w:val="22"/>
                      <w:b w:val="0"/>
                      <w:color w:val="000000" w:themeColor="text1"/>
                      <w:szCs w:val="21"/>
                      <w14:textFill>
                        <w14:solidFill>
                          <w14:schemeClr w14:val="tx1"/>
                        </w14:solidFill>
                      </w14:textFill>
                    </w:rPr>
                  </w:pPr>
                  <w:r>
                    <w:rPr>
                      <w:rStyle w:val="22"/>
                      <w:rFonts w:hint="eastAsia"/>
                      <w:b w:val="0"/>
                      <w:color w:val="000000" w:themeColor="text1"/>
                      <w:szCs w:val="21"/>
                      <w14:textFill>
                        <w14:solidFill>
                          <w14:schemeClr w14:val="tx1"/>
                        </w14:solidFill>
                      </w14:textFill>
                    </w:rPr>
                    <w:t>0.3</w:t>
                  </w:r>
                  <w:r>
                    <w:rPr>
                      <w:rStyle w:val="22"/>
                      <w:b w:val="0"/>
                      <w:color w:val="000000" w:themeColor="text1"/>
                      <w:szCs w:val="21"/>
                      <w14:textFill>
                        <w14:solidFill>
                          <w14:schemeClr w14:val="tx1"/>
                        </w14:solidFill>
                      </w14:textFill>
                    </w:rPr>
                    <w:t>mg/m</w:t>
                  </w:r>
                  <w:r>
                    <w:rPr>
                      <w:rStyle w:val="22"/>
                      <w:b w:val="0"/>
                      <w:color w:val="000000" w:themeColor="text1"/>
                      <w:szCs w:val="21"/>
                      <w:vertAlign w:val="superscript"/>
                      <w14:textFill>
                        <w14:solidFill>
                          <w14:schemeClr w14:val="tx1"/>
                        </w14:solidFill>
                      </w14:textFill>
                    </w:rPr>
                    <w:t>3</w:t>
                  </w:r>
                </w:p>
              </w:tc>
              <w:tc>
                <w:tcPr>
                  <w:tcW w:w="887" w:type="pct"/>
                  <w:shd w:val="clear" w:color="auto" w:fill="auto"/>
                  <w:vAlign w:val="center"/>
                </w:tcPr>
                <w:p>
                  <w:pPr>
                    <w:jc w:val="center"/>
                    <w:rPr>
                      <w:rFonts w:ascii="Times New Roman" w:hAnsi="Times New Roman"/>
                      <w:bCs/>
                      <w:color w:val="000000" w:themeColor="text1"/>
                      <w14:textFill>
                        <w14:solidFill>
                          <w14:schemeClr w14:val="tx1"/>
                        </w14:solidFill>
                      </w14:textFill>
                    </w:rPr>
                  </w:pPr>
                  <w:r>
                    <w:rPr>
                      <w:rFonts w:hint="eastAsia" w:ascii="Times New Roman" w:hAnsi="Times New Roman"/>
                      <w:bCs/>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1094" w:type="pct"/>
                  <w:shd w:val="clear" w:color="auto" w:fill="auto"/>
                  <w:vAlign w:val="center"/>
                </w:tcPr>
                <w:p>
                  <w:pPr>
                    <w:pStyle w:val="66"/>
                    <w:rPr>
                      <w:rStyle w:val="22"/>
                      <w:b w:val="0"/>
                      <w:color w:val="000000" w:themeColor="text1"/>
                      <w:szCs w:val="21"/>
                      <w14:textFill>
                        <w14:solidFill>
                          <w14:schemeClr w14:val="tx1"/>
                        </w14:solidFill>
                      </w14:textFill>
                    </w:rPr>
                  </w:pPr>
                  <w:r>
                    <w:rPr>
                      <w:rFonts w:hint="eastAsia"/>
                      <w:color w:val="000000" w:themeColor="text1"/>
                      <w14:textFill>
                        <w14:solidFill>
                          <w14:schemeClr w14:val="tx1"/>
                        </w14:solidFill>
                      </w14:textFill>
                    </w:rPr>
                    <w:t>氨气</w:t>
                  </w:r>
                  <w:r>
                    <w:rPr>
                      <w:rStyle w:val="22"/>
                      <w:b w:val="0"/>
                      <w:color w:val="000000" w:themeColor="text1"/>
                      <w:szCs w:val="21"/>
                      <w14:textFill>
                        <w14:solidFill>
                          <w14:schemeClr w14:val="tx1"/>
                        </w14:solidFill>
                      </w14:textFill>
                    </w:rPr>
                    <w:t>（</w:t>
                  </w:r>
                  <w:r>
                    <w:rPr>
                      <w:rStyle w:val="22"/>
                      <w:rFonts w:hint="eastAsia"/>
                      <w:b w:val="0"/>
                      <w:color w:val="000000" w:themeColor="text1"/>
                      <w:szCs w:val="21"/>
                      <w14:textFill>
                        <w14:solidFill>
                          <w14:schemeClr w14:val="tx1"/>
                        </w14:solidFill>
                      </w14:textFill>
                    </w:rPr>
                    <w:t>1</w:t>
                  </w:r>
                  <w:r>
                    <w:rPr>
                      <w:rStyle w:val="22"/>
                      <w:b w:val="0"/>
                      <w:color w:val="000000" w:themeColor="text1"/>
                      <w:szCs w:val="21"/>
                      <w14:textFill>
                        <w14:solidFill>
                          <w14:schemeClr w14:val="tx1"/>
                        </w14:solidFill>
                      </w14:textFill>
                    </w:rPr>
                    <w:t>小时值）</w:t>
                  </w:r>
                </w:p>
              </w:tc>
              <w:tc>
                <w:tcPr>
                  <w:tcW w:w="423" w:type="pct"/>
                  <w:vMerge w:val="continue"/>
                  <w:shd w:val="clear" w:color="auto" w:fill="auto"/>
                  <w:vAlign w:val="center"/>
                </w:tcPr>
                <w:p>
                  <w:pPr>
                    <w:pStyle w:val="66"/>
                    <w:rPr>
                      <w:rStyle w:val="22"/>
                      <w:b w:val="0"/>
                      <w:color w:val="000000" w:themeColor="text1"/>
                      <w:szCs w:val="21"/>
                      <w14:textFill>
                        <w14:solidFill>
                          <w14:schemeClr w14:val="tx1"/>
                        </w14:solidFill>
                      </w14:textFill>
                    </w:rPr>
                  </w:pPr>
                </w:p>
              </w:tc>
              <w:tc>
                <w:tcPr>
                  <w:tcW w:w="1865" w:type="pct"/>
                  <w:shd w:val="clear" w:color="auto" w:fill="auto"/>
                  <w:vAlign w:val="center"/>
                </w:tcPr>
                <w:p>
                  <w:pPr>
                    <w:pStyle w:val="66"/>
                    <w:rPr>
                      <w:rStyle w:val="22"/>
                      <w:b w:val="0"/>
                      <w:color w:val="000000" w:themeColor="text1"/>
                      <w:szCs w:val="2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0.01</w:t>
                  </w:r>
                  <w:r>
                    <w:rPr>
                      <w:rStyle w:val="22"/>
                      <w:b w:val="0"/>
                      <w:color w:val="000000" w:themeColor="text1"/>
                      <w:szCs w:val="21"/>
                      <w14:textFill>
                        <w14:solidFill>
                          <w14:schemeClr w14:val="tx1"/>
                        </w14:solidFill>
                      </w14:textFill>
                    </w:rPr>
                    <w:t>mg/m</w:t>
                  </w:r>
                  <w:r>
                    <w:rPr>
                      <w:rStyle w:val="22"/>
                      <w:b w:val="0"/>
                      <w:color w:val="000000" w:themeColor="text1"/>
                      <w:szCs w:val="21"/>
                      <w:vertAlign w:val="superscript"/>
                      <w14:textFill>
                        <w14:solidFill>
                          <w14:schemeClr w14:val="tx1"/>
                        </w14:solidFill>
                      </w14:textFill>
                    </w:rPr>
                    <w:t>3</w:t>
                  </w:r>
                </w:p>
              </w:tc>
              <w:tc>
                <w:tcPr>
                  <w:tcW w:w="731" w:type="pct"/>
                  <w:shd w:val="clear" w:color="auto" w:fill="auto"/>
                  <w:vAlign w:val="center"/>
                </w:tcPr>
                <w:p>
                  <w:pPr>
                    <w:pStyle w:val="66"/>
                    <w:rPr>
                      <w:rStyle w:val="22"/>
                      <w:b w:val="0"/>
                      <w:color w:val="000000" w:themeColor="text1"/>
                      <w:szCs w:val="21"/>
                      <w14:textFill>
                        <w14:solidFill>
                          <w14:schemeClr w14:val="tx1"/>
                        </w14:solidFill>
                      </w14:textFill>
                    </w:rPr>
                  </w:pPr>
                  <w:r>
                    <w:rPr>
                      <w:rStyle w:val="22"/>
                      <w:rFonts w:hint="eastAsia"/>
                      <w:b w:val="0"/>
                      <w:color w:val="000000" w:themeColor="text1"/>
                      <w:szCs w:val="21"/>
                      <w14:textFill>
                        <w14:solidFill>
                          <w14:schemeClr w14:val="tx1"/>
                        </w14:solidFill>
                      </w14:textFill>
                    </w:rPr>
                    <w:t>0.2</w:t>
                  </w:r>
                  <w:r>
                    <w:rPr>
                      <w:rStyle w:val="22"/>
                      <w:b w:val="0"/>
                      <w:color w:val="000000" w:themeColor="text1"/>
                      <w:szCs w:val="21"/>
                      <w14:textFill>
                        <w14:solidFill>
                          <w14:schemeClr w14:val="tx1"/>
                        </w14:solidFill>
                      </w14:textFill>
                    </w:rPr>
                    <w:t>mg/m</w:t>
                  </w:r>
                  <w:r>
                    <w:rPr>
                      <w:rStyle w:val="22"/>
                      <w:b w:val="0"/>
                      <w:color w:val="000000" w:themeColor="text1"/>
                      <w:szCs w:val="21"/>
                      <w:vertAlign w:val="superscript"/>
                      <w14:textFill>
                        <w14:solidFill>
                          <w14:schemeClr w14:val="tx1"/>
                        </w14:solidFill>
                      </w14:textFill>
                    </w:rPr>
                    <w:t>3</w:t>
                  </w:r>
                </w:p>
              </w:tc>
              <w:tc>
                <w:tcPr>
                  <w:tcW w:w="887" w:type="pct"/>
                  <w:shd w:val="clear" w:color="auto" w:fill="auto"/>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bCs/>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1094" w:type="pct"/>
                  <w:shd w:val="clear" w:color="auto" w:fill="auto"/>
                  <w:vAlign w:val="center"/>
                </w:tcPr>
                <w:p>
                  <w:pPr>
                    <w:pStyle w:val="66"/>
                    <w:rPr>
                      <w:rStyle w:val="22"/>
                      <w:b w:val="0"/>
                      <w:color w:val="000000" w:themeColor="text1"/>
                      <w:szCs w:val="21"/>
                      <w14:textFill>
                        <w14:solidFill>
                          <w14:schemeClr w14:val="tx1"/>
                        </w14:solidFill>
                      </w14:textFill>
                    </w:rPr>
                  </w:pPr>
                  <w:r>
                    <w:rPr>
                      <w:color w:val="000000" w:themeColor="text1"/>
                      <w14:textFill>
                        <w14:solidFill>
                          <w14:schemeClr w14:val="tx1"/>
                        </w14:solidFill>
                      </w14:textFill>
                    </w:rPr>
                    <w:t>臭气浓度</w:t>
                  </w:r>
                  <w:r>
                    <w:rPr>
                      <w:rStyle w:val="22"/>
                      <w:b w:val="0"/>
                      <w:color w:val="000000" w:themeColor="text1"/>
                      <w:szCs w:val="21"/>
                      <w14:textFill>
                        <w14:solidFill>
                          <w14:schemeClr w14:val="tx1"/>
                        </w14:solidFill>
                      </w14:textFill>
                    </w:rPr>
                    <w:t>（1小时值）</w:t>
                  </w:r>
                </w:p>
              </w:tc>
              <w:tc>
                <w:tcPr>
                  <w:tcW w:w="423" w:type="pct"/>
                  <w:vMerge w:val="continue"/>
                  <w:shd w:val="clear" w:color="auto" w:fill="auto"/>
                  <w:vAlign w:val="center"/>
                </w:tcPr>
                <w:p>
                  <w:pPr>
                    <w:pStyle w:val="66"/>
                    <w:rPr>
                      <w:rStyle w:val="22"/>
                      <w:b w:val="0"/>
                      <w:color w:val="000000" w:themeColor="text1"/>
                      <w:szCs w:val="21"/>
                      <w14:textFill>
                        <w14:solidFill>
                          <w14:schemeClr w14:val="tx1"/>
                        </w14:solidFill>
                      </w14:textFill>
                    </w:rPr>
                  </w:pPr>
                </w:p>
              </w:tc>
              <w:tc>
                <w:tcPr>
                  <w:tcW w:w="1865" w:type="pct"/>
                  <w:shd w:val="clear" w:color="auto" w:fill="auto"/>
                  <w:vAlign w:val="center"/>
                </w:tcPr>
                <w:p>
                  <w:pPr>
                    <w:pStyle w:val="66"/>
                    <w:rPr>
                      <w:rStyle w:val="22"/>
                      <w:b w:val="0"/>
                      <w:color w:val="000000" w:themeColor="text1"/>
                      <w:szCs w:val="21"/>
                      <w14:textFill>
                        <w14:solidFill>
                          <w14:schemeClr w14:val="tx1"/>
                        </w14:solidFill>
                      </w14:textFill>
                    </w:rPr>
                  </w:pPr>
                  <w:r>
                    <w:rPr>
                      <w:color w:val="000000" w:themeColor="text1"/>
                      <w:kern w:val="0"/>
                      <w14:textFill>
                        <w14:solidFill>
                          <w14:schemeClr w14:val="tx1"/>
                        </w14:solidFill>
                      </w14:textFill>
                    </w:rPr>
                    <w:t>＜10（无量纲）</w:t>
                  </w:r>
                  <w:r>
                    <w:rPr>
                      <w:rFonts w:hint="eastAsia"/>
                      <w:color w:val="000000" w:themeColor="text1"/>
                      <w:kern w:val="0"/>
                      <w14:textFill>
                        <w14:solidFill>
                          <w14:schemeClr w14:val="tx1"/>
                        </w14:solidFill>
                      </w14:textFill>
                    </w:rPr>
                    <w:t>~14</w:t>
                  </w:r>
                  <w:r>
                    <w:rPr>
                      <w:color w:val="000000" w:themeColor="text1"/>
                      <w:kern w:val="0"/>
                      <w14:textFill>
                        <w14:solidFill>
                          <w14:schemeClr w14:val="tx1"/>
                        </w14:solidFill>
                      </w14:textFill>
                    </w:rPr>
                    <w:t>（无量纲）</w:t>
                  </w:r>
                </w:p>
              </w:tc>
              <w:tc>
                <w:tcPr>
                  <w:tcW w:w="731" w:type="pct"/>
                  <w:shd w:val="clear" w:color="auto" w:fill="auto"/>
                  <w:vAlign w:val="center"/>
                </w:tcPr>
                <w:p>
                  <w:pPr>
                    <w:pStyle w:val="66"/>
                    <w:rPr>
                      <w:rStyle w:val="22"/>
                      <w:b w:val="0"/>
                      <w:color w:val="000000" w:themeColor="text1"/>
                      <w:szCs w:val="21"/>
                      <w14:textFill>
                        <w14:solidFill>
                          <w14:schemeClr w14:val="tx1"/>
                        </w14:solidFill>
                      </w14:textFill>
                    </w:rPr>
                  </w:pPr>
                  <w:r>
                    <w:rPr>
                      <w:rStyle w:val="22"/>
                      <w:b w:val="0"/>
                      <w:color w:val="000000" w:themeColor="text1"/>
                      <w:szCs w:val="21"/>
                      <w14:textFill>
                        <w14:solidFill>
                          <w14:schemeClr w14:val="tx1"/>
                        </w14:solidFill>
                      </w14:textFill>
                    </w:rPr>
                    <w:t>20（无量纲）</w:t>
                  </w:r>
                </w:p>
              </w:tc>
              <w:tc>
                <w:tcPr>
                  <w:tcW w:w="887" w:type="pct"/>
                  <w:shd w:val="clear" w:color="auto" w:fill="auto"/>
                  <w:vAlign w:val="center"/>
                </w:tcPr>
                <w:p>
                  <w:pPr>
                    <w:jc w:val="center"/>
                    <w:rPr>
                      <w:rFonts w:ascii="Times New Roman" w:hAnsi="Times New Roman"/>
                      <w:color w:val="000000" w:themeColor="text1"/>
                      <w:szCs w:val="21"/>
                      <w14:textFill>
                        <w14:solidFill>
                          <w14:schemeClr w14:val="tx1"/>
                        </w14:solidFill>
                      </w14:textFill>
                    </w:rPr>
                  </w:pPr>
                  <w:r>
                    <w:rPr>
                      <w:rStyle w:val="22"/>
                      <w:rFonts w:hint="eastAsia" w:ascii="Times New Roman" w:hAnsi="Times New Roman"/>
                      <w:b w:val="0"/>
                      <w:color w:val="000000" w:themeColor="text1"/>
                      <w:szCs w:val="21"/>
                      <w14:textFill>
                        <w14:solidFill>
                          <w14:schemeClr w14:val="tx1"/>
                        </w14:solidFill>
                      </w14:textFill>
                    </w:rPr>
                    <w:t>70%</w:t>
                  </w:r>
                </w:p>
              </w:tc>
            </w:tr>
          </w:tbl>
          <w:p>
            <w:pPr>
              <w:adjustRightInd w:val="0"/>
              <w:spacing w:line="360" w:lineRule="auto"/>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注：检测结果未检出或低于检出限时，本次评价不对此进行占标率统计计算。</w:t>
            </w:r>
          </w:p>
          <w:p>
            <w:pPr>
              <w:adjustRightIn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由上面监测数据可知，TSP监测值满足《环境空气质量标准》（GB3095-2012）及其修改单的二级标准要求，TVOC</w:t>
            </w:r>
            <w:r>
              <w:rPr>
                <w:rFonts w:hint="eastAsia" w:ascii="Times New Roman" w:hAnsi="Times New Roman"/>
                <w:color w:val="000000" w:themeColor="text1"/>
                <w:sz w:val="24"/>
                <w14:textFill>
                  <w14:solidFill>
                    <w14:schemeClr w14:val="tx1"/>
                  </w14:solidFill>
                </w14:textFill>
              </w:rPr>
              <w:t>、硫化氢、氨气</w:t>
            </w:r>
            <w:r>
              <w:rPr>
                <w:rFonts w:ascii="Times New Roman" w:hAnsi="Times New Roman"/>
                <w:color w:val="000000" w:themeColor="text1"/>
                <w:sz w:val="24"/>
                <w14:textFill>
                  <w14:solidFill>
                    <w14:schemeClr w14:val="tx1"/>
                  </w14:solidFill>
                </w14:textFill>
              </w:rPr>
              <w:t>监测值满足《环境影响评价技术导则 大气导则》（HJ2.2-2018）附录D其他污染物空气质量浓度参考限值，臭气浓度监测点的监测值满足《恶臭污染物排放标准》（GB14554-93）标准值。</w:t>
            </w:r>
          </w:p>
          <w:p>
            <w:pPr>
              <w:adjustRightInd w:val="0"/>
              <w:snapToGrid w:val="0"/>
              <w:spacing w:line="360" w:lineRule="auto"/>
              <w:ind w:firstLine="482" w:firstLineChars="200"/>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二、地表水环境</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根据《广东省地表水环境功能区划》（粤环[2011]14号），螺河、南北溪分别执行《地表水环境质量标准》（GB3838-2002）</w:t>
            </w:r>
            <w:r>
              <w:rPr>
                <w:rFonts w:hint="eastAsia" w:ascii="宋体" w:hAnsi="宋体" w:eastAsia="宋体" w:cs="宋体"/>
                <w:color w:val="000000" w:themeColor="text1"/>
                <w:sz w:val="24"/>
                <w14:textFill>
                  <w14:solidFill>
                    <w14:schemeClr w14:val="tx1"/>
                  </w14:solidFill>
                </w14:textFill>
              </w:rPr>
              <w:t>Ⅱ</w:t>
            </w:r>
            <w:r>
              <w:rPr>
                <w:rFonts w:ascii="Times New Roman" w:hAnsi="Times New Roman"/>
                <w:color w:val="000000" w:themeColor="text1"/>
                <w:sz w:val="24"/>
                <w14:textFill>
                  <w14:solidFill>
                    <w14:schemeClr w14:val="tx1"/>
                  </w14:solidFill>
                </w14:textFill>
              </w:rPr>
              <w:t>类、</w:t>
            </w:r>
            <w:r>
              <w:rPr>
                <w:rFonts w:hint="eastAsia" w:ascii="宋体" w:hAnsi="宋体" w:eastAsia="宋体" w:cs="宋体"/>
                <w:color w:val="000000" w:themeColor="text1"/>
                <w:sz w:val="24"/>
                <w14:textFill>
                  <w14:solidFill>
                    <w14:schemeClr w14:val="tx1"/>
                  </w14:solidFill>
                </w14:textFill>
              </w:rPr>
              <w:t>Ⅲ</w:t>
            </w:r>
            <w:r>
              <w:rPr>
                <w:rFonts w:ascii="Times New Roman" w:hAnsi="Times New Roman"/>
                <w:color w:val="000000" w:themeColor="text1"/>
                <w:sz w:val="24"/>
                <w14:textFill>
                  <w14:solidFill>
                    <w14:schemeClr w14:val="tx1"/>
                  </w14:solidFill>
                </w14:textFill>
              </w:rPr>
              <w:t>类标准。</w:t>
            </w:r>
          </w:p>
          <w:p>
            <w:pPr>
              <w:pStyle w:val="96"/>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本环评引用2019年陆河县环境保护监测站</w:t>
            </w:r>
            <w:r>
              <w:rPr>
                <w:rFonts w:hint="eastAsia" w:ascii="Times New Roman" w:hAnsi="Times New Roman"/>
                <w:color w:val="000000" w:themeColor="text1"/>
                <w14:textFill>
                  <w14:solidFill>
                    <w14:schemeClr w14:val="tx1"/>
                  </w14:solidFill>
                </w14:textFill>
              </w:rPr>
              <w:t>南北溪和汕尾市环境保护监测站螺河河二两个监测断面</w:t>
            </w:r>
            <w:r>
              <w:rPr>
                <w:rFonts w:ascii="Times New Roman" w:hAnsi="Times New Roman"/>
                <w:color w:val="000000" w:themeColor="text1"/>
                <w14:textFill>
                  <w14:solidFill>
                    <w14:schemeClr w14:val="tx1"/>
                  </w14:solidFill>
                </w14:textFill>
              </w:rPr>
              <w:t>的数据，具体见下表：</w:t>
            </w:r>
          </w:p>
          <w:p>
            <w:pPr>
              <w:pStyle w:val="76"/>
              <w:numPr>
                <w:ilvl w:val="0"/>
                <w:numId w:val="8"/>
              </w:numPr>
              <w:ind w:left="0" w:firstLine="0"/>
              <w:rPr>
                <w:color w:val="000000" w:themeColor="text1"/>
                <w14:textFill>
                  <w14:solidFill>
                    <w14:schemeClr w14:val="tx1"/>
                  </w14:solidFill>
                </w14:textFill>
              </w:rPr>
            </w:pPr>
            <w:r>
              <w:rPr>
                <w:color w:val="000000" w:themeColor="text1"/>
                <w14:textFill>
                  <w14:solidFill>
                    <w14:schemeClr w14:val="tx1"/>
                  </w14:solidFill>
                </w14:textFill>
              </w:rPr>
              <w:t>监测断面信息</w:t>
            </w:r>
          </w:p>
          <w:tbl>
            <w:tblPr>
              <w:tblStyle w:val="1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051"/>
              <w:gridCol w:w="3818"/>
              <w:gridCol w:w="1663"/>
              <w:gridCol w:w="120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175"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监测断面名称</w:t>
                  </w:r>
                </w:p>
              </w:tc>
              <w:tc>
                <w:tcPr>
                  <w:tcW w:w="218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断面位置</w:t>
                  </w:r>
                </w:p>
              </w:tc>
              <w:tc>
                <w:tcPr>
                  <w:tcW w:w="952"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所属水体</w:t>
                  </w:r>
                </w:p>
              </w:tc>
              <w:tc>
                <w:tcPr>
                  <w:tcW w:w="687"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175"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南北溪</w:t>
                  </w:r>
                </w:p>
              </w:tc>
              <w:tc>
                <w:tcPr>
                  <w:tcW w:w="218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E115.602822°，N23.176010°</w:t>
                  </w:r>
                </w:p>
              </w:tc>
              <w:tc>
                <w:tcPr>
                  <w:tcW w:w="952"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南北溪</w:t>
                  </w:r>
                </w:p>
              </w:tc>
              <w:tc>
                <w:tcPr>
                  <w:tcW w:w="687" w:type="pct"/>
                  <w:vAlign w:val="center"/>
                </w:tcPr>
                <w:p>
                  <w:pPr>
                    <w:pStyle w:val="66"/>
                    <w:rPr>
                      <w:rStyle w:val="22"/>
                      <w:b w:val="0"/>
                      <w:color w:val="000000" w:themeColor="text1"/>
                      <w14:textFill>
                        <w14:solidFill>
                          <w14:schemeClr w14:val="tx1"/>
                        </w14:solidFill>
                      </w14:textFill>
                    </w:rPr>
                  </w:pPr>
                  <w:r>
                    <w:rPr>
                      <w:rStyle w:val="22"/>
                      <w:rFonts w:hint="eastAsia" w:ascii="宋体" w:hAnsi="宋体" w:cs="宋体"/>
                      <w:b w:val="0"/>
                      <w:color w:val="000000" w:themeColor="text1"/>
                      <w:lang w:eastAsia="ja-JP"/>
                      <w14:textFill>
                        <w14:solidFill>
                          <w14:schemeClr w14:val="tx1"/>
                        </w14:solidFill>
                      </w14:textFill>
                    </w:rPr>
                    <w:t>Ⅲ</w:t>
                  </w:r>
                  <w:r>
                    <w:rPr>
                      <w:rStyle w:val="22"/>
                      <w:b w:val="0"/>
                      <w:color w:val="000000" w:themeColor="text1"/>
                      <w14:textFill>
                        <w14:solidFill>
                          <w14:schemeClr w14:val="tx1"/>
                        </w14:solidFill>
                      </w14:textFill>
                    </w:rPr>
                    <w:t>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175"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螺河河二</w:t>
                  </w:r>
                </w:p>
              </w:tc>
              <w:tc>
                <w:tcPr>
                  <w:tcW w:w="218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E115.589819°，N23.148844°</w:t>
                  </w:r>
                </w:p>
              </w:tc>
              <w:tc>
                <w:tcPr>
                  <w:tcW w:w="952"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螺河</w:t>
                  </w:r>
                </w:p>
              </w:tc>
              <w:tc>
                <w:tcPr>
                  <w:tcW w:w="687" w:type="pct"/>
                  <w:vAlign w:val="center"/>
                </w:tcPr>
                <w:p>
                  <w:pPr>
                    <w:pStyle w:val="66"/>
                    <w:rPr>
                      <w:rStyle w:val="22"/>
                      <w:b w:val="0"/>
                      <w:color w:val="000000" w:themeColor="text1"/>
                      <w14:textFill>
                        <w14:solidFill>
                          <w14:schemeClr w14:val="tx1"/>
                        </w14:solidFill>
                      </w14:textFill>
                    </w:rPr>
                  </w:pPr>
                  <w:r>
                    <w:rPr>
                      <w:rStyle w:val="22"/>
                      <w:rFonts w:hint="eastAsia" w:ascii="宋体" w:hAnsi="宋体" w:cs="宋体"/>
                      <w:b w:val="0"/>
                      <w:color w:val="000000" w:themeColor="text1"/>
                      <w14:textFill>
                        <w14:solidFill>
                          <w14:schemeClr w14:val="tx1"/>
                        </w14:solidFill>
                      </w14:textFill>
                    </w:rPr>
                    <w:t>Ⅱ</w:t>
                  </w:r>
                  <w:r>
                    <w:rPr>
                      <w:rStyle w:val="22"/>
                      <w:b w:val="0"/>
                      <w:color w:val="000000" w:themeColor="text1"/>
                      <w14:textFill>
                        <w14:solidFill>
                          <w14:schemeClr w14:val="tx1"/>
                        </w14:solidFill>
                      </w14:textFill>
                    </w:rPr>
                    <w:t>类</w:t>
                  </w:r>
                </w:p>
              </w:tc>
            </w:tr>
          </w:tbl>
          <w:p>
            <w:pPr>
              <w:pStyle w:val="76"/>
              <w:numPr>
                <w:ilvl w:val="0"/>
                <w:numId w:val="0"/>
              </w:num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486400" cy="3563620"/>
                  <wp:effectExtent l="19050" t="19050" r="19050" b="177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5"/>
                          <a:stretch>
                            <a:fillRect/>
                          </a:stretch>
                        </pic:blipFill>
                        <pic:spPr>
                          <a:xfrm>
                            <a:off x="0" y="0"/>
                            <a:ext cx="5486400" cy="3563620"/>
                          </a:xfrm>
                          <a:prstGeom prst="rect">
                            <a:avLst/>
                          </a:prstGeom>
                          <a:ln>
                            <a:solidFill>
                              <a:schemeClr val="tx1"/>
                            </a:solidFill>
                          </a:ln>
                        </pic:spPr>
                      </pic:pic>
                    </a:graphicData>
                  </a:graphic>
                </wp:inline>
              </w:drawing>
            </w:r>
          </w:p>
          <w:p>
            <w:pPr>
              <w:pStyle w:val="59"/>
              <w:numPr>
                <w:ilvl w:val="0"/>
                <w:numId w:val="9"/>
              </w:numPr>
              <w:ind w:left="0" w:firstLine="0" w:firstLineChars="0"/>
              <w:jc w:val="center"/>
              <w:rPr>
                <w:color w:val="000000" w:themeColor="text1"/>
                <w14:textFill>
                  <w14:solidFill>
                    <w14:schemeClr w14:val="tx1"/>
                  </w14:solidFill>
                </w14:textFill>
              </w:rPr>
            </w:pPr>
            <w:r>
              <w:rPr>
                <w:rFonts w:hint="eastAsia"/>
                <w:b/>
                <w:color w:val="000000" w:themeColor="text1"/>
                <w:sz w:val="24"/>
                <w14:textFill>
                  <w14:solidFill>
                    <w14:schemeClr w14:val="tx1"/>
                  </w14:solidFill>
                </w14:textFill>
              </w:rPr>
              <w:t>地表水监测断面图</w:t>
            </w:r>
          </w:p>
          <w:p>
            <w:pPr>
              <w:pStyle w:val="76"/>
              <w:numPr>
                <w:ilvl w:val="0"/>
                <w:numId w:val="8"/>
              </w:numPr>
              <w:ind w:left="0" w:firstLine="0"/>
              <w:rPr>
                <w:color w:val="000000" w:themeColor="text1"/>
                <w14:textFill>
                  <w14:solidFill>
                    <w14:schemeClr w14:val="tx1"/>
                  </w14:solidFill>
                </w14:textFill>
              </w:rPr>
            </w:pPr>
            <w:r>
              <w:rPr>
                <w:color w:val="000000" w:themeColor="text1"/>
                <w14:textFill>
                  <w14:solidFill>
                    <w14:schemeClr w14:val="tx1"/>
                  </w14:solidFill>
                </w14:textFill>
              </w:rPr>
              <w:t>2019年常规监测数据（单位：mg/L）</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108" w:type="dxa"/>
                <w:bottom w:w="0" w:type="dxa"/>
                <w:right w:w="108" w:type="dxa"/>
              </w:tblCellMar>
            </w:tblPr>
            <w:tblGrid>
              <w:gridCol w:w="2086"/>
              <w:gridCol w:w="1467"/>
              <w:gridCol w:w="1764"/>
              <w:gridCol w:w="1764"/>
              <w:gridCol w:w="1661"/>
            </w:tblGrid>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1193" w:type="pct"/>
                  <w:vMerge w:val="restar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年份</w:t>
                  </w:r>
                </w:p>
              </w:tc>
              <w:tc>
                <w:tcPr>
                  <w:tcW w:w="1848" w:type="pct"/>
                  <w:gridSpan w:val="2"/>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南北溪</w:t>
                  </w:r>
                </w:p>
              </w:tc>
              <w:tc>
                <w:tcPr>
                  <w:tcW w:w="1959" w:type="pct"/>
                  <w:gridSpan w:val="2"/>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螺河河二</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1193" w:type="pct"/>
                  <w:vMerge w:val="continue"/>
                  <w:vAlign w:val="center"/>
                </w:tcPr>
                <w:p>
                  <w:pPr>
                    <w:pStyle w:val="66"/>
                    <w:rPr>
                      <w:rStyle w:val="22"/>
                      <w:b w:val="0"/>
                      <w:color w:val="000000" w:themeColor="text1"/>
                      <w14:textFill>
                        <w14:solidFill>
                          <w14:schemeClr w14:val="tx1"/>
                        </w14:solidFill>
                      </w14:textFill>
                    </w:rPr>
                  </w:pPr>
                </w:p>
              </w:tc>
              <w:tc>
                <w:tcPr>
                  <w:tcW w:w="83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监测值</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占标率</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监测值</w:t>
                  </w:r>
                </w:p>
              </w:tc>
              <w:tc>
                <w:tcPr>
                  <w:tcW w:w="950"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占标率</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1193"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水温（</w:t>
                  </w:r>
                  <w:r>
                    <w:rPr>
                      <w:rStyle w:val="22"/>
                      <w:rFonts w:hint="eastAsia" w:ascii="宋体" w:hAnsi="宋体" w:cs="宋体"/>
                      <w:b w:val="0"/>
                      <w:color w:val="000000" w:themeColor="text1"/>
                      <w14:textFill>
                        <w14:solidFill>
                          <w14:schemeClr w14:val="tx1"/>
                        </w14:solidFill>
                      </w14:textFill>
                    </w:rPr>
                    <w:t>℃</w:t>
                  </w:r>
                  <w:r>
                    <w:rPr>
                      <w:rStyle w:val="22"/>
                      <w:b w:val="0"/>
                      <w:color w:val="000000" w:themeColor="text1"/>
                      <w14:textFill>
                        <w14:solidFill>
                          <w14:schemeClr w14:val="tx1"/>
                        </w14:solidFill>
                      </w14:textFill>
                    </w:rPr>
                    <w:t>）</w:t>
                  </w:r>
                </w:p>
              </w:tc>
              <w:tc>
                <w:tcPr>
                  <w:tcW w:w="83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28.6</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24.0</w:t>
                  </w:r>
                </w:p>
              </w:tc>
              <w:tc>
                <w:tcPr>
                  <w:tcW w:w="950"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1193"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pH（无量纲）</w:t>
                  </w:r>
                </w:p>
              </w:tc>
              <w:tc>
                <w:tcPr>
                  <w:tcW w:w="83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7.33</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16.5%</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7.</w:t>
                  </w:r>
                  <w:r>
                    <w:rPr>
                      <w:rStyle w:val="22"/>
                      <w:rFonts w:hint="eastAsia"/>
                      <w:b w:val="0"/>
                      <w:color w:val="000000" w:themeColor="text1"/>
                      <w14:textFill>
                        <w14:solidFill>
                          <w14:schemeClr w14:val="tx1"/>
                        </w14:solidFill>
                      </w14:textFill>
                    </w:rPr>
                    <w:t>0</w:t>
                  </w:r>
                  <w:r>
                    <w:rPr>
                      <w:rStyle w:val="22"/>
                      <w:b w:val="0"/>
                      <w:color w:val="000000" w:themeColor="text1"/>
                      <w14:textFill>
                        <w14:solidFill>
                          <w14:schemeClr w14:val="tx1"/>
                        </w14:solidFill>
                      </w14:textFill>
                    </w:rPr>
                    <w:t>45</w:t>
                  </w:r>
                </w:p>
              </w:tc>
              <w:tc>
                <w:tcPr>
                  <w:tcW w:w="950"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2.3%</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1193"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溶解氧</w:t>
                  </w:r>
                </w:p>
              </w:tc>
              <w:tc>
                <w:tcPr>
                  <w:tcW w:w="83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7.95</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6.3%</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7.9</w:t>
                  </w:r>
                </w:p>
              </w:tc>
              <w:tc>
                <w:tcPr>
                  <w:tcW w:w="950"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75.5%</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1193"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高锰酸钾指数</w:t>
                  </w:r>
                </w:p>
              </w:tc>
              <w:tc>
                <w:tcPr>
                  <w:tcW w:w="83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2.35</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3</w:t>
                  </w:r>
                  <w:r>
                    <w:rPr>
                      <w:rStyle w:val="22"/>
                      <w:rFonts w:hint="eastAsia"/>
                      <w:b w:val="0"/>
                      <w:color w:val="000000" w:themeColor="text1"/>
                      <w14:textFill>
                        <w14:solidFill>
                          <w14:schemeClr w14:val="tx1"/>
                        </w14:solidFill>
                      </w14:textFill>
                    </w:rPr>
                    <w:t>9.2</w:t>
                  </w:r>
                  <w:r>
                    <w:rPr>
                      <w:rStyle w:val="22"/>
                      <w:b w:val="0"/>
                      <w:color w:val="000000" w:themeColor="text1"/>
                      <w14:textFill>
                        <w14:solidFill>
                          <w14:schemeClr w14:val="tx1"/>
                        </w14:solidFill>
                      </w14:textFill>
                    </w:rPr>
                    <w:t>%</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3.39</w:t>
                  </w:r>
                </w:p>
              </w:tc>
              <w:tc>
                <w:tcPr>
                  <w:tcW w:w="950"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84.8%</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c>
                <w:tcPr>
                  <w:tcW w:w="1193"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化学需氧量</w:t>
                  </w:r>
                </w:p>
              </w:tc>
              <w:tc>
                <w:tcPr>
                  <w:tcW w:w="83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10</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50%</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10</w:t>
                  </w:r>
                </w:p>
              </w:tc>
              <w:tc>
                <w:tcPr>
                  <w:tcW w:w="950"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66.7%</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1193"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五日生化需氧量</w:t>
                  </w:r>
                </w:p>
              </w:tc>
              <w:tc>
                <w:tcPr>
                  <w:tcW w:w="83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0.5</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12.5%</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2.1</w:t>
                  </w:r>
                </w:p>
              </w:tc>
              <w:tc>
                <w:tcPr>
                  <w:tcW w:w="950"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71.4%</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1193"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氨氮</w:t>
                  </w:r>
                </w:p>
              </w:tc>
              <w:tc>
                <w:tcPr>
                  <w:tcW w:w="83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0.274</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27.4%</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0.033</w:t>
                  </w:r>
                </w:p>
              </w:tc>
              <w:tc>
                <w:tcPr>
                  <w:tcW w:w="950"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6.6%</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c>
                <w:tcPr>
                  <w:tcW w:w="1193"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总磷</w:t>
                  </w:r>
                </w:p>
              </w:tc>
              <w:tc>
                <w:tcPr>
                  <w:tcW w:w="83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0.04</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20%</w:t>
                  </w:r>
                </w:p>
              </w:tc>
              <w:tc>
                <w:tcPr>
                  <w:tcW w:w="1009"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0.07</w:t>
                  </w:r>
                </w:p>
              </w:tc>
              <w:tc>
                <w:tcPr>
                  <w:tcW w:w="950"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66.7%</w:t>
                  </w:r>
                </w:p>
              </w:tc>
            </w:tr>
          </w:tbl>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监测数据表明，2019年南北溪、螺河河二监测断面各污染物指标均满足《地表水境质量标准》（GB3838-2002）III类、II类标准。</w:t>
            </w:r>
          </w:p>
          <w:p>
            <w:pPr>
              <w:spacing w:line="360" w:lineRule="auto"/>
              <w:ind w:firstLine="482" w:firstLineChars="200"/>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三、声环境</w:t>
            </w:r>
          </w:p>
          <w:p>
            <w:pPr>
              <w:adjustRightInd w:val="0"/>
              <w:spacing w:line="360" w:lineRule="auto"/>
              <w:ind w:firstLine="480" w:firstLineChars="20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本项目所在地属于声环境3类区域，执行《声环境质量标准》（GB3096-2008）中的3类标准。本项目厂界外周边50米范围内不存在声环境保护目标，因此无需监测声环境质量现状。</w:t>
            </w:r>
          </w:p>
          <w:p>
            <w:pPr>
              <w:adjustRightInd w:val="0"/>
              <w:spacing w:line="360" w:lineRule="auto"/>
              <w:ind w:firstLine="482" w:firstLineChars="200"/>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五、生态环境</w:t>
            </w:r>
          </w:p>
          <w:p>
            <w:pPr>
              <w:adjustRightIn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本项目</w:t>
            </w:r>
            <w:r>
              <w:rPr>
                <w:rFonts w:hint="eastAsia" w:ascii="Times New Roman" w:hAnsi="Times New Roman"/>
                <w:color w:val="000000" w:themeColor="text1"/>
                <w:sz w:val="24"/>
                <w14:textFill>
                  <w14:solidFill>
                    <w14:schemeClr w14:val="tx1"/>
                  </w14:solidFill>
                </w14:textFill>
              </w:rPr>
              <w:t>1224m</w:t>
            </w:r>
            <w:r>
              <w:rPr>
                <w:rFonts w:hint="eastAsia" w:ascii="Times New Roman" w:hAnsi="Times New Roman"/>
                <w:color w:val="000000" w:themeColor="text1"/>
                <w:sz w:val="24"/>
                <w:vertAlign w:val="superscript"/>
                <w14:textFill>
                  <w14:solidFill>
                    <w14:schemeClr w14:val="tx1"/>
                  </w14:solidFill>
                </w14:textFill>
              </w:rPr>
              <w:t>2</w:t>
            </w:r>
            <w:r>
              <w:rPr>
                <w:rFonts w:ascii="Times New Roman" w:hAnsi="Times New Roman"/>
                <w:color w:val="000000" w:themeColor="text1"/>
                <w:sz w:val="24"/>
                <w14:textFill>
                  <w14:solidFill>
                    <w14:schemeClr w14:val="tx1"/>
                  </w14:solidFill>
                </w14:textFill>
              </w:rPr>
              <w:t>占地</w:t>
            </w:r>
            <w:r>
              <w:rPr>
                <w:rFonts w:hint="eastAsia" w:ascii="Times New Roman" w:hAnsi="Times New Roman"/>
                <w:color w:val="000000" w:themeColor="text1"/>
                <w:sz w:val="24"/>
                <w14:textFill>
                  <w14:solidFill>
                    <w14:schemeClr w14:val="tx1"/>
                  </w14:solidFill>
                </w14:textFill>
              </w:rPr>
              <w:t>位于陆河县产业转移工业园区红线范围内，其余876 m</w:t>
            </w:r>
            <w:r>
              <w:rPr>
                <w:rFonts w:hint="eastAsia" w:ascii="Times New Roman" w:hAnsi="Times New Roman"/>
                <w:color w:val="000000" w:themeColor="text1"/>
                <w:sz w:val="24"/>
                <w:vertAlign w:val="superscript"/>
                <w14:textFill>
                  <w14:solidFill>
                    <w14:schemeClr w14:val="tx1"/>
                  </w14:solidFill>
                </w14:textFill>
              </w:rPr>
              <w:t>2</w:t>
            </w:r>
            <w:r>
              <w:rPr>
                <w:rFonts w:hint="eastAsia" w:ascii="Times New Roman" w:hAnsi="Times New Roman"/>
                <w:color w:val="000000" w:themeColor="text1"/>
                <w:sz w:val="24"/>
                <w14:textFill>
                  <w14:solidFill>
                    <w14:schemeClr w14:val="tx1"/>
                  </w14:solidFill>
                </w14:textFill>
              </w:rPr>
              <w:t>占地位于陆河县产业转移工业园区红线范围外</w:t>
            </w:r>
            <w:r>
              <w:rPr>
                <w:rFonts w:ascii="Times New Roman" w:hAnsi="Times New Roman"/>
                <w:color w:val="000000" w:themeColor="text1"/>
                <w:sz w:val="24"/>
                <w14:textFill>
                  <w14:solidFill>
                    <w14:schemeClr w14:val="tx1"/>
                  </w14:solidFill>
                </w14:textFill>
              </w:rPr>
              <w:t>，本项目属于工业用地，</w:t>
            </w:r>
            <w:r>
              <w:rPr>
                <w:rFonts w:ascii="Times New Roman" w:hAnsi="Times New Roman"/>
                <w:color w:val="000000" w:themeColor="text1"/>
                <w:sz w:val="24"/>
                <w:szCs w:val="22"/>
                <w14:textFill>
                  <w14:solidFill>
                    <w14:schemeClr w14:val="tx1"/>
                  </w14:solidFill>
                </w14:textFill>
              </w:rPr>
              <w:t>不涉及风景名胜区、自然保护区等</w:t>
            </w:r>
            <w:r>
              <w:rPr>
                <w:rFonts w:ascii="Times New Roman" w:hAnsi="Times New Roman"/>
                <w:color w:val="000000" w:themeColor="text1"/>
                <w:sz w:val="24"/>
                <w14:textFill>
                  <w14:solidFill>
                    <w14:schemeClr w14:val="tx1"/>
                  </w14:solidFill>
                </w14:textFill>
              </w:rPr>
              <w:t>生态环境保护目标。</w:t>
            </w:r>
          </w:p>
          <w:p>
            <w:pPr>
              <w:adjustRightInd w:val="0"/>
              <w:spacing w:line="360" w:lineRule="auto"/>
              <w:ind w:firstLine="482" w:firstLineChars="200"/>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六、地下水、</w:t>
            </w:r>
            <w:r>
              <w:rPr>
                <w:rFonts w:hint="eastAsia" w:ascii="Times New Roman" w:hAnsi="Times New Roman"/>
                <w:b/>
                <w:color w:val="000000" w:themeColor="text1"/>
                <w:sz w:val="24"/>
                <w14:textFill>
                  <w14:solidFill>
                    <w14:schemeClr w14:val="tx1"/>
                  </w14:solidFill>
                </w14:textFill>
              </w:rPr>
              <w:t>土壤环境</w:t>
            </w:r>
            <w:bookmarkStart w:id="2" w:name="_GoBack"/>
            <w:bookmarkEnd w:id="2"/>
          </w:p>
          <w:p>
            <w:pPr>
              <w:adjustRightIn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本项目属于中药饮片加工产业。根据《环境影响评价技术导则 地下水环境》（HJ610-2016），项目属于“M医药——71、92、中成药制造、中药饮片加工”中的编制报告表类别，对应属于“—”，环境敏感程度属于不敏感，可不开展地下水环境影响评价工作；根据《环境影响评价技术导则 土壤环境（试行）》（HJ 964-2018）附录A，参照“石油、化工行业类别——其他”，为</w:t>
            </w:r>
            <w:r>
              <w:rPr>
                <w:rFonts w:hint="eastAsia" w:ascii="宋体" w:hAnsi="宋体" w:eastAsia="宋体" w:cs="宋体"/>
                <w:color w:val="000000" w:themeColor="text1"/>
                <w:sz w:val="24"/>
                <w14:textFill>
                  <w14:solidFill>
                    <w14:schemeClr w14:val="tx1"/>
                  </w14:solidFill>
                </w14:textFill>
              </w:rPr>
              <w:t>Ⅲ</w:t>
            </w:r>
            <w:r>
              <w:rPr>
                <w:rFonts w:ascii="Times New Roman" w:hAnsi="Times New Roman"/>
                <w:color w:val="000000" w:themeColor="text1"/>
                <w:sz w:val="24"/>
                <w14:textFill>
                  <w14:solidFill>
                    <w14:schemeClr w14:val="tx1"/>
                  </w14:solidFill>
                </w14:textFill>
              </w:rPr>
              <w:t>类；占地2100m</w:t>
            </w:r>
            <w:r>
              <w:rPr>
                <w:rFonts w:ascii="Times New Roman" w:hAnsi="Times New Roman"/>
                <w:color w:val="000000" w:themeColor="text1"/>
                <w:sz w:val="24"/>
                <w:vertAlign w:val="superscript"/>
                <w14:textFill>
                  <w14:solidFill>
                    <w14:schemeClr w14:val="tx1"/>
                  </w14:solidFill>
                </w14:textFill>
              </w:rPr>
              <w:t>2</w:t>
            </w:r>
            <w:r>
              <w:rPr>
                <w:rFonts w:ascii="Times New Roman" w:hAnsi="Times New Roman"/>
                <w:color w:val="000000" w:themeColor="text1"/>
                <w:sz w:val="24"/>
                <w14:textFill>
                  <w14:solidFill>
                    <w14:schemeClr w14:val="tx1"/>
                  </w14:solidFill>
                </w14:textFill>
              </w:rPr>
              <w:t>&lt;5hm</w:t>
            </w:r>
            <w:r>
              <w:rPr>
                <w:rFonts w:ascii="Times New Roman" w:hAnsi="Times New Roman"/>
                <w:color w:val="000000" w:themeColor="text1"/>
                <w:sz w:val="24"/>
                <w:vertAlign w:val="superscript"/>
                <w14:textFill>
                  <w14:solidFill>
                    <w14:schemeClr w14:val="tx1"/>
                  </w14:solidFill>
                </w14:textFill>
              </w:rPr>
              <w:t>2</w:t>
            </w:r>
            <w:r>
              <w:rPr>
                <w:rFonts w:ascii="Times New Roman" w:hAnsi="Times New Roman"/>
                <w:color w:val="000000" w:themeColor="text1"/>
                <w:sz w:val="24"/>
                <w14:textFill>
                  <w14:solidFill>
                    <w14:schemeClr w14:val="tx1"/>
                  </w14:solidFill>
                </w14:textFill>
              </w:rPr>
              <w:t>，属于为小型占地规模；项目位于工业园区内，土壤环境敏感程度为不敏感，因此可不开展土壤环境影响评价工作。</w:t>
            </w:r>
          </w:p>
          <w:p>
            <w:pPr>
              <w:adjustRightIn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hint="eastAsia" w:ascii="Times New Roman" w:hAnsi="Times New Roman"/>
                <w:color w:val="000000" w:themeColor="text1"/>
                <w:sz w:val="24"/>
                <w14:textFill>
                  <w14:solidFill>
                    <w14:schemeClr w14:val="tx1"/>
                  </w14:solidFill>
                </w14:textFill>
              </w:rPr>
              <w:t>本项目运营期储罐区、生产车间、污水处理站、危废暂存区等重点区域做好防渗防漏工程措施，用水泥硬化。则项目生产过程中无地下水、土壤污染途径，因此本次评价无需</w:t>
            </w:r>
            <w:r>
              <w:rPr>
                <w:rFonts w:ascii="Times New Roman" w:hAnsi="Times New Roman"/>
                <w:color w:val="000000" w:themeColor="text1"/>
                <w:sz w:val="24"/>
                <w14:textFill>
                  <w14:solidFill>
                    <w14:schemeClr w14:val="tx1"/>
                  </w14:solidFill>
                </w14:textFill>
              </w:rPr>
              <w:t>开展地下水、土壤现状调查。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175" w:type="pct"/>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环境</w:t>
            </w:r>
          </w:p>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保护</w:t>
            </w:r>
          </w:p>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目标</w:t>
            </w:r>
          </w:p>
        </w:tc>
        <w:tc>
          <w:tcPr>
            <w:tcW w:w="4825" w:type="pct"/>
            <w:vAlign w:val="center"/>
          </w:tcPr>
          <w:p>
            <w:pPr>
              <w:adjustRightInd w:val="0"/>
              <w:snapToGrid w:val="0"/>
              <w:spacing w:line="360" w:lineRule="auto"/>
              <w:ind w:firstLine="480" w:firstLineChars="20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1、大气环境</w:t>
            </w:r>
          </w:p>
          <w:p>
            <w:pPr>
              <w:adjustRightInd w:val="0"/>
              <w:snapToGrid w:val="0"/>
              <w:spacing w:line="360" w:lineRule="auto"/>
              <w:ind w:firstLine="480" w:firstLineChars="20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项目厂界外500米范围内大气环境敏感保护目标见下表：</w:t>
            </w:r>
          </w:p>
          <w:p>
            <w:pPr>
              <w:pStyle w:val="76"/>
              <w:numPr>
                <w:ilvl w:val="0"/>
                <w:numId w:val="8"/>
              </w:numPr>
              <w:ind w:left="0" w:firstLine="0"/>
              <w:rPr>
                <w:color w:val="000000" w:themeColor="text1"/>
                <w14:textFill>
                  <w14:solidFill>
                    <w14:schemeClr w14:val="tx1"/>
                  </w14:solidFill>
                </w14:textFill>
              </w:rPr>
            </w:pPr>
            <w:r>
              <w:rPr>
                <w:color w:val="000000" w:themeColor="text1"/>
                <w14:textFill>
                  <w14:solidFill>
                    <w14:schemeClr w14:val="tx1"/>
                  </w14:solidFill>
                </w14:textFill>
              </w:rPr>
              <w:t>大气环境保护目标</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04"/>
              <w:gridCol w:w="1430"/>
              <w:gridCol w:w="657"/>
              <w:gridCol w:w="659"/>
              <w:gridCol w:w="1150"/>
              <w:gridCol w:w="825"/>
              <w:gridCol w:w="1479"/>
              <w:gridCol w:w="988"/>
              <w:gridCol w:w="1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88" w:type="pct"/>
                  <w:vMerge w:val="restart"/>
                  <w:tcBorders>
                    <w:top w:val="single" w:color="auto" w:sz="4" w:space="0"/>
                    <w:left w:val="single" w:color="auto" w:sz="4" w:space="0"/>
                    <w:bottom w:val="single" w:color="auto" w:sz="4" w:space="0"/>
                    <w:right w:val="single" w:color="auto" w:sz="4" w:space="0"/>
                  </w:tcBorders>
                  <w:vAlign w:val="center"/>
                </w:tcPr>
                <w:p>
                  <w:pPr>
                    <w:wordWrap w:val="0"/>
                    <w:overflowPunct w:val="0"/>
                    <w:topLinePunct/>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序号</w:t>
                  </w:r>
                </w:p>
              </w:tc>
              <w:tc>
                <w:tcPr>
                  <w:tcW w:w="818" w:type="pct"/>
                  <w:vMerge w:val="restart"/>
                  <w:tcBorders>
                    <w:top w:val="single" w:color="auto" w:sz="4" w:space="0"/>
                    <w:left w:val="single" w:color="auto" w:sz="4" w:space="0"/>
                    <w:bottom w:val="single" w:color="auto" w:sz="4" w:space="0"/>
                    <w:right w:val="single" w:color="auto" w:sz="4" w:space="0"/>
                  </w:tcBorders>
                  <w:vAlign w:val="center"/>
                </w:tcPr>
                <w:p>
                  <w:pPr>
                    <w:wordWrap w:val="0"/>
                    <w:overflowPunct w:val="0"/>
                    <w:topLinePunct/>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敏感点名称</w:t>
                  </w:r>
                </w:p>
              </w:tc>
              <w:tc>
                <w:tcPr>
                  <w:tcW w:w="753" w:type="pct"/>
                  <w:gridSpan w:val="2"/>
                  <w:tcBorders>
                    <w:top w:val="single" w:color="auto" w:sz="4" w:space="0"/>
                    <w:left w:val="single" w:color="auto" w:sz="4" w:space="0"/>
                    <w:bottom w:val="single" w:color="auto" w:sz="4" w:space="0"/>
                    <w:right w:val="single" w:color="auto" w:sz="4" w:space="0"/>
                  </w:tcBorders>
                  <w:vAlign w:val="center"/>
                </w:tcPr>
                <w:p>
                  <w:pPr>
                    <w:wordWrap w:val="0"/>
                    <w:overflowPunct w:val="0"/>
                    <w:topLinePunct/>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坐标/m</w:t>
                  </w:r>
                </w:p>
              </w:tc>
              <w:tc>
                <w:tcPr>
                  <w:tcW w:w="658" w:type="pct"/>
                  <w:vMerge w:val="restart"/>
                  <w:tcBorders>
                    <w:top w:val="single" w:color="auto" w:sz="4" w:space="0"/>
                    <w:left w:val="single" w:color="auto" w:sz="4" w:space="0"/>
                    <w:bottom w:val="single" w:color="auto" w:sz="4" w:space="0"/>
                    <w:right w:val="single" w:color="auto" w:sz="4" w:space="0"/>
                  </w:tcBorders>
                  <w:vAlign w:val="center"/>
                </w:tcPr>
                <w:p>
                  <w:pPr>
                    <w:wordWrap w:val="0"/>
                    <w:overflowPunct w:val="0"/>
                    <w:topLinePunct/>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保护对象</w:t>
                  </w:r>
                </w:p>
              </w:tc>
              <w:tc>
                <w:tcPr>
                  <w:tcW w:w="472" w:type="pct"/>
                  <w:vMerge w:val="restart"/>
                  <w:tcBorders>
                    <w:top w:val="single" w:color="auto" w:sz="4" w:space="0"/>
                    <w:left w:val="single" w:color="auto" w:sz="4" w:space="0"/>
                    <w:bottom w:val="single" w:color="auto" w:sz="4" w:space="0"/>
                    <w:right w:val="single" w:color="auto" w:sz="4" w:space="0"/>
                  </w:tcBorders>
                  <w:vAlign w:val="center"/>
                </w:tcPr>
                <w:p>
                  <w:pPr>
                    <w:wordWrap w:val="0"/>
                    <w:overflowPunct w:val="0"/>
                    <w:topLinePunct/>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保护内容/人</w:t>
                  </w:r>
                </w:p>
              </w:tc>
              <w:tc>
                <w:tcPr>
                  <w:tcW w:w="846" w:type="pct"/>
                  <w:vMerge w:val="restart"/>
                  <w:tcBorders>
                    <w:top w:val="single" w:color="auto" w:sz="4" w:space="0"/>
                    <w:left w:val="single" w:color="auto" w:sz="4" w:space="0"/>
                    <w:bottom w:val="single" w:color="auto" w:sz="4" w:space="0"/>
                    <w:right w:val="single" w:color="auto" w:sz="4" w:space="0"/>
                  </w:tcBorders>
                  <w:vAlign w:val="center"/>
                </w:tcPr>
                <w:p>
                  <w:pPr>
                    <w:wordWrap w:val="0"/>
                    <w:overflowPunct w:val="0"/>
                    <w:topLinePunct/>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环境功能区</w:t>
                  </w:r>
                </w:p>
              </w:tc>
              <w:tc>
                <w:tcPr>
                  <w:tcW w:w="565" w:type="pct"/>
                  <w:vMerge w:val="restart"/>
                  <w:tcBorders>
                    <w:top w:val="single" w:color="auto" w:sz="4" w:space="0"/>
                    <w:left w:val="single" w:color="auto" w:sz="4" w:space="0"/>
                    <w:bottom w:val="single" w:color="auto" w:sz="4" w:space="0"/>
                    <w:right w:val="single" w:color="auto" w:sz="4" w:space="0"/>
                  </w:tcBorders>
                  <w:vAlign w:val="center"/>
                </w:tcPr>
                <w:p>
                  <w:pPr>
                    <w:wordWrap w:val="0"/>
                    <w:overflowPunct w:val="0"/>
                    <w:topLinePunct/>
                    <w:jc w:val="center"/>
                    <w:rPr>
                      <w:rFonts w:ascii="Times New Roman" w:hAnsi="Times New Roman"/>
                      <w:color w:val="000000" w:themeColor="text1"/>
                      <w:vertAlign w:val="superscript"/>
                      <w14:textFill>
                        <w14:solidFill>
                          <w14:schemeClr w14:val="tx1"/>
                        </w14:solidFill>
                      </w14:textFill>
                    </w:rPr>
                  </w:pPr>
                  <w:r>
                    <w:rPr>
                      <w:rFonts w:ascii="Times New Roman" w:hAnsi="Times New Roman"/>
                      <w:color w:val="000000" w:themeColor="text1"/>
                      <w14:textFill>
                        <w14:solidFill>
                          <w14:schemeClr w14:val="tx1"/>
                        </w14:solidFill>
                      </w14:textFill>
                    </w:rPr>
                    <w:t>相对厂址方位</w:t>
                  </w:r>
                </w:p>
              </w:tc>
              <w:tc>
                <w:tcPr>
                  <w:tcW w:w="600" w:type="pct"/>
                  <w:vMerge w:val="restart"/>
                  <w:tcBorders>
                    <w:top w:val="single" w:color="auto" w:sz="4" w:space="0"/>
                    <w:left w:val="single" w:color="auto" w:sz="4" w:space="0"/>
                    <w:bottom w:val="single" w:color="auto" w:sz="4" w:space="0"/>
                    <w:right w:val="single" w:color="auto" w:sz="4" w:space="0"/>
                  </w:tcBorders>
                  <w:vAlign w:val="center"/>
                </w:tcPr>
                <w:p>
                  <w:pPr>
                    <w:wordWrap w:val="0"/>
                    <w:overflowPunct w:val="0"/>
                    <w:topLinePunct/>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88"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olor w:val="000000" w:themeColor="text1"/>
                      <w14:textFill>
                        <w14:solidFill>
                          <w14:schemeClr w14:val="tx1"/>
                        </w14:solidFill>
                      </w14:textFill>
                    </w:rPr>
                  </w:pPr>
                </w:p>
              </w:tc>
              <w:tc>
                <w:tcPr>
                  <w:tcW w:w="818"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olor w:val="000000" w:themeColor="text1"/>
                      <w14:textFill>
                        <w14:solidFill>
                          <w14:schemeClr w14:val="tx1"/>
                        </w14:solidFill>
                      </w14:textFill>
                    </w:rPr>
                  </w:pPr>
                </w:p>
              </w:tc>
              <w:tc>
                <w:tcPr>
                  <w:tcW w:w="376" w:type="pct"/>
                  <w:tcBorders>
                    <w:top w:val="single" w:color="auto" w:sz="4" w:space="0"/>
                    <w:left w:val="single" w:color="auto" w:sz="4" w:space="0"/>
                    <w:bottom w:val="single" w:color="auto" w:sz="4" w:space="0"/>
                    <w:right w:val="single" w:color="auto" w:sz="4" w:space="0"/>
                  </w:tcBorders>
                  <w:vAlign w:val="center"/>
                </w:tcPr>
                <w:p>
                  <w:pPr>
                    <w:wordWrap w:val="0"/>
                    <w:overflowPunct w:val="0"/>
                    <w:topLinePunct/>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X</w:t>
                  </w:r>
                </w:p>
              </w:tc>
              <w:tc>
                <w:tcPr>
                  <w:tcW w:w="377" w:type="pct"/>
                  <w:tcBorders>
                    <w:top w:val="single" w:color="auto" w:sz="4" w:space="0"/>
                    <w:left w:val="single" w:color="auto" w:sz="4" w:space="0"/>
                    <w:bottom w:val="single" w:color="auto" w:sz="4" w:space="0"/>
                    <w:right w:val="single" w:color="auto" w:sz="4" w:space="0"/>
                  </w:tcBorders>
                  <w:vAlign w:val="center"/>
                </w:tcPr>
                <w:p>
                  <w:pPr>
                    <w:wordWrap w:val="0"/>
                    <w:overflowPunct w:val="0"/>
                    <w:topLinePunct/>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Y</w:t>
                  </w:r>
                </w:p>
              </w:tc>
              <w:tc>
                <w:tcPr>
                  <w:tcW w:w="658"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olor w:val="000000" w:themeColor="text1"/>
                      <w14:textFill>
                        <w14:solidFill>
                          <w14:schemeClr w14:val="tx1"/>
                        </w14:solidFill>
                      </w14:textFill>
                    </w:rPr>
                  </w:pPr>
                </w:p>
              </w:tc>
              <w:tc>
                <w:tcPr>
                  <w:tcW w:w="472"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olor w:val="000000" w:themeColor="text1"/>
                      <w14:textFill>
                        <w14:solidFill>
                          <w14:schemeClr w14:val="tx1"/>
                        </w14:solidFill>
                      </w14:textFill>
                    </w:rPr>
                  </w:pPr>
                </w:p>
              </w:tc>
              <w:tc>
                <w:tcPr>
                  <w:tcW w:w="846"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olor w:val="000000" w:themeColor="text1"/>
                      <w14:textFill>
                        <w14:solidFill>
                          <w14:schemeClr w14:val="tx1"/>
                        </w14:solidFill>
                      </w14:textFill>
                    </w:rPr>
                  </w:pPr>
                </w:p>
              </w:tc>
              <w:tc>
                <w:tcPr>
                  <w:tcW w:w="565"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olor w:val="000000" w:themeColor="text1"/>
                      <w14:textFill>
                        <w14:solidFill>
                          <w14:schemeClr w14:val="tx1"/>
                        </w14:solidFill>
                      </w14:textFill>
                    </w:rPr>
                  </w:pPr>
                </w:p>
              </w:tc>
              <w:tc>
                <w:tcPr>
                  <w:tcW w:w="600"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88" w:type="pct"/>
                  <w:tcBorders>
                    <w:top w:val="single" w:color="auto" w:sz="4" w:space="0"/>
                    <w:left w:val="single" w:color="auto" w:sz="4" w:space="0"/>
                    <w:bottom w:val="single" w:color="auto" w:sz="4" w:space="0"/>
                    <w:right w:val="single" w:color="auto" w:sz="4" w:space="0"/>
                  </w:tcBorders>
                  <w:vAlign w:val="center"/>
                </w:tcPr>
                <w:p>
                  <w:pPr>
                    <w:wordWrap w:val="0"/>
                    <w:overflowPunct w:val="0"/>
                    <w:topLinePunct/>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w:t>
                  </w:r>
                </w:p>
              </w:tc>
              <w:tc>
                <w:tcPr>
                  <w:tcW w:w="818" w:type="pct"/>
                  <w:tcBorders>
                    <w:top w:val="single" w:color="auto" w:sz="4" w:space="0"/>
                    <w:left w:val="single" w:color="auto" w:sz="4" w:space="0"/>
                    <w:bottom w:val="single" w:color="auto" w:sz="4" w:space="0"/>
                    <w:right w:val="single" w:color="auto" w:sz="4" w:space="0"/>
                  </w:tcBorders>
                  <w:vAlign w:val="center"/>
                </w:tcPr>
                <w:p>
                  <w:pPr>
                    <w:wordWrap w:val="0"/>
                    <w:overflowPunct w:val="0"/>
                    <w:topLinePunct/>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三峰村</w:t>
                  </w:r>
                </w:p>
              </w:tc>
              <w:tc>
                <w:tcPr>
                  <w:tcW w:w="376"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411</w:t>
                  </w:r>
                </w:p>
              </w:tc>
              <w:tc>
                <w:tcPr>
                  <w:tcW w:w="377"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196</w:t>
                  </w:r>
                </w:p>
              </w:tc>
              <w:tc>
                <w:tcPr>
                  <w:tcW w:w="658" w:type="pct"/>
                  <w:tcBorders>
                    <w:left w:val="single" w:color="auto" w:sz="4" w:space="0"/>
                    <w:right w:val="single" w:color="auto" w:sz="4" w:space="0"/>
                  </w:tcBorders>
                </w:tcPr>
                <w:p>
                  <w:pPr>
                    <w:pStyle w:val="66"/>
                    <w:rPr>
                      <w:color w:val="000000" w:themeColor="text1"/>
                      <w14:textFill>
                        <w14:solidFill>
                          <w14:schemeClr w14:val="tx1"/>
                        </w14:solidFill>
                      </w14:textFill>
                    </w:rPr>
                  </w:pPr>
                  <w:r>
                    <w:rPr>
                      <w:color w:val="000000" w:themeColor="text1"/>
                      <w14:textFill>
                        <w14:solidFill>
                          <w14:schemeClr w14:val="tx1"/>
                        </w14:solidFill>
                      </w14:textFill>
                    </w:rPr>
                    <w:t>居民区</w:t>
                  </w:r>
                </w:p>
              </w:tc>
              <w:tc>
                <w:tcPr>
                  <w:tcW w:w="472"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480</w:t>
                  </w:r>
                </w:p>
              </w:tc>
              <w:tc>
                <w:tcPr>
                  <w:tcW w:w="846" w:type="pct"/>
                  <w:tcBorders>
                    <w:top w:val="single" w:color="auto" w:sz="4" w:space="0"/>
                    <w:left w:val="single" w:color="auto" w:sz="4" w:space="0"/>
                    <w:right w:val="single" w:color="auto" w:sz="4" w:space="0"/>
                  </w:tcBorders>
                  <w:vAlign w:val="center"/>
                </w:tcPr>
                <w:p>
                  <w:pPr>
                    <w:wordWrap w:val="0"/>
                    <w:overflowPunct w:val="0"/>
                    <w:topLinePunct/>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大气二级</w:t>
                  </w:r>
                </w:p>
              </w:tc>
              <w:tc>
                <w:tcPr>
                  <w:tcW w:w="565"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东北</w:t>
                  </w:r>
                </w:p>
              </w:tc>
              <w:tc>
                <w:tcPr>
                  <w:tcW w:w="600"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451</w:t>
                  </w:r>
                </w:p>
              </w:tc>
            </w:tr>
          </w:tbl>
          <w:p>
            <w:pPr>
              <w:adjustRightInd w:val="0"/>
              <w:snapToGrid w:val="0"/>
              <w:spacing w:line="360" w:lineRule="auto"/>
              <w:ind w:firstLine="480" w:firstLineChars="20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2、声环境</w:t>
            </w:r>
          </w:p>
          <w:p>
            <w:pPr>
              <w:adjustRightInd w:val="0"/>
              <w:snapToGrid w:val="0"/>
              <w:spacing w:line="360" w:lineRule="auto"/>
              <w:ind w:firstLine="480" w:firstLineChars="20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厂界外50米范围内没有声环境保护目标。</w:t>
            </w:r>
          </w:p>
          <w:p>
            <w:pPr>
              <w:adjustRightInd w:val="0"/>
              <w:snapToGrid w:val="0"/>
              <w:spacing w:line="360" w:lineRule="auto"/>
              <w:ind w:firstLine="480" w:firstLineChars="20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3、地下水环境</w:t>
            </w:r>
          </w:p>
          <w:p>
            <w:pPr>
              <w:adjustRightInd w:val="0"/>
              <w:snapToGrid w:val="0"/>
              <w:spacing w:line="360" w:lineRule="auto"/>
              <w:ind w:firstLine="480" w:firstLineChars="20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项目厂界外 500 米范围内无地下水集中式饮用水水源和热水、矿泉水、温泉等特殊地下水资源，即项目厂界外 500 米范围内无地下水环境保护目标。</w:t>
            </w:r>
          </w:p>
          <w:p>
            <w:pPr>
              <w:adjustRightInd w:val="0"/>
              <w:snapToGrid w:val="0"/>
              <w:spacing w:line="360" w:lineRule="auto"/>
              <w:ind w:firstLine="480" w:firstLineChars="20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4、生态环境</w:t>
            </w:r>
          </w:p>
          <w:p>
            <w:pPr>
              <w:spacing w:line="360" w:lineRule="auto"/>
              <w:ind w:firstLine="480"/>
              <w:rPr>
                <w:rFonts w:ascii="Times New Roman" w:hAnsi="Times New Roman"/>
                <w:snapToGrid w:val="0"/>
                <w:color w:val="000000" w:themeColor="text1"/>
                <w:kern w:val="0"/>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本项目占地</w:t>
            </w:r>
            <w:r>
              <w:rPr>
                <w:rFonts w:hint="eastAsia" w:ascii="Times New Roman" w:hAnsi="Times New Roman"/>
                <w:color w:val="000000" w:themeColor="text1"/>
                <w:sz w:val="24"/>
                <w14:textFill>
                  <w14:solidFill>
                    <w14:schemeClr w14:val="tx1"/>
                  </w14:solidFill>
                </w14:textFill>
              </w:rPr>
              <w:t>中1224m</w:t>
            </w:r>
            <w:r>
              <w:rPr>
                <w:rFonts w:hint="eastAsia" w:ascii="Times New Roman" w:hAnsi="Times New Roman"/>
                <w:color w:val="000000" w:themeColor="text1"/>
                <w:sz w:val="24"/>
                <w:vertAlign w:val="superscript"/>
                <w14:textFill>
                  <w14:solidFill>
                    <w14:schemeClr w14:val="tx1"/>
                  </w14:solidFill>
                </w14:textFill>
              </w:rPr>
              <w:t>2</w:t>
            </w:r>
            <w:r>
              <w:rPr>
                <w:rFonts w:hint="eastAsia" w:ascii="Times New Roman" w:hAnsi="Times New Roman"/>
                <w:color w:val="000000" w:themeColor="text1"/>
                <w:sz w:val="24"/>
                <w14:textFill>
                  <w14:solidFill>
                    <w14:schemeClr w14:val="tx1"/>
                  </w14:solidFill>
                </w14:textFill>
              </w:rPr>
              <w:t>（生产车间大部分占地、办公楼、保卫室等）位于陆河县产业转移工业园区红线范围内，其余占地876 m</w:t>
            </w:r>
            <w:r>
              <w:rPr>
                <w:rFonts w:hint="eastAsia" w:ascii="Times New Roman" w:hAnsi="Times New Roman"/>
                <w:color w:val="000000" w:themeColor="text1"/>
                <w:sz w:val="24"/>
                <w:vertAlign w:val="superscript"/>
                <w14:textFill>
                  <w14:solidFill>
                    <w14:schemeClr w14:val="tx1"/>
                  </w14:solidFill>
                </w14:textFill>
              </w:rPr>
              <w:t>2</w:t>
            </w:r>
            <w:r>
              <w:rPr>
                <w:rFonts w:hint="eastAsia" w:ascii="Times New Roman" w:hAnsi="Times New Roman"/>
                <w:color w:val="000000" w:themeColor="text1"/>
                <w:sz w:val="24"/>
                <w14:textFill>
                  <w14:solidFill>
                    <w14:schemeClr w14:val="tx1"/>
                  </w14:solidFill>
                </w14:textFill>
              </w:rPr>
              <w:t>（生产车间小部分占地、锅炉房、污水站、酒精储罐区等）位于陆河县产业转移工业园区红线范围外，具体位置详见附图6。</w:t>
            </w:r>
          </w:p>
          <w:p>
            <w:pPr>
              <w:snapToGrid w:val="0"/>
              <w:spacing w:line="360" w:lineRule="auto"/>
              <w:ind w:firstLine="472" w:firstLineChars="197"/>
              <w:rPr>
                <w:rFonts w:ascii="Times New Roman" w:hAnsi="Times New Roman"/>
                <w:color w:val="000000" w:themeColor="text1"/>
                <w:kern w:val="0"/>
                <w:sz w:val="24"/>
                <w14:textFill>
                  <w14:solidFill>
                    <w14:schemeClr w14:val="tx1"/>
                  </w14:solidFill>
                </w14:textFill>
              </w:rPr>
            </w:pPr>
            <w:r>
              <w:rPr>
                <w:rFonts w:hint="eastAsia" w:ascii="Times New Roman" w:hAnsi="Times New Roman"/>
                <w:color w:val="000000" w:themeColor="text1"/>
                <w:sz w:val="24"/>
                <w14:textFill>
                  <w14:solidFill>
                    <w14:schemeClr w14:val="tx1"/>
                  </w14:solidFill>
                </w14:textFill>
              </w:rPr>
              <w:t>本项目用地属于工业用地，用地范围内不涉及风景名胜区、自然保护区等生态环境保护目标，</w:t>
            </w:r>
            <w:r>
              <w:rPr>
                <w:rFonts w:ascii="Times New Roman" w:hAnsi="Times New Roman"/>
                <w:snapToGrid w:val="0"/>
                <w:color w:val="000000" w:themeColor="text1"/>
                <w:kern w:val="0"/>
                <w:sz w:val="24"/>
                <w14:textFill>
                  <w14:solidFill>
                    <w14:schemeClr w14:val="tx1"/>
                  </w14:solidFill>
                </w14:textFill>
              </w:rPr>
              <w:t>无</w:t>
            </w:r>
            <w:r>
              <w:rPr>
                <w:rFonts w:ascii="Times New Roman" w:hAnsi="Times New Roman"/>
                <w:color w:val="000000" w:themeColor="text1"/>
                <w:kern w:val="0"/>
                <w:sz w:val="24"/>
                <w14:textFill>
                  <w14:solidFill>
                    <w14:schemeClr w14:val="tx1"/>
                  </w14:solidFill>
                </w14:textFill>
              </w:rPr>
              <w:t>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175" w:type="pct"/>
            <w:tcMar>
              <w:left w:w="28" w:type="dxa"/>
              <w:right w:w="28" w:type="dxa"/>
            </w:tcMar>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污染</w:t>
            </w:r>
          </w:p>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物排</w:t>
            </w:r>
          </w:p>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放控</w:t>
            </w:r>
          </w:p>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制标</w:t>
            </w:r>
          </w:p>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准</w:t>
            </w:r>
          </w:p>
        </w:tc>
        <w:tc>
          <w:tcPr>
            <w:tcW w:w="4825" w:type="pct"/>
            <w:vAlign w:val="center"/>
          </w:tcPr>
          <w:p>
            <w:pPr>
              <w:spacing w:line="360" w:lineRule="auto"/>
              <w:ind w:firstLine="482"/>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1、废水</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项目生活污水经预处理达到广东省《水污染物排放限值》（DB44/26-2001）第二时段三级标准后纳入到河口镇污水处理厂处理，河口镇污水处理厂尾水执行《地表水环境质量标准》（GB3838-2002）</w:t>
            </w:r>
            <w:r>
              <w:rPr>
                <w:rFonts w:hint="eastAsia" w:ascii="宋体" w:hAnsi="宋体" w:eastAsia="宋体" w:cs="宋体"/>
                <w:color w:val="000000" w:themeColor="text1"/>
                <w:sz w:val="24"/>
                <w14:textFill>
                  <w14:solidFill>
                    <w14:schemeClr w14:val="tx1"/>
                  </w14:solidFill>
                </w14:textFill>
              </w:rPr>
              <w:t>Ⅳ</w:t>
            </w:r>
            <w:r>
              <w:rPr>
                <w:rFonts w:ascii="Times New Roman" w:hAnsi="Times New Roman"/>
                <w:color w:val="000000" w:themeColor="text1"/>
                <w:sz w:val="24"/>
                <w14:textFill>
                  <w14:solidFill>
                    <w14:schemeClr w14:val="tx1"/>
                  </w14:solidFill>
                </w14:textFill>
              </w:rPr>
              <w:t>类标准，其余《地表水环境质量标准》（GB3838-2002）</w:t>
            </w:r>
            <w:r>
              <w:rPr>
                <w:rFonts w:hint="eastAsia" w:ascii="宋体" w:hAnsi="宋体" w:eastAsia="宋体" w:cs="宋体"/>
                <w:color w:val="000000" w:themeColor="text1"/>
                <w:sz w:val="24"/>
                <w14:textFill>
                  <w14:solidFill>
                    <w14:schemeClr w14:val="tx1"/>
                  </w14:solidFill>
                </w14:textFill>
              </w:rPr>
              <w:t>Ⅳ</w:t>
            </w:r>
            <w:r>
              <w:rPr>
                <w:rFonts w:ascii="Times New Roman" w:hAnsi="Times New Roman"/>
                <w:color w:val="000000" w:themeColor="text1"/>
                <w:sz w:val="24"/>
                <w14:textFill>
                  <w14:solidFill>
                    <w14:schemeClr w14:val="tx1"/>
                  </w14:solidFill>
                </w14:textFill>
              </w:rPr>
              <w:t>类标准未注明的指标，执行《城镇污水处理厂污染物排放标准》（GB18918-2002）一级A标准，尾水排至南北溪，最后汇入螺河。</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生产废水经自建污水处理站预处理达到广东省《水污染物排放限值》（DB44/26-2001）第二时段三级标准、工业污水处理厂进水水质要求及《中药类制药工业水污染物排放标准》（GB21906-2008）表2的较严值后纳入到工业污水处理厂处理，工业污水处理厂尾水执行《地表水环境质量标准》（GB3838-2002）</w:t>
            </w:r>
            <w:r>
              <w:rPr>
                <w:rFonts w:hint="eastAsia" w:ascii="宋体" w:hAnsi="宋体" w:eastAsia="宋体" w:cs="宋体"/>
                <w:color w:val="000000" w:themeColor="text1"/>
                <w:sz w:val="24"/>
                <w14:textFill>
                  <w14:solidFill>
                    <w14:schemeClr w14:val="tx1"/>
                  </w14:solidFill>
                </w14:textFill>
              </w:rPr>
              <w:t>Ⅳ</w:t>
            </w:r>
            <w:r>
              <w:rPr>
                <w:rFonts w:ascii="Times New Roman" w:hAnsi="Times New Roman"/>
                <w:color w:val="000000" w:themeColor="text1"/>
                <w:sz w:val="24"/>
                <w14:textFill>
                  <w14:solidFill>
                    <w14:schemeClr w14:val="tx1"/>
                  </w14:solidFill>
                </w14:textFill>
              </w:rPr>
              <w:t>类标准，其余《地表水环境质量标准》（GB3838-2002）</w:t>
            </w:r>
            <w:r>
              <w:rPr>
                <w:rFonts w:hint="eastAsia" w:ascii="宋体" w:hAnsi="宋体" w:eastAsia="宋体" w:cs="宋体"/>
                <w:color w:val="000000" w:themeColor="text1"/>
                <w:sz w:val="24"/>
                <w14:textFill>
                  <w14:solidFill>
                    <w14:schemeClr w14:val="tx1"/>
                  </w14:solidFill>
                </w14:textFill>
              </w:rPr>
              <w:t>Ⅳ</w:t>
            </w:r>
            <w:r>
              <w:rPr>
                <w:rFonts w:ascii="Times New Roman" w:hAnsi="Times New Roman"/>
                <w:color w:val="000000" w:themeColor="text1"/>
                <w:sz w:val="24"/>
                <w14:textFill>
                  <w14:solidFill>
                    <w14:schemeClr w14:val="tx1"/>
                  </w14:solidFill>
                </w14:textFill>
              </w:rPr>
              <w:t>类标准未注明的指标，执行《城镇污水处理厂污染物排放标准》（GB18918-2002）一级A标准，尾水排至经砂公磂河涌，最后汇入螺河。</w:t>
            </w:r>
          </w:p>
          <w:p>
            <w:pPr>
              <w:pStyle w:val="76"/>
              <w:numPr>
                <w:ilvl w:val="0"/>
                <w:numId w:val="8"/>
              </w:numPr>
              <w:ind w:left="0" w:firstLine="0"/>
              <w:rPr>
                <w:color w:val="000000" w:themeColor="text1"/>
                <w14:textFill>
                  <w14:solidFill>
                    <w14:schemeClr w14:val="tx1"/>
                  </w14:solidFill>
                </w14:textFill>
              </w:rPr>
            </w:pPr>
            <w:r>
              <w:rPr>
                <w:color w:val="000000" w:themeColor="text1"/>
                <w14:textFill>
                  <w14:solidFill>
                    <w14:schemeClr w14:val="tx1"/>
                  </w14:solidFill>
                </w14:textFill>
              </w:rPr>
              <w:t>污水处理厂接管及排放标准  单位：mg/L</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68"/>
              <w:gridCol w:w="3095"/>
              <w:gridCol w:w="568"/>
              <w:gridCol w:w="594"/>
              <w:gridCol w:w="570"/>
              <w:gridCol w:w="570"/>
              <w:gridCol w:w="650"/>
              <w:gridCol w:w="392"/>
              <w:gridCol w:w="395"/>
              <w:gridCol w:w="399"/>
              <w:gridCol w:w="414"/>
              <w:gridCol w:w="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1923" w:type="pct"/>
                  <w:gridSpan w:val="2"/>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标准</w:t>
                  </w:r>
                </w:p>
              </w:tc>
              <w:tc>
                <w:tcPr>
                  <w:tcW w:w="325"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pH</w:t>
                  </w:r>
                </w:p>
                <w:p>
                  <w:pPr>
                    <w:adjustRightInd w:val="0"/>
                    <w:snapToGrid w:val="0"/>
                    <w:jc w:val="center"/>
                    <w:rPr>
                      <w:rFonts w:ascii="Times New Roman" w:hAnsi="Times New Roman"/>
                      <w:color w:val="000000" w:themeColor="text1"/>
                      <w:szCs w:val="21"/>
                      <w14:textFill>
                        <w14:solidFill>
                          <w14:schemeClr w14:val="tx1"/>
                        </w14:solidFill>
                      </w14:textFill>
                    </w:rPr>
                  </w:pPr>
                  <w:r>
                    <w:rPr>
                      <w:rStyle w:val="22"/>
                      <w:rFonts w:ascii="Times New Roman" w:hAnsi="Times New Roman"/>
                      <w:b w:val="0"/>
                      <w:color w:val="000000" w:themeColor="text1"/>
                      <w14:textFill>
                        <w14:solidFill>
                          <w14:schemeClr w14:val="tx1"/>
                        </w14:solidFill>
                      </w14:textFill>
                    </w:rPr>
                    <w:t>(无量纲)</w:t>
                  </w:r>
                </w:p>
              </w:tc>
              <w:tc>
                <w:tcPr>
                  <w:tcW w:w="340"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色度(</w:t>
                  </w:r>
                  <w:r>
                    <w:rPr>
                      <w:rStyle w:val="22"/>
                      <w:rFonts w:ascii="Times New Roman" w:hAnsi="Times New Roman"/>
                      <w:b w:val="0"/>
                      <w:color w:val="000000" w:themeColor="text1"/>
                      <w14:textFill>
                        <w14:solidFill>
                          <w14:schemeClr w14:val="tx1"/>
                        </w14:solidFill>
                      </w14:textFill>
                    </w:rPr>
                    <w:t>稀释倍数)</w:t>
                  </w:r>
                </w:p>
              </w:tc>
              <w:tc>
                <w:tcPr>
                  <w:tcW w:w="326"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COD</w:t>
                  </w:r>
                  <w:r>
                    <w:rPr>
                      <w:rFonts w:ascii="Times New Roman" w:hAnsi="Times New Roman"/>
                      <w:color w:val="000000" w:themeColor="text1"/>
                      <w:szCs w:val="21"/>
                      <w:vertAlign w:val="subscript"/>
                      <w14:textFill>
                        <w14:solidFill>
                          <w14:schemeClr w14:val="tx1"/>
                        </w14:solidFill>
                      </w14:textFill>
                    </w:rPr>
                    <w:t>5</w:t>
                  </w:r>
                </w:p>
              </w:tc>
              <w:tc>
                <w:tcPr>
                  <w:tcW w:w="326"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BOD</w:t>
                  </w:r>
                  <w:r>
                    <w:rPr>
                      <w:rFonts w:ascii="Times New Roman" w:hAnsi="Times New Roman"/>
                      <w:color w:val="000000" w:themeColor="text1"/>
                      <w:szCs w:val="21"/>
                      <w:vertAlign w:val="subscript"/>
                      <w14:textFill>
                        <w14:solidFill>
                          <w14:schemeClr w14:val="tx1"/>
                        </w14:solidFill>
                      </w14:textFill>
                    </w:rPr>
                    <w:t>5</w:t>
                  </w:r>
                </w:p>
              </w:tc>
              <w:tc>
                <w:tcPr>
                  <w:tcW w:w="372"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NH</w:t>
                  </w:r>
                  <w:r>
                    <w:rPr>
                      <w:rFonts w:ascii="Times New Roman" w:hAnsi="Times New Roman"/>
                      <w:color w:val="000000" w:themeColor="text1"/>
                      <w:szCs w:val="21"/>
                      <w:vertAlign w:val="subscript"/>
                      <w14:textFill>
                        <w14:solidFill>
                          <w14:schemeClr w14:val="tx1"/>
                        </w14:solidFill>
                      </w14:textFill>
                    </w:rPr>
                    <w:t>3</w:t>
                  </w:r>
                  <w:r>
                    <w:rPr>
                      <w:rFonts w:ascii="Times New Roman" w:hAnsi="Times New Roman"/>
                      <w:color w:val="000000" w:themeColor="text1"/>
                      <w:szCs w:val="21"/>
                      <w14:textFill>
                        <w14:solidFill>
                          <w14:schemeClr w14:val="tx1"/>
                        </w14:solidFill>
                      </w14:textFill>
                    </w:rPr>
                    <w:t>-N</w:t>
                  </w:r>
                </w:p>
              </w:tc>
              <w:tc>
                <w:tcPr>
                  <w:tcW w:w="224"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SS</w:t>
                  </w:r>
                </w:p>
              </w:tc>
              <w:tc>
                <w:tcPr>
                  <w:tcW w:w="226"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TN</w:t>
                  </w:r>
                </w:p>
              </w:tc>
              <w:tc>
                <w:tcPr>
                  <w:tcW w:w="228"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TP</w:t>
                  </w:r>
                </w:p>
              </w:tc>
              <w:tc>
                <w:tcPr>
                  <w:tcW w:w="237"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动植物油</w:t>
                  </w:r>
                </w:p>
              </w:tc>
              <w:tc>
                <w:tcPr>
                  <w:tcW w:w="473"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单位产品基准排水量（m</w:t>
                  </w:r>
                  <w:r>
                    <w:rPr>
                      <w:rFonts w:ascii="Times New Roman" w:hAnsi="Times New Roman"/>
                      <w:color w:val="000000" w:themeColor="text1"/>
                      <w:szCs w:val="21"/>
                      <w:vertAlign w:val="superscript"/>
                      <w14:textFill>
                        <w14:solidFill>
                          <w14:schemeClr w14:val="tx1"/>
                        </w14:solidFill>
                      </w14:textFill>
                    </w:rPr>
                    <w:t>3</w:t>
                  </w:r>
                  <w:r>
                    <w:rPr>
                      <w:rFonts w:ascii="Times New Roman" w:hAnsi="Times New Roman"/>
                      <w:color w:val="000000" w:themeColor="text1"/>
                      <w:szCs w:val="21"/>
                      <w14:textFill>
                        <w14:solidFill>
                          <w14:schemeClr w14:val="tx1"/>
                        </w14:solidFill>
                      </w14:textFill>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153" w:type="pct"/>
                  <w:vMerge w:val="restart"/>
                  <w:vAlign w:val="center"/>
                </w:tcPr>
                <w:p>
                  <w:pPr>
                    <w:pStyle w:val="86"/>
                    <w:rPr>
                      <w:color w:val="000000" w:themeColor="text1"/>
                      <w14:textFill>
                        <w14:solidFill>
                          <w14:schemeClr w14:val="tx1"/>
                        </w14:solidFill>
                      </w14:textFill>
                    </w:rPr>
                  </w:pPr>
                  <w:r>
                    <w:rPr>
                      <w:color w:val="000000" w:themeColor="text1"/>
                      <w14:textFill>
                        <w14:solidFill>
                          <w14:schemeClr w14:val="tx1"/>
                        </w14:solidFill>
                      </w14:textFill>
                    </w:rPr>
                    <w:t>相关标准</w:t>
                  </w:r>
                </w:p>
              </w:tc>
              <w:tc>
                <w:tcPr>
                  <w:tcW w:w="1770" w:type="pct"/>
                  <w:vAlign w:val="center"/>
                </w:tcPr>
                <w:p>
                  <w:pPr>
                    <w:pStyle w:val="66"/>
                    <w:rPr>
                      <w:rStyle w:val="22"/>
                      <w:b w:val="0"/>
                      <w:color w:val="000000" w:themeColor="text1"/>
                      <w14:textFill>
                        <w14:solidFill>
                          <w14:schemeClr w14:val="tx1"/>
                        </w14:solidFill>
                      </w14:textFill>
                    </w:rPr>
                  </w:pPr>
                  <w:r>
                    <w:rPr>
                      <w:color w:val="000000" w:themeColor="text1"/>
                      <w14:textFill>
                        <w14:solidFill>
                          <w14:schemeClr w14:val="tx1"/>
                        </w14:solidFill>
                      </w14:textFill>
                    </w:rPr>
                    <w:t>工业</w:t>
                  </w:r>
                  <w:r>
                    <w:rPr>
                      <w:rStyle w:val="22"/>
                      <w:b w:val="0"/>
                      <w:color w:val="000000" w:themeColor="text1"/>
                      <w14:textFill>
                        <w14:solidFill>
                          <w14:schemeClr w14:val="tx1"/>
                        </w14:solidFill>
                      </w14:textFill>
                    </w:rPr>
                    <w:t>污水处理厂进水水质要求</w:t>
                  </w:r>
                </w:p>
              </w:tc>
              <w:tc>
                <w:tcPr>
                  <w:tcW w:w="325" w:type="pct"/>
                  <w:vAlign w:val="center"/>
                </w:tcPr>
                <w:p>
                  <w:pPr>
                    <w:pStyle w:val="86"/>
                    <w:rPr>
                      <w:color w:val="000000" w:themeColor="text1"/>
                      <w14:textFill>
                        <w14:solidFill>
                          <w14:schemeClr w14:val="tx1"/>
                        </w14:solidFill>
                      </w14:textFill>
                    </w:rPr>
                  </w:pPr>
                  <w:r>
                    <w:rPr>
                      <w:rStyle w:val="22"/>
                      <w:b w:val="0"/>
                      <w:color w:val="000000" w:themeColor="text1"/>
                      <w14:textFill>
                        <w14:solidFill>
                          <w14:schemeClr w14:val="tx1"/>
                        </w14:solidFill>
                      </w14:textFill>
                    </w:rPr>
                    <w:t>6-9</w:t>
                  </w:r>
                </w:p>
              </w:tc>
              <w:tc>
                <w:tcPr>
                  <w:tcW w:w="340"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500</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300</w:t>
                  </w:r>
                </w:p>
              </w:tc>
              <w:tc>
                <w:tcPr>
                  <w:tcW w:w="372"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25</w:t>
                  </w:r>
                </w:p>
              </w:tc>
              <w:tc>
                <w:tcPr>
                  <w:tcW w:w="224"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400</w:t>
                  </w:r>
                </w:p>
              </w:tc>
              <w:tc>
                <w:tcPr>
                  <w:tcW w:w="2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30</w:t>
                  </w:r>
                </w:p>
              </w:tc>
              <w:tc>
                <w:tcPr>
                  <w:tcW w:w="228"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10</w:t>
                  </w:r>
                </w:p>
              </w:tc>
              <w:tc>
                <w:tcPr>
                  <w:tcW w:w="237"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100</w:t>
                  </w:r>
                </w:p>
              </w:tc>
              <w:tc>
                <w:tcPr>
                  <w:tcW w:w="473"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153" w:type="pct"/>
                  <w:vMerge w:val="continue"/>
                  <w:vAlign w:val="center"/>
                </w:tcPr>
                <w:p>
                  <w:pPr>
                    <w:pStyle w:val="86"/>
                    <w:rPr>
                      <w:color w:val="000000" w:themeColor="text1"/>
                      <w14:textFill>
                        <w14:solidFill>
                          <w14:schemeClr w14:val="tx1"/>
                        </w14:solidFill>
                      </w14:textFill>
                    </w:rPr>
                  </w:pPr>
                </w:p>
              </w:tc>
              <w:tc>
                <w:tcPr>
                  <w:tcW w:w="1770"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DB44/26-2001第二时段三级标准</w:t>
                  </w:r>
                </w:p>
              </w:tc>
              <w:tc>
                <w:tcPr>
                  <w:tcW w:w="325" w:type="pct"/>
                  <w:vAlign w:val="center"/>
                </w:tcPr>
                <w:p>
                  <w:pPr>
                    <w:pStyle w:val="86"/>
                    <w:rPr>
                      <w:color w:val="000000" w:themeColor="text1"/>
                      <w14:textFill>
                        <w14:solidFill>
                          <w14:schemeClr w14:val="tx1"/>
                        </w14:solidFill>
                      </w14:textFill>
                    </w:rPr>
                  </w:pPr>
                  <w:r>
                    <w:rPr>
                      <w:rStyle w:val="22"/>
                      <w:b w:val="0"/>
                      <w:color w:val="000000" w:themeColor="text1"/>
                      <w14:textFill>
                        <w14:solidFill>
                          <w14:schemeClr w14:val="tx1"/>
                        </w14:solidFill>
                      </w14:textFill>
                    </w:rPr>
                    <w:t>6-9</w:t>
                  </w:r>
                </w:p>
              </w:tc>
              <w:tc>
                <w:tcPr>
                  <w:tcW w:w="340"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500</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300</w:t>
                  </w:r>
                </w:p>
              </w:tc>
              <w:tc>
                <w:tcPr>
                  <w:tcW w:w="372" w:type="pct"/>
                  <w:vAlign w:val="center"/>
                </w:tcPr>
                <w:p>
                  <w:pPr>
                    <w:pStyle w:val="66"/>
                    <w:rPr>
                      <w:rStyle w:val="22"/>
                      <w:b w:val="0"/>
                      <w:color w:val="000000" w:themeColor="text1"/>
                      <w14:textFill>
                        <w14:solidFill>
                          <w14:schemeClr w14:val="tx1"/>
                        </w14:solidFill>
                      </w14:textFill>
                    </w:rPr>
                  </w:pPr>
                  <w:r>
                    <w:rPr>
                      <w:color w:val="000000" w:themeColor="text1"/>
                      <w:szCs w:val="21"/>
                      <w14:textFill>
                        <w14:solidFill>
                          <w14:schemeClr w14:val="tx1"/>
                        </w14:solidFill>
                      </w14:textFill>
                    </w:rPr>
                    <w:t>/</w:t>
                  </w:r>
                </w:p>
              </w:tc>
              <w:tc>
                <w:tcPr>
                  <w:tcW w:w="224"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400</w:t>
                  </w:r>
                </w:p>
              </w:tc>
              <w:tc>
                <w:tcPr>
                  <w:tcW w:w="226" w:type="pct"/>
                  <w:vAlign w:val="center"/>
                </w:tcPr>
                <w:p>
                  <w:pPr>
                    <w:pStyle w:val="66"/>
                    <w:rPr>
                      <w:rStyle w:val="22"/>
                      <w:color w:val="000000" w:themeColor="text1"/>
                      <w14:textFill>
                        <w14:solidFill>
                          <w14:schemeClr w14:val="tx1"/>
                        </w14:solidFill>
                      </w14:textFill>
                    </w:rPr>
                  </w:pPr>
                  <w:r>
                    <w:rPr>
                      <w:rStyle w:val="22"/>
                      <w:color w:val="000000" w:themeColor="text1"/>
                      <w14:textFill>
                        <w14:solidFill>
                          <w14:schemeClr w14:val="tx1"/>
                        </w14:solidFill>
                      </w14:textFill>
                    </w:rPr>
                    <w:t>/</w:t>
                  </w:r>
                </w:p>
              </w:tc>
              <w:tc>
                <w:tcPr>
                  <w:tcW w:w="228" w:type="pct"/>
                  <w:vAlign w:val="center"/>
                </w:tcPr>
                <w:p>
                  <w:pPr>
                    <w:pStyle w:val="66"/>
                    <w:rPr>
                      <w:rStyle w:val="22"/>
                      <w:color w:val="000000" w:themeColor="text1"/>
                      <w14:textFill>
                        <w14:solidFill>
                          <w14:schemeClr w14:val="tx1"/>
                        </w14:solidFill>
                      </w14:textFill>
                    </w:rPr>
                  </w:pPr>
                  <w:r>
                    <w:rPr>
                      <w:rStyle w:val="22"/>
                      <w:color w:val="000000" w:themeColor="text1"/>
                      <w14:textFill>
                        <w14:solidFill>
                          <w14:schemeClr w14:val="tx1"/>
                        </w14:solidFill>
                      </w14:textFill>
                    </w:rPr>
                    <w:t>/</w:t>
                  </w:r>
                </w:p>
              </w:tc>
              <w:tc>
                <w:tcPr>
                  <w:tcW w:w="237"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100</w:t>
                  </w:r>
                </w:p>
              </w:tc>
              <w:tc>
                <w:tcPr>
                  <w:tcW w:w="473"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153" w:type="pct"/>
                  <w:vMerge w:val="continue"/>
                  <w:vAlign w:val="center"/>
                </w:tcPr>
                <w:p>
                  <w:pPr>
                    <w:pStyle w:val="86"/>
                    <w:rPr>
                      <w:color w:val="000000" w:themeColor="text1"/>
                      <w14:textFill>
                        <w14:solidFill>
                          <w14:schemeClr w14:val="tx1"/>
                        </w14:solidFill>
                      </w14:textFill>
                    </w:rPr>
                  </w:pPr>
                </w:p>
              </w:tc>
              <w:tc>
                <w:tcPr>
                  <w:tcW w:w="1770"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GB21906-2008表2</w:t>
                  </w:r>
                </w:p>
              </w:tc>
              <w:tc>
                <w:tcPr>
                  <w:tcW w:w="325" w:type="pct"/>
                  <w:vAlign w:val="center"/>
                </w:tcPr>
                <w:p>
                  <w:pPr>
                    <w:pStyle w:val="86"/>
                    <w:rPr>
                      <w:color w:val="000000" w:themeColor="text1"/>
                      <w14:textFill>
                        <w14:solidFill>
                          <w14:schemeClr w14:val="tx1"/>
                        </w14:solidFill>
                      </w14:textFill>
                    </w:rPr>
                  </w:pPr>
                  <w:r>
                    <w:rPr>
                      <w:rStyle w:val="22"/>
                      <w:b w:val="0"/>
                      <w:color w:val="000000" w:themeColor="text1"/>
                      <w14:textFill>
                        <w14:solidFill>
                          <w14:schemeClr w14:val="tx1"/>
                        </w14:solidFill>
                      </w14:textFill>
                    </w:rPr>
                    <w:t>6-9</w:t>
                  </w:r>
                </w:p>
              </w:tc>
              <w:tc>
                <w:tcPr>
                  <w:tcW w:w="340"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50</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100</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20</w:t>
                  </w:r>
                </w:p>
              </w:tc>
              <w:tc>
                <w:tcPr>
                  <w:tcW w:w="372"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8</w:t>
                  </w:r>
                </w:p>
              </w:tc>
              <w:tc>
                <w:tcPr>
                  <w:tcW w:w="224"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50</w:t>
                  </w:r>
                </w:p>
              </w:tc>
              <w:tc>
                <w:tcPr>
                  <w:tcW w:w="2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20</w:t>
                  </w:r>
                </w:p>
              </w:tc>
              <w:tc>
                <w:tcPr>
                  <w:tcW w:w="228"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0.5</w:t>
                  </w:r>
                </w:p>
              </w:tc>
              <w:tc>
                <w:tcPr>
                  <w:tcW w:w="237"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5</w:t>
                  </w:r>
                </w:p>
              </w:tc>
              <w:tc>
                <w:tcPr>
                  <w:tcW w:w="473"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153" w:type="pct"/>
                  <w:vMerge w:val="continue"/>
                  <w:vAlign w:val="center"/>
                </w:tcPr>
                <w:p>
                  <w:pPr>
                    <w:pStyle w:val="86"/>
                    <w:rPr>
                      <w:color w:val="000000" w:themeColor="text1"/>
                      <w14:textFill>
                        <w14:solidFill>
                          <w14:schemeClr w14:val="tx1"/>
                        </w14:solidFill>
                      </w14:textFill>
                    </w:rPr>
                  </w:pPr>
                </w:p>
              </w:tc>
              <w:tc>
                <w:tcPr>
                  <w:tcW w:w="1770"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 xml:space="preserve">GB3838-2002 </w:t>
                  </w:r>
                  <w:r>
                    <w:rPr>
                      <w:rStyle w:val="22"/>
                      <w:rFonts w:hint="eastAsia" w:ascii="宋体" w:hAnsi="宋体" w:cs="宋体"/>
                      <w:b w:val="0"/>
                      <w:color w:val="000000" w:themeColor="text1"/>
                      <w14:textFill>
                        <w14:solidFill>
                          <w14:schemeClr w14:val="tx1"/>
                        </w14:solidFill>
                      </w14:textFill>
                    </w:rPr>
                    <w:t>Ⅳ</w:t>
                  </w:r>
                  <w:r>
                    <w:rPr>
                      <w:rStyle w:val="22"/>
                      <w:b w:val="0"/>
                      <w:color w:val="000000" w:themeColor="text1"/>
                      <w14:textFill>
                        <w14:solidFill>
                          <w14:schemeClr w14:val="tx1"/>
                        </w14:solidFill>
                      </w14:textFill>
                    </w:rPr>
                    <w:t>类标准</w:t>
                  </w:r>
                </w:p>
              </w:tc>
              <w:tc>
                <w:tcPr>
                  <w:tcW w:w="325" w:type="pct"/>
                  <w:vAlign w:val="center"/>
                </w:tcPr>
                <w:p>
                  <w:pPr>
                    <w:pStyle w:val="86"/>
                    <w:rPr>
                      <w:color w:val="000000" w:themeColor="text1"/>
                      <w14:textFill>
                        <w14:solidFill>
                          <w14:schemeClr w14:val="tx1"/>
                        </w14:solidFill>
                      </w14:textFill>
                    </w:rPr>
                  </w:pPr>
                  <w:r>
                    <w:rPr>
                      <w:rStyle w:val="22"/>
                      <w:b w:val="0"/>
                      <w:color w:val="000000" w:themeColor="text1"/>
                      <w14:textFill>
                        <w14:solidFill>
                          <w14:schemeClr w14:val="tx1"/>
                        </w14:solidFill>
                      </w14:textFill>
                    </w:rPr>
                    <w:t>6-9</w:t>
                  </w:r>
                </w:p>
              </w:tc>
              <w:tc>
                <w:tcPr>
                  <w:tcW w:w="340"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30</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6</w:t>
                  </w:r>
                </w:p>
              </w:tc>
              <w:tc>
                <w:tcPr>
                  <w:tcW w:w="372"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1.5</w:t>
                  </w:r>
                </w:p>
              </w:tc>
              <w:tc>
                <w:tcPr>
                  <w:tcW w:w="224"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w:t>
                  </w:r>
                </w:p>
              </w:tc>
              <w:tc>
                <w:tcPr>
                  <w:tcW w:w="2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w:t>
                  </w:r>
                </w:p>
              </w:tc>
              <w:tc>
                <w:tcPr>
                  <w:tcW w:w="228"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0.3</w:t>
                  </w:r>
                </w:p>
              </w:tc>
              <w:tc>
                <w:tcPr>
                  <w:tcW w:w="237"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473"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153" w:type="pct"/>
                  <w:vMerge w:val="continue"/>
                  <w:vAlign w:val="center"/>
                </w:tcPr>
                <w:p>
                  <w:pPr>
                    <w:pStyle w:val="86"/>
                    <w:rPr>
                      <w:color w:val="000000" w:themeColor="text1"/>
                      <w14:textFill>
                        <w14:solidFill>
                          <w14:schemeClr w14:val="tx1"/>
                        </w14:solidFill>
                      </w14:textFill>
                    </w:rPr>
                  </w:pPr>
                </w:p>
              </w:tc>
              <w:tc>
                <w:tcPr>
                  <w:tcW w:w="1770"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GBl8918-2002一级A标准</w:t>
                  </w:r>
                </w:p>
              </w:tc>
              <w:tc>
                <w:tcPr>
                  <w:tcW w:w="325" w:type="pct"/>
                  <w:vAlign w:val="center"/>
                </w:tcPr>
                <w:p>
                  <w:pPr>
                    <w:pStyle w:val="86"/>
                    <w:rPr>
                      <w:color w:val="000000" w:themeColor="text1"/>
                      <w14:textFill>
                        <w14:solidFill>
                          <w14:schemeClr w14:val="tx1"/>
                        </w14:solidFill>
                      </w14:textFill>
                    </w:rPr>
                  </w:pPr>
                  <w:r>
                    <w:rPr>
                      <w:rStyle w:val="22"/>
                      <w:b w:val="0"/>
                      <w:color w:val="000000" w:themeColor="text1"/>
                      <w14:textFill>
                        <w14:solidFill>
                          <w14:schemeClr w14:val="tx1"/>
                        </w14:solidFill>
                      </w14:textFill>
                    </w:rPr>
                    <w:t>6-9</w:t>
                  </w:r>
                </w:p>
              </w:tc>
              <w:tc>
                <w:tcPr>
                  <w:tcW w:w="340"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30</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50</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10</w:t>
                  </w:r>
                </w:p>
              </w:tc>
              <w:tc>
                <w:tcPr>
                  <w:tcW w:w="372"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5</w:t>
                  </w:r>
                </w:p>
              </w:tc>
              <w:tc>
                <w:tcPr>
                  <w:tcW w:w="224"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10</w:t>
                  </w:r>
                </w:p>
              </w:tc>
              <w:tc>
                <w:tcPr>
                  <w:tcW w:w="2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15</w:t>
                  </w:r>
                </w:p>
              </w:tc>
              <w:tc>
                <w:tcPr>
                  <w:tcW w:w="228" w:type="pct"/>
                  <w:vAlign w:val="center"/>
                </w:tcPr>
                <w:p>
                  <w:pPr>
                    <w:pStyle w:val="66"/>
                    <w:rPr>
                      <w:rStyle w:val="22"/>
                      <w:b w:val="0"/>
                      <w:color w:val="000000" w:themeColor="text1"/>
                      <w14:textFill>
                        <w14:solidFill>
                          <w14:schemeClr w14:val="tx1"/>
                        </w14:solidFill>
                      </w14:textFill>
                    </w:rPr>
                  </w:pPr>
                  <w:r>
                    <w:rPr>
                      <w:rStyle w:val="22"/>
                      <w:rFonts w:hint="eastAsia"/>
                      <w:b w:val="0"/>
                      <w:color w:val="000000" w:themeColor="text1"/>
                      <w14:textFill>
                        <w14:solidFill>
                          <w14:schemeClr w14:val="tx1"/>
                        </w14:solidFill>
                      </w14:textFill>
                    </w:rPr>
                    <w:t>0</w:t>
                  </w:r>
                  <w:r>
                    <w:rPr>
                      <w:rStyle w:val="22"/>
                      <w:b w:val="0"/>
                      <w:color w:val="000000" w:themeColor="text1"/>
                      <w14:textFill>
                        <w14:solidFill>
                          <w14:schemeClr w14:val="tx1"/>
                        </w14:solidFill>
                      </w14:textFill>
                    </w:rPr>
                    <w:t>.5</w:t>
                  </w:r>
                </w:p>
              </w:tc>
              <w:tc>
                <w:tcPr>
                  <w:tcW w:w="237"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w:t>
                  </w:r>
                </w:p>
              </w:tc>
              <w:tc>
                <w:tcPr>
                  <w:tcW w:w="473"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7" w:hRule="atLeast"/>
                <w:tblHeader/>
                <w:jc w:val="center"/>
              </w:trPr>
              <w:tc>
                <w:tcPr>
                  <w:tcW w:w="153" w:type="pct"/>
                  <w:vMerge w:val="restart"/>
                  <w:vAlign w:val="center"/>
                </w:tcPr>
                <w:p>
                  <w:pPr>
                    <w:pStyle w:val="86"/>
                    <w:rPr>
                      <w:color w:val="000000" w:themeColor="text1"/>
                      <w14:textFill>
                        <w14:solidFill>
                          <w14:schemeClr w14:val="tx1"/>
                        </w14:solidFill>
                      </w14:textFill>
                    </w:rPr>
                  </w:pPr>
                  <w:r>
                    <w:rPr>
                      <w:color w:val="000000" w:themeColor="text1"/>
                      <w14:textFill>
                        <w14:solidFill>
                          <w14:schemeClr w14:val="tx1"/>
                        </w14:solidFill>
                      </w14:textFill>
                    </w:rPr>
                    <w:t>执行标准</w:t>
                  </w:r>
                </w:p>
              </w:tc>
              <w:tc>
                <w:tcPr>
                  <w:tcW w:w="1770" w:type="pct"/>
                  <w:vAlign w:val="center"/>
                </w:tcPr>
                <w:p>
                  <w:pPr>
                    <w:pStyle w:val="86"/>
                    <w:rPr>
                      <w:color w:val="000000" w:themeColor="text1"/>
                      <w14:textFill>
                        <w14:solidFill>
                          <w14:schemeClr w14:val="tx1"/>
                        </w14:solidFill>
                      </w14:textFill>
                    </w:rPr>
                  </w:pPr>
                  <w:r>
                    <w:rPr>
                      <w:color w:val="000000" w:themeColor="text1"/>
                      <w14:textFill>
                        <w14:solidFill>
                          <w14:schemeClr w14:val="tx1"/>
                        </w14:solidFill>
                      </w14:textFill>
                    </w:rPr>
                    <w:t>河口镇污水处理厂接管</w:t>
                  </w:r>
                  <w:r>
                    <w:rPr>
                      <w:rFonts w:hint="eastAsia"/>
                      <w:color w:val="000000" w:themeColor="text1"/>
                      <w14:textFill>
                        <w14:solidFill>
                          <w14:schemeClr w14:val="tx1"/>
                        </w14:solidFill>
                      </w14:textFill>
                    </w:rPr>
                    <w:t>标准</w:t>
                  </w:r>
                </w:p>
              </w:tc>
              <w:tc>
                <w:tcPr>
                  <w:tcW w:w="325" w:type="pct"/>
                  <w:vAlign w:val="center"/>
                </w:tcPr>
                <w:p>
                  <w:pPr>
                    <w:pStyle w:val="86"/>
                    <w:rPr>
                      <w:color w:val="000000" w:themeColor="text1"/>
                      <w14:textFill>
                        <w14:solidFill>
                          <w14:schemeClr w14:val="tx1"/>
                        </w14:solidFill>
                      </w14:textFill>
                    </w:rPr>
                  </w:pPr>
                  <w:r>
                    <w:rPr>
                      <w:rStyle w:val="22"/>
                      <w:b w:val="0"/>
                      <w:color w:val="000000" w:themeColor="text1"/>
                      <w14:textFill>
                        <w14:solidFill>
                          <w14:schemeClr w14:val="tx1"/>
                        </w14:solidFill>
                      </w14:textFill>
                    </w:rPr>
                    <w:t>6-9</w:t>
                  </w:r>
                </w:p>
              </w:tc>
              <w:tc>
                <w:tcPr>
                  <w:tcW w:w="340"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500</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30</w:t>
                  </w:r>
                </w:p>
              </w:tc>
              <w:tc>
                <w:tcPr>
                  <w:tcW w:w="372" w:type="pct"/>
                  <w:vAlign w:val="center"/>
                </w:tcPr>
                <w:p>
                  <w:pPr>
                    <w:pStyle w:val="66"/>
                    <w:rPr>
                      <w:rStyle w:val="22"/>
                      <w:b w:val="0"/>
                      <w:color w:val="000000" w:themeColor="text1"/>
                      <w14:textFill>
                        <w14:solidFill>
                          <w14:schemeClr w14:val="tx1"/>
                        </w14:solidFill>
                      </w14:textFill>
                    </w:rPr>
                  </w:pPr>
                  <w:r>
                    <w:rPr>
                      <w:color w:val="000000" w:themeColor="text1"/>
                      <w:szCs w:val="21"/>
                      <w14:textFill>
                        <w14:solidFill>
                          <w14:schemeClr w14:val="tx1"/>
                        </w14:solidFill>
                      </w14:textFill>
                    </w:rPr>
                    <w:t>/</w:t>
                  </w:r>
                </w:p>
              </w:tc>
              <w:tc>
                <w:tcPr>
                  <w:tcW w:w="224"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400</w:t>
                  </w:r>
                </w:p>
              </w:tc>
              <w:tc>
                <w:tcPr>
                  <w:tcW w:w="226" w:type="pct"/>
                  <w:vAlign w:val="center"/>
                </w:tcPr>
                <w:p>
                  <w:pPr>
                    <w:pStyle w:val="66"/>
                    <w:rPr>
                      <w:rStyle w:val="22"/>
                      <w:color w:val="000000" w:themeColor="text1"/>
                      <w14:textFill>
                        <w14:solidFill>
                          <w14:schemeClr w14:val="tx1"/>
                        </w14:solidFill>
                      </w14:textFill>
                    </w:rPr>
                  </w:pPr>
                  <w:r>
                    <w:rPr>
                      <w:rStyle w:val="22"/>
                      <w:color w:val="000000" w:themeColor="text1"/>
                      <w14:textFill>
                        <w14:solidFill>
                          <w14:schemeClr w14:val="tx1"/>
                        </w14:solidFill>
                      </w14:textFill>
                    </w:rPr>
                    <w:t>/</w:t>
                  </w:r>
                </w:p>
              </w:tc>
              <w:tc>
                <w:tcPr>
                  <w:tcW w:w="228" w:type="pct"/>
                  <w:vAlign w:val="center"/>
                </w:tcPr>
                <w:p>
                  <w:pPr>
                    <w:pStyle w:val="66"/>
                    <w:rPr>
                      <w:rStyle w:val="22"/>
                      <w:color w:val="000000" w:themeColor="text1"/>
                      <w14:textFill>
                        <w14:solidFill>
                          <w14:schemeClr w14:val="tx1"/>
                        </w14:solidFill>
                      </w14:textFill>
                    </w:rPr>
                  </w:pPr>
                  <w:r>
                    <w:rPr>
                      <w:rStyle w:val="22"/>
                      <w:color w:val="000000" w:themeColor="text1"/>
                      <w14:textFill>
                        <w14:solidFill>
                          <w14:schemeClr w14:val="tx1"/>
                        </w14:solidFill>
                      </w14:textFill>
                    </w:rPr>
                    <w:t>/</w:t>
                  </w:r>
                </w:p>
              </w:tc>
              <w:tc>
                <w:tcPr>
                  <w:tcW w:w="237"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100</w:t>
                  </w:r>
                </w:p>
              </w:tc>
              <w:tc>
                <w:tcPr>
                  <w:tcW w:w="473"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153" w:type="pct"/>
                  <w:vMerge w:val="continue"/>
                  <w:vAlign w:val="center"/>
                </w:tcPr>
                <w:p>
                  <w:pPr>
                    <w:pStyle w:val="86"/>
                    <w:rPr>
                      <w:color w:val="000000" w:themeColor="text1"/>
                      <w14:textFill>
                        <w14:solidFill>
                          <w14:schemeClr w14:val="tx1"/>
                        </w14:solidFill>
                      </w14:textFill>
                    </w:rPr>
                  </w:pPr>
                </w:p>
              </w:tc>
              <w:tc>
                <w:tcPr>
                  <w:tcW w:w="1770" w:type="pct"/>
                  <w:vAlign w:val="center"/>
                </w:tcPr>
                <w:p>
                  <w:pPr>
                    <w:pStyle w:val="86"/>
                    <w:rPr>
                      <w:color w:val="000000" w:themeColor="text1"/>
                      <w14:textFill>
                        <w14:solidFill>
                          <w14:schemeClr w14:val="tx1"/>
                        </w14:solidFill>
                      </w14:textFill>
                    </w:rPr>
                  </w:pPr>
                  <w:r>
                    <w:rPr>
                      <w:color w:val="000000" w:themeColor="text1"/>
                      <w14:textFill>
                        <w14:solidFill>
                          <w14:schemeClr w14:val="tx1"/>
                        </w14:solidFill>
                      </w14:textFill>
                    </w:rPr>
                    <w:t>河口镇污水处理厂排放标准</w:t>
                  </w:r>
                </w:p>
              </w:tc>
              <w:tc>
                <w:tcPr>
                  <w:tcW w:w="325" w:type="pct"/>
                  <w:vAlign w:val="center"/>
                </w:tcPr>
                <w:p>
                  <w:pPr>
                    <w:pStyle w:val="54"/>
                    <w:spacing w:line="240" w:lineRule="exact"/>
                    <w:rPr>
                      <w:color w:val="000000" w:themeColor="text1"/>
                      <w14:textFill>
                        <w14:solidFill>
                          <w14:schemeClr w14:val="tx1"/>
                        </w14:solidFill>
                      </w14:textFill>
                    </w:rPr>
                  </w:pPr>
                  <w:r>
                    <w:rPr>
                      <w:color w:val="000000" w:themeColor="text1"/>
                      <w14:textFill>
                        <w14:solidFill>
                          <w14:schemeClr w14:val="tx1"/>
                        </w14:solidFill>
                      </w14:textFill>
                    </w:rPr>
                    <w:t>6-9</w:t>
                  </w:r>
                </w:p>
              </w:tc>
              <w:tc>
                <w:tcPr>
                  <w:tcW w:w="340"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30</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6</w:t>
                  </w:r>
                </w:p>
              </w:tc>
              <w:tc>
                <w:tcPr>
                  <w:tcW w:w="372"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1.5</w:t>
                  </w:r>
                </w:p>
              </w:tc>
              <w:tc>
                <w:tcPr>
                  <w:tcW w:w="224"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10</w:t>
                  </w:r>
                </w:p>
              </w:tc>
              <w:tc>
                <w:tcPr>
                  <w:tcW w:w="2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15</w:t>
                  </w:r>
                </w:p>
              </w:tc>
              <w:tc>
                <w:tcPr>
                  <w:tcW w:w="228"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0.3</w:t>
                  </w:r>
                </w:p>
              </w:tc>
              <w:tc>
                <w:tcPr>
                  <w:tcW w:w="237"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w:t>
                  </w:r>
                </w:p>
              </w:tc>
              <w:tc>
                <w:tcPr>
                  <w:tcW w:w="473"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153" w:type="pct"/>
                  <w:vMerge w:val="continue"/>
                  <w:vAlign w:val="center"/>
                </w:tcPr>
                <w:p>
                  <w:pPr>
                    <w:pStyle w:val="86"/>
                    <w:rPr>
                      <w:color w:val="000000" w:themeColor="text1"/>
                      <w14:textFill>
                        <w14:solidFill>
                          <w14:schemeClr w14:val="tx1"/>
                        </w14:solidFill>
                      </w14:textFill>
                    </w:rPr>
                  </w:pPr>
                </w:p>
              </w:tc>
              <w:tc>
                <w:tcPr>
                  <w:tcW w:w="1770" w:type="pct"/>
                  <w:vAlign w:val="center"/>
                </w:tcPr>
                <w:p>
                  <w:pPr>
                    <w:pStyle w:val="86"/>
                    <w:rPr>
                      <w:color w:val="000000" w:themeColor="text1"/>
                      <w14:textFill>
                        <w14:solidFill>
                          <w14:schemeClr w14:val="tx1"/>
                        </w14:solidFill>
                      </w14:textFill>
                    </w:rPr>
                  </w:pPr>
                  <w:r>
                    <w:rPr>
                      <w:color w:val="000000" w:themeColor="text1"/>
                      <w14:textFill>
                        <w14:solidFill>
                          <w14:schemeClr w14:val="tx1"/>
                        </w14:solidFill>
                      </w14:textFill>
                    </w:rPr>
                    <w:t>工业污水处理厂接管标准</w:t>
                  </w:r>
                </w:p>
              </w:tc>
              <w:tc>
                <w:tcPr>
                  <w:tcW w:w="325" w:type="pct"/>
                  <w:vAlign w:val="center"/>
                </w:tcPr>
                <w:p>
                  <w:pPr>
                    <w:pStyle w:val="86"/>
                    <w:rPr>
                      <w:color w:val="000000" w:themeColor="text1"/>
                      <w14:textFill>
                        <w14:solidFill>
                          <w14:schemeClr w14:val="tx1"/>
                        </w14:solidFill>
                      </w14:textFill>
                    </w:rPr>
                  </w:pPr>
                  <w:r>
                    <w:rPr>
                      <w:rStyle w:val="22"/>
                      <w:b w:val="0"/>
                      <w:color w:val="000000" w:themeColor="text1"/>
                      <w14:textFill>
                        <w14:solidFill>
                          <w14:schemeClr w14:val="tx1"/>
                        </w14:solidFill>
                      </w14:textFill>
                    </w:rPr>
                    <w:t>6-9</w:t>
                  </w:r>
                </w:p>
              </w:tc>
              <w:tc>
                <w:tcPr>
                  <w:tcW w:w="340"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30</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100</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20</w:t>
                  </w:r>
                </w:p>
              </w:tc>
              <w:tc>
                <w:tcPr>
                  <w:tcW w:w="372"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8</w:t>
                  </w:r>
                </w:p>
              </w:tc>
              <w:tc>
                <w:tcPr>
                  <w:tcW w:w="224"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50</w:t>
                  </w:r>
                </w:p>
              </w:tc>
              <w:tc>
                <w:tcPr>
                  <w:tcW w:w="2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20</w:t>
                  </w:r>
                </w:p>
              </w:tc>
              <w:tc>
                <w:tcPr>
                  <w:tcW w:w="228"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0.5</w:t>
                  </w:r>
                </w:p>
              </w:tc>
              <w:tc>
                <w:tcPr>
                  <w:tcW w:w="237"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5</w:t>
                  </w:r>
                </w:p>
              </w:tc>
              <w:tc>
                <w:tcPr>
                  <w:tcW w:w="473"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153" w:type="pct"/>
                  <w:vMerge w:val="continue"/>
                  <w:vAlign w:val="center"/>
                </w:tcPr>
                <w:p>
                  <w:pPr>
                    <w:pStyle w:val="86"/>
                    <w:rPr>
                      <w:color w:val="000000" w:themeColor="text1"/>
                      <w14:textFill>
                        <w14:solidFill>
                          <w14:schemeClr w14:val="tx1"/>
                        </w14:solidFill>
                      </w14:textFill>
                    </w:rPr>
                  </w:pPr>
                </w:p>
              </w:tc>
              <w:tc>
                <w:tcPr>
                  <w:tcW w:w="1770" w:type="pct"/>
                  <w:vAlign w:val="center"/>
                </w:tcPr>
                <w:p>
                  <w:pPr>
                    <w:pStyle w:val="86"/>
                    <w:rPr>
                      <w:color w:val="000000" w:themeColor="text1"/>
                      <w14:textFill>
                        <w14:solidFill>
                          <w14:schemeClr w14:val="tx1"/>
                        </w14:solidFill>
                      </w14:textFill>
                    </w:rPr>
                  </w:pPr>
                  <w:r>
                    <w:rPr>
                      <w:color w:val="000000" w:themeColor="text1"/>
                      <w14:textFill>
                        <w14:solidFill>
                          <w14:schemeClr w14:val="tx1"/>
                        </w14:solidFill>
                      </w14:textFill>
                    </w:rPr>
                    <w:t>工业污水处理厂排放标准</w:t>
                  </w:r>
                </w:p>
              </w:tc>
              <w:tc>
                <w:tcPr>
                  <w:tcW w:w="325" w:type="pct"/>
                  <w:vAlign w:val="center"/>
                </w:tcPr>
                <w:p>
                  <w:pPr>
                    <w:pStyle w:val="54"/>
                    <w:spacing w:line="240" w:lineRule="exact"/>
                    <w:rPr>
                      <w:color w:val="000000" w:themeColor="text1"/>
                      <w14:textFill>
                        <w14:solidFill>
                          <w14:schemeClr w14:val="tx1"/>
                        </w14:solidFill>
                      </w14:textFill>
                    </w:rPr>
                  </w:pPr>
                  <w:r>
                    <w:rPr>
                      <w:color w:val="000000" w:themeColor="text1"/>
                      <w14:textFill>
                        <w14:solidFill>
                          <w14:schemeClr w14:val="tx1"/>
                        </w14:solidFill>
                      </w14:textFill>
                    </w:rPr>
                    <w:t>6-9</w:t>
                  </w:r>
                </w:p>
              </w:tc>
              <w:tc>
                <w:tcPr>
                  <w:tcW w:w="340"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30</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30</w:t>
                  </w:r>
                </w:p>
              </w:tc>
              <w:tc>
                <w:tcPr>
                  <w:tcW w:w="3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6</w:t>
                  </w:r>
                </w:p>
              </w:tc>
              <w:tc>
                <w:tcPr>
                  <w:tcW w:w="372"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1.5</w:t>
                  </w:r>
                </w:p>
              </w:tc>
              <w:tc>
                <w:tcPr>
                  <w:tcW w:w="224"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10</w:t>
                  </w:r>
                </w:p>
              </w:tc>
              <w:tc>
                <w:tcPr>
                  <w:tcW w:w="226"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15</w:t>
                  </w:r>
                </w:p>
              </w:tc>
              <w:tc>
                <w:tcPr>
                  <w:tcW w:w="228" w:type="pct"/>
                  <w:vAlign w:val="center"/>
                </w:tcPr>
                <w:p>
                  <w:pPr>
                    <w:pStyle w:val="66"/>
                    <w:rPr>
                      <w:rStyle w:val="22"/>
                      <w:b w:val="0"/>
                      <w:color w:val="000000" w:themeColor="text1"/>
                      <w14:textFill>
                        <w14:solidFill>
                          <w14:schemeClr w14:val="tx1"/>
                        </w14:solidFill>
                      </w14:textFill>
                    </w:rPr>
                  </w:pPr>
                  <w:r>
                    <w:rPr>
                      <w:rStyle w:val="22"/>
                      <w:b w:val="0"/>
                      <w:color w:val="000000" w:themeColor="text1"/>
                      <w14:textFill>
                        <w14:solidFill>
                          <w14:schemeClr w14:val="tx1"/>
                        </w14:solidFill>
                      </w14:textFill>
                    </w:rPr>
                    <w:t>0.3</w:t>
                  </w:r>
                </w:p>
              </w:tc>
              <w:tc>
                <w:tcPr>
                  <w:tcW w:w="237"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w:t>
                  </w:r>
                </w:p>
              </w:tc>
              <w:tc>
                <w:tcPr>
                  <w:tcW w:w="473"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w:t>
                  </w:r>
                </w:p>
              </w:tc>
            </w:tr>
          </w:tbl>
          <w:p>
            <w:pPr>
              <w:spacing w:line="360" w:lineRule="auto"/>
              <w:ind w:firstLine="482"/>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2、废气</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项目有机废气排放执行《制药工业大气污染物排放标准》（GB37823-2019）厂区内VOCs无组织</w:t>
            </w:r>
            <w:r>
              <w:rPr>
                <w:rFonts w:hint="eastAsia" w:ascii="Times New Roman" w:hAnsi="Times New Roman"/>
                <w:color w:val="000000" w:themeColor="text1"/>
                <w:sz w:val="24"/>
                <w14:textFill>
                  <w14:solidFill>
                    <w14:schemeClr w14:val="tx1"/>
                  </w14:solidFill>
                </w14:textFill>
              </w:rPr>
              <w:t>特别</w:t>
            </w:r>
            <w:r>
              <w:rPr>
                <w:rFonts w:ascii="Times New Roman" w:hAnsi="Times New Roman"/>
                <w:color w:val="000000" w:themeColor="text1"/>
                <w:sz w:val="24"/>
                <w14:textFill>
                  <w14:solidFill>
                    <w14:schemeClr w14:val="tx1"/>
                  </w14:solidFill>
                </w14:textFill>
              </w:rPr>
              <w:t>排放限值；颗粒物无组织排放执行广东省《大气污染物排放限值》（DB44/27-2001）中第二时段无组织排放点监控浓度限值；恶臭无组织排放执行《恶臭污染物排放标准》(GB14554-93)中表1厂界二级标准值。项目天然气锅炉废气排放执行广东省《锅炉大气污染物排放标准》（DB44/765-2019）表2的排放浓度限值。</w:t>
            </w:r>
          </w:p>
          <w:p>
            <w:pPr>
              <w:pStyle w:val="76"/>
              <w:numPr>
                <w:ilvl w:val="0"/>
                <w:numId w:val="8"/>
              </w:numPr>
              <w:ind w:left="0" w:firstLine="0"/>
              <w:rPr>
                <w:color w:val="000000" w:themeColor="text1"/>
                <w14:textFill>
                  <w14:solidFill>
                    <w14:schemeClr w14:val="tx1"/>
                  </w14:solidFill>
                </w14:textFill>
              </w:rPr>
            </w:pPr>
            <w:r>
              <w:rPr>
                <w:color w:val="000000" w:themeColor="text1"/>
                <w14:textFill>
                  <w14:solidFill>
                    <w14:schemeClr w14:val="tx1"/>
                  </w14:solidFill>
                </w14:textFill>
              </w:rPr>
              <w:t>项目废气污染物排放标准</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7"/>
              <w:gridCol w:w="1428"/>
              <w:gridCol w:w="1416"/>
              <w:gridCol w:w="1276"/>
              <w:gridCol w:w="32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2" w:type="pct"/>
                  <w:vMerge w:val="restar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污染物</w:t>
                  </w:r>
                </w:p>
                <w:p>
                  <w:pPr>
                    <w:pStyle w:val="66"/>
                    <w:rPr>
                      <w:color w:val="000000" w:themeColor="text1"/>
                      <w14:textFill>
                        <w14:solidFill>
                          <w14:schemeClr w14:val="tx1"/>
                        </w14:solidFill>
                      </w14:textFill>
                    </w:rPr>
                  </w:pPr>
                  <w:r>
                    <w:rPr>
                      <w:color w:val="000000" w:themeColor="text1"/>
                      <w14:textFill>
                        <w14:solidFill>
                          <w14:schemeClr w14:val="tx1"/>
                        </w14:solidFill>
                      </w14:textFill>
                    </w:rPr>
                    <w:t>名称</w:t>
                  </w:r>
                </w:p>
              </w:tc>
              <w:tc>
                <w:tcPr>
                  <w:tcW w:w="817"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p>
              </w:tc>
              <w:tc>
                <w:tcPr>
                  <w:tcW w:w="3401" w:type="pct"/>
                  <w:gridSpan w:val="3"/>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2"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color w:val="000000" w:themeColor="text1"/>
                      <w:kern w:val="0"/>
                      <w14:textFill>
                        <w14:solidFill>
                          <w14:schemeClr w14:val="tx1"/>
                        </w14:solidFill>
                      </w14:textFill>
                    </w:rPr>
                  </w:pPr>
                </w:p>
              </w:tc>
              <w:tc>
                <w:tcPr>
                  <w:tcW w:w="817"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有组织</w:t>
                  </w:r>
                </w:p>
              </w:tc>
              <w:tc>
                <w:tcPr>
                  <w:tcW w:w="1540" w:type="pct"/>
                  <w:gridSpan w:val="2"/>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无组织</w:t>
                  </w:r>
                </w:p>
              </w:tc>
              <w:tc>
                <w:tcPr>
                  <w:tcW w:w="1861" w:type="pct"/>
                  <w:vMerge w:val="restar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782"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color w:val="000000" w:themeColor="text1"/>
                      <w:kern w:val="0"/>
                      <w14:textFill>
                        <w14:solidFill>
                          <w14:schemeClr w14:val="tx1"/>
                        </w14:solidFill>
                      </w14:textFill>
                    </w:rPr>
                  </w:pPr>
                </w:p>
              </w:tc>
              <w:tc>
                <w:tcPr>
                  <w:tcW w:w="817"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有组织排放限值（mg/m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810"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kern w:val="0"/>
                      <w14:textFill>
                        <w14:solidFill>
                          <w14:schemeClr w14:val="tx1"/>
                        </w14:solidFill>
                      </w14:textFill>
                    </w:rPr>
                  </w:pPr>
                  <w:r>
                    <w:rPr>
                      <w:color w:val="000000" w:themeColor="text1"/>
                      <w:kern w:val="0"/>
                      <w14:textFill>
                        <w14:solidFill>
                          <w14:schemeClr w14:val="tx1"/>
                        </w14:solidFill>
                      </w14:textFill>
                    </w:rPr>
                    <w:t>无组织排放</w:t>
                  </w:r>
                  <w:r>
                    <w:rPr>
                      <w:color w:val="000000" w:themeColor="text1"/>
                      <w14:textFill>
                        <w14:solidFill>
                          <w14:schemeClr w14:val="tx1"/>
                        </w14:solidFill>
                      </w14:textFill>
                    </w:rPr>
                    <w:t>限值（mg/m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730"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kern w:val="0"/>
                      <w14:textFill>
                        <w14:solidFill>
                          <w14:schemeClr w14:val="tx1"/>
                        </w14:solidFill>
                      </w14:textFill>
                    </w:rPr>
                  </w:pPr>
                  <w:r>
                    <w:rPr>
                      <w:color w:val="000000" w:themeColor="text1"/>
                      <w14:textFill>
                        <w14:solidFill>
                          <w14:schemeClr w14:val="tx1"/>
                        </w14:solidFill>
                      </w14:textFill>
                    </w:rPr>
                    <w:t>无组织排放监控位置</w:t>
                  </w:r>
                </w:p>
              </w:tc>
              <w:tc>
                <w:tcPr>
                  <w:tcW w:w="1861" w:type="pct"/>
                  <w:vMerge w:val="continue"/>
                  <w:tcBorders>
                    <w:top w:val="single" w:color="auto" w:sz="4" w:space="0"/>
                    <w:left w:val="single" w:color="auto" w:sz="4" w:space="0"/>
                    <w:bottom w:val="single" w:color="auto" w:sz="4" w:space="0"/>
                    <w:right w:val="single" w:color="auto" w:sz="4" w:space="0"/>
                  </w:tcBorders>
                  <w:vAlign w:val="center"/>
                </w:tcPr>
                <w:p>
                  <w:pPr>
                    <w:pStyle w:val="66"/>
                    <w:rPr>
                      <w:color w:val="000000" w:themeColor="text1"/>
                      <w:kern w:val="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2"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817"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w:t>
                  </w:r>
                </w:p>
              </w:tc>
              <w:tc>
                <w:tcPr>
                  <w:tcW w:w="810"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spacing w:val="10"/>
                      <w:szCs w:val="21"/>
                      <w14:textFill>
                        <w14:solidFill>
                          <w14:schemeClr w14:val="tx1"/>
                        </w14:solidFill>
                      </w14:textFill>
                    </w:rPr>
                  </w:pPr>
                  <w:r>
                    <w:rPr>
                      <w:color w:val="000000" w:themeColor="text1"/>
                      <w:spacing w:val="10"/>
                      <w:szCs w:val="21"/>
                      <w14:textFill>
                        <w14:solidFill>
                          <w14:schemeClr w14:val="tx1"/>
                        </w14:solidFill>
                      </w14:textFill>
                    </w:rPr>
                    <w:t>120</w:t>
                  </w:r>
                </w:p>
              </w:tc>
              <w:tc>
                <w:tcPr>
                  <w:tcW w:w="730"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spacing w:val="10"/>
                      <w:szCs w:val="21"/>
                      <w14:textFill>
                        <w14:solidFill>
                          <w14:schemeClr w14:val="tx1"/>
                        </w14:solidFill>
                      </w14:textFill>
                    </w:rPr>
                  </w:pPr>
                  <w:r>
                    <w:rPr>
                      <w:color w:val="000000" w:themeColor="text1"/>
                      <w14:textFill>
                        <w14:solidFill>
                          <w14:schemeClr w14:val="tx1"/>
                        </w14:solidFill>
                      </w14:textFill>
                    </w:rPr>
                    <w:t>周界外浓度最高点</w:t>
                  </w:r>
                </w:p>
              </w:tc>
              <w:tc>
                <w:tcPr>
                  <w:tcW w:w="1861"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广东省《大气污染物排放限值》</w:t>
                  </w:r>
                </w:p>
                <w:p>
                  <w:pPr>
                    <w:pStyle w:val="66"/>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D</w:t>
                  </w:r>
                  <w:r>
                    <w:rPr>
                      <w:color w:val="000000" w:themeColor="text1"/>
                      <w14:textFill>
                        <w14:solidFill>
                          <w14:schemeClr w14:val="tx1"/>
                        </w14:solidFill>
                      </w14:textFill>
                    </w:rPr>
                    <w:t>B44/27-2001）中第二时段无组织排放点监控浓度限值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782" w:type="pct"/>
                  <w:vMerge w:val="restart"/>
                  <w:tcBorders>
                    <w:top w:val="single" w:color="auto" w:sz="4" w:space="0"/>
                    <w:left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VOCs</w:t>
                  </w:r>
                </w:p>
              </w:tc>
              <w:tc>
                <w:tcPr>
                  <w:tcW w:w="817" w:type="pct"/>
                  <w:vMerge w:val="restart"/>
                  <w:tcBorders>
                    <w:top w:val="single" w:color="auto" w:sz="4" w:space="0"/>
                    <w:left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w:t>
                  </w:r>
                </w:p>
              </w:tc>
              <w:tc>
                <w:tcPr>
                  <w:tcW w:w="810"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(1h平均)</w:t>
                  </w:r>
                </w:p>
              </w:tc>
              <w:tc>
                <w:tcPr>
                  <w:tcW w:w="730" w:type="pct"/>
                  <w:vMerge w:val="restart"/>
                  <w:tcBorders>
                    <w:top w:val="single" w:color="auto" w:sz="4" w:space="0"/>
                    <w:left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厂房外监控点</w:t>
                  </w:r>
                </w:p>
              </w:tc>
              <w:tc>
                <w:tcPr>
                  <w:tcW w:w="1861" w:type="pct"/>
                  <w:vMerge w:val="restart"/>
                  <w:tcBorders>
                    <w:top w:val="single" w:color="auto" w:sz="4" w:space="0"/>
                    <w:left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《制药工业大气污染物排放标准》（GB37823-2019）厂区内VOCs无组织</w:t>
                  </w:r>
                  <w:r>
                    <w:rPr>
                      <w:rFonts w:hint="eastAsia"/>
                      <w:color w:val="000000" w:themeColor="text1"/>
                      <w14:textFill>
                        <w14:solidFill>
                          <w14:schemeClr w14:val="tx1"/>
                        </w14:solidFill>
                      </w14:textFill>
                    </w:rPr>
                    <w:t>特别</w:t>
                  </w:r>
                  <w:r>
                    <w:rPr>
                      <w:color w:val="000000" w:themeColor="text1"/>
                      <w14:textFill>
                        <w14:solidFill>
                          <w14:schemeClr w14:val="tx1"/>
                        </w14:solidFill>
                      </w14:textFill>
                    </w:rPr>
                    <w:t>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82" w:type="pct"/>
                  <w:vMerge w:val="continue"/>
                  <w:tcBorders>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p>
              </w:tc>
              <w:tc>
                <w:tcPr>
                  <w:tcW w:w="817" w:type="pct"/>
                  <w:vMerge w:val="continue"/>
                  <w:tcBorders>
                    <w:left w:val="single" w:color="auto" w:sz="4" w:space="0"/>
                    <w:right w:val="single" w:color="auto" w:sz="4" w:space="0"/>
                  </w:tcBorders>
                  <w:vAlign w:val="center"/>
                </w:tcPr>
                <w:p>
                  <w:pPr>
                    <w:pStyle w:val="66"/>
                    <w:rPr>
                      <w:color w:val="000000" w:themeColor="text1"/>
                      <w14:textFill>
                        <w14:solidFill>
                          <w14:schemeClr w14:val="tx1"/>
                        </w14:solidFill>
                      </w14:textFill>
                    </w:rPr>
                  </w:pPr>
                </w:p>
              </w:tc>
              <w:tc>
                <w:tcPr>
                  <w:tcW w:w="810"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20</w:t>
                  </w:r>
                  <w:r>
                    <w:rPr>
                      <w:color w:val="000000" w:themeColor="text1"/>
                      <w14:textFill>
                        <w14:solidFill>
                          <w14:schemeClr w14:val="tx1"/>
                        </w14:solidFill>
                      </w14:textFill>
                    </w:rPr>
                    <w:t>(任意一次)</w:t>
                  </w:r>
                </w:p>
              </w:tc>
              <w:tc>
                <w:tcPr>
                  <w:tcW w:w="730" w:type="pct"/>
                  <w:vMerge w:val="continue"/>
                  <w:tcBorders>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p>
              </w:tc>
              <w:tc>
                <w:tcPr>
                  <w:tcW w:w="1861" w:type="pct"/>
                  <w:vMerge w:val="continue"/>
                  <w:tcBorders>
                    <w:left w:val="single" w:color="auto" w:sz="4" w:space="0"/>
                    <w:right w:val="single" w:color="auto" w:sz="4" w:space="0"/>
                  </w:tcBorders>
                  <w:vAlign w:val="center"/>
                </w:tcPr>
                <w:p>
                  <w:pPr>
                    <w:pStyle w:val="66"/>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82" w:type="pct"/>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臭气浓度</w:t>
                  </w:r>
                </w:p>
              </w:tc>
              <w:tc>
                <w:tcPr>
                  <w:tcW w:w="817" w:type="pct"/>
                  <w:tcBorders>
                    <w:left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w:t>
                  </w:r>
                </w:p>
              </w:tc>
              <w:tc>
                <w:tcPr>
                  <w:tcW w:w="810"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20（无量纲）</w:t>
                  </w:r>
                </w:p>
              </w:tc>
              <w:tc>
                <w:tcPr>
                  <w:tcW w:w="730" w:type="pct"/>
                  <w:tcBorders>
                    <w:top w:val="single" w:color="auto" w:sz="4" w:space="0"/>
                    <w:left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厂界下风向侧或臭气方位边界线</w:t>
                  </w:r>
                </w:p>
              </w:tc>
              <w:tc>
                <w:tcPr>
                  <w:tcW w:w="1861" w:type="pct"/>
                  <w:tcBorders>
                    <w:left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《恶臭污染物排放标准》(GB14554-93)中表1厂界二级标准值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 w:hRule="atLeast"/>
              </w:trPr>
              <w:tc>
                <w:tcPr>
                  <w:tcW w:w="782" w:type="pct"/>
                  <w:tcBorders>
                    <w:top w:val="single" w:color="auto" w:sz="4" w:space="0"/>
                    <w:left w:val="single" w:color="auto" w:sz="4" w:space="0"/>
                    <w:bottom w:val="single" w:color="auto" w:sz="4" w:space="0"/>
                    <w:right w:val="single" w:color="auto" w:sz="4" w:space="0"/>
                  </w:tcBorders>
                  <w:vAlign w:val="center"/>
                </w:tcPr>
                <w:p>
                  <w:pPr>
                    <w:tabs>
                      <w:tab w:val="left" w:pos="360"/>
                      <w:tab w:val="left" w:pos="1620"/>
                    </w:tabs>
                    <w:jc w:val="center"/>
                    <w:outlineLvl w:val="1"/>
                    <w:rPr>
                      <w:rFonts w:ascii="Times New Roman" w:hAnsi="Times New Roman"/>
                      <w:bCs/>
                      <w:color w:val="000000" w:themeColor="text1"/>
                      <w:szCs w:val="21"/>
                      <w14:textFill>
                        <w14:solidFill>
                          <w14:schemeClr w14:val="tx1"/>
                        </w14:solidFill>
                      </w14:textFill>
                    </w:rPr>
                  </w:pPr>
                  <w:r>
                    <w:rPr>
                      <w:rFonts w:ascii="Times New Roman" w:hAnsi="Times New Roman"/>
                      <w:color w:val="000000" w:themeColor="text1"/>
                      <w:szCs w:val="18"/>
                      <w14:textFill>
                        <w14:solidFill>
                          <w14:schemeClr w14:val="tx1"/>
                        </w14:solidFill>
                      </w14:textFill>
                    </w:rPr>
                    <w:t>颗粒物</w:t>
                  </w:r>
                </w:p>
              </w:tc>
              <w:tc>
                <w:tcPr>
                  <w:tcW w:w="817" w:type="pct"/>
                  <w:tcBorders>
                    <w:left w:val="single" w:color="auto" w:sz="4" w:space="0"/>
                    <w:bottom w:val="single" w:color="auto" w:sz="4" w:space="0"/>
                    <w:right w:val="single" w:color="auto" w:sz="4" w:space="0"/>
                  </w:tcBorders>
                  <w:vAlign w:val="center"/>
                </w:tcPr>
                <w:p>
                  <w:pPr>
                    <w:pStyle w:val="92"/>
                    <w:ind w:firstLine="0" w:firstLineChars="0"/>
                    <w:jc w:val="center"/>
                    <w:rPr>
                      <w:rFonts w:ascii="Times New Roman" w:eastAsiaTheme="minorEastAsia"/>
                      <w:color w:val="000000" w:themeColor="text1"/>
                      <w:szCs w:val="18"/>
                      <w14:textFill>
                        <w14:solidFill>
                          <w14:schemeClr w14:val="tx1"/>
                        </w14:solidFill>
                      </w14:textFill>
                    </w:rPr>
                  </w:pPr>
                  <w:r>
                    <w:rPr>
                      <w:rFonts w:ascii="Times New Roman" w:eastAsiaTheme="minorEastAsia"/>
                      <w:color w:val="000000" w:themeColor="text1"/>
                      <w:szCs w:val="18"/>
                      <w14:textFill>
                        <w14:solidFill>
                          <w14:schemeClr w14:val="tx1"/>
                        </w14:solidFill>
                      </w14:textFill>
                    </w:rPr>
                    <w:t>20</w:t>
                  </w:r>
                </w:p>
              </w:tc>
              <w:tc>
                <w:tcPr>
                  <w:tcW w:w="810"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w:t>
                  </w:r>
                </w:p>
              </w:tc>
              <w:tc>
                <w:tcPr>
                  <w:tcW w:w="730"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w:t>
                  </w:r>
                </w:p>
              </w:tc>
              <w:tc>
                <w:tcPr>
                  <w:tcW w:w="1861" w:type="pct"/>
                  <w:vMerge w:val="restart"/>
                  <w:tcBorders>
                    <w:left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广东省《锅炉大气污染物排放标准》（DB44/765-2019）表2的排放浓度限值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82" w:type="pct"/>
                  <w:tcBorders>
                    <w:top w:val="single" w:color="auto" w:sz="4" w:space="0"/>
                    <w:left w:val="single" w:color="auto" w:sz="4" w:space="0"/>
                    <w:bottom w:val="single" w:color="auto" w:sz="4" w:space="0"/>
                    <w:right w:val="single" w:color="auto" w:sz="4" w:space="0"/>
                  </w:tcBorders>
                  <w:vAlign w:val="center"/>
                </w:tcPr>
                <w:p>
                  <w:pPr>
                    <w:pStyle w:val="84"/>
                    <w:jc w:val="center"/>
                    <w:rPr>
                      <w:rFonts w:hAnsi="Times New Roman"/>
                      <w:color w:val="000000" w:themeColor="text1"/>
                      <w:sz w:val="21"/>
                      <w:szCs w:val="21"/>
                      <w14:textFill>
                        <w14:solidFill>
                          <w14:schemeClr w14:val="tx1"/>
                        </w14:solidFill>
                      </w14:textFill>
                    </w:rPr>
                  </w:pPr>
                  <w:r>
                    <w:rPr>
                      <w:rFonts w:hAnsi="Times New Roman"/>
                      <w:color w:val="000000" w:themeColor="text1"/>
                      <w:sz w:val="21"/>
                      <w:szCs w:val="21"/>
                      <w14:textFill>
                        <w14:solidFill>
                          <w14:schemeClr w14:val="tx1"/>
                        </w14:solidFill>
                      </w14:textFill>
                    </w:rPr>
                    <w:t>SO</w:t>
                  </w:r>
                  <w:r>
                    <w:rPr>
                      <w:rFonts w:hAnsi="Times New Roman"/>
                      <w:color w:val="000000" w:themeColor="text1"/>
                      <w:sz w:val="21"/>
                      <w:szCs w:val="21"/>
                      <w:vertAlign w:val="subscript"/>
                      <w14:textFill>
                        <w14:solidFill>
                          <w14:schemeClr w14:val="tx1"/>
                        </w14:solidFill>
                      </w14:textFill>
                    </w:rPr>
                    <w:t>2</w:t>
                  </w:r>
                </w:p>
              </w:tc>
              <w:tc>
                <w:tcPr>
                  <w:tcW w:w="817" w:type="pct"/>
                  <w:tcBorders>
                    <w:left w:val="single" w:color="auto" w:sz="4" w:space="0"/>
                    <w:bottom w:val="single" w:color="auto" w:sz="4" w:space="0"/>
                    <w:right w:val="single" w:color="auto" w:sz="4" w:space="0"/>
                  </w:tcBorders>
                  <w:vAlign w:val="center"/>
                </w:tcPr>
                <w:p>
                  <w:pPr>
                    <w:pStyle w:val="92"/>
                    <w:ind w:firstLine="0" w:firstLineChars="0"/>
                    <w:jc w:val="center"/>
                    <w:rPr>
                      <w:rFonts w:ascii="Times New Roman" w:eastAsiaTheme="minorEastAsia"/>
                      <w:color w:val="000000" w:themeColor="text1"/>
                      <w:szCs w:val="18"/>
                      <w14:textFill>
                        <w14:solidFill>
                          <w14:schemeClr w14:val="tx1"/>
                        </w14:solidFill>
                      </w14:textFill>
                    </w:rPr>
                  </w:pPr>
                  <w:r>
                    <w:rPr>
                      <w:rFonts w:ascii="Times New Roman" w:eastAsiaTheme="minorEastAsia"/>
                      <w:color w:val="000000" w:themeColor="text1"/>
                      <w:szCs w:val="18"/>
                      <w14:textFill>
                        <w14:solidFill>
                          <w14:schemeClr w14:val="tx1"/>
                        </w14:solidFill>
                      </w14:textFill>
                    </w:rPr>
                    <w:t>50</w:t>
                  </w:r>
                </w:p>
              </w:tc>
              <w:tc>
                <w:tcPr>
                  <w:tcW w:w="810"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w:t>
                  </w:r>
                </w:p>
              </w:tc>
              <w:tc>
                <w:tcPr>
                  <w:tcW w:w="730"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w:t>
                  </w:r>
                </w:p>
              </w:tc>
              <w:tc>
                <w:tcPr>
                  <w:tcW w:w="1861" w:type="pct"/>
                  <w:vMerge w:val="continue"/>
                  <w:tcBorders>
                    <w:left w:val="single" w:color="auto" w:sz="4" w:space="0"/>
                    <w:right w:val="single" w:color="auto" w:sz="4" w:space="0"/>
                  </w:tcBorders>
                  <w:vAlign w:val="center"/>
                </w:tcPr>
                <w:p>
                  <w:pPr>
                    <w:pStyle w:val="66"/>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 w:hRule="atLeast"/>
              </w:trPr>
              <w:tc>
                <w:tcPr>
                  <w:tcW w:w="782" w:type="pct"/>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eastAsia="宋体"/>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NO</w:t>
                  </w:r>
                  <w:r>
                    <w:rPr>
                      <w:rFonts w:ascii="Times New Roman" w:hAnsi="Times New Roman"/>
                      <w:color w:val="000000" w:themeColor="text1"/>
                      <w:szCs w:val="21"/>
                      <w:vertAlign w:val="subscript"/>
                      <w14:textFill>
                        <w14:solidFill>
                          <w14:schemeClr w14:val="tx1"/>
                        </w14:solidFill>
                      </w14:textFill>
                    </w:rPr>
                    <w:t>X</w:t>
                  </w:r>
                </w:p>
              </w:tc>
              <w:tc>
                <w:tcPr>
                  <w:tcW w:w="817" w:type="pct"/>
                  <w:tcBorders>
                    <w:left w:val="single" w:color="auto" w:sz="4" w:space="0"/>
                    <w:bottom w:val="single" w:color="auto" w:sz="4" w:space="0"/>
                    <w:right w:val="single" w:color="auto" w:sz="4" w:space="0"/>
                  </w:tcBorders>
                  <w:vAlign w:val="center"/>
                </w:tcPr>
                <w:p>
                  <w:pPr>
                    <w:pStyle w:val="92"/>
                    <w:ind w:firstLine="0" w:firstLineChars="0"/>
                    <w:jc w:val="center"/>
                    <w:rPr>
                      <w:rFonts w:ascii="Times New Roman" w:eastAsiaTheme="minorEastAsia"/>
                      <w:color w:val="000000" w:themeColor="text1"/>
                      <w:szCs w:val="18"/>
                      <w14:textFill>
                        <w14:solidFill>
                          <w14:schemeClr w14:val="tx1"/>
                        </w14:solidFill>
                      </w14:textFill>
                    </w:rPr>
                  </w:pPr>
                  <w:r>
                    <w:rPr>
                      <w:rFonts w:ascii="Times New Roman" w:eastAsiaTheme="minorEastAsia"/>
                      <w:color w:val="000000" w:themeColor="text1"/>
                      <w:szCs w:val="18"/>
                      <w14:textFill>
                        <w14:solidFill>
                          <w14:schemeClr w14:val="tx1"/>
                        </w14:solidFill>
                      </w14:textFill>
                    </w:rPr>
                    <w:t>150</w:t>
                  </w:r>
                </w:p>
              </w:tc>
              <w:tc>
                <w:tcPr>
                  <w:tcW w:w="810"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w:t>
                  </w:r>
                </w:p>
              </w:tc>
              <w:tc>
                <w:tcPr>
                  <w:tcW w:w="730" w:type="pct"/>
                  <w:tcBorders>
                    <w:top w:val="single" w:color="auto" w:sz="4" w:space="0"/>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w:t>
                  </w:r>
                </w:p>
              </w:tc>
              <w:tc>
                <w:tcPr>
                  <w:tcW w:w="1861" w:type="pct"/>
                  <w:vMerge w:val="continue"/>
                  <w:tcBorders>
                    <w:left w:val="single" w:color="auto" w:sz="4" w:space="0"/>
                    <w:bottom w:val="single" w:color="auto" w:sz="4" w:space="0"/>
                    <w:right w:val="single" w:color="auto" w:sz="4" w:space="0"/>
                  </w:tcBorders>
                  <w:vAlign w:val="center"/>
                </w:tcPr>
                <w:p>
                  <w:pPr>
                    <w:pStyle w:val="66"/>
                    <w:rPr>
                      <w:color w:val="000000" w:themeColor="text1"/>
                      <w14:textFill>
                        <w14:solidFill>
                          <w14:schemeClr w14:val="tx1"/>
                        </w14:solidFill>
                      </w14:textFill>
                    </w:rPr>
                  </w:pPr>
                </w:p>
              </w:tc>
            </w:tr>
          </w:tbl>
          <w:p>
            <w:pPr>
              <w:spacing w:line="360" w:lineRule="auto"/>
              <w:ind w:firstLine="482"/>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3、噪声</w:t>
            </w:r>
          </w:p>
          <w:p>
            <w:pPr>
              <w:autoSpaceDE w:val="0"/>
              <w:autoSpaceDN w:val="0"/>
              <w:adjustRightInd w:val="0"/>
              <w:spacing w:line="360" w:lineRule="auto"/>
              <w:ind w:firstLine="480" w:firstLineChars="200"/>
              <w:jc w:val="left"/>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项目执行《工业企业厂界环境噪声排放标准》(GB12348-2008)中3类标准。</w:t>
            </w:r>
          </w:p>
          <w:p>
            <w:pPr>
              <w:pStyle w:val="76"/>
              <w:numPr>
                <w:ilvl w:val="0"/>
                <w:numId w:val="8"/>
              </w:numPr>
              <w:ind w:left="0" w:firstLine="0"/>
              <w:rPr>
                <w:color w:val="000000" w:themeColor="text1"/>
                <w14:textFill>
                  <w14:solidFill>
                    <w14:schemeClr w14:val="tx1"/>
                  </w14:solidFill>
                </w14:textFill>
              </w:rPr>
            </w:pPr>
            <w:r>
              <w:rPr>
                <w:color w:val="000000" w:themeColor="text1"/>
                <w14:textFill>
                  <w14:solidFill>
                    <w14:schemeClr w14:val="tx1"/>
                  </w14:solidFill>
                </w14:textFill>
              </w:rPr>
              <w:t>厂界环境噪声排放标准</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4"/>
              <w:gridCol w:w="4009"/>
              <w:gridCol w:w="1178"/>
              <w:gridCol w:w="1205"/>
              <w:gridCol w:w="13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3" w:type="pct"/>
                  <w:vMerge w:val="restart"/>
                  <w:vAlign w:val="center"/>
                </w:tcPr>
                <w:p>
                  <w:pPr>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阶段</w:t>
                  </w:r>
                </w:p>
              </w:tc>
              <w:tc>
                <w:tcPr>
                  <w:tcW w:w="2966" w:type="pct"/>
                  <w:gridSpan w:val="2"/>
                  <w:vMerge w:val="restart"/>
                  <w:vAlign w:val="center"/>
                </w:tcPr>
                <w:p>
                  <w:pPr>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执行标</w:t>
                  </w:r>
                </w:p>
              </w:tc>
              <w:tc>
                <w:tcPr>
                  <w:tcW w:w="1470" w:type="pct"/>
                  <w:gridSpan w:val="2"/>
                  <w:vAlign w:val="center"/>
                </w:tcPr>
                <w:p>
                  <w:pPr>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噪声限值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3" w:type="pct"/>
                  <w:vMerge w:val="continue"/>
                  <w:vAlign w:val="center"/>
                </w:tcPr>
                <w:p>
                  <w:pPr>
                    <w:snapToGrid w:val="0"/>
                    <w:jc w:val="center"/>
                    <w:rPr>
                      <w:rFonts w:ascii="Times New Roman" w:hAnsi="Times New Roman"/>
                      <w:color w:val="000000" w:themeColor="text1"/>
                      <w:szCs w:val="21"/>
                      <w14:textFill>
                        <w14:solidFill>
                          <w14:schemeClr w14:val="tx1"/>
                        </w14:solidFill>
                      </w14:textFill>
                    </w:rPr>
                  </w:pPr>
                </w:p>
              </w:tc>
              <w:tc>
                <w:tcPr>
                  <w:tcW w:w="2966" w:type="pct"/>
                  <w:gridSpan w:val="2"/>
                  <w:vMerge w:val="continue"/>
                  <w:vAlign w:val="center"/>
                </w:tcPr>
                <w:p>
                  <w:pPr>
                    <w:snapToGrid w:val="0"/>
                    <w:jc w:val="center"/>
                    <w:rPr>
                      <w:rFonts w:ascii="Times New Roman" w:hAnsi="Times New Roman"/>
                      <w:color w:val="000000" w:themeColor="text1"/>
                      <w:szCs w:val="21"/>
                      <w14:textFill>
                        <w14:solidFill>
                          <w14:schemeClr w14:val="tx1"/>
                        </w14:solidFill>
                      </w14:textFill>
                    </w:rPr>
                  </w:pPr>
                </w:p>
              </w:tc>
              <w:tc>
                <w:tcPr>
                  <w:tcW w:w="689" w:type="pct"/>
                  <w:vAlign w:val="center"/>
                </w:tcPr>
                <w:p>
                  <w:pPr>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昼间</w:t>
                  </w:r>
                </w:p>
              </w:tc>
              <w:tc>
                <w:tcPr>
                  <w:tcW w:w="781" w:type="pct"/>
                  <w:vAlign w:val="center"/>
                </w:tcPr>
                <w:p>
                  <w:pPr>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3" w:type="pct"/>
                  <w:vAlign w:val="center"/>
                </w:tcPr>
                <w:p>
                  <w:pPr>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运营期</w:t>
                  </w:r>
                </w:p>
              </w:tc>
              <w:tc>
                <w:tcPr>
                  <w:tcW w:w="2293" w:type="pct"/>
                  <w:vAlign w:val="center"/>
                </w:tcPr>
                <w:p>
                  <w:pPr>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《工业企业厂界环境噪声排放标准》(GB12348-2008</w:t>
                  </w:r>
                </w:p>
              </w:tc>
              <w:tc>
                <w:tcPr>
                  <w:tcW w:w="674" w:type="pct"/>
                  <w:vAlign w:val="center"/>
                </w:tcPr>
                <w:p>
                  <w:pPr>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3类</w:t>
                  </w:r>
                </w:p>
              </w:tc>
              <w:tc>
                <w:tcPr>
                  <w:tcW w:w="689" w:type="pct"/>
                  <w:vAlign w:val="center"/>
                </w:tcPr>
                <w:p>
                  <w:pPr>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65</w:t>
                  </w:r>
                </w:p>
              </w:tc>
              <w:tc>
                <w:tcPr>
                  <w:tcW w:w="781" w:type="pct"/>
                  <w:vAlign w:val="center"/>
                </w:tcPr>
                <w:p>
                  <w:pPr>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55</w:t>
                  </w:r>
                </w:p>
              </w:tc>
            </w:tr>
          </w:tbl>
          <w:p>
            <w:pPr>
              <w:adjustRightInd w:val="0"/>
              <w:snapToGrid w:val="0"/>
              <w:spacing w:line="360" w:lineRule="auto"/>
              <w:ind w:firstLine="482" w:firstLineChars="200"/>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4、固体废物</w:t>
            </w:r>
          </w:p>
          <w:p>
            <w:pPr>
              <w:adjustRightInd w:val="0"/>
              <w:snapToGrid w:val="0"/>
              <w:spacing w:line="360" w:lineRule="auto"/>
              <w:ind w:firstLine="480" w:firstLineChars="200"/>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sz w:val="24"/>
                <w14:textFill>
                  <w14:solidFill>
                    <w14:schemeClr w14:val="tx1"/>
                  </w14:solidFill>
                </w14:textFill>
              </w:rPr>
              <w:t>一般工业固体废物执行《一般工业固体废物贮存和填埋污染控制标准》（GB18599-2020）、《中华人民共和国固体废物污染环境防治法》（2020年本）、《广东省固体废物污染环境防治条例》（2018年修订），危险废物执行《危险废物贮存污染控制标准》（GB18597-2001）及2013年修改单、《建设项目危险废物环境影响评价指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175" w:type="pct"/>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总量</w:t>
            </w:r>
          </w:p>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控制</w:t>
            </w:r>
          </w:p>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指标</w:t>
            </w:r>
          </w:p>
        </w:tc>
        <w:tc>
          <w:tcPr>
            <w:tcW w:w="4825" w:type="pct"/>
            <w:vAlign w:val="center"/>
          </w:tcPr>
          <w:p>
            <w:pPr>
              <w:pStyle w:val="76"/>
              <w:numPr>
                <w:ilvl w:val="0"/>
                <w:numId w:val="8"/>
              </w:numPr>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污染物总量控制指标</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1934"/>
              <w:gridCol w:w="1804"/>
              <w:gridCol w:w="37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4" w:type="pct"/>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项目</w:t>
                  </w:r>
                </w:p>
              </w:tc>
              <w:tc>
                <w:tcPr>
                  <w:tcW w:w="1106" w:type="pct"/>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污染物</w:t>
                  </w:r>
                </w:p>
              </w:tc>
              <w:tc>
                <w:tcPr>
                  <w:tcW w:w="1032" w:type="pct"/>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总量控制指标t/a</w:t>
                  </w:r>
                </w:p>
              </w:tc>
              <w:tc>
                <w:tcPr>
                  <w:tcW w:w="2138" w:type="pct"/>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24" w:type="pct"/>
                  <w:vMerge w:val="restart"/>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废气</w:t>
                  </w:r>
                </w:p>
              </w:tc>
              <w:tc>
                <w:tcPr>
                  <w:tcW w:w="1106"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SO</w:t>
                  </w:r>
                  <w:r>
                    <w:rPr>
                      <w:rFonts w:ascii="Times New Roman" w:hAnsi="Times New Roman"/>
                      <w:color w:val="000000" w:themeColor="text1"/>
                      <w:szCs w:val="21"/>
                      <w:vertAlign w:val="subscript"/>
                      <w14:textFill>
                        <w14:solidFill>
                          <w14:schemeClr w14:val="tx1"/>
                        </w14:solidFill>
                      </w14:textFill>
                    </w:rPr>
                    <w:t>2</w:t>
                  </w:r>
                </w:p>
              </w:tc>
              <w:tc>
                <w:tcPr>
                  <w:tcW w:w="1032" w:type="pct"/>
                  <w:shd w:val="clear" w:color="auto" w:fill="auto"/>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0.074</w:t>
                  </w:r>
                </w:p>
              </w:tc>
              <w:tc>
                <w:tcPr>
                  <w:tcW w:w="2138" w:type="pct"/>
                  <w:vMerge w:val="restart"/>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724" w:type="pct"/>
                  <w:vMerge w:val="continue"/>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p>
              </w:tc>
              <w:tc>
                <w:tcPr>
                  <w:tcW w:w="1106"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NO</w:t>
                  </w:r>
                  <w:r>
                    <w:rPr>
                      <w:rFonts w:ascii="Times New Roman" w:hAnsi="Times New Roman"/>
                      <w:color w:val="000000" w:themeColor="text1"/>
                      <w:szCs w:val="21"/>
                      <w:vertAlign w:val="subscript"/>
                      <w14:textFill>
                        <w14:solidFill>
                          <w14:schemeClr w14:val="tx1"/>
                        </w14:solidFill>
                      </w14:textFill>
                    </w:rPr>
                    <w:t>X</w:t>
                  </w:r>
                </w:p>
              </w:tc>
              <w:tc>
                <w:tcPr>
                  <w:tcW w:w="1032" w:type="pct"/>
                  <w:shd w:val="clear" w:color="auto" w:fill="auto"/>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0.586</w:t>
                  </w:r>
                </w:p>
              </w:tc>
              <w:tc>
                <w:tcPr>
                  <w:tcW w:w="2138" w:type="pct"/>
                  <w:vMerge w:val="continue"/>
                  <w:vAlign w:val="center"/>
                </w:tcPr>
                <w:p>
                  <w:pPr>
                    <w:jc w:val="center"/>
                    <w:rPr>
                      <w:rFonts w:ascii="Times New Roman" w:hAnsi="Times New Roman"/>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724" w:type="pct"/>
                  <w:vMerge w:val="continue"/>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p>
              </w:tc>
              <w:tc>
                <w:tcPr>
                  <w:tcW w:w="1106"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颗粒物</w:t>
                  </w:r>
                </w:p>
              </w:tc>
              <w:tc>
                <w:tcPr>
                  <w:tcW w:w="1032" w:type="pct"/>
                  <w:shd w:val="clear" w:color="auto" w:fill="auto"/>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0.146</w:t>
                  </w:r>
                </w:p>
              </w:tc>
              <w:tc>
                <w:tcPr>
                  <w:tcW w:w="2138" w:type="pct"/>
                  <w:vMerge w:val="continue"/>
                  <w:vAlign w:val="center"/>
                </w:tcPr>
                <w:p>
                  <w:pPr>
                    <w:jc w:val="center"/>
                    <w:rPr>
                      <w:rFonts w:ascii="Times New Roman" w:hAnsi="Times New Roman"/>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724" w:type="pct"/>
                  <w:vMerge w:val="continue"/>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p>
              </w:tc>
              <w:tc>
                <w:tcPr>
                  <w:tcW w:w="1106"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VOCs</w:t>
                  </w:r>
                </w:p>
              </w:tc>
              <w:tc>
                <w:tcPr>
                  <w:tcW w:w="1032" w:type="pct"/>
                  <w:shd w:val="clear" w:color="auto" w:fill="auto"/>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0.117</w:t>
                  </w:r>
                </w:p>
              </w:tc>
              <w:tc>
                <w:tcPr>
                  <w:tcW w:w="2138" w:type="pct"/>
                  <w:vMerge w:val="continue"/>
                  <w:vAlign w:val="center"/>
                </w:tcPr>
                <w:p>
                  <w:pPr>
                    <w:jc w:val="center"/>
                    <w:rPr>
                      <w:rFonts w:ascii="Times New Roman" w:hAnsi="Times New Roman"/>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4" w:type="pct"/>
                  <w:vMerge w:val="restart"/>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废水</w:t>
                  </w:r>
                </w:p>
              </w:tc>
              <w:tc>
                <w:tcPr>
                  <w:tcW w:w="1106" w:type="pct"/>
                  <w:shd w:val="clear" w:color="auto" w:fill="auto"/>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废水量（t/a）</w:t>
                  </w:r>
                </w:p>
              </w:tc>
              <w:tc>
                <w:tcPr>
                  <w:tcW w:w="1032" w:type="pct"/>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4254.298</w:t>
                  </w:r>
                </w:p>
              </w:tc>
              <w:tc>
                <w:tcPr>
                  <w:tcW w:w="2138" w:type="pct"/>
                  <w:vMerge w:val="restart"/>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本项目生产废水排入园区工业污水处理厂进行处理、生活污水排入河口镇污水处理厂处理。废水总量纳入两个污水厂总量中进行控制，不另占总量指标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4" w:type="pct"/>
                  <w:vMerge w:val="continue"/>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p>
              </w:tc>
              <w:tc>
                <w:tcPr>
                  <w:tcW w:w="1106" w:type="pct"/>
                  <w:shd w:val="clear" w:color="auto" w:fill="auto"/>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COD</w:t>
                  </w:r>
                  <w:r>
                    <w:rPr>
                      <w:color w:val="000000" w:themeColor="text1"/>
                      <w:szCs w:val="21"/>
                      <w:vertAlign w:val="subscript"/>
                      <w14:textFill>
                        <w14:solidFill>
                          <w14:schemeClr w14:val="tx1"/>
                        </w14:solidFill>
                      </w14:textFill>
                    </w:rPr>
                    <w:t>Cr</w:t>
                  </w:r>
                  <w:r>
                    <w:rPr>
                      <w:color w:val="000000" w:themeColor="text1"/>
                      <w:szCs w:val="21"/>
                      <w14:textFill>
                        <w14:solidFill>
                          <w14:schemeClr w14:val="tx1"/>
                        </w14:solidFill>
                      </w14:textFill>
                    </w:rPr>
                    <w:t>（t/a）</w:t>
                  </w:r>
                </w:p>
              </w:tc>
              <w:tc>
                <w:tcPr>
                  <w:tcW w:w="1032" w:type="pct"/>
                  <w:shd w:val="clear" w:color="auto" w:fill="auto"/>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0.128</w:t>
                  </w:r>
                </w:p>
              </w:tc>
              <w:tc>
                <w:tcPr>
                  <w:tcW w:w="2138" w:type="pct"/>
                  <w:vMerge w:val="continue"/>
                  <w:vAlign w:val="center"/>
                </w:tcPr>
                <w:p>
                  <w:pPr>
                    <w:jc w:val="center"/>
                    <w:rPr>
                      <w:rFonts w:ascii="Times New Roman" w:hAnsi="Times New Roman"/>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4" w:type="pct"/>
                  <w:vMerge w:val="continue"/>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p>
              </w:tc>
              <w:tc>
                <w:tcPr>
                  <w:tcW w:w="1106" w:type="pct"/>
                  <w:shd w:val="clear" w:color="auto" w:fill="auto"/>
                  <w:vAlign w:val="center"/>
                </w:tcPr>
                <w:p>
                  <w:pPr>
                    <w:pStyle w:val="54"/>
                    <w:rPr>
                      <w:color w:val="000000" w:themeColor="text1"/>
                      <w:szCs w:val="21"/>
                      <w14:textFill>
                        <w14:solidFill>
                          <w14:schemeClr w14:val="tx1"/>
                        </w14:solidFill>
                      </w14:textFill>
                    </w:rPr>
                  </w:pPr>
                  <w:r>
                    <w:rPr>
                      <w:color w:val="000000" w:themeColor="text1"/>
                      <w:szCs w:val="21"/>
                      <w14:textFill>
                        <w14:solidFill>
                          <w14:schemeClr w14:val="tx1"/>
                        </w14:solidFill>
                      </w14:textFill>
                    </w:rPr>
                    <w:t>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-N（t/a）</w:t>
                  </w:r>
                </w:p>
              </w:tc>
              <w:tc>
                <w:tcPr>
                  <w:tcW w:w="1032" w:type="pct"/>
                  <w:shd w:val="clear" w:color="auto" w:fill="auto"/>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0.00</w:t>
                  </w:r>
                  <w:r>
                    <w:rPr>
                      <w:rFonts w:hint="eastAsia"/>
                      <w:color w:val="000000" w:themeColor="text1"/>
                      <w:szCs w:val="21"/>
                      <w14:textFill>
                        <w14:solidFill>
                          <w14:schemeClr w14:val="tx1"/>
                        </w14:solidFill>
                      </w14:textFill>
                    </w:rPr>
                    <w:t>6</w:t>
                  </w:r>
                  <w:r>
                    <w:rPr>
                      <w:color w:val="000000" w:themeColor="text1"/>
                      <w:szCs w:val="21"/>
                      <w14:textFill>
                        <w14:solidFill>
                          <w14:schemeClr w14:val="tx1"/>
                        </w14:solidFill>
                      </w14:textFill>
                    </w:rPr>
                    <w:t>2</w:t>
                  </w:r>
                </w:p>
              </w:tc>
              <w:tc>
                <w:tcPr>
                  <w:tcW w:w="2138" w:type="pct"/>
                  <w:vMerge w:val="continue"/>
                  <w:vAlign w:val="center"/>
                </w:tcPr>
                <w:p>
                  <w:pPr>
                    <w:jc w:val="center"/>
                    <w:rPr>
                      <w:rFonts w:ascii="Times New Roman" w:hAnsi="Times New Roman"/>
                      <w:color w:val="000000" w:themeColor="text1"/>
                      <w:kern w:val="0"/>
                      <w:szCs w:val="21"/>
                      <w14:textFill>
                        <w14:solidFill>
                          <w14:schemeClr w14:val="tx1"/>
                        </w14:solidFill>
                      </w14:textFill>
                    </w:rPr>
                  </w:pPr>
                </w:p>
              </w:tc>
            </w:tr>
          </w:tbl>
          <w:p>
            <w:pPr>
              <w:rPr>
                <w:rFonts w:ascii="Times New Roman" w:hAnsi="Times New Roman"/>
                <w:color w:val="000000" w:themeColor="text1"/>
                <w14:textFill>
                  <w14:solidFill>
                    <w14:schemeClr w14:val="tx1"/>
                  </w14:solidFill>
                </w14:textFill>
              </w:rPr>
            </w:pPr>
          </w:p>
          <w:p>
            <w:pPr>
              <w:adjustRightInd w:val="0"/>
              <w:snapToGrid w:val="0"/>
              <w:ind w:firstLine="420" w:firstLineChars="200"/>
              <w:rPr>
                <w:rFonts w:ascii="Times New Roman" w:hAnsi="Times New Roman"/>
                <w:color w:val="000000" w:themeColor="text1"/>
                <w:kern w:val="21"/>
                <w:szCs w:val="21"/>
                <w14:textFill>
                  <w14:solidFill>
                    <w14:schemeClr w14:val="tx1"/>
                  </w14:solidFill>
                </w14:textFill>
              </w:rPr>
            </w:pPr>
          </w:p>
        </w:tc>
      </w:tr>
    </w:tbl>
    <w:p>
      <w:pPr>
        <w:pStyle w:val="16"/>
        <w:adjustRightInd w:val="0"/>
        <w:snapToGrid w:val="0"/>
        <w:jc w:val="center"/>
        <w:outlineLvl w:val="0"/>
        <w:rPr>
          <w:rFonts w:ascii="Times New Roman" w:hAnsi="Times New Roman"/>
          <w:snapToGrid w:val="0"/>
          <w:color w:val="000000" w:themeColor="text1"/>
          <w:kern w:val="21"/>
          <w:sz w:val="36"/>
          <w:szCs w:val="36"/>
          <w14:textFill>
            <w14:solidFill>
              <w14:schemeClr w14:val="tx1"/>
            </w14:solidFill>
          </w14:textFill>
        </w:rPr>
        <w:sectPr>
          <w:pgSz w:w="11907" w:h="16840"/>
          <w:pgMar w:top="1418" w:right="1418" w:bottom="1418" w:left="1418" w:header="851" w:footer="851" w:gutter="0"/>
          <w:cols w:space="720" w:num="1"/>
          <w:docGrid w:linePitch="312" w:charSpace="0"/>
        </w:sectPr>
      </w:pPr>
    </w:p>
    <w:p>
      <w:pPr>
        <w:pStyle w:val="16"/>
        <w:adjustRightInd w:val="0"/>
        <w:snapToGrid w:val="0"/>
        <w:jc w:val="center"/>
        <w:outlineLvl w:val="0"/>
        <w:rPr>
          <w:rFonts w:ascii="Times New Roman" w:hAnsi="Times New Roman"/>
          <w:snapToGrid w:val="0"/>
          <w:color w:val="000000" w:themeColor="text1"/>
          <w:kern w:val="21"/>
          <w:sz w:val="30"/>
          <w:szCs w:val="30"/>
          <w14:textFill>
            <w14:solidFill>
              <w14:schemeClr w14:val="tx1"/>
            </w14:solidFill>
          </w14:textFill>
        </w:rPr>
      </w:pPr>
      <w:r>
        <w:rPr>
          <w:rFonts w:ascii="Times New Roman" w:hAnsi="Times New Roman"/>
          <w:snapToGrid w:val="0"/>
          <w:color w:val="000000" w:themeColor="text1"/>
          <w:kern w:val="21"/>
          <w:sz w:val="30"/>
          <w:szCs w:val="30"/>
          <w14:textFill>
            <w14:solidFill>
              <w14:schemeClr w14:val="tx1"/>
            </w14:solidFill>
          </w14:textFill>
        </w:rPr>
        <w:t>四、主要环境影响和保护措施</w:t>
      </w:r>
    </w:p>
    <w:tbl>
      <w:tblPr>
        <w:tblStyle w:val="1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641"/>
        <w:gridCol w:w="1341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228" w:type="pct"/>
            <w:tcMar>
              <w:left w:w="28" w:type="dxa"/>
              <w:right w:w="28" w:type="dxa"/>
            </w:tcMar>
            <w:vAlign w:val="center"/>
          </w:tcPr>
          <w:p>
            <w:pPr>
              <w:pStyle w:val="16"/>
              <w:adjustRightInd w:val="0"/>
              <w:snapToGrid w:val="0"/>
              <w:spacing w:before="0" w:beforeAutospacing="0" w:after="0" w:afterAutospacing="0"/>
              <w:jc w:val="center"/>
              <w:rPr>
                <w:rFonts w:ascii="Times New Roman" w:hAnsi="Times New Roman"/>
                <w:color w:val="000000" w:themeColor="text1"/>
                <w:kern w:val="21"/>
                <w:sz w:val="21"/>
                <w:szCs w:val="21"/>
                <w14:textFill>
                  <w14:solidFill>
                    <w14:schemeClr w14:val="tx1"/>
                  </w14:solidFill>
                </w14:textFill>
              </w:rPr>
            </w:pPr>
            <w:r>
              <w:rPr>
                <w:rFonts w:ascii="Times New Roman" w:hAnsi="Times New Roman"/>
                <w:color w:val="000000" w:themeColor="text1"/>
                <w:kern w:val="21"/>
                <w:sz w:val="21"/>
                <w:szCs w:val="21"/>
                <w14:textFill>
                  <w14:solidFill>
                    <w14:schemeClr w14:val="tx1"/>
                  </w14:solidFill>
                </w14:textFill>
              </w:rPr>
              <w:t>施工</w:t>
            </w:r>
          </w:p>
          <w:p>
            <w:pPr>
              <w:pStyle w:val="16"/>
              <w:adjustRightInd w:val="0"/>
              <w:snapToGrid w:val="0"/>
              <w:spacing w:before="0" w:beforeAutospacing="0" w:after="0" w:afterAutospacing="0"/>
              <w:jc w:val="center"/>
              <w:rPr>
                <w:rFonts w:ascii="Times New Roman" w:hAnsi="Times New Roman"/>
                <w:color w:val="000000" w:themeColor="text1"/>
                <w:kern w:val="21"/>
                <w:sz w:val="21"/>
                <w:szCs w:val="21"/>
                <w14:textFill>
                  <w14:solidFill>
                    <w14:schemeClr w14:val="tx1"/>
                  </w14:solidFill>
                </w14:textFill>
              </w:rPr>
            </w:pPr>
            <w:r>
              <w:rPr>
                <w:rFonts w:ascii="Times New Roman" w:hAnsi="Times New Roman"/>
                <w:color w:val="000000" w:themeColor="text1"/>
                <w:kern w:val="21"/>
                <w:sz w:val="21"/>
                <w:szCs w:val="21"/>
                <w14:textFill>
                  <w14:solidFill>
                    <w14:schemeClr w14:val="tx1"/>
                  </w14:solidFill>
                </w14:textFill>
              </w:rPr>
              <w:t>期环</w:t>
            </w:r>
          </w:p>
          <w:p>
            <w:pPr>
              <w:pStyle w:val="16"/>
              <w:adjustRightInd w:val="0"/>
              <w:snapToGrid w:val="0"/>
              <w:spacing w:before="0" w:beforeAutospacing="0" w:after="0" w:afterAutospacing="0"/>
              <w:jc w:val="center"/>
              <w:rPr>
                <w:rFonts w:ascii="Times New Roman" w:hAnsi="Times New Roman"/>
                <w:color w:val="000000" w:themeColor="text1"/>
                <w:kern w:val="21"/>
                <w:sz w:val="21"/>
                <w:szCs w:val="21"/>
                <w14:textFill>
                  <w14:solidFill>
                    <w14:schemeClr w14:val="tx1"/>
                  </w14:solidFill>
                </w14:textFill>
              </w:rPr>
            </w:pPr>
            <w:r>
              <w:rPr>
                <w:rFonts w:ascii="Times New Roman" w:hAnsi="Times New Roman"/>
                <w:color w:val="000000" w:themeColor="text1"/>
                <w:kern w:val="21"/>
                <w:sz w:val="21"/>
                <w:szCs w:val="21"/>
                <w14:textFill>
                  <w14:solidFill>
                    <w14:schemeClr w14:val="tx1"/>
                  </w14:solidFill>
                </w14:textFill>
              </w:rPr>
              <w:t>境保</w:t>
            </w:r>
          </w:p>
          <w:p>
            <w:pPr>
              <w:pStyle w:val="16"/>
              <w:adjustRightInd w:val="0"/>
              <w:snapToGrid w:val="0"/>
              <w:spacing w:before="0" w:beforeAutospacing="0" w:after="0" w:afterAutospacing="0"/>
              <w:jc w:val="center"/>
              <w:rPr>
                <w:rFonts w:ascii="Times New Roman" w:hAnsi="Times New Roman"/>
                <w:color w:val="000000" w:themeColor="text1"/>
                <w:kern w:val="21"/>
                <w:sz w:val="21"/>
                <w:szCs w:val="21"/>
                <w14:textFill>
                  <w14:solidFill>
                    <w14:schemeClr w14:val="tx1"/>
                  </w14:solidFill>
                </w14:textFill>
              </w:rPr>
            </w:pPr>
            <w:r>
              <w:rPr>
                <w:rFonts w:ascii="Times New Roman" w:hAnsi="Times New Roman"/>
                <w:color w:val="000000" w:themeColor="text1"/>
                <w:kern w:val="21"/>
                <w:sz w:val="21"/>
                <w:szCs w:val="21"/>
                <w14:textFill>
                  <w14:solidFill>
                    <w14:schemeClr w14:val="tx1"/>
                  </w14:solidFill>
                </w14:textFill>
              </w:rPr>
              <w:t>护措</w:t>
            </w:r>
          </w:p>
          <w:p>
            <w:pPr>
              <w:pStyle w:val="16"/>
              <w:adjustRightInd w:val="0"/>
              <w:snapToGrid w:val="0"/>
              <w:spacing w:before="0" w:beforeAutospacing="0" w:after="0" w:afterAutospacing="0"/>
              <w:jc w:val="center"/>
              <w:rPr>
                <w:rFonts w:ascii="Times New Roman" w:hAnsi="Times New Roman"/>
                <w:bCs/>
                <w:color w:val="000000" w:themeColor="text1"/>
                <w:kern w:val="21"/>
                <w:sz w:val="21"/>
                <w:szCs w:val="21"/>
                <w14:textFill>
                  <w14:solidFill>
                    <w14:schemeClr w14:val="tx1"/>
                  </w14:solidFill>
                </w14:textFill>
              </w:rPr>
            </w:pPr>
            <w:r>
              <w:rPr>
                <w:rFonts w:ascii="Times New Roman" w:hAnsi="Times New Roman"/>
                <w:color w:val="000000" w:themeColor="text1"/>
                <w:kern w:val="21"/>
                <w:sz w:val="21"/>
                <w:szCs w:val="21"/>
                <w14:textFill>
                  <w14:solidFill>
                    <w14:schemeClr w14:val="tx1"/>
                  </w14:solidFill>
                </w14:textFill>
              </w:rPr>
              <w:t>施</w:t>
            </w:r>
          </w:p>
        </w:tc>
        <w:tc>
          <w:tcPr>
            <w:tcW w:w="4772" w:type="pct"/>
            <w:vAlign w:val="center"/>
          </w:tcPr>
          <w:p>
            <w:pPr>
              <w:adjustRightInd w:val="0"/>
              <w:snapToGrid w:val="0"/>
              <w:spacing w:line="360" w:lineRule="auto"/>
              <w:ind w:firstLine="480" w:firstLineChars="200"/>
              <w:rPr>
                <w:rFonts w:ascii="Times New Roman" w:hAnsi="Times New Roman"/>
                <w:bCs/>
                <w:color w:val="000000" w:themeColor="text1"/>
                <w:sz w:val="24"/>
                <w14:textFill>
                  <w14:solidFill>
                    <w14:schemeClr w14:val="tx1"/>
                  </w14:solidFill>
                </w14:textFill>
              </w:rPr>
            </w:pPr>
            <w:r>
              <w:rPr>
                <w:rFonts w:ascii="Times New Roman" w:hAnsi="Times New Roman"/>
                <w:bCs/>
                <w:color w:val="000000" w:themeColor="text1"/>
                <w:sz w:val="24"/>
                <w14:textFill>
                  <w14:solidFill>
                    <w14:schemeClr w14:val="tx1"/>
                  </w14:solidFill>
                </w14:textFill>
              </w:rPr>
              <w:t>本项目选址于</w:t>
            </w:r>
            <w:r>
              <w:rPr>
                <w:rFonts w:ascii="Times New Roman" w:hAnsi="Times New Roman"/>
                <w:snapToGrid w:val="0"/>
                <w:color w:val="000000" w:themeColor="text1"/>
                <w:kern w:val="0"/>
                <w:sz w:val="24"/>
                <w14:textFill>
                  <w14:solidFill>
                    <w14:schemeClr w14:val="tx1"/>
                  </w14:solidFill>
                </w14:textFill>
              </w:rPr>
              <w:t>陆河县产业转移工业园区西侧空地进行建设生产</w:t>
            </w:r>
            <w:r>
              <w:rPr>
                <w:rFonts w:ascii="Times New Roman" w:hAnsi="Times New Roman"/>
                <w:bCs/>
                <w:color w:val="000000" w:themeColor="text1"/>
                <w:sz w:val="24"/>
                <w14:textFill>
                  <w14:solidFill>
                    <w14:schemeClr w14:val="tx1"/>
                  </w14:solidFill>
                </w14:textFill>
              </w:rPr>
              <w:t>，施工期主要为厂房建设装修工程及设备安装工程。</w:t>
            </w:r>
          </w:p>
          <w:p>
            <w:pPr>
              <w:adjustRightInd w:val="0"/>
              <w:snapToGrid w:val="0"/>
              <w:spacing w:line="360" w:lineRule="auto"/>
              <w:ind w:firstLine="480" w:firstLineChars="200"/>
              <w:rPr>
                <w:rFonts w:ascii="Times New Roman" w:hAnsi="Times New Roman"/>
                <w:color w:val="000000" w:themeColor="text1"/>
                <w:sz w:val="24"/>
                <w:szCs w:val="28"/>
                <w14:textFill>
                  <w14:solidFill>
                    <w14:schemeClr w14:val="tx1"/>
                  </w14:solidFill>
                </w14:textFill>
              </w:rPr>
            </w:pPr>
            <w:r>
              <w:rPr>
                <w:rFonts w:ascii="Times New Roman" w:hAnsi="Times New Roman"/>
                <w:color w:val="000000" w:themeColor="text1"/>
                <w:sz w:val="24"/>
                <w:szCs w:val="28"/>
                <w14:textFill>
                  <w14:solidFill>
                    <w14:schemeClr w14:val="tx1"/>
                  </w14:solidFill>
                </w14:textFill>
              </w:rPr>
              <w:t>1、施工期废气</w:t>
            </w:r>
          </w:p>
          <w:p>
            <w:pPr>
              <w:adjustRightInd w:val="0"/>
              <w:snapToGrid w:val="0"/>
              <w:spacing w:line="360" w:lineRule="auto"/>
              <w:ind w:firstLine="48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施工期间主要大气污染主要为扬尘，项目</w:t>
            </w:r>
            <w:r>
              <w:rPr>
                <w:rFonts w:ascii="Times New Roman" w:hAnsi="Times New Roman"/>
                <w:color w:val="000000" w:themeColor="text1"/>
                <w:kern w:val="0"/>
                <w:sz w:val="24"/>
                <w14:textFill>
                  <w14:solidFill>
                    <w14:schemeClr w14:val="tx1"/>
                  </w14:solidFill>
                </w14:textFill>
              </w:rPr>
              <w:t>施工期间</w:t>
            </w:r>
            <w:r>
              <w:rPr>
                <w:rFonts w:ascii="Times New Roman" w:hAnsi="Times New Roman"/>
                <w:color w:val="000000" w:themeColor="text1"/>
                <w:sz w:val="24"/>
                <w14:textFill>
                  <w14:solidFill>
                    <w14:schemeClr w14:val="tx1"/>
                  </w14:solidFill>
                </w14:textFill>
              </w:rPr>
              <w:t>，应对运输的道路及时清扫和浇水，加强施工管理，并配置工地细防护网及设置围栏或屏障，采用商品混凝土浇注，采用封闭车辆运输等措施，以最大程度减少扬尘对周围环境的影</w:t>
            </w:r>
            <w:r>
              <w:rPr>
                <w:rFonts w:ascii="Times New Roman" w:hAnsi="Times New Roman"/>
                <w:color w:val="000000" w:themeColor="text1"/>
                <w:kern w:val="0"/>
                <w:sz w:val="24"/>
                <w14:textFill>
                  <w14:solidFill>
                    <w14:schemeClr w14:val="tx1"/>
                  </w14:solidFill>
                </w14:textFill>
              </w:rPr>
              <w:t>响。</w:t>
            </w:r>
          </w:p>
          <w:p>
            <w:pPr>
              <w:autoSpaceDE w:val="0"/>
              <w:autoSpaceDN w:val="0"/>
              <w:adjustRightInd w:val="0"/>
              <w:spacing w:line="360" w:lineRule="auto"/>
              <w:ind w:firstLine="480" w:firstLineChars="20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施工期的燃烧废气主要来自施工机械产生的废气，由于本项目施工使用的机械布设较为分散，施工排放的污染物量较少，结合当地环境空气质量现状较好、空气流通性较好，有利于污染物质的扩散等因素综合分析，废气有一定的扩散条件，在短时间内对区域环境空气有一定影响，但不会造成污染性影响，故本工程施工排放的燃烧废气在总体上对空气质量的影响不大。</w:t>
            </w:r>
          </w:p>
          <w:p>
            <w:pPr>
              <w:autoSpaceDE w:val="0"/>
              <w:autoSpaceDN w:val="0"/>
              <w:adjustRightIn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装修期间，应加强管理，建议使用环保型涂料及环保材料，减少有机挥发气体及有害物质，加强室内通风，减低室内空气污染，降低对施工人员身体健康造成的影响。</w:t>
            </w:r>
          </w:p>
          <w:p>
            <w:pPr>
              <w:autoSpaceDE w:val="0"/>
              <w:autoSpaceDN w:val="0"/>
              <w:adjustRightIn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2、施工期废水</w:t>
            </w:r>
          </w:p>
          <w:p>
            <w:pPr>
              <w:autoSpaceDE w:val="0"/>
              <w:autoSpaceDN w:val="0"/>
              <w:adjustRightInd w:val="0"/>
              <w:spacing w:line="360" w:lineRule="auto"/>
              <w:ind w:firstLine="480" w:firstLineChars="200"/>
              <w:jc w:val="left"/>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施工生产废水主要含大量的悬浮物颗粒物，且悬浮物主要是泥沙类物质，属于大颗粒不溶性的无机物颗粒，经一定时间沉降，悬浮物可以得到去除，废水可以循环利用。故建筑施工场地应设置沉砂池设施，将施工场地产生的生产废水进行拦截沉淀，上清液回用作为施工区内的料场道路洒水抑尘、混凝土养护用水利用，不外排，不会对项目附近地面水环境造成影响。</w:t>
            </w:r>
          </w:p>
          <w:p>
            <w:pPr>
              <w:autoSpaceDE w:val="0"/>
              <w:autoSpaceDN w:val="0"/>
              <w:adjustRightInd w:val="0"/>
              <w:spacing w:line="360" w:lineRule="auto"/>
              <w:ind w:firstLine="480" w:firstLineChars="200"/>
              <w:jc w:val="left"/>
              <w:rPr>
                <w:rFonts w:ascii="Times New Roman" w:hAnsi="Times New Roman"/>
                <w:color w:val="000000" w:themeColor="text1"/>
                <w:sz w:val="24"/>
                <w:szCs w:val="23"/>
                <w14:textFill>
                  <w14:solidFill>
                    <w14:schemeClr w14:val="tx1"/>
                  </w14:solidFill>
                </w14:textFill>
              </w:rPr>
            </w:pPr>
            <w:r>
              <w:rPr>
                <w:rFonts w:ascii="Times New Roman" w:hAnsi="Times New Roman"/>
                <w:color w:val="000000" w:themeColor="text1"/>
                <w:sz w:val="24"/>
                <w:szCs w:val="23"/>
                <w14:textFill>
                  <w14:solidFill>
                    <w14:schemeClr w14:val="tx1"/>
                  </w14:solidFill>
                </w14:textFill>
              </w:rPr>
              <w:t>3、施工期噪声</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施工期相对运营期而言其噪声影响是短暂的，一旦施工活动结束，施工噪声也将随之结束。为减少其噪声对周边环境的影响，施工单位务必规范施工行为，严格按照建筑施工的有关管理规定和要求，文明施工。施工时间应避免在午间时间进行，此外，项目不允许进行夜间施工，合理安排施工进度，高强度、高噪声施工阶段应尽量安排在附近工业企业放假期间。建议建设单位加强运输车辆的管理，按规定组织车辆运输，合理规定运输信道。尽量避免在居民区出入；一旦经过居民区时，车辆应限速行驶，减少鸣笛。</w:t>
            </w:r>
          </w:p>
          <w:p>
            <w:pPr>
              <w:autoSpaceDE w:val="0"/>
              <w:autoSpaceDN w:val="0"/>
              <w:adjustRightInd w:val="0"/>
              <w:spacing w:line="360" w:lineRule="auto"/>
              <w:ind w:firstLine="480" w:firstLineChars="200"/>
              <w:jc w:val="left"/>
              <w:rPr>
                <w:rFonts w:ascii="Times New Roman" w:hAnsi="Times New Roman"/>
                <w:color w:val="000000" w:themeColor="text1"/>
                <w:sz w:val="24"/>
                <w:szCs w:val="23"/>
                <w14:textFill>
                  <w14:solidFill>
                    <w14:schemeClr w14:val="tx1"/>
                  </w14:solidFill>
                </w14:textFill>
              </w:rPr>
            </w:pPr>
            <w:r>
              <w:rPr>
                <w:rFonts w:ascii="Times New Roman" w:hAnsi="Times New Roman"/>
                <w:color w:val="000000" w:themeColor="text1"/>
                <w:sz w:val="24"/>
                <w:szCs w:val="23"/>
                <w14:textFill>
                  <w14:solidFill>
                    <w14:schemeClr w14:val="tx1"/>
                  </w14:solidFill>
                </w14:textFill>
              </w:rPr>
              <w:t>4、施工期固体废物</w:t>
            </w:r>
          </w:p>
          <w:p>
            <w:pPr>
              <w:autoSpaceDE w:val="0"/>
              <w:autoSpaceDN w:val="0"/>
              <w:adjustRightInd w:val="0"/>
              <w:spacing w:line="360" w:lineRule="auto"/>
              <w:ind w:firstLine="480" w:firstLineChars="200"/>
              <w:jc w:val="left"/>
              <w:rPr>
                <w:rFonts w:ascii="Times New Roman" w:hAnsi="Times New Roman"/>
                <w:color w:val="000000" w:themeColor="text1"/>
                <w:sz w:val="24"/>
                <w:szCs w:val="23"/>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项目施工期间产生的建筑垃圾主要包括平整场地或开挖地基的多余泥土及施工过程中残余泄露的混凝土、残砖断瓦等。项目施工期的建筑垃圾应及时向当地环卫部门申报，送至指定地点进行处置，对周边环境影响不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228" w:type="pct"/>
            <w:tcMar>
              <w:left w:w="28" w:type="dxa"/>
              <w:right w:w="28" w:type="dxa"/>
            </w:tcMar>
            <w:vAlign w:val="center"/>
          </w:tcPr>
          <w:p>
            <w:pPr>
              <w:adjustRightInd w:val="0"/>
              <w:snapToGrid w:val="0"/>
              <w:jc w:val="center"/>
              <w:rPr>
                <w:rFonts w:ascii="Times New Roman" w:hAnsi="Times New Roman"/>
                <w:bCs/>
                <w:color w:val="000000" w:themeColor="text1"/>
                <w:kern w:val="21"/>
                <w:szCs w:val="21"/>
                <w14:textFill>
                  <w14:solidFill>
                    <w14:schemeClr w14:val="tx1"/>
                  </w14:solidFill>
                </w14:textFill>
              </w:rPr>
            </w:pPr>
            <w:r>
              <w:rPr>
                <w:rFonts w:ascii="Times New Roman" w:hAnsi="Times New Roman"/>
                <w:bCs/>
                <w:color w:val="000000" w:themeColor="text1"/>
                <w:kern w:val="21"/>
                <w:szCs w:val="21"/>
                <w14:textFill>
                  <w14:solidFill>
                    <w14:schemeClr w14:val="tx1"/>
                  </w14:solidFill>
                </w14:textFill>
              </w:rPr>
              <w:t>运营</w:t>
            </w:r>
          </w:p>
          <w:p>
            <w:pPr>
              <w:adjustRightInd w:val="0"/>
              <w:snapToGrid w:val="0"/>
              <w:jc w:val="center"/>
              <w:rPr>
                <w:rFonts w:ascii="Times New Roman" w:hAnsi="Times New Roman"/>
                <w:bCs/>
                <w:color w:val="000000" w:themeColor="text1"/>
                <w:kern w:val="21"/>
                <w:szCs w:val="21"/>
                <w14:textFill>
                  <w14:solidFill>
                    <w14:schemeClr w14:val="tx1"/>
                  </w14:solidFill>
                </w14:textFill>
              </w:rPr>
            </w:pPr>
            <w:r>
              <w:rPr>
                <w:rFonts w:ascii="Times New Roman" w:hAnsi="Times New Roman"/>
                <w:bCs/>
                <w:color w:val="000000" w:themeColor="text1"/>
                <w:kern w:val="21"/>
                <w:szCs w:val="21"/>
                <w14:textFill>
                  <w14:solidFill>
                    <w14:schemeClr w14:val="tx1"/>
                  </w14:solidFill>
                </w14:textFill>
              </w:rPr>
              <w:t>期环</w:t>
            </w:r>
          </w:p>
          <w:p>
            <w:pPr>
              <w:adjustRightInd w:val="0"/>
              <w:snapToGrid w:val="0"/>
              <w:jc w:val="center"/>
              <w:rPr>
                <w:rFonts w:ascii="Times New Roman" w:hAnsi="Times New Roman"/>
                <w:bCs/>
                <w:color w:val="000000" w:themeColor="text1"/>
                <w:kern w:val="21"/>
                <w:szCs w:val="21"/>
                <w14:textFill>
                  <w14:solidFill>
                    <w14:schemeClr w14:val="tx1"/>
                  </w14:solidFill>
                </w14:textFill>
              </w:rPr>
            </w:pPr>
            <w:r>
              <w:rPr>
                <w:rFonts w:ascii="Times New Roman" w:hAnsi="Times New Roman"/>
                <w:bCs/>
                <w:color w:val="000000" w:themeColor="text1"/>
                <w:kern w:val="21"/>
                <w:szCs w:val="21"/>
                <w14:textFill>
                  <w14:solidFill>
                    <w14:schemeClr w14:val="tx1"/>
                  </w14:solidFill>
                </w14:textFill>
              </w:rPr>
              <w:t>境影</w:t>
            </w:r>
          </w:p>
          <w:p>
            <w:pPr>
              <w:adjustRightInd w:val="0"/>
              <w:snapToGrid w:val="0"/>
              <w:jc w:val="center"/>
              <w:rPr>
                <w:rFonts w:ascii="Times New Roman" w:hAnsi="Times New Roman"/>
                <w:bCs/>
                <w:color w:val="000000" w:themeColor="text1"/>
                <w:kern w:val="21"/>
                <w:szCs w:val="21"/>
                <w14:textFill>
                  <w14:solidFill>
                    <w14:schemeClr w14:val="tx1"/>
                  </w14:solidFill>
                </w14:textFill>
              </w:rPr>
            </w:pPr>
            <w:r>
              <w:rPr>
                <w:rFonts w:ascii="Times New Roman" w:hAnsi="Times New Roman"/>
                <w:bCs/>
                <w:color w:val="000000" w:themeColor="text1"/>
                <w:kern w:val="21"/>
                <w:szCs w:val="21"/>
                <w14:textFill>
                  <w14:solidFill>
                    <w14:schemeClr w14:val="tx1"/>
                  </w14:solidFill>
                </w14:textFill>
              </w:rPr>
              <w:t>响和</w:t>
            </w:r>
          </w:p>
          <w:p>
            <w:pPr>
              <w:adjustRightInd w:val="0"/>
              <w:snapToGrid w:val="0"/>
              <w:jc w:val="center"/>
              <w:rPr>
                <w:rFonts w:ascii="Times New Roman" w:hAnsi="Times New Roman"/>
                <w:bCs/>
                <w:color w:val="000000" w:themeColor="text1"/>
                <w:kern w:val="21"/>
                <w:szCs w:val="21"/>
                <w14:textFill>
                  <w14:solidFill>
                    <w14:schemeClr w14:val="tx1"/>
                  </w14:solidFill>
                </w14:textFill>
              </w:rPr>
            </w:pPr>
            <w:r>
              <w:rPr>
                <w:rFonts w:ascii="Times New Roman" w:hAnsi="Times New Roman"/>
                <w:bCs/>
                <w:color w:val="000000" w:themeColor="text1"/>
                <w:kern w:val="21"/>
                <w:szCs w:val="21"/>
                <w14:textFill>
                  <w14:solidFill>
                    <w14:schemeClr w14:val="tx1"/>
                  </w14:solidFill>
                </w14:textFill>
              </w:rPr>
              <w:t>保护</w:t>
            </w:r>
          </w:p>
          <w:p>
            <w:pPr>
              <w:adjustRightInd w:val="0"/>
              <w:snapToGrid w:val="0"/>
              <w:jc w:val="center"/>
              <w:rPr>
                <w:rFonts w:ascii="Times New Roman" w:hAnsi="Times New Roman"/>
                <w:bCs/>
                <w:color w:val="000000" w:themeColor="text1"/>
                <w:kern w:val="21"/>
                <w:szCs w:val="21"/>
                <w14:textFill>
                  <w14:solidFill>
                    <w14:schemeClr w14:val="tx1"/>
                  </w14:solidFill>
                </w14:textFill>
              </w:rPr>
            </w:pPr>
            <w:r>
              <w:rPr>
                <w:rFonts w:ascii="Times New Roman" w:hAnsi="Times New Roman"/>
                <w:bCs/>
                <w:color w:val="000000" w:themeColor="text1"/>
                <w:kern w:val="21"/>
                <w:szCs w:val="21"/>
                <w14:textFill>
                  <w14:solidFill>
                    <w14:schemeClr w14:val="tx1"/>
                  </w14:solidFill>
                </w14:textFill>
              </w:rPr>
              <w:t>措施</w:t>
            </w:r>
          </w:p>
        </w:tc>
        <w:tc>
          <w:tcPr>
            <w:tcW w:w="4772" w:type="pct"/>
            <w:vAlign w:val="center"/>
          </w:tcPr>
          <w:p>
            <w:pPr>
              <w:adjustRightInd w:val="0"/>
              <w:snapToGrid w:val="0"/>
              <w:spacing w:line="360" w:lineRule="auto"/>
              <w:ind w:firstLine="482" w:firstLineChars="200"/>
              <w:rPr>
                <w:rFonts w:ascii="Times New Roman" w:hAnsi="Times New Roman"/>
                <w:bCs/>
                <w:color w:val="000000" w:themeColor="text1"/>
                <w:kern w:val="21"/>
                <w:szCs w:val="21"/>
                <w14:textFill>
                  <w14:solidFill>
                    <w14:schemeClr w14:val="tx1"/>
                  </w14:solidFill>
                </w14:textFill>
              </w:rPr>
            </w:pPr>
            <w:r>
              <w:rPr>
                <w:rFonts w:ascii="Times New Roman" w:hAnsi="Times New Roman"/>
                <w:b/>
                <w:bCs/>
                <w:color w:val="000000" w:themeColor="text1"/>
                <w:kern w:val="0"/>
                <w:sz w:val="24"/>
                <w14:textFill>
                  <w14:solidFill>
                    <w14:schemeClr w14:val="tx1"/>
                  </w14:solidFill>
                </w14:textFill>
              </w:rPr>
              <w:t>一、废气</w:t>
            </w:r>
          </w:p>
          <w:p>
            <w:pPr>
              <w:adjustRightInd w:val="0"/>
              <w:snapToGrid w:val="0"/>
              <w:spacing w:line="360" w:lineRule="auto"/>
              <w:ind w:firstLine="480" w:firstLineChars="200"/>
              <w:rPr>
                <w:rFonts w:ascii="Times New Roman" w:hAnsi="Times New Roman"/>
                <w:bCs/>
                <w:color w:val="000000" w:themeColor="text1"/>
                <w:sz w:val="24"/>
                <w14:textFill>
                  <w14:solidFill>
                    <w14:schemeClr w14:val="tx1"/>
                  </w14:solidFill>
                </w14:textFill>
              </w:rPr>
            </w:pPr>
            <w:r>
              <w:rPr>
                <w:rFonts w:ascii="Times New Roman" w:hAnsi="Times New Roman"/>
                <w:bCs/>
                <w:color w:val="000000" w:themeColor="text1"/>
                <w:sz w:val="24"/>
                <w14:textFill>
                  <w14:solidFill>
                    <w14:schemeClr w14:val="tx1"/>
                  </w14:solidFill>
                </w14:textFill>
              </w:rPr>
              <w:t>（一）工艺废气正常工况排放废气分析</w:t>
            </w:r>
          </w:p>
          <w:p>
            <w:pPr>
              <w:adjustRightInd w:val="0"/>
              <w:snapToGrid w:val="0"/>
              <w:spacing w:line="360" w:lineRule="auto"/>
              <w:ind w:firstLine="482" w:firstLineChars="200"/>
              <w:jc w:val="left"/>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1、工艺废气正常工况污染源分析</w:t>
            </w:r>
          </w:p>
          <w:p>
            <w:pPr>
              <w:adjustRightInd w:val="0"/>
              <w:snapToGrid w:val="0"/>
              <w:spacing w:line="360" w:lineRule="auto"/>
              <w:ind w:firstLine="480" w:firstLineChars="200"/>
              <w:jc w:val="left"/>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项目废气污染物主要为</w:t>
            </w:r>
            <w:r>
              <w:rPr>
                <w:rFonts w:hint="eastAsia" w:ascii="宋体" w:hAnsi="宋体" w:eastAsia="宋体" w:cs="宋体"/>
                <w:color w:val="000000" w:themeColor="text1"/>
                <w:sz w:val="24"/>
                <w14:textFill>
                  <w14:solidFill>
                    <w14:schemeClr w14:val="tx1"/>
                  </w14:solidFill>
                </w14:textFill>
              </w:rPr>
              <w:t>①</w:t>
            </w:r>
            <w:r>
              <w:rPr>
                <w:rFonts w:ascii="Times New Roman" w:hAnsi="Times New Roman"/>
                <w:color w:val="000000" w:themeColor="text1"/>
                <w:sz w:val="24"/>
                <w14:textFill>
                  <w14:solidFill>
                    <w14:schemeClr w14:val="tx1"/>
                  </w14:solidFill>
                </w14:textFill>
              </w:rPr>
              <w:t>锅炉房：天然气燃烧废气；</w:t>
            </w:r>
            <w:r>
              <w:rPr>
                <w:rFonts w:hint="eastAsia" w:ascii="宋体" w:hAnsi="宋体" w:eastAsia="宋体" w:cs="宋体"/>
                <w:color w:val="000000" w:themeColor="text1"/>
                <w:sz w:val="24"/>
                <w14:textFill>
                  <w14:solidFill>
                    <w14:schemeClr w14:val="tx1"/>
                  </w14:solidFill>
                </w14:textFill>
              </w:rPr>
              <w:t>②</w:t>
            </w:r>
            <w:r>
              <w:rPr>
                <w:rFonts w:ascii="Times New Roman" w:hAnsi="Times New Roman"/>
                <w:color w:val="000000" w:themeColor="text1"/>
                <w:sz w:val="24"/>
                <w14:textFill>
                  <w14:solidFill>
                    <w14:schemeClr w14:val="tx1"/>
                  </w14:solidFill>
                </w14:textFill>
              </w:rPr>
              <w:t>前处理车间：西洋参粉碎出料产生的粉尘、药材挑选产生的粉尘、混合出料产生的粉尘；</w:t>
            </w:r>
            <w:r>
              <w:rPr>
                <w:rFonts w:hint="eastAsia" w:ascii="宋体" w:hAnsi="宋体" w:eastAsia="宋体" w:cs="宋体"/>
                <w:color w:val="000000" w:themeColor="text1"/>
                <w:sz w:val="24"/>
                <w14:textFill>
                  <w14:solidFill>
                    <w14:schemeClr w14:val="tx1"/>
                  </w14:solidFill>
                </w14:textFill>
              </w:rPr>
              <w:t>③</w:t>
            </w:r>
            <w:r>
              <w:rPr>
                <w:rFonts w:ascii="Times New Roman" w:hAnsi="Times New Roman"/>
                <w:color w:val="000000" w:themeColor="text1"/>
                <w:sz w:val="24"/>
                <w14:textFill>
                  <w14:solidFill>
                    <w14:schemeClr w14:val="tx1"/>
                  </w14:solidFill>
                </w14:textFill>
              </w:rPr>
              <w:t>提取浓缩车间：药渣异味、药渣散逸的乙醇废气、醇提和醇沉回收乙醇产生的乙醇不凝气；</w:t>
            </w:r>
            <w:r>
              <w:rPr>
                <w:rFonts w:hint="eastAsia" w:ascii="宋体" w:hAnsi="宋体" w:eastAsia="宋体" w:cs="宋体"/>
                <w:color w:val="000000" w:themeColor="text1"/>
                <w:sz w:val="24"/>
                <w14:textFill>
                  <w14:solidFill>
                    <w14:schemeClr w14:val="tx1"/>
                  </w14:solidFill>
                </w14:textFill>
              </w:rPr>
              <w:t>④</w:t>
            </w:r>
            <w:r>
              <w:rPr>
                <w:rFonts w:ascii="Times New Roman" w:hAnsi="Times New Roman"/>
                <w:color w:val="000000" w:themeColor="text1"/>
                <w:sz w:val="24"/>
                <w14:textFill>
                  <w14:solidFill>
                    <w14:schemeClr w14:val="tx1"/>
                  </w14:solidFill>
                </w14:textFill>
              </w:rPr>
              <w:t>后处理车间混合出料产生的粉尘；</w:t>
            </w:r>
            <w:r>
              <w:rPr>
                <w:rFonts w:hint="eastAsia" w:ascii="宋体" w:hAnsi="宋体" w:eastAsia="宋体" w:cs="宋体"/>
                <w:color w:val="000000" w:themeColor="text1"/>
                <w:sz w:val="24"/>
                <w14:textFill>
                  <w14:solidFill>
                    <w14:schemeClr w14:val="tx1"/>
                  </w14:solidFill>
                </w14:textFill>
              </w:rPr>
              <w:t>⑤</w:t>
            </w:r>
            <w:r>
              <w:rPr>
                <w:rFonts w:ascii="Times New Roman" w:hAnsi="Times New Roman"/>
                <w:color w:val="000000" w:themeColor="text1"/>
                <w:sz w:val="24"/>
                <w14:textFill>
                  <w14:solidFill>
                    <w14:schemeClr w14:val="tx1"/>
                  </w14:solidFill>
                </w14:textFill>
              </w:rPr>
              <w:t>发酵车间：配料混合出料产生的粉尘、发酵出料散逸的异味、总混出料产生的粉尘；</w:t>
            </w:r>
            <w:r>
              <w:rPr>
                <w:rFonts w:hint="eastAsia" w:ascii="宋体" w:hAnsi="宋体" w:eastAsia="宋体" w:cs="宋体"/>
                <w:color w:val="000000" w:themeColor="text1"/>
                <w:sz w:val="24"/>
                <w14:textFill>
                  <w14:solidFill>
                    <w14:schemeClr w14:val="tx1"/>
                  </w14:solidFill>
                </w14:textFill>
              </w:rPr>
              <w:t>⑥</w:t>
            </w:r>
            <w:r>
              <w:rPr>
                <w:rFonts w:ascii="Times New Roman" w:hAnsi="Times New Roman"/>
                <w:color w:val="000000" w:themeColor="text1"/>
                <w:sz w:val="24"/>
                <w14:textFill>
                  <w14:solidFill>
                    <w14:schemeClr w14:val="tx1"/>
                  </w14:solidFill>
                </w14:textFill>
              </w:rPr>
              <w:t>乙醇储罐呼吸损耗；</w:t>
            </w:r>
            <w:r>
              <w:rPr>
                <w:rFonts w:hint="eastAsia" w:ascii="宋体" w:hAnsi="宋体" w:eastAsia="宋体" w:cs="宋体"/>
                <w:color w:val="000000" w:themeColor="text1"/>
                <w:sz w:val="24"/>
                <w14:textFill>
                  <w14:solidFill>
                    <w14:schemeClr w14:val="tx1"/>
                  </w14:solidFill>
                </w14:textFill>
              </w:rPr>
              <w:t>⑦</w:t>
            </w:r>
            <w:r>
              <w:rPr>
                <w:rFonts w:ascii="Times New Roman" w:hAnsi="Times New Roman"/>
                <w:color w:val="000000" w:themeColor="text1"/>
                <w:sz w:val="24"/>
                <w14:textFill>
                  <w14:solidFill>
                    <w14:schemeClr w14:val="tx1"/>
                  </w14:solidFill>
                </w14:textFill>
              </w:rPr>
              <w:t>自建污水处理站产生的恶臭。</w:t>
            </w:r>
          </w:p>
          <w:p>
            <w:pPr>
              <w:pStyle w:val="61"/>
              <w:ind w:firstLine="480" w:firstLineChars="0"/>
              <w:rPr>
                <w:color w:val="000000" w:themeColor="text1"/>
                <w14:textFill>
                  <w14:solidFill>
                    <w14:schemeClr w14:val="tx1"/>
                  </w14:solidFill>
                </w14:textFill>
              </w:rPr>
            </w:pPr>
            <w:r>
              <w:rPr>
                <w:color w:val="000000" w:themeColor="text1"/>
                <w14:textFill>
                  <w14:solidFill>
                    <w14:schemeClr w14:val="tx1"/>
                  </w14:solidFill>
                </w14:textFill>
              </w:rPr>
              <w:t>（1）锅炉房废气</w:t>
            </w:r>
          </w:p>
          <w:p>
            <w:pPr>
              <w:pStyle w:val="61"/>
              <w:ind w:firstLine="480" w:firstLineChars="0"/>
              <w:rPr>
                <w:rFonts w:eastAsiaTheme="minorEastAsia"/>
                <w:bCs w:val="0"/>
                <w:color w:val="000000" w:themeColor="text1"/>
                <w:szCs w:val="24"/>
                <w14:textFill>
                  <w14:solidFill>
                    <w14:schemeClr w14:val="tx1"/>
                  </w14:solidFill>
                </w14:textFill>
              </w:rPr>
            </w:pPr>
            <w:r>
              <w:rPr>
                <w:rFonts w:hint="eastAsia" w:ascii="宋体" w:hAnsi="宋体" w:cs="宋体"/>
                <w:bCs w:val="0"/>
                <w:color w:val="000000" w:themeColor="text1"/>
                <w:szCs w:val="24"/>
                <w14:textFill>
                  <w14:solidFill>
                    <w14:schemeClr w14:val="tx1"/>
                  </w14:solidFill>
                </w14:textFill>
              </w:rPr>
              <w:t>①</w:t>
            </w:r>
            <w:r>
              <w:rPr>
                <w:rFonts w:eastAsiaTheme="minorEastAsia"/>
                <w:bCs w:val="0"/>
                <w:color w:val="000000" w:themeColor="text1"/>
                <w:szCs w:val="24"/>
                <w14:textFill>
                  <w14:solidFill>
                    <w14:schemeClr w14:val="tx1"/>
                  </w14:solidFill>
                </w14:textFill>
              </w:rPr>
              <w:t>天然气燃烧废气</w:t>
            </w:r>
          </w:p>
          <w:p>
            <w:pPr>
              <w:pStyle w:val="61"/>
              <w:ind w:firstLine="480" w:firstLineChars="0"/>
              <w:rPr>
                <w:color w:val="000000" w:themeColor="text1"/>
                <w14:textFill>
                  <w14:solidFill>
                    <w14:schemeClr w14:val="tx1"/>
                  </w14:solidFill>
                </w14:textFill>
              </w:rPr>
            </w:pPr>
            <w:r>
              <w:rPr>
                <w:color w:val="000000" w:themeColor="text1"/>
                <w14:textFill>
                  <w14:solidFill>
                    <w14:schemeClr w14:val="tx1"/>
                  </w14:solidFill>
                </w14:textFill>
              </w:rPr>
              <w:t>项目设有3t/h蒸汽锅炉1台，</w:t>
            </w:r>
            <w:r>
              <w:rPr>
                <w:rFonts w:hint="eastAsia"/>
                <w:color w:val="000000" w:themeColor="text1"/>
                <w14:textFill>
                  <w14:solidFill>
                    <w14:schemeClr w14:val="tx1"/>
                  </w14:solidFill>
                </w14:textFill>
              </w:rPr>
              <w:t>年使用天然气36.9万m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年工作260天，日工作12小时。天然气燃烧废气收集后经15m高的P1排气筒排放。根据《污染源源强核算技术指南 锅炉》（HJ 991-2018</w:t>
            </w:r>
            <w:r>
              <w:rPr>
                <w:rFonts w:hint="eastAsia"/>
                <w:color w:val="000000" w:themeColor="text1"/>
                <w14:textFill>
                  <w14:solidFill>
                    <w14:schemeClr w14:val="tx1"/>
                  </w14:solidFill>
                </w14:textFill>
              </w:rPr>
              <w:t>），核算方法有物料衡算法、类比法、产污系数法，本次评价无天然气燃料废气基灰分质量分数等数据进行物料衡算、无现有工程有效实测数据进行类比，因此核算方法选用产污系数法，</w:t>
            </w:r>
            <w:r>
              <w:rPr>
                <w:rFonts w:hint="eastAsia"/>
                <w:color w:val="000000" w:themeColor="text1"/>
                <w:kern w:val="0"/>
                <w14:textFill>
                  <w14:solidFill>
                    <w14:schemeClr w14:val="tx1"/>
                  </w14:solidFill>
                </w14:textFill>
              </w:rPr>
              <w:t>产污系数参见全国污染源普查工业污染源普查数据</w:t>
            </w:r>
            <w:r>
              <w:rPr>
                <w:color w:val="000000" w:themeColor="text1"/>
                <w:kern w:val="0"/>
                <w14:textFill>
                  <w14:solidFill>
                    <w14:schemeClr w14:val="tx1"/>
                  </w14:solidFill>
                </w14:textFill>
              </w:rPr>
              <w:t>(</w:t>
            </w:r>
            <w:r>
              <w:rPr>
                <w:rFonts w:hint="eastAsia"/>
                <w:color w:val="000000" w:themeColor="text1"/>
                <w:kern w:val="0"/>
                <w14:textFill>
                  <w14:solidFill>
                    <w14:schemeClr w14:val="tx1"/>
                  </w14:solidFill>
                </w14:textFill>
              </w:rPr>
              <w:t>以最新版本为准</w:t>
            </w:r>
            <w:r>
              <w:rPr>
                <w:color w:val="000000" w:themeColor="text1"/>
                <w:kern w:val="0"/>
                <w14:textFill>
                  <w14:solidFill>
                    <w14:schemeClr w14:val="tx1"/>
                  </w14:solidFill>
                </w14:textFill>
              </w:rPr>
              <w:t>)</w:t>
            </w:r>
            <w:r>
              <w:rPr>
                <w:rFonts w:hint="eastAsia"/>
                <w:color w:val="000000" w:themeColor="text1"/>
                <w:kern w:val="0"/>
                <w14:textFill>
                  <w14:solidFill>
                    <w14:schemeClr w14:val="tx1"/>
                  </w14:solidFill>
                </w14:textFill>
              </w:rPr>
              <w:t>，因此本次评价</w:t>
            </w:r>
            <w:r>
              <w:rPr>
                <w:color w:val="000000" w:themeColor="text1"/>
                <w14:textFill>
                  <w14:solidFill>
                    <w14:schemeClr w14:val="tx1"/>
                  </w14:solidFill>
                </w14:textFill>
              </w:rPr>
              <w:t xml:space="preserve">参见生态环境部《第二次全国污染源普查产排污核算系数手册（试用版）》4430 工业锅炉行业中的燃气工业锅炉产排污系数表，天然气燃烧废气污染物产生情况具体见下表： </w:t>
            </w:r>
          </w:p>
          <w:p>
            <w:pPr>
              <w:pStyle w:val="76"/>
              <w:numPr>
                <w:ilvl w:val="0"/>
                <w:numId w:val="10"/>
              </w:numPr>
              <w:ind w:left="0" w:firstLine="420"/>
              <w:rPr>
                <w:color w:val="000000" w:themeColor="text1"/>
                <w14:textFill>
                  <w14:solidFill>
                    <w14:schemeClr w14:val="tx1"/>
                  </w14:solidFill>
                </w14:textFill>
              </w:rPr>
            </w:pPr>
            <w:r>
              <w:rPr>
                <w:color w:val="000000" w:themeColor="text1"/>
                <w14:textFill>
                  <w14:solidFill>
                    <w14:schemeClr w14:val="tx1"/>
                  </w14:solidFill>
                </w14:textFill>
              </w:rPr>
              <w:t>天然气锅炉废气污染物产排情况一览表</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15"/>
              <w:gridCol w:w="689"/>
              <w:gridCol w:w="1375"/>
              <w:gridCol w:w="1447"/>
              <w:gridCol w:w="1269"/>
              <w:gridCol w:w="1039"/>
              <w:gridCol w:w="1455"/>
              <w:gridCol w:w="1269"/>
              <w:gridCol w:w="1039"/>
              <w:gridCol w:w="1455"/>
              <w:gridCol w:w="15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5"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污染源</w:t>
                  </w:r>
                </w:p>
              </w:tc>
              <w:tc>
                <w:tcPr>
                  <w:tcW w:w="258"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污染物</w:t>
                  </w:r>
                </w:p>
              </w:tc>
              <w:tc>
                <w:tcPr>
                  <w:tcW w:w="515"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产排污系数</w:t>
                  </w:r>
                  <w:r>
                    <w:rPr>
                      <w:rFonts w:ascii="Times New Roman" w:hAnsi="Times New Roman"/>
                      <w:color w:val="000000" w:themeColor="text1"/>
                      <w:szCs w:val="21"/>
                      <w14:textFill>
                        <w14:solidFill>
                          <w14:schemeClr w14:val="tx1"/>
                        </w14:solidFill>
                      </w14:textFill>
                    </w:rPr>
                    <w:t>（kg/万m</w:t>
                  </w:r>
                  <w:r>
                    <w:rPr>
                      <w:rFonts w:ascii="Times New Roman" w:hAnsi="Times New Roman"/>
                      <w:color w:val="000000" w:themeColor="text1"/>
                      <w:szCs w:val="21"/>
                      <w:vertAlign w:val="superscript"/>
                      <w14:textFill>
                        <w14:solidFill>
                          <w14:schemeClr w14:val="tx1"/>
                        </w14:solidFill>
                      </w14:textFill>
                    </w:rPr>
                    <w:t>3</w:t>
                  </w:r>
                  <w:r>
                    <w:rPr>
                      <w:rFonts w:ascii="Times New Roman" w:hAnsi="Times New Roman"/>
                      <w:color w:val="000000" w:themeColor="text1"/>
                      <w:szCs w:val="21"/>
                      <w14:textFill>
                        <w14:solidFill>
                          <w14:schemeClr w14:val="tx1"/>
                        </w14:solidFill>
                      </w14:textFill>
                    </w:rPr>
                    <w:t>）</w:t>
                  </w:r>
                </w:p>
              </w:tc>
              <w:tc>
                <w:tcPr>
                  <w:tcW w:w="542"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天然气用量</w:t>
                  </w:r>
                </w:p>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（万Nm</w:t>
                  </w:r>
                  <w:r>
                    <w:rPr>
                      <w:rFonts w:ascii="Times New Roman" w:hAnsi="Times New Roman"/>
                      <w:color w:val="000000" w:themeColor="text1"/>
                      <w:vertAlign w:val="superscript"/>
                      <w14:textFill>
                        <w14:solidFill>
                          <w14:schemeClr w14:val="tx1"/>
                        </w14:solidFill>
                      </w14:textFill>
                    </w:rPr>
                    <w:t>3</w:t>
                  </w:r>
                  <w:r>
                    <w:rPr>
                      <w:rFonts w:ascii="Times New Roman" w:hAnsi="Times New Roman"/>
                      <w:color w:val="000000" w:themeColor="text1"/>
                      <w14:textFill>
                        <w14:solidFill>
                          <w14:schemeClr w14:val="tx1"/>
                        </w14:solidFill>
                      </w14:textFill>
                    </w:rPr>
                    <w:t>/a）</w:t>
                  </w:r>
                </w:p>
              </w:tc>
              <w:tc>
                <w:tcPr>
                  <w:tcW w:w="1409" w:type="pct"/>
                  <w:gridSpan w:val="3"/>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污染物产生情况</w:t>
                  </w:r>
                </w:p>
              </w:tc>
              <w:tc>
                <w:tcPr>
                  <w:tcW w:w="1409" w:type="pct"/>
                  <w:gridSpan w:val="3"/>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污染物排放情况（P1排气筒）</w:t>
                  </w:r>
                </w:p>
              </w:tc>
              <w:tc>
                <w:tcPr>
                  <w:tcW w:w="562"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5" w:type="pct"/>
                  <w:vMerge w:val="continue"/>
                  <w:vAlign w:val="center"/>
                </w:tcPr>
                <w:p>
                  <w:pPr>
                    <w:jc w:val="center"/>
                    <w:rPr>
                      <w:rFonts w:ascii="Times New Roman" w:hAnsi="Times New Roman"/>
                      <w:color w:val="000000" w:themeColor="text1"/>
                      <w14:textFill>
                        <w14:solidFill>
                          <w14:schemeClr w14:val="tx1"/>
                        </w14:solidFill>
                      </w14:textFill>
                    </w:rPr>
                  </w:pPr>
                </w:p>
              </w:tc>
              <w:tc>
                <w:tcPr>
                  <w:tcW w:w="258" w:type="pct"/>
                  <w:vMerge w:val="continue"/>
                  <w:vAlign w:val="center"/>
                </w:tcPr>
                <w:p>
                  <w:pPr>
                    <w:jc w:val="center"/>
                    <w:rPr>
                      <w:rFonts w:ascii="Times New Roman" w:hAnsi="Times New Roman"/>
                      <w:color w:val="000000" w:themeColor="text1"/>
                      <w14:textFill>
                        <w14:solidFill>
                          <w14:schemeClr w14:val="tx1"/>
                        </w14:solidFill>
                      </w14:textFill>
                    </w:rPr>
                  </w:pPr>
                </w:p>
              </w:tc>
              <w:tc>
                <w:tcPr>
                  <w:tcW w:w="515" w:type="pct"/>
                  <w:vMerge w:val="continue"/>
                  <w:vAlign w:val="center"/>
                </w:tcPr>
                <w:p>
                  <w:pPr>
                    <w:jc w:val="center"/>
                    <w:rPr>
                      <w:rFonts w:ascii="Times New Roman" w:hAnsi="Times New Roman"/>
                      <w:color w:val="000000" w:themeColor="text1"/>
                      <w14:textFill>
                        <w14:solidFill>
                          <w14:schemeClr w14:val="tx1"/>
                        </w14:solidFill>
                      </w14:textFill>
                    </w:rPr>
                  </w:pPr>
                </w:p>
              </w:tc>
              <w:tc>
                <w:tcPr>
                  <w:tcW w:w="542" w:type="pct"/>
                  <w:vMerge w:val="continue"/>
                  <w:vAlign w:val="center"/>
                </w:tcPr>
                <w:p>
                  <w:pPr>
                    <w:jc w:val="center"/>
                    <w:rPr>
                      <w:rFonts w:ascii="Times New Roman" w:hAnsi="Times New Roman"/>
                      <w:color w:val="000000" w:themeColor="text1"/>
                      <w14:textFill>
                        <w14:solidFill>
                          <w14:schemeClr w14:val="tx1"/>
                        </w14:solidFill>
                      </w14:textFill>
                    </w:rPr>
                  </w:pPr>
                </w:p>
              </w:tc>
              <w:tc>
                <w:tcPr>
                  <w:tcW w:w="475"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产生速率（kg/h）</w:t>
                  </w:r>
                </w:p>
              </w:tc>
              <w:tc>
                <w:tcPr>
                  <w:tcW w:w="389"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产生量（t/a）</w:t>
                  </w:r>
                </w:p>
              </w:tc>
              <w:tc>
                <w:tcPr>
                  <w:tcW w:w="545"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产生浓度（mg/m</w:t>
                  </w:r>
                  <w:r>
                    <w:rPr>
                      <w:rFonts w:ascii="Times New Roman" w:hAnsi="Times New Roman"/>
                      <w:color w:val="000000" w:themeColor="text1"/>
                      <w:szCs w:val="21"/>
                      <w:vertAlign w:val="superscript"/>
                      <w14:textFill>
                        <w14:solidFill>
                          <w14:schemeClr w14:val="tx1"/>
                        </w14:solidFill>
                      </w14:textFill>
                    </w:rPr>
                    <w:t>3</w:t>
                  </w:r>
                  <w:r>
                    <w:rPr>
                      <w:rFonts w:ascii="Times New Roman" w:hAnsi="Times New Roman"/>
                      <w:color w:val="000000" w:themeColor="text1"/>
                      <w:szCs w:val="21"/>
                      <w14:textFill>
                        <w14:solidFill>
                          <w14:schemeClr w14:val="tx1"/>
                        </w14:solidFill>
                      </w14:textFill>
                    </w:rPr>
                    <w:t>）</w:t>
                  </w:r>
                </w:p>
              </w:tc>
              <w:tc>
                <w:tcPr>
                  <w:tcW w:w="475"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排放速率（kg/h）</w:t>
                  </w:r>
                </w:p>
              </w:tc>
              <w:tc>
                <w:tcPr>
                  <w:tcW w:w="389"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排放量（t/a）</w:t>
                  </w:r>
                </w:p>
              </w:tc>
              <w:tc>
                <w:tcPr>
                  <w:tcW w:w="545"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排放浓度（mg/m</w:t>
                  </w:r>
                  <w:r>
                    <w:rPr>
                      <w:rFonts w:ascii="Times New Roman" w:hAnsi="Times New Roman"/>
                      <w:color w:val="000000" w:themeColor="text1"/>
                      <w:szCs w:val="21"/>
                      <w:vertAlign w:val="superscript"/>
                      <w14:textFill>
                        <w14:solidFill>
                          <w14:schemeClr w14:val="tx1"/>
                        </w14:solidFill>
                      </w14:textFill>
                    </w:rPr>
                    <w:t>3</w:t>
                  </w:r>
                  <w:r>
                    <w:rPr>
                      <w:rFonts w:ascii="Times New Roman" w:hAnsi="Times New Roman"/>
                      <w:color w:val="000000" w:themeColor="text1"/>
                      <w:szCs w:val="21"/>
                      <w14:textFill>
                        <w14:solidFill>
                          <w14:schemeClr w14:val="tx1"/>
                        </w14:solidFill>
                      </w14:textFill>
                    </w:rPr>
                    <w:t>）</w:t>
                  </w:r>
                </w:p>
              </w:tc>
              <w:tc>
                <w:tcPr>
                  <w:tcW w:w="562" w:type="pct"/>
                  <w:vMerge w:val="continue"/>
                  <w:vAlign w:val="center"/>
                </w:tcPr>
                <w:p>
                  <w:pPr>
                    <w:jc w:val="center"/>
                    <w:rPr>
                      <w:rFonts w:ascii="Times New Roman" w:hAnsi="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5"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天然气燃烧废气</w:t>
                  </w:r>
                </w:p>
              </w:tc>
              <w:tc>
                <w:tcPr>
                  <w:tcW w:w="258"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SO</w:t>
                  </w:r>
                  <w:r>
                    <w:rPr>
                      <w:rFonts w:ascii="Times New Roman" w:hAnsi="Times New Roman"/>
                      <w:color w:val="000000" w:themeColor="text1"/>
                      <w:szCs w:val="21"/>
                      <w:vertAlign w:val="subscript"/>
                      <w14:textFill>
                        <w14:solidFill>
                          <w14:schemeClr w14:val="tx1"/>
                        </w14:solidFill>
                      </w14:textFill>
                    </w:rPr>
                    <w:t>2</w:t>
                  </w:r>
                </w:p>
              </w:tc>
              <w:tc>
                <w:tcPr>
                  <w:tcW w:w="515"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2</w:t>
                  </w:r>
                </w:p>
              </w:tc>
              <w:tc>
                <w:tcPr>
                  <w:tcW w:w="542" w:type="pct"/>
                  <w:vMerge w:val="restart"/>
                  <w:vAlign w:val="center"/>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36.9</w:t>
                  </w:r>
                </w:p>
              </w:tc>
              <w:tc>
                <w:tcPr>
                  <w:tcW w:w="47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0.024</w:t>
                  </w:r>
                </w:p>
              </w:tc>
              <w:tc>
                <w:tcPr>
                  <w:tcW w:w="38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0.074</w:t>
                  </w:r>
                </w:p>
              </w:tc>
              <w:tc>
                <w:tcPr>
                  <w:tcW w:w="54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6.616</w:t>
                  </w:r>
                </w:p>
              </w:tc>
              <w:tc>
                <w:tcPr>
                  <w:tcW w:w="47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0.024</w:t>
                  </w:r>
                </w:p>
              </w:tc>
              <w:tc>
                <w:tcPr>
                  <w:tcW w:w="38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0.074</w:t>
                  </w:r>
                </w:p>
              </w:tc>
              <w:tc>
                <w:tcPr>
                  <w:tcW w:w="54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6.616</w:t>
                  </w:r>
                </w:p>
              </w:tc>
              <w:tc>
                <w:tcPr>
                  <w:tcW w:w="562"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锅炉风机风量为3575m</w:t>
                  </w:r>
                  <w:r>
                    <w:rPr>
                      <w:rFonts w:ascii="Times New Roman" w:hAnsi="Times New Roman"/>
                      <w:color w:val="000000" w:themeColor="text1"/>
                      <w:szCs w:val="21"/>
                      <w:vertAlign w:val="superscript"/>
                      <w14:textFill>
                        <w14:solidFill>
                          <w14:schemeClr w14:val="tx1"/>
                        </w14:solidFill>
                      </w14:textFill>
                    </w:rPr>
                    <w:t>3</w:t>
                  </w:r>
                  <w:r>
                    <w:rPr>
                      <w:rFonts w:ascii="Times New Roman" w:hAnsi="Times New Roman"/>
                      <w:color w:val="000000" w:themeColor="text1"/>
                      <w:szCs w:val="21"/>
                      <w14:textFill>
                        <w14:solidFill>
                          <w14:schemeClr w14:val="tx1"/>
                        </w14:solidFill>
                      </w14:textFill>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5"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258"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NO</w:t>
                  </w:r>
                  <w:r>
                    <w:rPr>
                      <w:rFonts w:ascii="Times New Roman" w:hAnsi="Times New Roman"/>
                      <w:color w:val="000000" w:themeColor="text1"/>
                      <w:szCs w:val="21"/>
                      <w:vertAlign w:val="subscript"/>
                      <w14:textFill>
                        <w14:solidFill>
                          <w14:schemeClr w14:val="tx1"/>
                        </w14:solidFill>
                      </w14:textFill>
                    </w:rPr>
                    <w:t>X</w:t>
                  </w:r>
                </w:p>
              </w:tc>
              <w:tc>
                <w:tcPr>
                  <w:tcW w:w="515"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15.87</w:t>
                  </w:r>
                </w:p>
              </w:tc>
              <w:tc>
                <w:tcPr>
                  <w:tcW w:w="542" w:type="pct"/>
                  <w:vMerge w:val="continue"/>
                  <w:vAlign w:val="center"/>
                </w:tcPr>
                <w:p>
                  <w:pPr>
                    <w:jc w:val="center"/>
                    <w:rPr>
                      <w:rFonts w:ascii="Times New Roman" w:hAnsi="Times New Roman"/>
                      <w:color w:val="000000" w:themeColor="text1"/>
                      <w14:textFill>
                        <w14:solidFill>
                          <w14:schemeClr w14:val="tx1"/>
                        </w14:solidFill>
                      </w14:textFill>
                    </w:rPr>
                  </w:pPr>
                </w:p>
              </w:tc>
              <w:tc>
                <w:tcPr>
                  <w:tcW w:w="47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0.188</w:t>
                  </w:r>
                </w:p>
              </w:tc>
              <w:tc>
                <w:tcPr>
                  <w:tcW w:w="38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0.586</w:t>
                  </w:r>
                </w:p>
              </w:tc>
              <w:tc>
                <w:tcPr>
                  <w:tcW w:w="54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52.502</w:t>
                  </w:r>
                </w:p>
              </w:tc>
              <w:tc>
                <w:tcPr>
                  <w:tcW w:w="47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0.188</w:t>
                  </w:r>
                </w:p>
              </w:tc>
              <w:tc>
                <w:tcPr>
                  <w:tcW w:w="38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0.586</w:t>
                  </w:r>
                </w:p>
              </w:tc>
              <w:tc>
                <w:tcPr>
                  <w:tcW w:w="54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52.502</w:t>
                  </w:r>
                </w:p>
              </w:tc>
              <w:tc>
                <w:tcPr>
                  <w:tcW w:w="562" w:type="pct"/>
                  <w:vMerge w:val="continue"/>
                  <w:vAlign w:val="center"/>
                </w:tcPr>
                <w:p>
                  <w:pPr>
                    <w:jc w:val="center"/>
                    <w:rPr>
                      <w:rFonts w:ascii="Times New Roman" w:hAnsi="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05"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258"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烟尘</w:t>
                  </w:r>
                </w:p>
              </w:tc>
              <w:tc>
                <w:tcPr>
                  <w:tcW w:w="515"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2.86</w:t>
                  </w:r>
                </w:p>
              </w:tc>
              <w:tc>
                <w:tcPr>
                  <w:tcW w:w="542" w:type="pct"/>
                  <w:vMerge w:val="continue"/>
                  <w:vAlign w:val="center"/>
                </w:tcPr>
                <w:p>
                  <w:pPr>
                    <w:jc w:val="center"/>
                    <w:rPr>
                      <w:rFonts w:ascii="Times New Roman" w:hAnsi="Times New Roman"/>
                      <w:color w:val="000000" w:themeColor="text1"/>
                      <w14:textFill>
                        <w14:solidFill>
                          <w14:schemeClr w14:val="tx1"/>
                        </w14:solidFill>
                      </w14:textFill>
                    </w:rPr>
                  </w:pPr>
                </w:p>
              </w:tc>
              <w:tc>
                <w:tcPr>
                  <w:tcW w:w="47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0.034</w:t>
                  </w:r>
                </w:p>
              </w:tc>
              <w:tc>
                <w:tcPr>
                  <w:tcW w:w="38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0.106</w:t>
                  </w:r>
                </w:p>
              </w:tc>
              <w:tc>
                <w:tcPr>
                  <w:tcW w:w="54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9.462</w:t>
                  </w:r>
                </w:p>
              </w:tc>
              <w:tc>
                <w:tcPr>
                  <w:tcW w:w="47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0.034</w:t>
                  </w:r>
                </w:p>
              </w:tc>
              <w:tc>
                <w:tcPr>
                  <w:tcW w:w="38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0.106</w:t>
                  </w:r>
                </w:p>
              </w:tc>
              <w:tc>
                <w:tcPr>
                  <w:tcW w:w="54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9.462</w:t>
                  </w:r>
                </w:p>
              </w:tc>
              <w:tc>
                <w:tcPr>
                  <w:tcW w:w="562" w:type="pct"/>
                  <w:vMerge w:val="continue"/>
                  <w:vAlign w:val="center"/>
                </w:tcPr>
                <w:p>
                  <w:pPr>
                    <w:jc w:val="center"/>
                    <w:rPr>
                      <w:rFonts w:ascii="Times New Roman" w:hAnsi="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000" w:type="pct"/>
                  <w:gridSpan w:val="11"/>
                  <w:vAlign w:val="center"/>
                </w:tcPr>
                <w:p>
                  <w:pPr>
                    <w:jc w:val="left"/>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备注：根据《天然气》（GB17820-2018），工业燃料天然气硫分含量S为100</w:t>
                  </w:r>
                  <w:r>
                    <w:rPr>
                      <w:rFonts w:ascii="Times New Roman" w:hAnsi="Times New Roman"/>
                      <w:color w:val="000000" w:themeColor="text1"/>
                      <w:szCs w:val="21"/>
                      <w14:textFill>
                        <w14:solidFill>
                          <w14:schemeClr w14:val="tx1"/>
                        </w14:solidFill>
                      </w14:textFill>
                    </w:rPr>
                    <w:t xml:space="preserve"> mg/m</w:t>
                  </w:r>
                  <w:r>
                    <w:rPr>
                      <w:rFonts w:ascii="Times New Roman" w:hAnsi="Times New Roman"/>
                      <w:color w:val="000000" w:themeColor="text1"/>
                      <w:szCs w:val="21"/>
                      <w:vertAlign w:val="superscript"/>
                      <w14:textFill>
                        <w14:solidFill>
                          <w14:schemeClr w14:val="tx1"/>
                        </w14:solidFill>
                      </w14:textFill>
                    </w:rPr>
                    <w:t>3</w:t>
                  </w:r>
                  <w:r>
                    <w:rPr>
                      <w:rFonts w:ascii="Times New Roman" w:hAnsi="Times New Roman"/>
                      <w:color w:val="000000" w:themeColor="text1"/>
                      <w14:textFill>
                        <w14:solidFill>
                          <w14:schemeClr w14:val="tx1"/>
                        </w14:solidFill>
                      </w14:textFill>
                    </w:rPr>
                    <w:t>。NOx产排污系数为国内一般低氮燃烧。</w:t>
                  </w:r>
                </w:p>
              </w:tc>
            </w:tr>
          </w:tbl>
          <w:p>
            <w:pPr>
              <w:widowControl/>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（2）前处理车间废气</w:t>
            </w:r>
          </w:p>
          <w:p>
            <w:pPr>
              <w:widowControl/>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①</w:t>
            </w:r>
            <w:r>
              <w:rPr>
                <w:rFonts w:ascii="Times New Roman" w:hAnsi="Times New Roman" w:eastAsia="宋体"/>
                <w:color w:val="000000" w:themeColor="text1"/>
                <w:sz w:val="24"/>
                <w14:textFill>
                  <w14:solidFill>
                    <w14:schemeClr w14:val="tx1"/>
                  </w14:solidFill>
                </w14:textFill>
              </w:rPr>
              <w:t>挑选粉尘、粉碎混合出料</w:t>
            </w:r>
            <w:r>
              <w:rPr>
                <w:rFonts w:hint="eastAsia" w:ascii="Times New Roman" w:hAnsi="Times New Roman" w:eastAsia="宋体"/>
                <w:color w:val="000000" w:themeColor="text1"/>
                <w:sz w:val="24"/>
                <w14:textFill>
                  <w14:solidFill>
                    <w14:schemeClr w14:val="tx1"/>
                  </w14:solidFill>
                </w14:textFill>
              </w:rPr>
              <w:t>粉尘</w:t>
            </w:r>
          </w:p>
          <w:p>
            <w:pPr>
              <w:widowControl/>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前处理车间主要为</w:t>
            </w:r>
            <w:r>
              <w:rPr>
                <w:rFonts w:ascii="Times New Roman" w:hAnsi="Times New Roman"/>
                <w:color w:val="000000" w:themeColor="text1"/>
                <w:sz w:val="24"/>
                <w14:textFill>
                  <w14:solidFill>
                    <w14:schemeClr w14:val="tx1"/>
                  </w14:solidFill>
                </w14:textFill>
              </w:rPr>
              <w:t>西洋参粉碎出料产生的粉尘、混合出料产生的粉尘及药材挑选产生的粉尘</w:t>
            </w:r>
            <w:r>
              <w:rPr>
                <w:rFonts w:ascii="Times New Roman" w:hAnsi="Times New Roman" w:eastAsia="宋体"/>
                <w:color w:val="000000" w:themeColor="text1"/>
                <w:sz w:val="24"/>
                <w14:textFill>
                  <w14:solidFill>
                    <w14:schemeClr w14:val="tx1"/>
                  </w14:solidFill>
                </w14:textFill>
              </w:rPr>
              <w:t>，</w:t>
            </w:r>
            <w:r>
              <w:rPr>
                <w:rFonts w:ascii="Times New Roman" w:hAnsi="Times New Roman"/>
                <w:color w:val="000000" w:themeColor="text1"/>
                <w:sz w:val="24"/>
                <w14:textFill>
                  <w14:solidFill>
                    <w14:schemeClr w14:val="tx1"/>
                  </w14:solidFill>
                </w14:textFill>
              </w:rPr>
              <w:t>挑选工序、粉碎混合工序每天分别工作10h、3h。根据《第二次全国污染源普查产排污核算系数手册（试用版）》2730中药饮片加工行业，颗粒物产污系数为2.69千克/吨-中药饮片（生产规模为＜200吨-中药饮片/年），采用袋式除尘治理技术效率为99%。根据物料平衡，前处理车间粉尘产生情况见下表，前处理车间产尘量不大，产尘工位较为分散，因此项目分别在挑选工位、粉碎混合出料工位设置集气抽风装置点对点收集粉尘后进入到各自车间配备的移动式袋式除尘器进行处理，</w:t>
            </w:r>
            <w:r>
              <w:rPr>
                <w:rFonts w:hint="eastAsia" w:ascii="Times New Roman" w:hAnsi="Times New Roman"/>
                <w:color w:val="000000" w:themeColor="text1"/>
                <w:sz w:val="24"/>
                <w14:textFill>
                  <w14:solidFill>
                    <w14:schemeClr w14:val="tx1"/>
                  </w14:solidFill>
                </w14:textFill>
              </w:rPr>
              <w:t>项目集气罩设置在</w:t>
            </w:r>
            <w:r>
              <w:rPr>
                <w:rFonts w:ascii="Times New Roman" w:hAnsi="Times New Roman"/>
                <w:color w:val="000000" w:themeColor="text1"/>
                <w:sz w:val="24"/>
                <w14:textFill>
                  <w14:solidFill>
                    <w14:schemeClr w14:val="tx1"/>
                  </w14:solidFill>
                </w14:textFill>
              </w:rPr>
              <w:t>挑选工位、粉碎混合出料工位</w:t>
            </w:r>
            <w:r>
              <w:rPr>
                <w:rFonts w:hint="eastAsia" w:ascii="Times New Roman" w:hAnsi="Times New Roman"/>
                <w:color w:val="000000" w:themeColor="text1"/>
                <w:sz w:val="24"/>
                <w14:textFill>
                  <w14:solidFill>
                    <w14:schemeClr w14:val="tx1"/>
                  </w14:solidFill>
                </w14:textFill>
              </w:rPr>
              <w:t>上方，覆盖作业区域，同时设置三面围挡，该集气罩投影面积大于污染物产生源工位的面积，并采用引风机抽吸收集，可保证收集效率达</w:t>
            </w:r>
            <w:r>
              <w:rPr>
                <w:rFonts w:ascii="Times New Roman" w:hAnsi="Times New Roman"/>
                <w:color w:val="000000" w:themeColor="text1"/>
                <w:sz w:val="24"/>
                <w14:textFill>
                  <w14:solidFill>
                    <w14:schemeClr w14:val="tx1"/>
                  </w14:solidFill>
                </w14:textFill>
              </w:rPr>
              <w:t>85%</w:t>
            </w:r>
            <w:r>
              <w:rPr>
                <w:rFonts w:hint="eastAsia" w:ascii="Times New Roman" w:hAnsi="Times New Roman"/>
                <w:color w:val="000000" w:themeColor="text1"/>
                <w:sz w:val="24"/>
                <w14:textFill>
                  <w14:solidFill>
                    <w14:schemeClr w14:val="tx1"/>
                  </w14:solidFill>
                </w14:textFill>
              </w:rPr>
              <w:t>以上，</w:t>
            </w:r>
            <w:r>
              <w:rPr>
                <w:rFonts w:ascii="Times New Roman" w:hAnsi="Times New Roman"/>
                <w:color w:val="000000" w:themeColor="text1"/>
                <w:sz w:val="24"/>
                <w14:textFill>
                  <w14:solidFill>
                    <w14:schemeClr w14:val="tx1"/>
                  </w14:solidFill>
                </w14:textFill>
              </w:rPr>
              <w:t>绝大部分粉尘收集截滤后无组织排放。因此，项目挑选、粉碎混合出料粉尘产排情况见下表：</w:t>
            </w:r>
          </w:p>
          <w:p>
            <w:pPr>
              <w:pStyle w:val="76"/>
              <w:numPr>
                <w:ilvl w:val="0"/>
                <w:numId w:val="10"/>
              </w:numPr>
              <w:ind w:left="0" w:firstLine="0"/>
              <w:rPr>
                <w:b w:val="0"/>
                <w:color w:val="000000" w:themeColor="text1"/>
                <w14:textFill>
                  <w14:solidFill>
                    <w14:schemeClr w14:val="tx1"/>
                  </w14:solidFill>
                </w14:textFill>
              </w:rPr>
            </w:pPr>
            <w:r>
              <w:rPr>
                <w:color w:val="000000" w:themeColor="text1"/>
                <w14:textFill>
                  <w14:solidFill>
                    <w14:schemeClr w14:val="tx1"/>
                  </w14:solidFill>
                </w14:textFill>
              </w:rPr>
              <w:t>项目前处理废气产排情况一览表</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89"/>
              <w:gridCol w:w="1645"/>
              <w:gridCol w:w="790"/>
              <w:gridCol w:w="1741"/>
              <w:gridCol w:w="1394"/>
              <w:gridCol w:w="1741"/>
              <w:gridCol w:w="1394"/>
              <w:gridCol w:w="4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99" w:type="pct"/>
                  <w:gridSpan w:val="2"/>
                  <w:vMerge w:val="restar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污染源</w:t>
                  </w:r>
                </w:p>
              </w:tc>
              <w:tc>
                <w:tcPr>
                  <w:tcW w:w="296" w:type="pct"/>
                  <w:vMerge w:val="restart"/>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污染物</w:t>
                  </w:r>
                </w:p>
              </w:tc>
              <w:tc>
                <w:tcPr>
                  <w:tcW w:w="1174" w:type="pct"/>
                  <w:gridSpan w:val="2"/>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产生情况</w:t>
                  </w:r>
                </w:p>
              </w:tc>
              <w:tc>
                <w:tcPr>
                  <w:tcW w:w="1174" w:type="pct"/>
                  <w:gridSpan w:val="2"/>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排放情况（无组织）</w:t>
                  </w:r>
                </w:p>
              </w:tc>
              <w:tc>
                <w:tcPr>
                  <w:tcW w:w="1557" w:type="pct"/>
                  <w:vMerge w:val="restar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51" w:hRule="atLeast"/>
              </w:trPr>
              <w:tc>
                <w:tcPr>
                  <w:tcW w:w="799" w:type="pct"/>
                  <w:gridSpan w:val="2"/>
                  <w:vMerge w:val="continue"/>
                  <w:vAlign w:val="center"/>
                </w:tcPr>
                <w:p>
                  <w:pPr>
                    <w:pStyle w:val="44"/>
                    <w:rPr>
                      <w:rFonts w:ascii="Times New Roman" w:hAnsi="Times New Roman"/>
                      <w:color w:val="000000" w:themeColor="text1"/>
                      <w14:textFill>
                        <w14:solidFill>
                          <w14:schemeClr w14:val="tx1"/>
                        </w14:solidFill>
                      </w14:textFill>
                    </w:rPr>
                  </w:pPr>
                </w:p>
              </w:tc>
              <w:tc>
                <w:tcPr>
                  <w:tcW w:w="296" w:type="pct"/>
                  <w:vMerge w:val="continue"/>
                  <w:shd w:val="clear" w:color="auto" w:fill="auto"/>
                  <w:vAlign w:val="center"/>
                </w:tcPr>
                <w:p>
                  <w:pPr>
                    <w:pStyle w:val="44"/>
                    <w:rPr>
                      <w:rFonts w:ascii="Times New Roman" w:hAnsi="Times New Roman"/>
                      <w:color w:val="000000" w:themeColor="text1"/>
                      <w14:textFill>
                        <w14:solidFill>
                          <w14:schemeClr w14:val="tx1"/>
                        </w14:solidFill>
                      </w14:textFill>
                    </w:rPr>
                  </w:pPr>
                </w:p>
              </w:tc>
              <w:tc>
                <w:tcPr>
                  <w:tcW w:w="652"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产生速率（kg/h）</w:t>
                  </w:r>
                </w:p>
              </w:tc>
              <w:tc>
                <w:tcPr>
                  <w:tcW w:w="522"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产生量（t/a）</w:t>
                  </w:r>
                </w:p>
              </w:tc>
              <w:tc>
                <w:tcPr>
                  <w:tcW w:w="652"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排放速率（kg/h）</w:t>
                  </w:r>
                </w:p>
              </w:tc>
              <w:tc>
                <w:tcPr>
                  <w:tcW w:w="522"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排放量（t/a）</w:t>
                  </w:r>
                </w:p>
              </w:tc>
              <w:tc>
                <w:tcPr>
                  <w:tcW w:w="1557" w:type="pct"/>
                  <w:vMerge w:val="continue"/>
                  <w:vAlign w:val="center"/>
                </w:tcPr>
                <w:p>
                  <w:pPr>
                    <w:pStyle w:val="44"/>
                    <w:rPr>
                      <w:rFonts w:ascii="Times New Roman" w:hAnsi="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3" w:type="pct"/>
                  <w:vMerge w:val="restar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前处理</w:t>
                  </w:r>
                </w:p>
              </w:tc>
              <w:tc>
                <w:tcPr>
                  <w:tcW w:w="616" w:type="pc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挑选工序</w:t>
                  </w:r>
                </w:p>
              </w:tc>
              <w:tc>
                <w:tcPr>
                  <w:tcW w:w="296" w:type="pct"/>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颗粒物</w:t>
                  </w:r>
                </w:p>
              </w:tc>
              <w:tc>
                <w:tcPr>
                  <w:tcW w:w="652"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0.089</w:t>
                  </w:r>
                </w:p>
              </w:tc>
              <w:tc>
                <w:tcPr>
                  <w:tcW w:w="522"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0.231</w:t>
                  </w:r>
                </w:p>
              </w:tc>
              <w:tc>
                <w:tcPr>
                  <w:tcW w:w="652"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0.014</w:t>
                  </w:r>
                </w:p>
              </w:tc>
              <w:tc>
                <w:tcPr>
                  <w:tcW w:w="522"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0.037</w:t>
                  </w:r>
                </w:p>
              </w:tc>
              <w:tc>
                <w:tcPr>
                  <w:tcW w:w="1557" w:type="pct"/>
                  <w:vMerge w:val="restar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收集效率为85%，袋式除尘器处理效率为99%。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3" w:type="pct"/>
                  <w:vMerge w:val="continue"/>
                  <w:vAlign w:val="center"/>
                </w:tcPr>
                <w:p>
                  <w:pPr>
                    <w:pStyle w:val="44"/>
                    <w:rPr>
                      <w:rFonts w:ascii="Times New Roman" w:hAnsi="Times New Roman"/>
                      <w:color w:val="000000" w:themeColor="text1"/>
                      <w14:textFill>
                        <w14:solidFill>
                          <w14:schemeClr w14:val="tx1"/>
                        </w14:solidFill>
                      </w14:textFill>
                    </w:rPr>
                  </w:pPr>
                </w:p>
              </w:tc>
              <w:tc>
                <w:tcPr>
                  <w:tcW w:w="616" w:type="pc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粉碎混合出料</w:t>
                  </w:r>
                </w:p>
              </w:tc>
              <w:tc>
                <w:tcPr>
                  <w:tcW w:w="296" w:type="pct"/>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颗粒物</w:t>
                  </w:r>
                </w:p>
              </w:tc>
              <w:tc>
                <w:tcPr>
                  <w:tcW w:w="652"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0.022</w:t>
                  </w:r>
                </w:p>
              </w:tc>
              <w:tc>
                <w:tcPr>
                  <w:tcW w:w="522"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0.017</w:t>
                  </w:r>
                </w:p>
              </w:tc>
              <w:tc>
                <w:tcPr>
                  <w:tcW w:w="652"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0.003</w:t>
                  </w:r>
                </w:p>
              </w:tc>
              <w:tc>
                <w:tcPr>
                  <w:tcW w:w="522"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0.003</w:t>
                  </w:r>
                </w:p>
              </w:tc>
              <w:tc>
                <w:tcPr>
                  <w:tcW w:w="1557" w:type="pct"/>
                  <w:vMerge w:val="continue"/>
                  <w:vAlign w:val="center"/>
                </w:tcPr>
                <w:p>
                  <w:pPr>
                    <w:pStyle w:val="44"/>
                    <w:rPr>
                      <w:rFonts w:ascii="Times New Roman" w:hAnsi="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99" w:type="pct"/>
                  <w:gridSpan w:val="2"/>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合计</w:t>
                  </w:r>
                </w:p>
              </w:tc>
              <w:tc>
                <w:tcPr>
                  <w:tcW w:w="296" w:type="pct"/>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颗粒物</w:t>
                  </w:r>
                </w:p>
              </w:tc>
              <w:tc>
                <w:tcPr>
                  <w:tcW w:w="652" w:type="pct"/>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w:t>
                  </w:r>
                </w:p>
              </w:tc>
              <w:tc>
                <w:tcPr>
                  <w:tcW w:w="522" w:type="pct"/>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0.248</w:t>
                  </w:r>
                </w:p>
              </w:tc>
              <w:tc>
                <w:tcPr>
                  <w:tcW w:w="652" w:type="pct"/>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w:t>
                  </w:r>
                </w:p>
              </w:tc>
              <w:tc>
                <w:tcPr>
                  <w:tcW w:w="522" w:type="pct"/>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0.039</w:t>
                  </w:r>
                </w:p>
              </w:tc>
              <w:tc>
                <w:tcPr>
                  <w:tcW w:w="1557" w:type="pct"/>
                  <w:vMerge w:val="continue"/>
                  <w:vAlign w:val="center"/>
                </w:tcPr>
                <w:p>
                  <w:pPr>
                    <w:pStyle w:val="44"/>
                    <w:rPr>
                      <w:rFonts w:ascii="Times New Roman" w:hAnsi="Times New Roman"/>
                      <w:color w:val="000000" w:themeColor="text1"/>
                      <w14:textFill>
                        <w14:solidFill>
                          <w14:schemeClr w14:val="tx1"/>
                        </w14:solidFill>
                      </w14:textFill>
                    </w:rPr>
                  </w:pPr>
                </w:p>
              </w:tc>
            </w:tr>
          </w:tbl>
          <w:p>
            <w:pPr>
              <w:widowControl/>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（3）提取浓缩车间废气</w:t>
            </w:r>
          </w:p>
          <w:p>
            <w:pPr>
              <w:widowControl/>
              <w:spacing w:line="360" w:lineRule="auto"/>
              <w:ind w:firstLine="480" w:firstLineChars="200"/>
              <w:rPr>
                <w:rFonts w:ascii="Times New Roman" w:hAnsi="Times New Roman"/>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①</w:t>
            </w:r>
            <w:r>
              <w:rPr>
                <w:rFonts w:ascii="Times New Roman" w:hAnsi="Times New Roman"/>
                <w:color w:val="000000" w:themeColor="text1"/>
                <w:sz w:val="24"/>
                <w14:textFill>
                  <w14:solidFill>
                    <w14:schemeClr w14:val="tx1"/>
                  </w14:solidFill>
                </w14:textFill>
              </w:rPr>
              <w:t>药渣异味</w:t>
            </w:r>
          </w:p>
          <w:p>
            <w:pPr>
              <w:widowControl/>
              <w:spacing w:line="360" w:lineRule="auto"/>
              <w:ind w:firstLine="480" w:firstLineChars="200"/>
              <w:rPr>
                <w:rFonts w:ascii="Times New Roman" w:hAnsi="Times New Roman"/>
                <w:bCs/>
                <w:color w:val="000000" w:themeColor="text1"/>
                <w:sz w:val="24"/>
                <w14:textFill>
                  <w14:solidFill>
                    <w14:schemeClr w14:val="tx1"/>
                  </w14:solidFill>
                </w14:textFill>
              </w:rPr>
            </w:pPr>
            <w:r>
              <w:rPr>
                <w:rFonts w:ascii="Times New Roman" w:hAnsi="Times New Roman"/>
                <w:bCs/>
                <w:color w:val="000000" w:themeColor="text1"/>
                <w:sz w:val="24"/>
                <w14:textFill>
                  <w14:solidFill>
                    <w14:schemeClr w14:val="tx1"/>
                  </w14:solidFill>
                </w14:textFill>
              </w:rPr>
              <w:t>中药提取过程中产生的异味成分比较复杂，难以定性以单一污染因子表示，故本项目以臭气浓度表征，其主要来源于药渣堆放处、提取过滤工序药渣出口等产生的异味。根据类比肇庆市海王健康生物科技有限公司（涉及水提、醇提工艺，1万t/a提取处理量）可知，中药在生产过程中车间内的臭气浓度在30~50（无量纲）之间。由于恶臭浓度随距离的增加有一定的衰减，只要企业加强车间的抽排风装置，厂界的臭气浓度达到《恶臭污染物排放标准》（GB14554-1993）表1厂界二级标准值，项目产生的恶臭对周围环境影响不大。项目提取过程中产生的药渣属于一般固体废物，厂区内设置有专门的药渣堆场对药渣进行临时堆放。药渣临时堆场会产生少量异味气体。对药渣采取每日清运，减少药渣在对场内的停留时间，可以降低异味气体的产生，减少对环境的影响。</w:t>
            </w:r>
          </w:p>
          <w:p>
            <w:pPr>
              <w:widowControl/>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②</w:t>
            </w:r>
            <w:r>
              <w:rPr>
                <w:rFonts w:ascii="Times New Roman" w:hAnsi="Times New Roman" w:eastAsia="宋体"/>
                <w:color w:val="000000" w:themeColor="text1"/>
                <w:sz w:val="24"/>
                <w14:textFill>
                  <w14:solidFill>
                    <w14:schemeClr w14:val="tx1"/>
                  </w14:solidFill>
                </w14:textFill>
              </w:rPr>
              <w:t>药渣散逸的乙醇</w:t>
            </w:r>
            <w:r>
              <w:rPr>
                <w:rFonts w:hint="eastAsia" w:ascii="Times New Roman" w:hAnsi="Times New Roman" w:eastAsia="宋体"/>
                <w:color w:val="000000" w:themeColor="text1"/>
                <w:sz w:val="24"/>
                <w14:textFill>
                  <w14:solidFill>
                    <w14:schemeClr w14:val="tx1"/>
                  </w14:solidFill>
                </w14:textFill>
              </w:rPr>
              <w:t>废气</w:t>
            </w:r>
          </w:p>
          <w:p>
            <w:pPr>
              <w:widowControl/>
              <w:spacing w:line="360" w:lineRule="auto"/>
              <w:ind w:firstLine="480" w:firstLineChars="200"/>
              <w:rPr>
                <w:rFonts w:ascii="Times New Roman" w:hAnsi="Times New Roman"/>
                <w:bCs/>
                <w:color w:val="000000" w:themeColor="text1"/>
                <w:sz w:val="24"/>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药渣散逸的乙醇废气主要</w:t>
            </w:r>
            <w:r>
              <w:rPr>
                <w:rFonts w:ascii="Times New Roman" w:hAnsi="Times New Roman"/>
                <w:bCs/>
                <w:color w:val="000000" w:themeColor="text1"/>
                <w:sz w:val="24"/>
                <w14:textFill>
                  <w14:solidFill>
                    <w14:schemeClr w14:val="tx1"/>
                  </w14:solidFill>
                </w14:textFill>
              </w:rPr>
              <w:t>来源于提取过滤后排出的药渣含有少量的乙醇，于药渣堆场中堆放时挥发产生的乙醇废气，本次评价以VOCs表征。</w:t>
            </w:r>
            <w:r>
              <w:rPr>
                <w:rFonts w:ascii="Times New Roman" w:hAnsi="Times New Roman"/>
                <w:color w:val="000000" w:themeColor="text1"/>
                <w:sz w:val="24"/>
                <w14:textFill>
                  <w14:solidFill>
                    <w14:schemeClr w14:val="tx1"/>
                  </w14:solidFill>
                </w14:textFill>
              </w:rPr>
              <w:t>根据《第二次全国污染源普查产排污核算系数手册（试用版）》2740</w:t>
            </w:r>
            <w:r>
              <w:rPr>
                <w:rFonts w:hint="eastAsia" w:ascii="Times New Roman" w:hAnsi="Times New Roman"/>
                <w:color w:val="000000" w:themeColor="text1"/>
                <w:sz w:val="24"/>
                <w14:textFill>
                  <w14:solidFill>
                    <w14:schemeClr w14:val="tx1"/>
                  </w14:solidFill>
                </w14:textFill>
              </w:rPr>
              <w:t>中成药生产</w:t>
            </w:r>
            <w:r>
              <w:rPr>
                <w:rFonts w:ascii="Times New Roman" w:hAnsi="Times New Roman"/>
                <w:color w:val="000000" w:themeColor="text1"/>
                <w:sz w:val="24"/>
                <w14:textFill>
                  <w14:solidFill>
                    <w14:schemeClr w14:val="tx1"/>
                  </w14:solidFill>
                </w14:textFill>
              </w:rPr>
              <w:t>行业（27</w:t>
            </w:r>
            <w:r>
              <w:rPr>
                <w:rFonts w:hint="eastAsia" w:ascii="Times New Roman" w:hAnsi="Times New Roman"/>
                <w:color w:val="000000" w:themeColor="text1"/>
                <w:sz w:val="24"/>
                <w14:textFill>
                  <w14:solidFill>
                    <w14:schemeClr w14:val="tx1"/>
                  </w14:solidFill>
                </w14:textFill>
              </w:rPr>
              <w:t>30</w:t>
            </w:r>
            <w:r>
              <w:rPr>
                <w:rFonts w:ascii="Times New Roman" w:hAnsi="Times New Roman"/>
                <w:color w:val="000000" w:themeColor="text1"/>
                <w:sz w:val="24"/>
                <w14:textFill>
                  <w14:solidFill>
                    <w14:schemeClr w14:val="tx1"/>
                  </w14:solidFill>
                </w14:textFill>
              </w:rPr>
              <w:t>中药饮片加工行业提出：含煮提工艺，参照中成药生产行业），挥发性有机物产污系数为0.153吨/吨-有机溶剂（生产规模为＜200吨-中成药/年）。</w:t>
            </w:r>
            <w:r>
              <w:rPr>
                <w:rFonts w:ascii="Times New Roman" w:hAnsi="Times New Roman"/>
                <w:bCs/>
                <w:color w:val="000000" w:themeColor="text1"/>
                <w:sz w:val="24"/>
                <w14:textFill>
                  <w14:solidFill>
                    <w14:schemeClr w14:val="tx1"/>
                  </w14:solidFill>
                </w14:textFill>
              </w:rPr>
              <w:t>根据物料平衡，药渣含有乙醇0.753t/a，因此VOCs产生量为0.115t/a。项目对药渣采取每日清运，减少药渣在对场内的停留时间，可以降低乙醇废气散逸的产生，同时加强车间通风，减少对环境的影响。</w:t>
            </w:r>
          </w:p>
          <w:p>
            <w:pPr>
              <w:widowControl/>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③</w:t>
            </w:r>
            <w:r>
              <w:rPr>
                <w:rFonts w:ascii="Times New Roman" w:hAnsi="Times New Roman" w:eastAsia="宋体"/>
                <w:color w:val="000000" w:themeColor="text1"/>
                <w:sz w:val="24"/>
                <w14:textFill>
                  <w14:solidFill>
                    <w14:schemeClr w14:val="tx1"/>
                  </w14:solidFill>
                </w14:textFill>
              </w:rPr>
              <w:t>乙醇不凝气</w:t>
            </w:r>
          </w:p>
          <w:p>
            <w:pPr>
              <w:widowControl/>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项目醇提与醇沉后的浓缩过程为密闭储罐中进行（每天10h），挥发的乙醇蒸汽经管道全部收集后进入三级冷凝回收装置回收处理，少量乙醇不凝气则进入水封池进一步水喷淋吸收处理。三级冷凝回收效率达97.3%以上（每级回收效率70%以上），根据物料平衡，醇提、醇沉浓缩过程乙醇不凝气产生量为1.150t/a，本次评价</w:t>
            </w:r>
            <w:r>
              <w:rPr>
                <w:rFonts w:ascii="Times New Roman" w:hAnsi="Times New Roman"/>
                <w:bCs/>
                <w:color w:val="000000" w:themeColor="text1"/>
                <w:sz w:val="24"/>
                <w14:textFill>
                  <w14:solidFill>
                    <w14:schemeClr w14:val="tx1"/>
                  </w14:solidFill>
                </w14:textFill>
              </w:rPr>
              <w:t>以VOCs表征。</w:t>
            </w:r>
            <w:r>
              <w:rPr>
                <w:rFonts w:ascii="Times New Roman" w:hAnsi="Times New Roman" w:eastAsia="宋体"/>
                <w:color w:val="000000" w:themeColor="text1"/>
                <w:sz w:val="24"/>
                <w14:textFill>
                  <w14:solidFill>
                    <w14:schemeClr w14:val="tx1"/>
                  </w14:solidFill>
                </w14:textFill>
              </w:rPr>
              <w:t>由于乙醇与水任意比例互溶，乙醇不凝气经水封池水喷淋吸收处理后，处理效率可达99.99%，乙醇不凝气外排量几乎为零，因此，该部分乙醇不凝气排放量可忽略。</w:t>
            </w: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项目提取浓缩废气产排情况一览表</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88"/>
              <w:gridCol w:w="993"/>
              <w:gridCol w:w="991"/>
              <w:gridCol w:w="1560"/>
              <w:gridCol w:w="1701"/>
              <w:gridCol w:w="1565"/>
              <w:gridCol w:w="1843"/>
              <w:gridCol w:w="42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555" w:type="pct"/>
                  <w:gridSpan w:val="2"/>
                  <w:vMerge w:val="restar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污染源</w:t>
                  </w:r>
                </w:p>
              </w:tc>
              <w:tc>
                <w:tcPr>
                  <w:tcW w:w="371" w:type="pct"/>
                  <w:vMerge w:val="restart"/>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污染物</w:t>
                  </w:r>
                </w:p>
              </w:tc>
              <w:tc>
                <w:tcPr>
                  <w:tcW w:w="1221" w:type="pct"/>
                  <w:gridSpan w:val="2"/>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产生情况</w:t>
                  </w:r>
                </w:p>
              </w:tc>
              <w:tc>
                <w:tcPr>
                  <w:tcW w:w="1276" w:type="pct"/>
                  <w:gridSpan w:val="2"/>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排放情况（无组织）</w:t>
                  </w:r>
                </w:p>
              </w:tc>
              <w:tc>
                <w:tcPr>
                  <w:tcW w:w="1577" w:type="pct"/>
                  <w:vMerge w:val="restar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51" w:hRule="atLeast"/>
              </w:trPr>
              <w:tc>
                <w:tcPr>
                  <w:tcW w:w="555" w:type="pct"/>
                  <w:gridSpan w:val="2"/>
                  <w:vMerge w:val="continue"/>
                  <w:vAlign w:val="center"/>
                </w:tcPr>
                <w:p>
                  <w:pPr>
                    <w:pStyle w:val="44"/>
                    <w:rPr>
                      <w:rFonts w:ascii="Times New Roman" w:hAnsi="Times New Roman"/>
                      <w:color w:val="000000" w:themeColor="text1"/>
                      <w14:textFill>
                        <w14:solidFill>
                          <w14:schemeClr w14:val="tx1"/>
                        </w14:solidFill>
                      </w14:textFill>
                    </w:rPr>
                  </w:pPr>
                </w:p>
              </w:tc>
              <w:tc>
                <w:tcPr>
                  <w:tcW w:w="371" w:type="pct"/>
                  <w:vMerge w:val="continue"/>
                  <w:shd w:val="clear" w:color="auto" w:fill="auto"/>
                  <w:vAlign w:val="center"/>
                </w:tcPr>
                <w:p>
                  <w:pPr>
                    <w:pStyle w:val="44"/>
                    <w:rPr>
                      <w:rFonts w:ascii="Times New Roman" w:hAnsi="Times New Roman"/>
                      <w:color w:val="000000" w:themeColor="text1"/>
                      <w14:textFill>
                        <w14:solidFill>
                          <w14:schemeClr w14:val="tx1"/>
                        </w14:solidFill>
                      </w14:textFill>
                    </w:rPr>
                  </w:pPr>
                </w:p>
              </w:tc>
              <w:tc>
                <w:tcPr>
                  <w:tcW w:w="584"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产生速率（kg/h）</w:t>
                  </w:r>
                </w:p>
              </w:tc>
              <w:tc>
                <w:tcPr>
                  <w:tcW w:w="637"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产生量（t/a）</w:t>
                  </w:r>
                </w:p>
              </w:tc>
              <w:tc>
                <w:tcPr>
                  <w:tcW w:w="586"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排放速率（kg/h）</w:t>
                  </w:r>
                </w:p>
              </w:tc>
              <w:tc>
                <w:tcPr>
                  <w:tcW w:w="690"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排放量（t/a）</w:t>
                  </w:r>
                </w:p>
              </w:tc>
              <w:tc>
                <w:tcPr>
                  <w:tcW w:w="1577" w:type="pct"/>
                  <w:vMerge w:val="continue"/>
                  <w:vAlign w:val="center"/>
                </w:tcPr>
                <w:p>
                  <w:pPr>
                    <w:pStyle w:val="44"/>
                    <w:rPr>
                      <w:rFonts w:ascii="Times New Roman" w:hAnsi="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3" w:type="pct"/>
                  <w:vMerge w:val="restar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提取浓缩</w:t>
                  </w:r>
                </w:p>
              </w:tc>
              <w:tc>
                <w:tcPr>
                  <w:tcW w:w="372" w:type="pc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药渣排渣</w:t>
                  </w:r>
                </w:p>
              </w:tc>
              <w:tc>
                <w:tcPr>
                  <w:tcW w:w="371" w:type="pct"/>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臭气浓度</w:t>
                  </w:r>
                </w:p>
              </w:tc>
              <w:tc>
                <w:tcPr>
                  <w:tcW w:w="584"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637"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30~50（无量纲）</w:t>
                  </w:r>
                </w:p>
              </w:tc>
              <w:tc>
                <w:tcPr>
                  <w:tcW w:w="586"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690"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30~50（无量纲）</w:t>
                  </w:r>
                </w:p>
              </w:tc>
              <w:tc>
                <w:tcPr>
                  <w:tcW w:w="1577" w:type="pct"/>
                  <w:vMerge w:val="restar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加强车间通风，药渣每日清运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3" w:type="pct"/>
                  <w:vMerge w:val="continue"/>
                  <w:vAlign w:val="center"/>
                </w:tcPr>
                <w:p>
                  <w:pPr>
                    <w:pStyle w:val="44"/>
                    <w:rPr>
                      <w:rFonts w:ascii="Times New Roman" w:hAnsi="Times New Roman"/>
                      <w:color w:val="000000" w:themeColor="text1"/>
                      <w14:textFill>
                        <w14:solidFill>
                          <w14:schemeClr w14:val="tx1"/>
                        </w14:solidFill>
                      </w14:textFill>
                    </w:rPr>
                  </w:pPr>
                </w:p>
              </w:tc>
              <w:tc>
                <w:tcPr>
                  <w:tcW w:w="372" w:type="pc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药渣堆放</w:t>
                  </w:r>
                </w:p>
              </w:tc>
              <w:tc>
                <w:tcPr>
                  <w:tcW w:w="371" w:type="pct"/>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臭气浓度</w:t>
                  </w:r>
                </w:p>
              </w:tc>
              <w:tc>
                <w:tcPr>
                  <w:tcW w:w="584"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637"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30~50（无量纲）</w:t>
                  </w:r>
                </w:p>
              </w:tc>
              <w:tc>
                <w:tcPr>
                  <w:tcW w:w="586"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690"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30~50（无量纲）</w:t>
                  </w:r>
                </w:p>
              </w:tc>
              <w:tc>
                <w:tcPr>
                  <w:tcW w:w="1577" w:type="pct"/>
                  <w:vMerge w:val="continue"/>
                  <w:vAlign w:val="center"/>
                </w:tcPr>
                <w:p>
                  <w:pPr>
                    <w:pStyle w:val="44"/>
                    <w:rPr>
                      <w:rFonts w:ascii="Times New Roman" w:hAnsi="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3" w:type="pct"/>
                  <w:vMerge w:val="continue"/>
                  <w:vAlign w:val="center"/>
                </w:tcPr>
                <w:p>
                  <w:pPr>
                    <w:pStyle w:val="44"/>
                    <w:rPr>
                      <w:rFonts w:ascii="Times New Roman" w:hAnsi="Times New Roman"/>
                      <w:color w:val="000000" w:themeColor="text1"/>
                      <w14:textFill>
                        <w14:solidFill>
                          <w14:schemeClr w14:val="tx1"/>
                        </w14:solidFill>
                      </w14:textFill>
                    </w:rPr>
                  </w:pPr>
                </w:p>
              </w:tc>
              <w:tc>
                <w:tcPr>
                  <w:tcW w:w="372" w:type="pc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药渣堆放</w:t>
                  </w:r>
                </w:p>
              </w:tc>
              <w:tc>
                <w:tcPr>
                  <w:tcW w:w="371" w:type="pct"/>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bCs/>
                      <w:color w:val="000000" w:themeColor="text1"/>
                      <w14:textFill>
                        <w14:solidFill>
                          <w14:schemeClr w14:val="tx1"/>
                        </w14:solidFill>
                      </w14:textFill>
                    </w:rPr>
                    <w:t>VOCs</w:t>
                  </w:r>
                </w:p>
              </w:tc>
              <w:tc>
                <w:tcPr>
                  <w:tcW w:w="584"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0.018</w:t>
                  </w:r>
                </w:p>
              </w:tc>
              <w:tc>
                <w:tcPr>
                  <w:tcW w:w="637"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0.115</w:t>
                  </w:r>
                </w:p>
              </w:tc>
              <w:tc>
                <w:tcPr>
                  <w:tcW w:w="586"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0.018</w:t>
                  </w:r>
                </w:p>
              </w:tc>
              <w:tc>
                <w:tcPr>
                  <w:tcW w:w="690"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0.115</w:t>
                  </w:r>
                </w:p>
              </w:tc>
              <w:tc>
                <w:tcPr>
                  <w:tcW w:w="1577" w:type="pc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加强车间通风，药渣每日清运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83" w:type="pct"/>
                  <w:vMerge w:val="continue"/>
                  <w:vAlign w:val="center"/>
                </w:tcPr>
                <w:p>
                  <w:pPr>
                    <w:pStyle w:val="44"/>
                    <w:rPr>
                      <w:rFonts w:ascii="Times New Roman" w:hAnsi="Times New Roman"/>
                      <w:color w:val="000000" w:themeColor="text1"/>
                      <w14:textFill>
                        <w14:solidFill>
                          <w14:schemeClr w14:val="tx1"/>
                        </w14:solidFill>
                      </w14:textFill>
                    </w:rPr>
                  </w:pPr>
                </w:p>
              </w:tc>
              <w:tc>
                <w:tcPr>
                  <w:tcW w:w="372" w:type="pc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三级冷凝回收装置</w:t>
                  </w:r>
                </w:p>
              </w:tc>
              <w:tc>
                <w:tcPr>
                  <w:tcW w:w="371" w:type="pct"/>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bCs/>
                      <w:color w:val="000000" w:themeColor="text1"/>
                      <w14:textFill>
                        <w14:solidFill>
                          <w14:schemeClr w14:val="tx1"/>
                        </w14:solidFill>
                      </w14:textFill>
                    </w:rPr>
                    <w:t>VOCs</w:t>
                  </w:r>
                </w:p>
              </w:tc>
              <w:tc>
                <w:tcPr>
                  <w:tcW w:w="584"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0.442</w:t>
                  </w:r>
                </w:p>
              </w:tc>
              <w:tc>
                <w:tcPr>
                  <w:tcW w:w="637"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1.150</w:t>
                  </w:r>
                </w:p>
              </w:tc>
              <w:tc>
                <w:tcPr>
                  <w:tcW w:w="586"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0.000</w:t>
                  </w:r>
                </w:p>
              </w:tc>
              <w:tc>
                <w:tcPr>
                  <w:tcW w:w="690"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0.000</w:t>
                  </w:r>
                </w:p>
              </w:tc>
              <w:tc>
                <w:tcPr>
                  <w:tcW w:w="1577" w:type="pc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水封池水喷淋吸收处理，处理效率99.99%。</w:t>
                  </w:r>
                </w:p>
              </w:tc>
            </w:tr>
          </w:tbl>
          <w:p>
            <w:pPr>
              <w:widowControl/>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（4）后处理车间废气</w:t>
            </w:r>
          </w:p>
          <w:p>
            <w:pPr>
              <w:pStyle w:val="90"/>
              <w:ind w:firstLine="480"/>
              <w:rPr>
                <w:rFonts w:ascii="Times New Roman"/>
                <w:color w:val="000000" w:themeColor="text1"/>
                <w14:textFill>
                  <w14:solidFill>
                    <w14:schemeClr w14:val="tx1"/>
                  </w14:solidFill>
                </w14:textFill>
              </w:rPr>
            </w:pPr>
            <w:r>
              <w:rPr>
                <w:rFonts w:hint="eastAsia" w:hAnsi="宋体" w:cs="宋体"/>
                <w:color w:val="000000" w:themeColor="text1"/>
                <w14:textFill>
                  <w14:solidFill>
                    <w14:schemeClr w14:val="tx1"/>
                  </w14:solidFill>
                </w14:textFill>
              </w:rPr>
              <w:t>①</w:t>
            </w:r>
            <w:r>
              <w:rPr>
                <w:rFonts w:ascii="Times New Roman"/>
                <w:color w:val="000000" w:themeColor="text1"/>
                <w14:textFill>
                  <w14:solidFill>
                    <w14:schemeClr w14:val="tx1"/>
                  </w14:solidFill>
                </w14:textFill>
              </w:rPr>
              <w:t>混合出料粉尘</w:t>
            </w:r>
          </w:p>
          <w:p>
            <w:pPr>
              <w:pStyle w:val="90"/>
              <w:ind w:firstLine="48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干膏粉成品包装前需要粉碎混合过筛，这些工序均在密闭设备内进行，只有在混合出料口会产生少量粉尘，混合工序每天工作4h。根据《第二次全国污染源普查产排污核算系数手册（试用版）》2740中</w:t>
            </w:r>
            <w:r>
              <w:rPr>
                <w:rFonts w:hint="eastAsia" w:ascii="Times New Roman"/>
                <w:color w:val="000000" w:themeColor="text1"/>
                <w14:textFill>
                  <w14:solidFill>
                    <w14:schemeClr w14:val="tx1"/>
                  </w14:solidFill>
                </w14:textFill>
              </w:rPr>
              <w:t>成药生产</w:t>
            </w:r>
            <w:r>
              <w:rPr>
                <w:rFonts w:ascii="Times New Roman"/>
                <w:color w:val="000000" w:themeColor="text1"/>
                <w14:textFill>
                  <w14:solidFill>
                    <w14:schemeClr w14:val="tx1"/>
                  </w14:solidFill>
                </w14:textFill>
              </w:rPr>
              <w:t>行业（27</w:t>
            </w:r>
            <w:r>
              <w:rPr>
                <w:rFonts w:hint="eastAsia" w:ascii="Times New Roman"/>
                <w:color w:val="000000" w:themeColor="text1"/>
                <w14:textFill>
                  <w14:solidFill>
                    <w14:schemeClr w14:val="tx1"/>
                  </w14:solidFill>
                </w14:textFill>
              </w:rPr>
              <w:t>30</w:t>
            </w:r>
            <w:r>
              <w:rPr>
                <w:rFonts w:ascii="Times New Roman"/>
                <w:color w:val="000000" w:themeColor="text1"/>
                <w14:textFill>
                  <w14:solidFill>
                    <w14:schemeClr w14:val="tx1"/>
                  </w14:solidFill>
                </w14:textFill>
              </w:rPr>
              <w:t>中药饮片加工行业提出：含煮提工艺，参照中成药生产行业），制剂环节颗粒物产污系数为4千克/吨-中药饮片（生产规模为＜200吨-中成药/年），采用袋式除尘治理技术效率为98%。根据物料平衡，后处理车间产尘量不大，因此项目在混合出料工位设置集气抽风装置点对点收集粉尘后进入到车间配备的移动式袋式除尘器进行处理，收集效率达85%以上。后处理车间为洁净区，车间内空气再经车间空调系统低效、中效、高效过滤器过滤后，处理效率达到99%，粉尘外排量几乎为零，因此，该部分粉尘排放量可忽略。因此，项目混合出料粉尘产排情况见下表：</w:t>
            </w: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项目后处理废气产排情况一览表</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72"/>
              <w:gridCol w:w="993"/>
              <w:gridCol w:w="913"/>
              <w:gridCol w:w="1685"/>
              <w:gridCol w:w="1311"/>
              <w:gridCol w:w="1685"/>
              <w:gridCol w:w="1311"/>
              <w:gridCol w:w="4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661" w:type="pct"/>
                  <w:gridSpan w:val="2"/>
                  <w:vMerge w:val="restart"/>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污染源</w:t>
                  </w:r>
                </w:p>
              </w:tc>
              <w:tc>
                <w:tcPr>
                  <w:tcW w:w="34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污染物</w:t>
                  </w:r>
                </w:p>
              </w:tc>
              <w:tc>
                <w:tcPr>
                  <w:tcW w:w="1122"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产生情况</w:t>
                  </w:r>
                </w:p>
              </w:tc>
              <w:tc>
                <w:tcPr>
                  <w:tcW w:w="1122"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排放情况（无组织）</w:t>
                  </w:r>
                </w:p>
              </w:tc>
              <w:tc>
                <w:tcPr>
                  <w:tcW w:w="1753" w:type="pct"/>
                  <w:vMerge w:val="restart"/>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51" w:hRule="atLeast"/>
              </w:trPr>
              <w:tc>
                <w:tcPr>
                  <w:tcW w:w="661" w:type="pct"/>
                  <w:gridSpan w:val="2"/>
                  <w:vMerge w:val="continue"/>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p>
              </w:tc>
              <w:tc>
                <w:tcPr>
                  <w:tcW w:w="34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44"/>
                    <w:rPr>
                      <w:rFonts w:ascii="Times New Roman" w:hAnsi="Times New Roman"/>
                      <w:color w:val="000000" w:themeColor="text1"/>
                      <w14:textFill>
                        <w14:solidFill>
                          <w14:schemeClr w14:val="tx1"/>
                        </w14:solidFill>
                      </w14:textFill>
                    </w:rPr>
                  </w:pPr>
                </w:p>
              </w:tc>
              <w:tc>
                <w:tcPr>
                  <w:tcW w:w="6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产生速率（kg/h）</w:t>
                  </w:r>
                </w:p>
              </w:tc>
              <w:tc>
                <w:tcPr>
                  <w:tcW w:w="49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产生量（t/a）</w:t>
                  </w:r>
                </w:p>
              </w:tc>
              <w:tc>
                <w:tcPr>
                  <w:tcW w:w="6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排放速率（kg/h）</w:t>
                  </w:r>
                </w:p>
              </w:tc>
              <w:tc>
                <w:tcPr>
                  <w:tcW w:w="49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排放量（t/a）</w:t>
                  </w:r>
                </w:p>
              </w:tc>
              <w:tc>
                <w:tcPr>
                  <w:tcW w:w="1753" w:type="pct"/>
                  <w:vMerge w:val="continue"/>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89" w:type="pct"/>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后处理</w:t>
                  </w:r>
                </w:p>
              </w:tc>
              <w:tc>
                <w:tcPr>
                  <w:tcW w:w="372" w:type="pct"/>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混合出料工序</w:t>
                  </w:r>
                </w:p>
              </w:tc>
              <w:tc>
                <w:tcPr>
                  <w:tcW w:w="34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颗粒物</w:t>
                  </w:r>
                </w:p>
              </w:tc>
              <w:tc>
                <w:tcPr>
                  <w:tcW w:w="6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0.069</w:t>
                  </w:r>
                </w:p>
              </w:tc>
              <w:tc>
                <w:tcPr>
                  <w:tcW w:w="49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0.072</w:t>
                  </w:r>
                </w:p>
              </w:tc>
              <w:tc>
                <w:tcPr>
                  <w:tcW w:w="6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0.000</w:t>
                  </w:r>
                </w:p>
              </w:tc>
              <w:tc>
                <w:tcPr>
                  <w:tcW w:w="49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0.000</w:t>
                  </w:r>
                </w:p>
              </w:tc>
              <w:tc>
                <w:tcPr>
                  <w:tcW w:w="1753" w:type="pct"/>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①</w:t>
                  </w:r>
                  <w:r>
                    <w:rPr>
                      <w:rFonts w:ascii="Times New Roman" w:hAnsi="Times New Roman"/>
                      <w:color w:val="000000" w:themeColor="text1"/>
                      <w14:textFill>
                        <w14:solidFill>
                          <w14:schemeClr w14:val="tx1"/>
                        </w14:solidFill>
                      </w14:textFill>
                    </w:rPr>
                    <w:t>袋式除尘器收集效率为85%，处理效率为98%。</w:t>
                  </w:r>
                </w:p>
                <w:p>
                  <w:pPr>
                    <w:pStyle w:val="44"/>
                    <w:jc w:val="left"/>
                    <w:rPr>
                      <w:rFonts w:ascii="Times New Roman" w:hAnsi="Times New Roman"/>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②</w:t>
                  </w:r>
                  <w:r>
                    <w:rPr>
                      <w:rFonts w:ascii="Times New Roman" w:hAnsi="Times New Roman"/>
                      <w:color w:val="000000" w:themeColor="text1"/>
                      <w14:textFill>
                        <w14:solidFill>
                          <w14:schemeClr w14:val="tx1"/>
                        </w14:solidFill>
                      </w14:textFill>
                    </w:rPr>
                    <w:t>洁净区空调系统低效、中效、高效过滤系统，收集效率100%，处理效率达99%。</w:t>
                  </w:r>
                </w:p>
              </w:tc>
            </w:tr>
          </w:tbl>
          <w:p>
            <w:pPr>
              <w:widowControl/>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（5）发酵车间</w:t>
            </w:r>
          </w:p>
          <w:p>
            <w:pPr>
              <w:widowControl/>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①</w:t>
            </w:r>
            <w:r>
              <w:rPr>
                <w:rFonts w:ascii="Times New Roman" w:hAnsi="Times New Roman" w:eastAsia="宋体"/>
                <w:color w:val="000000" w:themeColor="text1"/>
                <w:sz w:val="24"/>
                <w14:textFill>
                  <w14:solidFill>
                    <w14:schemeClr w14:val="tx1"/>
                  </w14:solidFill>
                </w14:textFill>
              </w:rPr>
              <w:t>配料混合出料粉尘、总混出料粉尘</w:t>
            </w:r>
          </w:p>
          <w:p>
            <w:pPr>
              <w:widowControl/>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发酵车间配料混合出料产生少量粉尘，配料混合工序每天工作2h。</w:t>
            </w:r>
            <w:r>
              <w:rPr>
                <w:rFonts w:ascii="Times New Roman" w:hAnsi="Times New Roman"/>
                <w:color w:val="000000" w:themeColor="text1"/>
                <w:sz w:val="24"/>
                <w14:textFill>
                  <w14:solidFill>
                    <w14:schemeClr w14:val="tx1"/>
                  </w14:solidFill>
                </w14:textFill>
              </w:rPr>
              <w:t>根据《第二次全国污染源普查产排污核算系数手册（试用版）》2730中药饮片加工行业，颗粒物产污系数为2.69千克/吨-中药饮片（生产规模为＜200吨-中药饮片/年），采用袋式除尘治理技术效率为99%。根据物料平衡，</w:t>
            </w:r>
            <w:r>
              <w:rPr>
                <w:rFonts w:ascii="Times New Roman" w:hAnsi="Times New Roman" w:eastAsia="宋体"/>
                <w:color w:val="000000" w:themeColor="text1"/>
                <w:sz w:val="24"/>
                <w14:textFill>
                  <w14:solidFill>
                    <w14:schemeClr w14:val="tx1"/>
                  </w14:solidFill>
                </w14:textFill>
              </w:rPr>
              <w:t>配料混合出料粉尘产生量为0.038t/a。</w:t>
            </w:r>
          </w:p>
          <w:p>
            <w:pPr>
              <w:widowControl/>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总混出料产生少量粉尘，总混工序每天工作2h。</w:t>
            </w:r>
            <w:r>
              <w:rPr>
                <w:rFonts w:ascii="Times New Roman" w:hAnsi="Times New Roman"/>
                <w:color w:val="000000" w:themeColor="text1"/>
                <w:sz w:val="24"/>
                <w14:textFill>
                  <w14:solidFill>
                    <w14:schemeClr w14:val="tx1"/>
                  </w14:solidFill>
                </w14:textFill>
              </w:rPr>
              <w:t>根据《第二次全国污染源普查产排污核算系数手册（试用版）》2740中</w:t>
            </w:r>
            <w:r>
              <w:rPr>
                <w:rFonts w:hint="eastAsia" w:ascii="Times New Roman" w:hAnsi="Times New Roman"/>
                <w:color w:val="000000" w:themeColor="text1"/>
                <w:sz w:val="24"/>
                <w14:textFill>
                  <w14:solidFill>
                    <w14:schemeClr w14:val="tx1"/>
                  </w14:solidFill>
                </w14:textFill>
              </w:rPr>
              <w:t>成药生产</w:t>
            </w:r>
            <w:r>
              <w:rPr>
                <w:rFonts w:ascii="Times New Roman" w:hAnsi="Times New Roman"/>
                <w:color w:val="000000" w:themeColor="text1"/>
                <w:sz w:val="24"/>
                <w14:textFill>
                  <w14:solidFill>
                    <w14:schemeClr w14:val="tx1"/>
                  </w14:solidFill>
                </w14:textFill>
              </w:rPr>
              <w:t>行业</w:t>
            </w:r>
            <w:r>
              <w:rPr>
                <w:rFonts w:hint="eastAsia" w:ascii="Times New Roman" w:hAnsi="Times New Roman"/>
                <w:color w:val="000000" w:themeColor="text1"/>
                <w:sz w:val="24"/>
                <w14:textFill>
                  <w14:solidFill>
                    <w14:schemeClr w14:val="tx1"/>
                  </w14:solidFill>
                </w14:textFill>
              </w:rPr>
              <w:t>（2730中药饮片加工行业提出：含煮提工艺，参照中成药生产行业）</w:t>
            </w:r>
            <w:r>
              <w:rPr>
                <w:rFonts w:ascii="Times New Roman" w:hAnsi="Times New Roman"/>
                <w:color w:val="000000" w:themeColor="text1"/>
                <w:sz w:val="24"/>
                <w14:textFill>
                  <w14:solidFill>
                    <w14:schemeClr w14:val="tx1"/>
                  </w14:solidFill>
                </w14:textFill>
              </w:rPr>
              <w:t>，制剂环节颗粒物产污系数为4千克/吨-中药饮片（生产规模为＜200吨-中成药/年），采用袋式除尘治理技术效率为98%。根据物料平衡，总混出料粉尘产生量为0.047t/a。</w:t>
            </w:r>
          </w:p>
          <w:p>
            <w:pPr>
              <w:widowControl/>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发酵车间产尘量不大，因此项目在配料混合出料、总混出料工位设置集气抽风装置点对点收集粉尘后进入到车间配备的移动式袋式除尘器进行处理，收集效率达85%以上。发酵车间为洁净区，车间内空气再经车间空调系统低效、中效、高效过滤器过滤后，处理效率达到99%，粉尘外排量几乎为零，因此，该部分粉尘排放量可忽略。</w:t>
            </w:r>
          </w:p>
          <w:p>
            <w:pPr>
              <w:widowControl/>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②</w:t>
            </w:r>
            <w:r>
              <w:rPr>
                <w:rFonts w:ascii="Times New Roman" w:hAnsi="Times New Roman" w:eastAsia="宋体"/>
                <w:color w:val="000000" w:themeColor="text1"/>
                <w:sz w:val="24"/>
                <w14:textFill>
                  <w14:solidFill>
                    <w14:schemeClr w14:val="tx1"/>
                  </w14:solidFill>
                </w14:textFill>
              </w:rPr>
              <w:t>发酵出料散逸的异味</w:t>
            </w:r>
          </w:p>
          <w:p>
            <w:pPr>
              <w:widowControl/>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本项目发酵过程会有少量发酵废气产生，发酵废气成分主要以CO</w:t>
            </w:r>
            <w:r>
              <w:rPr>
                <w:rFonts w:ascii="Times New Roman" w:hAnsi="Times New Roman" w:eastAsia="宋体"/>
                <w:color w:val="000000" w:themeColor="text1"/>
                <w:sz w:val="24"/>
                <w:vertAlign w:val="subscript"/>
                <w14:textFill>
                  <w14:solidFill>
                    <w14:schemeClr w14:val="tx1"/>
                  </w14:solidFill>
                </w14:textFill>
              </w:rPr>
              <w:t>2</w:t>
            </w:r>
            <w:r>
              <w:rPr>
                <w:rFonts w:ascii="Times New Roman" w:hAnsi="Times New Roman" w:eastAsia="宋体"/>
                <w:color w:val="000000" w:themeColor="text1"/>
                <w:sz w:val="24"/>
                <w14:textFill>
                  <w14:solidFill>
                    <w14:schemeClr w14:val="tx1"/>
                  </w14:solidFill>
                </w14:textFill>
              </w:rPr>
              <w:t>为主，同时伴有少量中药材等散发的异味，以臭气浓度表征。发酵过程均在密闭设备中进行，异味其主要来源于药渣出口等。发酵车间为洁净区，车间内空气再经车间空调系统低效、中效、高效过滤器过滤后，使车间达到《恶臭污染物排放标准》（GB14554-1993）恶臭污染物厂界二级标准值（新扩改建）后排放，对外环境的影响基本可忽略。</w:t>
            </w: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项目发酵处理废气产排情况一览表</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15"/>
              <w:gridCol w:w="1616"/>
              <w:gridCol w:w="991"/>
              <w:gridCol w:w="1135"/>
              <w:gridCol w:w="852"/>
              <w:gridCol w:w="1274"/>
              <w:gridCol w:w="892"/>
              <w:gridCol w:w="58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873" w:type="pct"/>
                  <w:gridSpan w:val="2"/>
                  <w:vMerge w:val="restart"/>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污染源</w:t>
                  </w:r>
                </w:p>
              </w:tc>
              <w:tc>
                <w:tcPr>
                  <w:tcW w:w="37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污染物</w:t>
                  </w:r>
                </w:p>
              </w:tc>
              <w:tc>
                <w:tcPr>
                  <w:tcW w:w="744"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产生情况</w:t>
                  </w:r>
                </w:p>
              </w:tc>
              <w:tc>
                <w:tcPr>
                  <w:tcW w:w="811"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排放情况（无组织）</w:t>
                  </w:r>
                </w:p>
              </w:tc>
              <w:tc>
                <w:tcPr>
                  <w:tcW w:w="2201" w:type="pct"/>
                  <w:vMerge w:val="restart"/>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51" w:hRule="atLeast"/>
              </w:trPr>
              <w:tc>
                <w:tcPr>
                  <w:tcW w:w="873" w:type="pct"/>
                  <w:gridSpan w:val="2"/>
                  <w:vMerge w:val="continue"/>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p>
              </w:tc>
              <w:tc>
                <w:tcPr>
                  <w:tcW w:w="371"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44"/>
                    <w:rPr>
                      <w:rFonts w:ascii="Times New Roman" w:hAnsi="Times New Roman"/>
                      <w:color w:val="000000" w:themeColor="text1"/>
                      <w14:textFill>
                        <w14:solidFill>
                          <w14:schemeClr w14:val="tx1"/>
                        </w14:solidFill>
                      </w14:textFill>
                    </w:rPr>
                  </w:pPr>
                </w:p>
              </w:tc>
              <w:tc>
                <w:tcPr>
                  <w:tcW w:w="425"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产生速率（kg/h）</w:t>
                  </w:r>
                </w:p>
              </w:tc>
              <w:tc>
                <w:tcPr>
                  <w:tcW w:w="319"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产生量（t/a）</w:t>
                  </w: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排放速率（kg/h）</w:t>
                  </w:r>
                </w:p>
              </w:tc>
              <w:tc>
                <w:tcPr>
                  <w:tcW w:w="33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排放量（t/a）</w:t>
                  </w:r>
                </w:p>
              </w:tc>
              <w:tc>
                <w:tcPr>
                  <w:tcW w:w="2201" w:type="pct"/>
                  <w:vMerge w:val="continue"/>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68" w:type="pct"/>
                  <w:vMerge w:val="restart"/>
                  <w:tcBorders>
                    <w:top w:val="single" w:color="auto" w:sz="4" w:space="0"/>
                    <w:left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发酵处理</w:t>
                  </w:r>
                </w:p>
              </w:tc>
              <w:tc>
                <w:tcPr>
                  <w:tcW w:w="605" w:type="pct"/>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混合出料粉尘</w:t>
                  </w:r>
                </w:p>
              </w:tc>
              <w:tc>
                <w:tcPr>
                  <w:tcW w:w="37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颗粒物</w:t>
                  </w:r>
                </w:p>
              </w:tc>
              <w:tc>
                <w:tcPr>
                  <w:tcW w:w="425"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0.073</w:t>
                  </w:r>
                </w:p>
              </w:tc>
              <w:tc>
                <w:tcPr>
                  <w:tcW w:w="319"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0.038</w:t>
                  </w: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0.000</w:t>
                  </w:r>
                </w:p>
              </w:tc>
              <w:tc>
                <w:tcPr>
                  <w:tcW w:w="33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0.000</w:t>
                  </w:r>
                </w:p>
              </w:tc>
              <w:tc>
                <w:tcPr>
                  <w:tcW w:w="2201" w:type="pct"/>
                  <w:vMerge w:val="restart"/>
                  <w:tcBorders>
                    <w:top w:val="single" w:color="auto" w:sz="4" w:space="0"/>
                    <w:left w:val="single" w:color="auto" w:sz="4" w:space="0"/>
                    <w:right w:val="single" w:color="auto" w:sz="4" w:space="0"/>
                  </w:tcBorders>
                  <w:vAlign w:val="center"/>
                </w:tcPr>
                <w:p>
                  <w:pPr>
                    <w:pStyle w:val="44"/>
                    <w:jc w:val="both"/>
                    <w:rPr>
                      <w:rFonts w:ascii="Times New Roman" w:hAnsi="Times New Roman"/>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①</w:t>
                  </w:r>
                  <w:r>
                    <w:rPr>
                      <w:rFonts w:ascii="Times New Roman" w:hAnsi="Times New Roman"/>
                      <w:color w:val="000000" w:themeColor="text1"/>
                      <w14:textFill>
                        <w14:solidFill>
                          <w14:schemeClr w14:val="tx1"/>
                        </w14:solidFill>
                      </w14:textFill>
                    </w:rPr>
                    <w:t>袋式除尘器收集效率为85%，处理效率为98%~99%。</w:t>
                  </w:r>
                </w:p>
                <w:p>
                  <w:pPr>
                    <w:pStyle w:val="44"/>
                    <w:jc w:val="left"/>
                    <w:rPr>
                      <w:rFonts w:ascii="Times New Roman" w:hAnsi="Times New Roman"/>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②</w:t>
                  </w:r>
                  <w:r>
                    <w:rPr>
                      <w:rFonts w:ascii="Times New Roman" w:hAnsi="Times New Roman"/>
                      <w:color w:val="000000" w:themeColor="text1"/>
                      <w14:textFill>
                        <w14:solidFill>
                          <w14:schemeClr w14:val="tx1"/>
                        </w14:solidFill>
                      </w14:textFill>
                    </w:rPr>
                    <w:t>洁净区空调系统低效、中效、高效过滤系统，收集效率100%，处理效率达99%。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68" w:type="pct"/>
                  <w:vMerge w:val="continue"/>
                  <w:tcBorders>
                    <w:left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p>
              </w:tc>
              <w:tc>
                <w:tcPr>
                  <w:tcW w:w="605" w:type="pct"/>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总混出料粉尘</w:t>
                  </w:r>
                </w:p>
              </w:tc>
              <w:tc>
                <w:tcPr>
                  <w:tcW w:w="37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颗粒物</w:t>
                  </w:r>
                </w:p>
              </w:tc>
              <w:tc>
                <w:tcPr>
                  <w:tcW w:w="425"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0.090</w:t>
                  </w:r>
                </w:p>
              </w:tc>
              <w:tc>
                <w:tcPr>
                  <w:tcW w:w="319"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0.047</w:t>
                  </w: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0.000</w:t>
                  </w:r>
                </w:p>
              </w:tc>
              <w:tc>
                <w:tcPr>
                  <w:tcW w:w="33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0.000</w:t>
                  </w:r>
                </w:p>
              </w:tc>
              <w:tc>
                <w:tcPr>
                  <w:tcW w:w="2201" w:type="pct"/>
                  <w:vMerge w:val="continue"/>
                  <w:tcBorders>
                    <w:left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68" w:type="pct"/>
                  <w:vMerge w:val="continue"/>
                  <w:tcBorders>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p>
              </w:tc>
              <w:tc>
                <w:tcPr>
                  <w:tcW w:w="605" w:type="pct"/>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发酵异味</w:t>
                  </w:r>
                </w:p>
              </w:tc>
              <w:tc>
                <w:tcPr>
                  <w:tcW w:w="37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臭气浓度</w:t>
                  </w:r>
                </w:p>
              </w:tc>
              <w:tc>
                <w:tcPr>
                  <w:tcW w:w="425"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w:t>
                  </w:r>
                </w:p>
              </w:tc>
              <w:tc>
                <w:tcPr>
                  <w:tcW w:w="319"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少量</w:t>
                  </w: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w:t>
                  </w:r>
                </w:p>
              </w:tc>
              <w:tc>
                <w:tcPr>
                  <w:tcW w:w="33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少量</w:t>
                  </w:r>
                </w:p>
              </w:tc>
              <w:tc>
                <w:tcPr>
                  <w:tcW w:w="2201" w:type="pct"/>
                  <w:vMerge w:val="continue"/>
                  <w:tcBorders>
                    <w:left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73" w:type="pct"/>
                  <w:gridSpan w:val="2"/>
                  <w:vMerge w:val="restart"/>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合计</w:t>
                  </w:r>
                </w:p>
              </w:tc>
              <w:tc>
                <w:tcPr>
                  <w:tcW w:w="37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颗粒物</w:t>
                  </w:r>
                </w:p>
              </w:tc>
              <w:tc>
                <w:tcPr>
                  <w:tcW w:w="425"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w:t>
                  </w:r>
                </w:p>
              </w:tc>
              <w:tc>
                <w:tcPr>
                  <w:tcW w:w="319"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0.085</w:t>
                  </w: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w:t>
                  </w:r>
                </w:p>
              </w:tc>
              <w:tc>
                <w:tcPr>
                  <w:tcW w:w="33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0.000</w:t>
                  </w:r>
                </w:p>
              </w:tc>
              <w:tc>
                <w:tcPr>
                  <w:tcW w:w="2201" w:type="pct"/>
                  <w:vMerge w:val="continue"/>
                  <w:tcBorders>
                    <w:left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73" w:type="pct"/>
                  <w:gridSpan w:val="2"/>
                  <w:vMerge w:val="continue"/>
                  <w:tcBorders>
                    <w:top w:val="single" w:color="auto" w:sz="4" w:space="0"/>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p>
              </w:tc>
              <w:tc>
                <w:tcPr>
                  <w:tcW w:w="37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臭气浓度</w:t>
                  </w:r>
                </w:p>
              </w:tc>
              <w:tc>
                <w:tcPr>
                  <w:tcW w:w="425"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w:t>
                  </w:r>
                </w:p>
              </w:tc>
              <w:tc>
                <w:tcPr>
                  <w:tcW w:w="319"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少量</w:t>
                  </w:r>
                </w:p>
              </w:tc>
              <w:tc>
                <w:tcPr>
                  <w:tcW w:w="4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w:t>
                  </w:r>
                </w:p>
              </w:tc>
              <w:tc>
                <w:tcPr>
                  <w:tcW w:w="33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少量</w:t>
                  </w:r>
                </w:p>
              </w:tc>
              <w:tc>
                <w:tcPr>
                  <w:tcW w:w="2201" w:type="pct"/>
                  <w:vMerge w:val="continue"/>
                  <w:tcBorders>
                    <w:left w:val="single" w:color="auto" w:sz="4" w:space="0"/>
                    <w:bottom w:val="single" w:color="auto" w:sz="4" w:space="0"/>
                    <w:right w:val="single" w:color="auto" w:sz="4" w:space="0"/>
                  </w:tcBorders>
                  <w:vAlign w:val="center"/>
                </w:tcPr>
                <w:p>
                  <w:pPr>
                    <w:pStyle w:val="44"/>
                    <w:rPr>
                      <w:rFonts w:ascii="Times New Roman" w:hAnsi="Times New Roman"/>
                      <w:color w:val="000000" w:themeColor="text1"/>
                      <w14:textFill>
                        <w14:solidFill>
                          <w14:schemeClr w14:val="tx1"/>
                        </w14:solidFill>
                      </w14:textFill>
                    </w:rPr>
                  </w:pPr>
                </w:p>
              </w:tc>
            </w:tr>
          </w:tbl>
          <w:p>
            <w:pPr>
              <w:pStyle w:val="61"/>
              <w:ind w:firstLine="480" w:firstLineChars="0"/>
              <w:rPr>
                <w:rFonts w:eastAsiaTheme="minorEastAsia"/>
                <w:bCs w:val="0"/>
                <w:color w:val="000000" w:themeColor="text1"/>
                <w:szCs w:val="24"/>
                <w14:textFill>
                  <w14:solidFill>
                    <w14:schemeClr w14:val="tx1"/>
                  </w14:solidFill>
                </w14:textFill>
              </w:rPr>
            </w:pPr>
            <w:r>
              <w:rPr>
                <w:rFonts w:eastAsiaTheme="minorEastAsia"/>
                <w:bCs w:val="0"/>
                <w:color w:val="000000" w:themeColor="text1"/>
                <w:szCs w:val="24"/>
                <w14:textFill>
                  <w14:solidFill>
                    <w14:schemeClr w14:val="tx1"/>
                  </w14:solidFill>
                </w14:textFill>
              </w:rPr>
              <w:t>（6）乙醇储罐区</w:t>
            </w:r>
          </w:p>
          <w:p>
            <w:pPr>
              <w:pStyle w:val="61"/>
              <w:ind w:firstLine="480" w:firstLineChars="0"/>
              <w:rPr>
                <w:rFonts w:eastAsiaTheme="minorEastAsia"/>
                <w:bCs w:val="0"/>
                <w:color w:val="000000" w:themeColor="text1"/>
                <w:szCs w:val="24"/>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乙醇储罐呼吸损耗</w:t>
            </w:r>
          </w:p>
          <w:p>
            <w:pPr>
              <w:pStyle w:val="90"/>
              <w:ind w:firstLine="48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项目乙醇储罐区设有1个10m</w:t>
            </w:r>
            <w:r>
              <w:rPr>
                <w:rFonts w:ascii="Times New Roman"/>
                <w:color w:val="000000" w:themeColor="text1"/>
                <w:vertAlign w:val="superscript"/>
                <w14:textFill>
                  <w14:solidFill>
                    <w14:schemeClr w14:val="tx1"/>
                  </w14:solidFill>
                </w14:textFill>
              </w:rPr>
              <w:t>3</w:t>
            </w:r>
            <w:r>
              <w:rPr>
                <w:rFonts w:ascii="Times New Roman"/>
                <w:color w:val="000000" w:themeColor="text1"/>
                <w14:textFill>
                  <w14:solidFill>
                    <w14:schemeClr w14:val="tx1"/>
                  </w14:solidFill>
                </w14:textFill>
              </w:rPr>
              <w:t>的乙醇储罐，主要储存95%乙醇，为地下卧式固定顶罐。乙醇储罐无组织排放废气主要是“大呼吸”和“小呼吸”损耗挥发的少量乙醇废气。厂区地埋乙醇储罐位于地下，一天之内的温差不大，“小呼吸”损耗很小，这里不再计算“小呼吸”挥发的乙醇。</w:t>
            </w:r>
          </w:p>
          <w:p>
            <w:pPr>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对于固定顶罐，“大呼吸”损耗公式计算如下：</w:t>
            </w:r>
            <m:oMath>
              <m:r>
                <m:rPr>
                  <m:sty m:val="p"/>
                </m:rPr>
                <w:rPr>
                  <w:rFonts w:ascii="Cambria Math" w:hAnsi="Cambria Math" w:eastAsia="Cambria Math"/>
                  <w:color w:val="000000" w:themeColor="text1"/>
                  <w:sz w:val="24"/>
                  <w14:textFill>
                    <w14:solidFill>
                      <w14:schemeClr w14:val="tx1"/>
                    </w14:solidFill>
                  </w14:textFill>
                </w:rPr>
                <m:t>LW=4.188×</m:t>
              </m:r>
              <m:sSup>
                <m:sSupPr>
                  <m:ctrlPr>
                    <w:rPr>
                      <w:rFonts w:ascii="Cambria Math" w:hAnsi="Cambria Math" w:eastAsia="Cambria Math"/>
                      <w:color w:val="000000" w:themeColor="text1"/>
                      <w:sz w:val="24"/>
                      <w14:textFill>
                        <w14:solidFill>
                          <w14:schemeClr w14:val="tx1"/>
                        </w14:solidFill>
                      </w14:textFill>
                    </w:rPr>
                  </m:ctrlPr>
                </m:sSupPr>
                <m:e>
                  <m:r>
                    <m:rPr>
                      <m:sty m:val="p"/>
                    </m:rPr>
                    <w:rPr>
                      <w:rFonts w:ascii="Cambria Math" w:hAnsi="Cambria Math" w:eastAsia="Cambria Math"/>
                      <w:color w:val="000000" w:themeColor="text1"/>
                      <w:sz w:val="24"/>
                      <w14:textFill>
                        <w14:solidFill>
                          <w14:schemeClr w14:val="tx1"/>
                        </w14:solidFill>
                      </w14:textFill>
                    </w:rPr>
                    <m:t>10</m:t>
                  </m:r>
                  <m:ctrlPr>
                    <w:rPr>
                      <w:rFonts w:ascii="Cambria Math" w:hAnsi="Cambria Math" w:eastAsia="Cambria Math"/>
                      <w:color w:val="000000" w:themeColor="text1"/>
                      <w:sz w:val="24"/>
                      <w14:textFill>
                        <w14:solidFill>
                          <w14:schemeClr w14:val="tx1"/>
                        </w14:solidFill>
                      </w14:textFill>
                    </w:rPr>
                  </m:ctrlPr>
                </m:e>
                <m:sup>
                  <m:r>
                    <m:rPr>
                      <m:sty m:val="p"/>
                    </m:rPr>
                    <w:rPr>
                      <w:rFonts w:ascii="Cambria Math" w:hAnsi="Cambria Math" w:eastAsia="Cambria Math"/>
                      <w:color w:val="000000" w:themeColor="text1"/>
                      <w:sz w:val="24"/>
                      <w14:textFill>
                        <w14:solidFill>
                          <w14:schemeClr w14:val="tx1"/>
                        </w14:solidFill>
                      </w14:textFill>
                    </w:rPr>
                    <m:t>−7</m:t>
                  </m:r>
                  <m:ctrlPr>
                    <w:rPr>
                      <w:rFonts w:ascii="Cambria Math" w:hAnsi="Cambria Math" w:eastAsia="Cambria Math"/>
                      <w:color w:val="000000" w:themeColor="text1"/>
                      <w:sz w:val="24"/>
                      <w14:textFill>
                        <w14:solidFill>
                          <w14:schemeClr w14:val="tx1"/>
                        </w14:solidFill>
                      </w14:textFill>
                    </w:rPr>
                  </m:ctrlPr>
                </m:sup>
              </m:sSup>
              <m:r>
                <m:rPr>
                  <m:sty m:val="p"/>
                </m:rPr>
                <w:rPr>
                  <w:rFonts w:ascii="Cambria Math" w:hAnsi="Cambria Math" w:eastAsia="Cambria Math"/>
                  <w:color w:val="000000" w:themeColor="text1"/>
                  <w:sz w:val="24"/>
                  <w14:textFill>
                    <w14:solidFill>
                      <w14:schemeClr w14:val="tx1"/>
                    </w14:solidFill>
                  </w14:textFill>
                </w:rPr>
                <m:t>×M×P×</m:t>
              </m:r>
              <m:sSub>
                <m:sSubPr>
                  <m:ctrlPr>
                    <w:rPr>
                      <w:rFonts w:ascii="Cambria Math" w:hAnsi="Cambria Math" w:eastAsia="Cambria Math"/>
                      <w:color w:val="000000" w:themeColor="text1"/>
                      <w:sz w:val="24"/>
                      <w14:textFill>
                        <w14:solidFill>
                          <w14:schemeClr w14:val="tx1"/>
                        </w14:solidFill>
                      </w14:textFill>
                    </w:rPr>
                  </m:ctrlPr>
                </m:sSubPr>
                <m:e>
                  <m:r>
                    <m:rPr>
                      <m:sty m:val="p"/>
                    </m:rPr>
                    <w:rPr>
                      <w:rFonts w:ascii="Cambria Math" w:hAnsi="Cambria Math" w:eastAsia="Cambria Math"/>
                      <w:color w:val="000000" w:themeColor="text1"/>
                      <w:sz w:val="24"/>
                      <w14:textFill>
                        <w14:solidFill>
                          <w14:schemeClr w14:val="tx1"/>
                        </w14:solidFill>
                      </w14:textFill>
                    </w:rPr>
                    <m:t>K</m:t>
                  </m:r>
                  <m:ctrlPr>
                    <w:rPr>
                      <w:rFonts w:ascii="Cambria Math" w:hAnsi="Cambria Math" w:eastAsia="Cambria Math"/>
                      <w:color w:val="000000" w:themeColor="text1"/>
                      <w:sz w:val="24"/>
                      <w14:textFill>
                        <w14:solidFill>
                          <w14:schemeClr w14:val="tx1"/>
                        </w14:solidFill>
                      </w14:textFill>
                    </w:rPr>
                  </m:ctrlPr>
                </m:e>
                <m:sub>
                  <m:r>
                    <m:rPr/>
                    <w:rPr>
                      <w:rFonts w:ascii="Cambria Math" w:hAnsi="Cambria Math" w:eastAsia="Cambria Math"/>
                      <w:color w:val="000000" w:themeColor="text1"/>
                      <w:sz w:val="24"/>
                      <w14:textFill>
                        <w14:solidFill>
                          <w14:schemeClr w14:val="tx1"/>
                        </w14:solidFill>
                      </w14:textFill>
                    </w:rPr>
                    <m:t>N</m:t>
                  </m:r>
                  <m:ctrlPr>
                    <w:rPr>
                      <w:rFonts w:ascii="Cambria Math" w:hAnsi="Cambria Math" w:eastAsia="Cambria Math"/>
                      <w:color w:val="000000" w:themeColor="text1"/>
                      <w:sz w:val="24"/>
                      <w14:textFill>
                        <w14:solidFill>
                          <w14:schemeClr w14:val="tx1"/>
                        </w14:solidFill>
                      </w14:textFill>
                    </w:rPr>
                  </m:ctrlPr>
                </m:sub>
              </m:sSub>
              <m:r>
                <m:rPr>
                  <m:sty m:val="p"/>
                </m:rPr>
                <w:rPr>
                  <w:rFonts w:ascii="Cambria Math" w:hAnsi="Cambria Math" w:eastAsia="Cambria Math"/>
                  <w:color w:val="000000" w:themeColor="text1"/>
                  <w:sz w:val="24"/>
                  <w14:textFill>
                    <w14:solidFill>
                      <w14:schemeClr w14:val="tx1"/>
                    </w14:solidFill>
                  </w14:textFill>
                </w:rPr>
                <m:t>×</m:t>
              </m:r>
              <m:sSub>
                <m:sSubPr>
                  <m:ctrlPr>
                    <w:rPr>
                      <w:rFonts w:ascii="Cambria Math" w:hAnsi="Cambria Math" w:eastAsia="Cambria Math"/>
                      <w:color w:val="000000" w:themeColor="text1"/>
                      <w:sz w:val="24"/>
                      <w14:textFill>
                        <w14:solidFill>
                          <w14:schemeClr w14:val="tx1"/>
                        </w14:solidFill>
                      </w14:textFill>
                    </w:rPr>
                  </m:ctrlPr>
                </m:sSubPr>
                <m:e>
                  <m:r>
                    <m:rPr>
                      <m:sty m:val="p"/>
                    </m:rPr>
                    <w:rPr>
                      <w:rFonts w:ascii="Cambria Math" w:hAnsi="Cambria Math" w:eastAsia="Cambria Math"/>
                      <w:color w:val="000000" w:themeColor="text1"/>
                      <w:sz w:val="24"/>
                      <w14:textFill>
                        <w14:solidFill>
                          <w14:schemeClr w14:val="tx1"/>
                        </w14:solidFill>
                      </w14:textFill>
                    </w:rPr>
                    <m:t>K</m:t>
                  </m:r>
                  <m:ctrlPr>
                    <w:rPr>
                      <w:rFonts w:ascii="Cambria Math" w:hAnsi="Cambria Math" w:eastAsia="Cambria Math"/>
                      <w:color w:val="000000" w:themeColor="text1"/>
                      <w:sz w:val="24"/>
                      <w14:textFill>
                        <w14:solidFill>
                          <w14:schemeClr w14:val="tx1"/>
                        </w14:solidFill>
                      </w14:textFill>
                    </w:rPr>
                  </m:ctrlPr>
                </m:e>
                <m:sub>
                  <m:r>
                    <m:rPr>
                      <m:sty m:val="p"/>
                    </m:rPr>
                    <w:rPr>
                      <w:rFonts w:ascii="Cambria Math" w:hAnsi="Cambria Math" w:eastAsia="Cambria Math"/>
                      <w:color w:val="000000" w:themeColor="text1"/>
                      <w:sz w:val="24"/>
                      <w14:textFill>
                        <w14:solidFill>
                          <w14:schemeClr w14:val="tx1"/>
                        </w14:solidFill>
                      </w14:textFill>
                    </w:rPr>
                    <m:t>C</m:t>
                  </m:r>
                  <m:ctrlPr>
                    <w:rPr>
                      <w:rFonts w:ascii="Cambria Math" w:hAnsi="Cambria Math" w:eastAsia="Cambria Math"/>
                      <w:color w:val="000000" w:themeColor="text1"/>
                      <w:sz w:val="24"/>
                      <w14:textFill>
                        <w14:solidFill>
                          <w14:schemeClr w14:val="tx1"/>
                        </w14:solidFill>
                      </w14:textFill>
                    </w:rPr>
                  </m:ctrlPr>
                </m:sub>
              </m:sSub>
            </m:oMath>
          </w:p>
          <w:p>
            <w:pPr>
              <w:pStyle w:val="90"/>
              <w:ind w:firstLine="48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式中：LW——固定顶罐的工作损失（kg/m</w:t>
            </w:r>
            <w:r>
              <w:rPr>
                <w:rFonts w:ascii="Times New Roman"/>
                <w:color w:val="000000" w:themeColor="text1"/>
                <w:vertAlign w:val="superscript"/>
                <w14:textFill>
                  <w14:solidFill>
                    <w14:schemeClr w14:val="tx1"/>
                  </w14:solidFill>
                </w14:textFill>
              </w:rPr>
              <w:t>3</w:t>
            </w:r>
            <w:r>
              <w:rPr>
                <w:rFonts w:ascii="Times New Roman"/>
                <w:color w:val="000000" w:themeColor="text1"/>
                <w14:textFill>
                  <w14:solidFill>
                    <w14:schemeClr w14:val="tx1"/>
                  </w14:solidFill>
                </w14:textFill>
              </w:rPr>
              <w:t>投入量）；</w:t>
            </w:r>
          </w:p>
          <w:p>
            <w:pPr>
              <w:pStyle w:val="90"/>
              <w:ind w:firstLine="1080" w:firstLineChars="45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K</w:t>
            </w:r>
            <w:r>
              <w:rPr>
                <w:rFonts w:ascii="Times New Roman"/>
                <w:color w:val="000000" w:themeColor="text1"/>
                <w:vertAlign w:val="subscript"/>
                <w14:textFill>
                  <w14:solidFill>
                    <w14:schemeClr w14:val="tx1"/>
                  </w14:solidFill>
                </w14:textFill>
              </w:rPr>
              <w:t>N</w:t>
            </w:r>
            <w:r>
              <w:rPr>
                <w:rFonts w:ascii="Times New Roman"/>
                <w:color w:val="000000" w:themeColor="text1"/>
                <w14:textFill>
                  <w14:solidFill>
                    <w14:schemeClr w14:val="tx1"/>
                  </w14:solidFill>
                </w14:textFill>
              </w:rPr>
              <w:t>——周转因子（无量纲），取决于储罐的年周转系数N，当N≤36时，K</w:t>
            </w:r>
            <w:r>
              <w:rPr>
                <w:rFonts w:ascii="Times New Roman"/>
                <w:color w:val="000000" w:themeColor="text1"/>
                <w:vertAlign w:val="subscript"/>
                <w14:textFill>
                  <w14:solidFill>
                    <w14:schemeClr w14:val="tx1"/>
                  </w14:solidFill>
                </w14:textFill>
              </w:rPr>
              <w:t>N</w:t>
            </w:r>
            <w:r>
              <w:rPr>
                <w:rFonts w:ascii="Times New Roman"/>
                <w:color w:val="000000" w:themeColor="text1"/>
                <w14:textFill>
                  <w14:solidFill>
                    <w14:schemeClr w14:val="tx1"/>
                  </w14:solidFill>
                </w14:textFill>
              </w:rPr>
              <w:t>=1；当N＞220时，K</w:t>
            </w:r>
            <w:r>
              <w:rPr>
                <w:rFonts w:ascii="Times New Roman"/>
                <w:color w:val="000000" w:themeColor="text1"/>
                <w:vertAlign w:val="subscript"/>
                <w14:textFill>
                  <w14:solidFill>
                    <w14:schemeClr w14:val="tx1"/>
                  </w14:solidFill>
                </w14:textFill>
              </w:rPr>
              <w:t>N</w:t>
            </w:r>
            <w:r>
              <w:rPr>
                <w:rFonts w:ascii="Times New Roman"/>
                <w:color w:val="000000" w:themeColor="text1"/>
                <w14:textFill>
                  <w14:solidFill>
                    <w14:schemeClr w14:val="tx1"/>
                  </w14:solidFill>
                </w14:textFill>
              </w:rPr>
              <w:t>=0.26；当36＜N＜220时，K</w:t>
            </w:r>
            <w:r>
              <w:rPr>
                <w:rFonts w:ascii="Times New Roman"/>
                <w:color w:val="000000" w:themeColor="text1"/>
                <w:vertAlign w:val="subscript"/>
                <w14:textFill>
                  <w14:solidFill>
                    <w14:schemeClr w14:val="tx1"/>
                  </w14:solidFill>
                </w14:textFill>
              </w:rPr>
              <w:t>N</w:t>
            </w:r>
            <w:r>
              <w:rPr>
                <w:rFonts w:ascii="Times New Roman"/>
                <w:color w:val="000000" w:themeColor="text1"/>
                <w14:textFill>
                  <w14:solidFill>
                    <w14:schemeClr w14:val="tx1"/>
                  </w14:solidFill>
                </w14:textFill>
              </w:rPr>
              <w:t>=11.467×N</w:t>
            </w:r>
            <w:r>
              <w:rPr>
                <w:rFonts w:ascii="Times New Roman"/>
                <w:color w:val="000000" w:themeColor="text1"/>
                <w:vertAlign w:val="superscript"/>
                <w14:textFill>
                  <w14:solidFill>
                    <w14:schemeClr w14:val="tx1"/>
                  </w14:solidFill>
                </w14:textFill>
              </w:rPr>
              <w:t>-0.7026</w:t>
            </w:r>
            <w:r>
              <w:rPr>
                <w:rFonts w:ascii="Times New Roman"/>
                <w:color w:val="000000" w:themeColor="text1"/>
                <w14:textFill>
                  <w14:solidFill>
                    <w14:schemeClr w14:val="tx1"/>
                  </w14:solidFill>
                </w14:textFill>
              </w:rPr>
              <w:t>。本项目N≤36时，K</w:t>
            </w:r>
            <w:r>
              <w:rPr>
                <w:rFonts w:ascii="Times New Roman"/>
                <w:color w:val="000000" w:themeColor="text1"/>
                <w:vertAlign w:val="subscript"/>
                <w14:textFill>
                  <w14:solidFill>
                    <w14:schemeClr w14:val="tx1"/>
                  </w14:solidFill>
                </w14:textFill>
              </w:rPr>
              <w:t>N</w:t>
            </w:r>
            <w:r>
              <w:rPr>
                <w:rFonts w:ascii="Times New Roman"/>
                <w:color w:val="000000" w:themeColor="text1"/>
                <w14:textFill>
                  <w14:solidFill>
                    <w14:schemeClr w14:val="tx1"/>
                  </w14:solidFill>
                </w14:textFill>
              </w:rPr>
              <w:t>=1；</w:t>
            </w:r>
          </w:p>
          <w:p>
            <w:pPr>
              <w:pStyle w:val="90"/>
              <w:ind w:firstLine="960" w:firstLineChars="40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KC——产品因子（取产品浓度）；</w:t>
            </w:r>
          </w:p>
          <w:p>
            <w:pPr>
              <w:pStyle w:val="90"/>
              <w:ind w:firstLine="1036" w:firstLineChars="432"/>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M——蒸汽的摩尔质量，g/mol；</w:t>
            </w:r>
          </w:p>
          <w:p>
            <w:pPr>
              <w:pStyle w:val="90"/>
              <w:ind w:firstLine="1080" w:firstLineChars="45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P——在大量液体状态下，真实的蒸汽压力，Pa。</w:t>
            </w:r>
          </w:p>
          <w:p>
            <w:pPr>
              <w:pStyle w:val="90"/>
              <w:ind w:firstLine="1080" w:firstLineChars="45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乙醇储罐按年周转260h计，“大呼吸”损耗具体计算参数及结果取值见下表：</w:t>
            </w: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乙醇储罐区乙醇大呼吸计算结果</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6"/>
              <w:gridCol w:w="1121"/>
              <w:gridCol w:w="620"/>
              <w:gridCol w:w="676"/>
              <w:gridCol w:w="553"/>
              <w:gridCol w:w="620"/>
              <w:gridCol w:w="1538"/>
              <w:gridCol w:w="1496"/>
              <w:gridCol w:w="2481"/>
              <w:gridCol w:w="33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336"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污染源</w:t>
                  </w:r>
                </w:p>
              </w:tc>
              <w:tc>
                <w:tcPr>
                  <w:tcW w:w="3409" w:type="pct"/>
                  <w:gridSpan w:val="8"/>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“大呼吸”损耗计算参数</w:t>
                  </w:r>
                </w:p>
              </w:tc>
              <w:tc>
                <w:tcPr>
                  <w:tcW w:w="1255"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大呼吸废气产生量（t/a）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 w:type="pct"/>
                  <w:vMerge w:val="continue"/>
                  <w:vAlign w:val="center"/>
                </w:tcPr>
                <w:p>
                  <w:pPr>
                    <w:jc w:val="center"/>
                    <w:rPr>
                      <w:rFonts w:ascii="Times New Roman" w:hAnsi="Times New Roman"/>
                      <w:color w:val="000000" w:themeColor="text1"/>
                      <w14:textFill>
                        <w14:solidFill>
                          <w14:schemeClr w14:val="tx1"/>
                        </w14:solidFill>
                      </w14:textFill>
                    </w:rPr>
                  </w:pPr>
                </w:p>
              </w:tc>
              <w:tc>
                <w:tcPr>
                  <w:tcW w:w="420"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储罐容积</w:t>
                  </w:r>
                </w:p>
              </w:tc>
              <w:tc>
                <w:tcPr>
                  <w:tcW w:w="232"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M</w:t>
                  </w:r>
                </w:p>
              </w:tc>
              <w:tc>
                <w:tcPr>
                  <w:tcW w:w="2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P</w:t>
                  </w:r>
                </w:p>
              </w:tc>
              <w:tc>
                <w:tcPr>
                  <w:tcW w:w="207"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KN</w:t>
                  </w:r>
                </w:p>
              </w:tc>
              <w:tc>
                <w:tcPr>
                  <w:tcW w:w="232"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KC</w:t>
                  </w:r>
                </w:p>
              </w:tc>
              <w:tc>
                <w:tcPr>
                  <w:tcW w:w="576"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LW（kg/m</w:t>
                  </w:r>
                  <w:r>
                    <w:rPr>
                      <w:rFonts w:ascii="Times New Roman" w:hAnsi="Times New Roman"/>
                      <w:color w:val="000000" w:themeColor="text1"/>
                      <w:vertAlign w:val="superscript"/>
                      <w14:textFill>
                        <w14:solidFill>
                          <w14:schemeClr w14:val="tx1"/>
                        </w14:solidFill>
                      </w14:textFill>
                    </w:rPr>
                    <w:t>3</w:t>
                  </w:r>
                  <w:r>
                    <w:rPr>
                      <w:rFonts w:ascii="Times New Roman" w:hAnsi="Times New Roman"/>
                      <w:color w:val="000000" w:themeColor="text1"/>
                      <w14:textFill>
                        <w14:solidFill>
                          <w14:schemeClr w14:val="tx1"/>
                        </w14:solidFill>
                      </w14:textFill>
                    </w:rPr>
                    <w:t>）</w:t>
                  </w:r>
                </w:p>
              </w:tc>
              <w:tc>
                <w:tcPr>
                  <w:tcW w:w="560"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密度（t/m</w:t>
                  </w:r>
                  <w:r>
                    <w:rPr>
                      <w:rFonts w:ascii="Times New Roman" w:hAnsi="Times New Roman"/>
                      <w:color w:val="000000" w:themeColor="text1"/>
                      <w:vertAlign w:val="superscript"/>
                      <w14:textFill>
                        <w14:solidFill>
                          <w14:schemeClr w14:val="tx1"/>
                        </w14:solidFill>
                      </w14:textFill>
                    </w:rPr>
                    <w:t>3</w:t>
                  </w:r>
                  <w:r>
                    <w:rPr>
                      <w:rFonts w:ascii="Times New Roman" w:hAnsi="Times New Roman"/>
                      <w:color w:val="000000" w:themeColor="text1"/>
                      <w14:textFill>
                        <w14:solidFill>
                          <w14:schemeClr w14:val="tx1"/>
                        </w14:solidFill>
                      </w14:textFill>
                    </w:rPr>
                    <w:t>）</w:t>
                  </w:r>
                </w:p>
              </w:tc>
              <w:tc>
                <w:tcPr>
                  <w:tcW w:w="928"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乙醇周转量t/a（m</w:t>
                  </w:r>
                  <w:r>
                    <w:rPr>
                      <w:rFonts w:ascii="Times New Roman" w:hAnsi="Times New Roman"/>
                      <w:color w:val="000000" w:themeColor="text1"/>
                      <w:vertAlign w:val="superscript"/>
                      <w14:textFill>
                        <w14:solidFill>
                          <w14:schemeClr w14:val="tx1"/>
                        </w14:solidFill>
                      </w14:textFill>
                    </w:rPr>
                    <w:t>3</w:t>
                  </w:r>
                  <w:r>
                    <w:rPr>
                      <w:rFonts w:ascii="Times New Roman" w:hAnsi="Times New Roman"/>
                      <w:color w:val="000000" w:themeColor="text1"/>
                      <w14:textFill>
                        <w14:solidFill>
                          <w14:schemeClr w14:val="tx1"/>
                        </w14:solidFill>
                      </w14:textFill>
                    </w:rPr>
                    <w:t>/a）</w:t>
                  </w:r>
                </w:p>
              </w:tc>
              <w:tc>
                <w:tcPr>
                  <w:tcW w:w="1255" w:type="pct"/>
                  <w:vMerge w:val="continue"/>
                  <w:vAlign w:val="center"/>
                </w:tcPr>
                <w:p>
                  <w:pPr>
                    <w:jc w:val="center"/>
                    <w:rPr>
                      <w:rFonts w:ascii="Times New Roman" w:hAnsi="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储罐区</w:t>
                  </w:r>
                </w:p>
              </w:tc>
              <w:tc>
                <w:tcPr>
                  <w:tcW w:w="420"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10m</w:t>
                  </w:r>
                  <w:r>
                    <w:rPr>
                      <w:rFonts w:ascii="Times New Roman" w:hAnsi="Times New Roman"/>
                      <w:color w:val="000000" w:themeColor="text1"/>
                      <w:vertAlign w:val="superscript"/>
                      <w14:textFill>
                        <w14:solidFill>
                          <w14:schemeClr w14:val="tx1"/>
                        </w14:solidFill>
                      </w14:textFill>
                    </w:rPr>
                    <w:t>3</w:t>
                  </w:r>
                </w:p>
              </w:tc>
              <w:tc>
                <w:tcPr>
                  <w:tcW w:w="232"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46.1</w:t>
                  </w:r>
                </w:p>
              </w:tc>
              <w:tc>
                <w:tcPr>
                  <w:tcW w:w="2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5800</w:t>
                  </w:r>
                </w:p>
              </w:tc>
              <w:tc>
                <w:tcPr>
                  <w:tcW w:w="207"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w:t>
                  </w:r>
                </w:p>
              </w:tc>
              <w:tc>
                <w:tcPr>
                  <w:tcW w:w="232"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0.95</w:t>
                  </w:r>
                </w:p>
              </w:tc>
              <w:tc>
                <w:tcPr>
                  <w:tcW w:w="576"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0.106</w:t>
                  </w:r>
                </w:p>
              </w:tc>
              <w:tc>
                <w:tcPr>
                  <w:tcW w:w="560"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0.810</w:t>
                  </w:r>
                </w:p>
              </w:tc>
              <w:tc>
                <w:tcPr>
                  <w:tcW w:w="928"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18（22.22）</w:t>
                  </w:r>
                </w:p>
              </w:tc>
              <w:tc>
                <w:tcPr>
                  <w:tcW w:w="1255"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0.002</w:t>
                  </w:r>
                </w:p>
              </w:tc>
            </w:tr>
          </w:tbl>
          <w:p>
            <w:pPr>
              <w:widowControl/>
              <w:jc w:val="center"/>
              <w:rPr>
                <w:rFonts w:ascii="Times New Roman" w:hAnsi="Times New Roman"/>
                <w:b/>
                <w:bCs/>
                <w:color w:val="000000" w:themeColor="text1"/>
                <w:sz w:val="24"/>
                <w14:textFill>
                  <w14:solidFill>
                    <w14:schemeClr w14:val="tx1"/>
                  </w14:solidFill>
                </w14:textFill>
              </w:rPr>
            </w:pP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项目储罐区废气产排情况一览表</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74"/>
              <w:gridCol w:w="1576"/>
              <w:gridCol w:w="975"/>
              <w:gridCol w:w="2404"/>
              <w:gridCol w:w="1873"/>
              <w:gridCol w:w="2404"/>
              <w:gridCol w:w="1873"/>
              <w:gridCol w:w="12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955" w:type="pct"/>
                  <w:gridSpan w:val="2"/>
                  <w:vMerge w:val="restar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污染源</w:t>
                  </w:r>
                </w:p>
              </w:tc>
              <w:tc>
                <w:tcPr>
                  <w:tcW w:w="365" w:type="pct"/>
                  <w:vMerge w:val="restart"/>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污染物</w:t>
                  </w:r>
                </w:p>
              </w:tc>
              <w:tc>
                <w:tcPr>
                  <w:tcW w:w="1601" w:type="pct"/>
                  <w:gridSpan w:val="2"/>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产生情况</w:t>
                  </w:r>
                </w:p>
              </w:tc>
              <w:tc>
                <w:tcPr>
                  <w:tcW w:w="1601" w:type="pct"/>
                  <w:gridSpan w:val="2"/>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排放情况（无组织）</w:t>
                  </w:r>
                </w:p>
              </w:tc>
              <w:tc>
                <w:tcPr>
                  <w:tcW w:w="477" w:type="pct"/>
                  <w:vMerge w:val="restar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51" w:hRule="atLeast"/>
              </w:trPr>
              <w:tc>
                <w:tcPr>
                  <w:tcW w:w="955" w:type="pct"/>
                  <w:gridSpan w:val="2"/>
                  <w:vMerge w:val="continue"/>
                  <w:vAlign w:val="center"/>
                </w:tcPr>
                <w:p>
                  <w:pPr>
                    <w:pStyle w:val="44"/>
                    <w:rPr>
                      <w:rFonts w:ascii="Times New Roman" w:hAnsi="Times New Roman"/>
                      <w:color w:val="000000" w:themeColor="text1"/>
                      <w14:textFill>
                        <w14:solidFill>
                          <w14:schemeClr w14:val="tx1"/>
                        </w14:solidFill>
                      </w14:textFill>
                    </w:rPr>
                  </w:pPr>
                </w:p>
              </w:tc>
              <w:tc>
                <w:tcPr>
                  <w:tcW w:w="365" w:type="pct"/>
                  <w:vMerge w:val="continue"/>
                  <w:shd w:val="clear" w:color="auto" w:fill="auto"/>
                  <w:vAlign w:val="center"/>
                </w:tcPr>
                <w:p>
                  <w:pPr>
                    <w:pStyle w:val="44"/>
                    <w:rPr>
                      <w:rFonts w:ascii="Times New Roman" w:hAnsi="Times New Roman"/>
                      <w:color w:val="000000" w:themeColor="text1"/>
                      <w14:textFill>
                        <w14:solidFill>
                          <w14:schemeClr w14:val="tx1"/>
                        </w14:solidFill>
                      </w14:textFill>
                    </w:rPr>
                  </w:pPr>
                </w:p>
              </w:tc>
              <w:tc>
                <w:tcPr>
                  <w:tcW w:w="900"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产生速率（kg/h）</w:t>
                  </w:r>
                </w:p>
              </w:tc>
              <w:tc>
                <w:tcPr>
                  <w:tcW w:w="701"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产生量（t/a）</w:t>
                  </w:r>
                </w:p>
              </w:tc>
              <w:tc>
                <w:tcPr>
                  <w:tcW w:w="900"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排放速率（kg/h）</w:t>
                  </w:r>
                </w:p>
              </w:tc>
              <w:tc>
                <w:tcPr>
                  <w:tcW w:w="701" w:type="pct"/>
                  <w:shd w:val="clear" w:color="auto" w:fill="auto"/>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1"/>
                      <w14:textFill>
                        <w14:solidFill>
                          <w14:schemeClr w14:val="tx1"/>
                        </w14:solidFill>
                      </w14:textFill>
                    </w:rPr>
                    <w:t>排放量（t/a）</w:t>
                  </w:r>
                </w:p>
              </w:tc>
              <w:tc>
                <w:tcPr>
                  <w:tcW w:w="477" w:type="pct"/>
                  <w:vMerge w:val="continue"/>
                  <w:vAlign w:val="center"/>
                </w:tcPr>
                <w:p>
                  <w:pPr>
                    <w:pStyle w:val="44"/>
                    <w:rPr>
                      <w:rFonts w:ascii="Times New Roman" w:hAnsi="Times New Roman"/>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65" w:type="pc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储罐区</w:t>
                  </w:r>
                </w:p>
              </w:tc>
              <w:tc>
                <w:tcPr>
                  <w:tcW w:w="589" w:type="pc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储罐大呼吸</w:t>
                  </w:r>
                </w:p>
              </w:tc>
              <w:tc>
                <w:tcPr>
                  <w:tcW w:w="365" w:type="pct"/>
                  <w:shd w:val="clear" w:color="auto" w:fill="auto"/>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VOCs</w:t>
                  </w:r>
                </w:p>
              </w:tc>
              <w:tc>
                <w:tcPr>
                  <w:tcW w:w="900"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0.008</w:t>
                  </w:r>
                </w:p>
              </w:tc>
              <w:tc>
                <w:tcPr>
                  <w:tcW w:w="701"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0.002</w:t>
                  </w:r>
                </w:p>
              </w:tc>
              <w:tc>
                <w:tcPr>
                  <w:tcW w:w="900"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0.008</w:t>
                  </w:r>
                </w:p>
              </w:tc>
              <w:tc>
                <w:tcPr>
                  <w:tcW w:w="701" w:type="pct"/>
                  <w:shd w:val="clear" w:color="auto" w:fill="auto"/>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0.002</w:t>
                  </w:r>
                </w:p>
              </w:tc>
              <w:tc>
                <w:tcPr>
                  <w:tcW w:w="477" w:type="pct"/>
                  <w:vAlign w:val="center"/>
                </w:tcPr>
                <w:p>
                  <w:pPr>
                    <w:pStyle w:val="44"/>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加强通风</w:t>
                  </w:r>
                </w:p>
              </w:tc>
            </w:tr>
          </w:tbl>
          <w:p>
            <w:pPr>
              <w:pStyle w:val="61"/>
              <w:ind w:firstLine="480" w:firstLineChars="0"/>
              <w:rPr>
                <w:rFonts w:eastAsiaTheme="minorEastAsia"/>
                <w:bCs w:val="0"/>
                <w:color w:val="000000" w:themeColor="text1"/>
                <w:szCs w:val="24"/>
                <w14:textFill>
                  <w14:solidFill>
                    <w14:schemeClr w14:val="tx1"/>
                  </w14:solidFill>
                </w14:textFill>
              </w:rPr>
            </w:pPr>
            <w:r>
              <w:rPr>
                <w:rFonts w:eastAsiaTheme="minorEastAsia"/>
                <w:bCs w:val="0"/>
                <w:color w:val="000000" w:themeColor="text1"/>
                <w:szCs w:val="24"/>
                <w14:textFill>
                  <w14:solidFill>
                    <w14:schemeClr w14:val="tx1"/>
                  </w14:solidFill>
                </w14:textFill>
              </w:rPr>
              <w:t>（7）自建污水处理站恶臭</w:t>
            </w:r>
          </w:p>
          <w:p>
            <w:pPr>
              <w:pStyle w:val="61"/>
              <w:ind w:firstLine="480" w:firstLineChars="0"/>
              <w:rPr>
                <w:rFonts w:eastAsiaTheme="minorEastAsia"/>
                <w:bCs w:val="0"/>
                <w:color w:val="000000" w:themeColor="text1"/>
                <w:szCs w:val="24"/>
                <w14:textFill>
                  <w14:solidFill>
                    <w14:schemeClr w14:val="tx1"/>
                  </w14:solidFill>
                </w14:textFill>
              </w:rPr>
            </w:pPr>
            <w:r>
              <w:rPr>
                <w:rFonts w:eastAsiaTheme="minorEastAsia"/>
                <w:bCs w:val="0"/>
                <w:color w:val="000000" w:themeColor="text1"/>
                <w:szCs w:val="24"/>
                <w14:textFill>
                  <w14:solidFill>
                    <w14:schemeClr w14:val="tx1"/>
                  </w14:solidFill>
                </w14:textFill>
              </w:rPr>
              <w:t>污水站运行过程中会产生一定量的恶臭气体（臭气浓度）。本项目建设的污水处理站处理规模不大，采用的是一体化设备，为地上密闭式处理罐体，因此散逸出来的臭气量不大。为有效阻挡、吸收和吸附部分恶臭污染物，建议在产生恶臭的工艺部分，如格栅井、调节池、水解池等设施的排气口加井盖并做好导气和除臭剂除臭，并在周围布设10~15m以上宽度的绿化隔离带，以减缓恶臭污染物对大气环境的影响。</w:t>
            </w:r>
          </w:p>
          <w:p>
            <w:pPr>
              <w:pStyle w:val="61"/>
              <w:ind w:firstLine="480" w:firstLineChars="0"/>
              <w:rPr>
                <w:rFonts w:eastAsiaTheme="minorEastAsia"/>
                <w:b/>
                <w:bCs w:val="0"/>
                <w:color w:val="000000" w:themeColor="text1"/>
                <w:szCs w:val="24"/>
                <w14:textFill>
                  <w14:solidFill>
                    <w14:schemeClr w14:val="tx1"/>
                  </w14:solidFill>
                </w14:textFill>
              </w:rPr>
            </w:pPr>
            <w:r>
              <w:rPr>
                <w:rFonts w:eastAsiaTheme="minorEastAsia"/>
                <w:b/>
                <w:bCs w:val="0"/>
                <w:color w:val="000000" w:themeColor="text1"/>
                <w:szCs w:val="24"/>
                <w14:textFill>
                  <w14:solidFill>
                    <w14:schemeClr w14:val="tx1"/>
                  </w14:solidFill>
                </w14:textFill>
              </w:rPr>
              <w:t>2、工艺废气排放量汇总</w:t>
            </w:r>
          </w:p>
          <w:p>
            <w:pPr>
              <w:pStyle w:val="90"/>
              <w:ind w:firstLine="480"/>
              <w:rPr>
                <w:rFonts w:ascii="Times New Roman"/>
                <w:color w:val="000000" w:themeColor="text1"/>
                <w14:textFill>
                  <w14:solidFill>
                    <w14:schemeClr w14:val="tx1"/>
                  </w14:solidFill>
                </w14:textFill>
              </w:rPr>
            </w:pPr>
            <w:r>
              <w:rPr>
                <w:rFonts w:ascii="Times New Roman"/>
                <w:color w:val="000000" w:themeColor="text1"/>
                <w14:textFill>
                  <w14:solidFill>
                    <w14:schemeClr w14:val="tx1"/>
                  </w14:solidFill>
                </w14:textFill>
              </w:rPr>
              <w:t>综上所述，本项目废气污染物排放量汇总情况详见下表。</w:t>
            </w: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项目大气污染物排放情况一览表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99"/>
              <w:gridCol w:w="921"/>
              <w:gridCol w:w="994"/>
              <w:gridCol w:w="569"/>
              <w:gridCol w:w="991"/>
              <w:gridCol w:w="708"/>
              <w:gridCol w:w="903"/>
              <w:gridCol w:w="895"/>
              <w:gridCol w:w="748"/>
              <w:gridCol w:w="748"/>
              <w:gridCol w:w="1047"/>
              <w:gridCol w:w="895"/>
              <w:gridCol w:w="748"/>
              <w:gridCol w:w="1050"/>
              <w:gridCol w:w="748"/>
              <w:gridCol w:w="6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262"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生产单元</w:t>
                  </w:r>
                </w:p>
              </w:tc>
              <w:tc>
                <w:tcPr>
                  <w:tcW w:w="345"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产污环节</w:t>
                  </w:r>
                </w:p>
              </w:tc>
              <w:tc>
                <w:tcPr>
                  <w:tcW w:w="372"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污染物种类</w:t>
                  </w:r>
                </w:p>
              </w:tc>
              <w:tc>
                <w:tcPr>
                  <w:tcW w:w="584" w:type="pct"/>
                  <w:gridSpan w:val="2"/>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污染物产生</w:t>
                  </w:r>
                </w:p>
              </w:tc>
              <w:tc>
                <w:tcPr>
                  <w:tcW w:w="265"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排放形式</w:t>
                  </w:r>
                </w:p>
              </w:tc>
              <w:tc>
                <w:tcPr>
                  <w:tcW w:w="1625" w:type="pct"/>
                  <w:gridSpan w:val="5"/>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主要污染治理设施</w:t>
                  </w:r>
                </w:p>
              </w:tc>
              <w:tc>
                <w:tcPr>
                  <w:tcW w:w="1008" w:type="pct"/>
                  <w:gridSpan w:val="3"/>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污染物排放情况</w:t>
                  </w:r>
                </w:p>
              </w:tc>
              <w:tc>
                <w:tcPr>
                  <w:tcW w:w="280"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排污口编号</w:t>
                  </w:r>
                </w:p>
              </w:tc>
              <w:tc>
                <w:tcPr>
                  <w:tcW w:w="258"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排放时间h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262"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45"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72"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213" w:type="pct"/>
                  <w:vAlign w:val="center"/>
                </w:tcPr>
                <w:p>
                  <w:pPr>
                    <w:adjustRightInd w:val="0"/>
                    <w:snapToGrid w:val="0"/>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产生量t/a</w:t>
                  </w:r>
                </w:p>
              </w:tc>
              <w:tc>
                <w:tcPr>
                  <w:tcW w:w="371" w:type="pct"/>
                  <w:vAlign w:val="center"/>
                </w:tcPr>
                <w:p>
                  <w:pPr>
                    <w:adjustRightInd w:val="0"/>
                    <w:snapToGrid w:val="0"/>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产生浓度mg/m</w:t>
                  </w:r>
                  <w:r>
                    <w:rPr>
                      <w:rFonts w:ascii="Times New Roman" w:hAnsi="Times New Roman"/>
                      <w:bCs/>
                      <w:color w:val="000000" w:themeColor="text1"/>
                      <w:szCs w:val="21"/>
                      <w:vertAlign w:val="superscript"/>
                      <w14:textFill>
                        <w14:solidFill>
                          <w14:schemeClr w14:val="tx1"/>
                        </w14:solidFill>
                      </w14:textFill>
                    </w:rPr>
                    <w:t>3</w:t>
                  </w:r>
                </w:p>
              </w:tc>
              <w:tc>
                <w:tcPr>
                  <w:tcW w:w="265"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治理措施</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处理能力m</w:t>
                  </w:r>
                  <w:r>
                    <w:rPr>
                      <w:rFonts w:eastAsiaTheme="minorEastAsia"/>
                      <w:color w:val="000000" w:themeColor="text1"/>
                      <w:sz w:val="21"/>
                      <w:szCs w:val="21"/>
                      <w:vertAlign w:val="superscript"/>
                      <w14:textFill>
                        <w14:solidFill>
                          <w14:schemeClr w14:val="tx1"/>
                        </w14:solidFill>
                      </w14:textFill>
                    </w:rPr>
                    <w:t>3</w:t>
                  </w:r>
                  <w:r>
                    <w:rPr>
                      <w:rFonts w:eastAsiaTheme="minorEastAsia"/>
                      <w:color w:val="000000" w:themeColor="text1"/>
                      <w:sz w:val="21"/>
                      <w:szCs w:val="21"/>
                      <w14:textFill>
                        <w14:solidFill>
                          <w14:schemeClr w14:val="tx1"/>
                        </w14:solidFill>
                      </w14:textFill>
                    </w:rPr>
                    <w:t>/h</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收集效率%</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去除效率%</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是否为可行技术</w:t>
                  </w:r>
                </w:p>
              </w:tc>
              <w:tc>
                <w:tcPr>
                  <w:tcW w:w="335" w:type="pct"/>
                  <w:vAlign w:val="center"/>
                </w:tcPr>
                <w:p>
                  <w:pPr>
                    <w:adjustRightInd w:val="0"/>
                    <w:snapToGrid w:val="0"/>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排放速率kg/h</w:t>
                  </w:r>
                </w:p>
              </w:tc>
              <w:tc>
                <w:tcPr>
                  <w:tcW w:w="280" w:type="pct"/>
                  <w:vAlign w:val="center"/>
                </w:tcPr>
                <w:p>
                  <w:pPr>
                    <w:adjustRightInd w:val="0"/>
                    <w:snapToGrid w:val="0"/>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排放量t/a</w:t>
                  </w:r>
                </w:p>
              </w:tc>
              <w:tc>
                <w:tcPr>
                  <w:tcW w:w="393" w:type="pct"/>
                  <w:vAlign w:val="center"/>
                </w:tcPr>
                <w:p>
                  <w:pPr>
                    <w:adjustRightInd w:val="0"/>
                    <w:snapToGrid w:val="0"/>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排放浓度mg/m</w:t>
                  </w:r>
                  <w:r>
                    <w:rPr>
                      <w:rFonts w:ascii="Times New Roman" w:hAnsi="Times New Roman"/>
                      <w:bCs/>
                      <w:color w:val="000000" w:themeColor="text1"/>
                      <w:szCs w:val="21"/>
                      <w:vertAlign w:val="superscript"/>
                      <w14:textFill>
                        <w14:solidFill>
                          <w14:schemeClr w14:val="tx1"/>
                        </w14:solidFill>
                      </w14:textFill>
                    </w:rPr>
                    <w:t>3</w:t>
                  </w:r>
                </w:p>
              </w:tc>
              <w:tc>
                <w:tcPr>
                  <w:tcW w:w="280"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258"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44" w:hRule="atLeast"/>
                <w:jc w:val="center"/>
              </w:trPr>
              <w:tc>
                <w:tcPr>
                  <w:tcW w:w="262"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天然气锅炉</w:t>
                  </w:r>
                </w:p>
              </w:tc>
              <w:tc>
                <w:tcPr>
                  <w:tcW w:w="345"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燃料废气</w:t>
                  </w:r>
                </w:p>
              </w:tc>
              <w:tc>
                <w:tcPr>
                  <w:tcW w:w="37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SO</w:t>
                  </w:r>
                  <w:r>
                    <w:rPr>
                      <w:color w:val="000000" w:themeColor="text1"/>
                      <w:sz w:val="21"/>
                      <w:szCs w:val="21"/>
                      <w:vertAlign w:val="subscript"/>
                      <w14:textFill>
                        <w14:solidFill>
                          <w14:schemeClr w14:val="tx1"/>
                        </w14:solidFill>
                      </w14:textFill>
                    </w:rPr>
                    <w:t>2</w:t>
                  </w:r>
                </w:p>
              </w:tc>
              <w:tc>
                <w:tcPr>
                  <w:tcW w:w="213"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0.074</w:t>
                  </w:r>
                </w:p>
              </w:tc>
              <w:tc>
                <w:tcPr>
                  <w:tcW w:w="371"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6.616</w:t>
                  </w:r>
                </w:p>
              </w:tc>
              <w:tc>
                <w:tcPr>
                  <w:tcW w:w="265"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有组织</w:t>
                  </w: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3575</w:t>
                  </w:r>
                </w:p>
              </w:tc>
              <w:tc>
                <w:tcPr>
                  <w:tcW w:w="280"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100</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0.024</w:t>
                  </w:r>
                </w:p>
              </w:tc>
              <w:tc>
                <w:tcPr>
                  <w:tcW w:w="28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0.074</w:t>
                  </w:r>
                </w:p>
              </w:tc>
              <w:tc>
                <w:tcPr>
                  <w:tcW w:w="393"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6.616</w:t>
                  </w:r>
                </w:p>
              </w:tc>
              <w:tc>
                <w:tcPr>
                  <w:tcW w:w="280"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P1</w:t>
                  </w:r>
                </w:p>
              </w:tc>
              <w:tc>
                <w:tcPr>
                  <w:tcW w:w="258"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3120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44" w:hRule="atLeast"/>
                <w:jc w:val="center"/>
              </w:trPr>
              <w:tc>
                <w:tcPr>
                  <w:tcW w:w="262"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45"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7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NO</w:t>
                  </w:r>
                  <w:r>
                    <w:rPr>
                      <w:color w:val="000000" w:themeColor="text1"/>
                      <w:sz w:val="21"/>
                      <w:szCs w:val="21"/>
                      <w:vertAlign w:val="subscript"/>
                      <w14:textFill>
                        <w14:solidFill>
                          <w14:schemeClr w14:val="tx1"/>
                        </w14:solidFill>
                      </w14:textFill>
                    </w:rPr>
                    <w:t>X</w:t>
                  </w:r>
                </w:p>
              </w:tc>
              <w:tc>
                <w:tcPr>
                  <w:tcW w:w="213"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0.586</w:t>
                  </w:r>
                </w:p>
              </w:tc>
              <w:tc>
                <w:tcPr>
                  <w:tcW w:w="371"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52.502</w:t>
                  </w:r>
                </w:p>
              </w:tc>
              <w:tc>
                <w:tcPr>
                  <w:tcW w:w="265"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低氮燃烧</w:t>
                  </w:r>
                </w:p>
              </w:tc>
              <w:tc>
                <w:tcPr>
                  <w:tcW w:w="335"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280"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是</w:t>
                  </w:r>
                </w:p>
              </w:tc>
              <w:tc>
                <w:tcPr>
                  <w:tcW w:w="33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0.188</w:t>
                  </w:r>
                </w:p>
              </w:tc>
              <w:tc>
                <w:tcPr>
                  <w:tcW w:w="28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0.586</w:t>
                  </w:r>
                </w:p>
              </w:tc>
              <w:tc>
                <w:tcPr>
                  <w:tcW w:w="393"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52.502</w:t>
                  </w:r>
                </w:p>
              </w:tc>
              <w:tc>
                <w:tcPr>
                  <w:tcW w:w="280"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258"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44" w:hRule="atLeast"/>
                <w:jc w:val="center"/>
              </w:trPr>
              <w:tc>
                <w:tcPr>
                  <w:tcW w:w="262"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45"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7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烟尘</w:t>
                  </w:r>
                </w:p>
              </w:tc>
              <w:tc>
                <w:tcPr>
                  <w:tcW w:w="213"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0.106</w:t>
                  </w:r>
                </w:p>
              </w:tc>
              <w:tc>
                <w:tcPr>
                  <w:tcW w:w="371"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9.462</w:t>
                  </w:r>
                </w:p>
              </w:tc>
              <w:tc>
                <w:tcPr>
                  <w:tcW w:w="265"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280"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0.034</w:t>
                  </w:r>
                </w:p>
              </w:tc>
              <w:tc>
                <w:tcPr>
                  <w:tcW w:w="28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0.106</w:t>
                  </w:r>
                </w:p>
              </w:tc>
              <w:tc>
                <w:tcPr>
                  <w:tcW w:w="393"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9.462</w:t>
                  </w:r>
                </w:p>
              </w:tc>
              <w:tc>
                <w:tcPr>
                  <w:tcW w:w="280"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258"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44" w:hRule="atLeast"/>
                <w:jc w:val="center"/>
              </w:trPr>
              <w:tc>
                <w:tcPr>
                  <w:tcW w:w="262" w:type="pct"/>
                  <w:vMerge w:val="restart"/>
                  <w:vAlign w:val="center"/>
                </w:tcPr>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r>
                    <w:rPr>
                      <w:rFonts w:eastAsiaTheme="minorEastAsia"/>
                      <w:bCs/>
                      <w:color w:val="000000" w:themeColor="text1"/>
                      <w:sz w:val="21"/>
                      <w:szCs w:val="21"/>
                      <w14:textFill>
                        <w14:solidFill>
                          <w14:schemeClr w14:val="tx1"/>
                        </w14:solidFill>
                      </w14:textFill>
                    </w:rPr>
                    <w:t>前处理车间</w:t>
                  </w:r>
                </w:p>
              </w:tc>
              <w:tc>
                <w:tcPr>
                  <w:tcW w:w="345" w:type="pct"/>
                  <w:vAlign w:val="center"/>
                </w:tcPr>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r>
                    <w:rPr>
                      <w:rFonts w:eastAsiaTheme="minorEastAsia"/>
                      <w:bCs/>
                      <w:color w:val="000000" w:themeColor="text1"/>
                      <w:sz w:val="21"/>
                      <w:szCs w:val="21"/>
                      <w14:textFill>
                        <w14:solidFill>
                          <w14:schemeClr w14:val="tx1"/>
                        </w14:solidFill>
                      </w14:textFill>
                    </w:rPr>
                    <w:t>挑选</w:t>
                  </w:r>
                </w:p>
              </w:tc>
              <w:tc>
                <w:tcPr>
                  <w:tcW w:w="37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bCs/>
                      <w:color w:val="000000" w:themeColor="text1"/>
                      <w:sz w:val="21"/>
                      <w:szCs w:val="21"/>
                      <w14:textFill>
                        <w14:solidFill>
                          <w14:schemeClr w14:val="tx1"/>
                        </w14:solidFill>
                      </w14:textFill>
                    </w:rPr>
                    <w:t>颗粒物</w:t>
                  </w:r>
                </w:p>
              </w:tc>
              <w:tc>
                <w:tcPr>
                  <w:tcW w:w="213"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0.231</w:t>
                  </w:r>
                </w:p>
              </w:tc>
              <w:tc>
                <w:tcPr>
                  <w:tcW w:w="371"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26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无组织</w:t>
                  </w: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袋式除尘</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85</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99</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是</w:t>
                  </w:r>
                </w:p>
              </w:tc>
              <w:tc>
                <w:tcPr>
                  <w:tcW w:w="33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0.014</w:t>
                  </w:r>
                </w:p>
              </w:tc>
              <w:tc>
                <w:tcPr>
                  <w:tcW w:w="28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0.037</w:t>
                  </w:r>
                </w:p>
              </w:tc>
              <w:tc>
                <w:tcPr>
                  <w:tcW w:w="393"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5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2600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62"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4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混合</w:t>
                  </w:r>
                </w:p>
              </w:tc>
              <w:tc>
                <w:tcPr>
                  <w:tcW w:w="37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bCs/>
                      <w:color w:val="000000" w:themeColor="text1"/>
                      <w:sz w:val="21"/>
                      <w:szCs w:val="21"/>
                      <w14:textFill>
                        <w14:solidFill>
                          <w14:schemeClr w14:val="tx1"/>
                        </w14:solidFill>
                      </w14:textFill>
                    </w:rPr>
                    <w:t>颗粒物</w:t>
                  </w:r>
                </w:p>
              </w:tc>
              <w:tc>
                <w:tcPr>
                  <w:tcW w:w="213"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0.017</w:t>
                  </w:r>
                </w:p>
              </w:tc>
              <w:tc>
                <w:tcPr>
                  <w:tcW w:w="371"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6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无组织</w:t>
                  </w: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袋式除尘</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85</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99</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是</w:t>
                  </w:r>
                </w:p>
              </w:tc>
              <w:tc>
                <w:tcPr>
                  <w:tcW w:w="33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0.003</w:t>
                  </w:r>
                </w:p>
              </w:tc>
              <w:tc>
                <w:tcPr>
                  <w:tcW w:w="28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0.003</w:t>
                  </w:r>
                </w:p>
              </w:tc>
              <w:tc>
                <w:tcPr>
                  <w:tcW w:w="393"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5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780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7" w:hRule="atLeast"/>
                <w:jc w:val="center"/>
              </w:trPr>
              <w:tc>
                <w:tcPr>
                  <w:tcW w:w="262" w:type="pct"/>
                  <w:vMerge w:val="restart"/>
                  <w:vAlign w:val="center"/>
                </w:tcPr>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r>
                    <w:rPr>
                      <w:rFonts w:eastAsiaTheme="minorEastAsia"/>
                      <w:bCs/>
                      <w:color w:val="000000" w:themeColor="text1"/>
                      <w:sz w:val="21"/>
                      <w:szCs w:val="21"/>
                      <w14:textFill>
                        <w14:solidFill>
                          <w14:schemeClr w14:val="tx1"/>
                        </w14:solidFill>
                      </w14:textFill>
                    </w:rPr>
                    <w:t>提取浓缩车间</w:t>
                  </w:r>
                </w:p>
              </w:tc>
              <w:tc>
                <w:tcPr>
                  <w:tcW w:w="345" w:type="pct"/>
                  <w:vAlign w:val="center"/>
                </w:tcPr>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r>
                    <w:rPr>
                      <w:rFonts w:eastAsiaTheme="minorEastAsia"/>
                      <w:bCs/>
                      <w:color w:val="000000" w:themeColor="text1"/>
                      <w:sz w:val="21"/>
                      <w:szCs w:val="21"/>
                      <w14:textFill>
                        <w14:solidFill>
                          <w14:schemeClr w14:val="tx1"/>
                        </w14:solidFill>
                      </w14:textFill>
                    </w:rPr>
                    <w:t>药渣异味</w:t>
                  </w:r>
                </w:p>
              </w:tc>
              <w:tc>
                <w:tcPr>
                  <w:tcW w:w="37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bCs/>
                      <w:color w:val="000000" w:themeColor="text1"/>
                      <w:sz w:val="21"/>
                      <w:szCs w:val="21"/>
                      <w14:textFill>
                        <w14:solidFill>
                          <w14:schemeClr w14:val="tx1"/>
                        </w14:solidFill>
                      </w14:textFill>
                    </w:rPr>
                    <w:t>臭气浓度</w:t>
                  </w:r>
                </w:p>
              </w:tc>
              <w:tc>
                <w:tcPr>
                  <w:tcW w:w="213"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少量</w:t>
                  </w:r>
                </w:p>
              </w:tc>
              <w:tc>
                <w:tcPr>
                  <w:tcW w:w="371"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30~50</w:t>
                  </w:r>
                </w:p>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(无量纲)</w:t>
                  </w:r>
                </w:p>
              </w:tc>
              <w:tc>
                <w:tcPr>
                  <w:tcW w:w="26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无组织</w:t>
                  </w: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车间通风</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少量</w:t>
                  </w:r>
                </w:p>
              </w:tc>
              <w:tc>
                <w:tcPr>
                  <w:tcW w:w="28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少量</w:t>
                  </w:r>
                </w:p>
              </w:tc>
              <w:tc>
                <w:tcPr>
                  <w:tcW w:w="393"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5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6240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7" w:hRule="atLeast"/>
                <w:jc w:val="center"/>
              </w:trPr>
              <w:tc>
                <w:tcPr>
                  <w:tcW w:w="262" w:type="pct"/>
                  <w:vMerge w:val="continue"/>
                  <w:vAlign w:val="center"/>
                </w:tcPr>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p>
              </w:tc>
              <w:tc>
                <w:tcPr>
                  <w:tcW w:w="345" w:type="pct"/>
                  <w:vAlign w:val="center"/>
                </w:tcPr>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r>
                    <w:rPr>
                      <w:rFonts w:eastAsiaTheme="minorEastAsia"/>
                      <w:bCs/>
                      <w:color w:val="000000" w:themeColor="text1"/>
                      <w:sz w:val="21"/>
                      <w:szCs w:val="21"/>
                      <w14:textFill>
                        <w14:solidFill>
                          <w14:schemeClr w14:val="tx1"/>
                        </w14:solidFill>
                      </w14:textFill>
                    </w:rPr>
                    <w:t>药渣堆放挥发乙醇</w:t>
                  </w:r>
                </w:p>
              </w:tc>
              <w:tc>
                <w:tcPr>
                  <w:tcW w:w="372" w:type="pct"/>
                  <w:vAlign w:val="center"/>
                </w:tcPr>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VOCs</w:t>
                  </w:r>
                </w:p>
              </w:tc>
              <w:tc>
                <w:tcPr>
                  <w:tcW w:w="213"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0.115</w:t>
                  </w:r>
                </w:p>
              </w:tc>
              <w:tc>
                <w:tcPr>
                  <w:tcW w:w="371"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26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无组织</w:t>
                  </w: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车间通风</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0.018</w:t>
                  </w:r>
                </w:p>
              </w:tc>
              <w:tc>
                <w:tcPr>
                  <w:tcW w:w="28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0.115</w:t>
                  </w:r>
                </w:p>
              </w:tc>
              <w:tc>
                <w:tcPr>
                  <w:tcW w:w="393"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5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6240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62"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4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乙醇不凝气</w:t>
                  </w:r>
                </w:p>
              </w:tc>
              <w:tc>
                <w:tcPr>
                  <w:tcW w:w="37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VOCs</w:t>
                  </w:r>
                </w:p>
              </w:tc>
              <w:tc>
                <w:tcPr>
                  <w:tcW w:w="213"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1.150</w:t>
                  </w:r>
                </w:p>
              </w:tc>
              <w:tc>
                <w:tcPr>
                  <w:tcW w:w="371"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6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无组织</w:t>
                  </w: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水封池喷淋吸收</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99.99</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99.99</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是</w:t>
                  </w:r>
                </w:p>
              </w:tc>
              <w:tc>
                <w:tcPr>
                  <w:tcW w:w="33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0.000</w:t>
                  </w:r>
                </w:p>
              </w:tc>
              <w:tc>
                <w:tcPr>
                  <w:tcW w:w="28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 xml:space="preserve">0.000 </w:t>
                  </w:r>
                </w:p>
              </w:tc>
              <w:tc>
                <w:tcPr>
                  <w:tcW w:w="393"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5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6240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6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后处理车间</w:t>
                  </w:r>
                </w:p>
              </w:tc>
              <w:tc>
                <w:tcPr>
                  <w:tcW w:w="34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混合</w:t>
                  </w:r>
                </w:p>
              </w:tc>
              <w:tc>
                <w:tcPr>
                  <w:tcW w:w="372" w:type="pct"/>
                  <w:vAlign w:val="center"/>
                </w:tcPr>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颗粒物</w:t>
                  </w:r>
                </w:p>
              </w:tc>
              <w:tc>
                <w:tcPr>
                  <w:tcW w:w="213"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0.072</w:t>
                  </w:r>
                </w:p>
              </w:tc>
              <w:tc>
                <w:tcPr>
                  <w:tcW w:w="371"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26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无组织</w:t>
                  </w: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袋式除尘+空调洁净过滤</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85</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99.98</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是</w:t>
                  </w:r>
                </w:p>
              </w:tc>
              <w:tc>
                <w:tcPr>
                  <w:tcW w:w="33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0.000</w:t>
                  </w:r>
                </w:p>
              </w:tc>
              <w:tc>
                <w:tcPr>
                  <w:tcW w:w="28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0.000</w:t>
                  </w:r>
                </w:p>
              </w:tc>
              <w:tc>
                <w:tcPr>
                  <w:tcW w:w="393"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5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1040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62"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发酵车间</w:t>
                  </w:r>
                </w:p>
              </w:tc>
              <w:tc>
                <w:tcPr>
                  <w:tcW w:w="34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配料混合</w:t>
                  </w:r>
                </w:p>
              </w:tc>
              <w:tc>
                <w:tcPr>
                  <w:tcW w:w="37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颗粒物</w:t>
                  </w:r>
                </w:p>
              </w:tc>
              <w:tc>
                <w:tcPr>
                  <w:tcW w:w="213"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0.038</w:t>
                  </w:r>
                </w:p>
              </w:tc>
              <w:tc>
                <w:tcPr>
                  <w:tcW w:w="371"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6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无组织</w:t>
                  </w:r>
                </w:p>
              </w:tc>
              <w:tc>
                <w:tcPr>
                  <w:tcW w:w="338"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袋式除尘+空调洁净过滤</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85</w:t>
                  </w:r>
                </w:p>
              </w:tc>
              <w:tc>
                <w:tcPr>
                  <w:tcW w:w="280"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99.98</w:t>
                  </w:r>
                </w:p>
              </w:tc>
              <w:tc>
                <w:tcPr>
                  <w:tcW w:w="392"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是</w:t>
                  </w:r>
                </w:p>
              </w:tc>
              <w:tc>
                <w:tcPr>
                  <w:tcW w:w="335" w:type="pct"/>
                  <w:vMerge w:val="restar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0.000</w:t>
                  </w:r>
                </w:p>
              </w:tc>
              <w:tc>
                <w:tcPr>
                  <w:tcW w:w="280" w:type="pct"/>
                  <w:vMerge w:val="restar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0.000</w:t>
                  </w:r>
                </w:p>
              </w:tc>
              <w:tc>
                <w:tcPr>
                  <w:tcW w:w="393"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5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62"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4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粉碎总混</w:t>
                  </w:r>
                </w:p>
              </w:tc>
              <w:tc>
                <w:tcPr>
                  <w:tcW w:w="37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颗粒物</w:t>
                  </w:r>
                </w:p>
              </w:tc>
              <w:tc>
                <w:tcPr>
                  <w:tcW w:w="213"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0.047</w:t>
                  </w:r>
                </w:p>
              </w:tc>
              <w:tc>
                <w:tcPr>
                  <w:tcW w:w="371"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6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无组织</w:t>
                  </w:r>
                </w:p>
              </w:tc>
              <w:tc>
                <w:tcPr>
                  <w:tcW w:w="338"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280"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92"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35" w:type="pct"/>
                  <w:vMerge w:val="continue"/>
                  <w:vAlign w:val="center"/>
                </w:tcPr>
                <w:p>
                  <w:pPr>
                    <w:jc w:val="center"/>
                    <w:rPr>
                      <w:rFonts w:ascii="Times New Roman" w:hAnsi="Times New Roman" w:eastAsia="宋体"/>
                      <w:color w:val="000000" w:themeColor="text1"/>
                      <w:szCs w:val="21"/>
                      <w14:textFill>
                        <w14:solidFill>
                          <w14:schemeClr w14:val="tx1"/>
                        </w14:solidFill>
                      </w14:textFill>
                    </w:rPr>
                  </w:pPr>
                </w:p>
              </w:tc>
              <w:tc>
                <w:tcPr>
                  <w:tcW w:w="280" w:type="pct"/>
                  <w:vMerge w:val="continue"/>
                  <w:vAlign w:val="center"/>
                </w:tcPr>
                <w:p>
                  <w:pPr>
                    <w:jc w:val="center"/>
                    <w:rPr>
                      <w:rFonts w:ascii="Times New Roman" w:hAnsi="Times New Roman" w:eastAsia="宋体"/>
                      <w:color w:val="000000" w:themeColor="text1"/>
                      <w:szCs w:val="21"/>
                      <w14:textFill>
                        <w14:solidFill>
                          <w14:schemeClr w14:val="tx1"/>
                        </w14:solidFill>
                      </w14:textFill>
                    </w:rPr>
                  </w:pPr>
                </w:p>
              </w:tc>
              <w:tc>
                <w:tcPr>
                  <w:tcW w:w="393"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5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62"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4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发酵异味</w:t>
                  </w:r>
                </w:p>
              </w:tc>
              <w:tc>
                <w:tcPr>
                  <w:tcW w:w="37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bCs/>
                      <w:color w:val="000000" w:themeColor="text1"/>
                      <w:sz w:val="21"/>
                      <w:szCs w:val="21"/>
                      <w14:textFill>
                        <w14:solidFill>
                          <w14:schemeClr w14:val="tx1"/>
                        </w14:solidFill>
                      </w14:textFill>
                    </w:rPr>
                    <w:t>臭气浓度</w:t>
                  </w:r>
                </w:p>
              </w:tc>
              <w:tc>
                <w:tcPr>
                  <w:tcW w:w="213"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少量</w:t>
                  </w:r>
                </w:p>
              </w:tc>
              <w:tc>
                <w:tcPr>
                  <w:tcW w:w="371"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30~50</w:t>
                  </w:r>
                </w:p>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color w:val="000000" w:themeColor="text1"/>
                      <w:szCs w:val="21"/>
                      <w14:textFill>
                        <w14:solidFill>
                          <w14:schemeClr w14:val="tx1"/>
                        </w14:solidFill>
                      </w14:textFill>
                    </w:rPr>
                    <w:t>(无量纲)</w:t>
                  </w:r>
                </w:p>
              </w:tc>
              <w:tc>
                <w:tcPr>
                  <w:tcW w:w="26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无组织</w:t>
                  </w: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空调洁净过滤</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少量</w:t>
                  </w:r>
                </w:p>
              </w:tc>
              <w:tc>
                <w:tcPr>
                  <w:tcW w:w="280"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少量</w:t>
                  </w:r>
                </w:p>
              </w:tc>
              <w:tc>
                <w:tcPr>
                  <w:tcW w:w="393"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5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6240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7" w:hRule="atLeast"/>
                <w:jc w:val="center"/>
              </w:trPr>
              <w:tc>
                <w:tcPr>
                  <w:tcW w:w="26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乙醇储罐</w:t>
                  </w:r>
                </w:p>
              </w:tc>
              <w:tc>
                <w:tcPr>
                  <w:tcW w:w="34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呼吸损耗</w:t>
                  </w:r>
                </w:p>
              </w:tc>
              <w:tc>
                <w:tcPr>
                  <w:tcW w:w="37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VOCs</w:t>
                  </w:r>
                </w:p>
              </w:tc>
              <w:tc>
                <w:tcPr>
                  <w:tcW w:w="213"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0.002</w:t>
                  </w:r>
                </w:p>
              </w:tc>
              <w:tc>
                <w:tcPr>
                  <w:tcW w:w="371"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26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无组织</w:t>
                  </w: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加强通风</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0.008</w:t>
                  </w:r>
                </w:p>
              </w:tc>
              <w:tc>
                <w:tcPr>
                  <w:tcW w:w="280"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0.002</w:t>
                  </w:r>
                </w:p>
              </w:tc>
              <w:tc>
                <w:tcPr>
                  <w:tcW w:w="393"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5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6240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7" w:hRule="atLeast"/>
                <w:jc w:val="center"/>
              </w:trPr>
              <w:tc>
                <w:tcPr>
                  <w:tcW w:w="26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污水处理站</w:t>
                  </w:r>
                </w:p>
              </w:tc>
              <w:tc>
                <w:tcPr>
                  <w:tcW w:w="34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恶臭</w:t>
                  </w:r>
                </w:p>
              </w:tc>
              <w:tc>
                <w:tcPr>
                  <w:tcW w:w="37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臭气浓度</w:t>
                  </w:r>
                </w:p>
              </w:tc>
              <w:tc>
                <w:tcPr>
                  <w:tcW w:w="213"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少量</w:t>
                  </w:r>
                </w:p>
              </w:tc>
              <w:tc>
                <w:tcPr>
                  <w:tcW w:w="371"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少量</w:t>
                  </w:r>
                </w:p>
              </w:tc>
              <w:tc>
                <w:tcPr>
                  <w:tcW w:w="26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无组织</w:t>
                  </w: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绿化、除臭剂</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是</w:t>
                  </w:r>
                </w:p>
              </w:tc>
              <w:tc>
                <w:tcPr>
                  <w:tcW w:w="335"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少量</w:t>
                  </w:r>
                </w:p>
              </w:tc>
              <w:tc>
                <w:tcPr>
                  <w:tcW w:w="280"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少量</w:t>
                  </w:r>
                </w:p>
              </w:tc>
              <w:tc>
                <w:tcPr>
                  <w:tcW w:w="393"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5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6240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7" w:hRule="atLeast"/>
                <w:jc w:val="center"/>
              </w:trPr>
              <w:tc>
                <w:tcPr>
                  <w:tcW w:w="607" w:type="pct"/>
                  <w:gridSpan w:val="2"/>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合计</w:t>
                  </w:r>
                </w:p>
              </w:tc>
              <w:tc>
                <w:tcPr>
                  <w:tcW w:w="372"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SO</w:t>
                  </w:r>
                  <w:r>
                    <w:rPr>
                      <w:rFonts w:ascii="Times New Roman" w:hAnsi="Times New Roman"/>
                      <w:color w:val="000000" w:themeColor="text1"/>
                      <w:szCs w:val="21"/>
                      <w:vertAlign w:val="subscript"/>
                      <w14:textFill>
                        <w14:solidFill>
                          <w14:schemeClr w14:val="tx1"/>
                        </w14:solidFill>
                      </w14:textFill>
                    </w:rPr>
                    <w:t>2</w:t>
                  </w:r>
                </w:p>
              </w:tc>
              <w:tc>
                <w:tcPr>
                  <w:tcW w:w="213" w:type="pct"/>
                  <w:vAlign w:val="bottom"/>
                </w:tcPr>
                <w:p>
                  <w:pPr>
                    <w:jc w:val="right"/>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2"/>
                      <w14:textFill>
                        <w14:solidFill>
                          <w14:schemeClr w14:val="tx1"/>
                        </w14:solidFill>
                      </w14:textFill>
                    </w:rPr>
                    <w:t>0.074</w:t>
                  </w:r>
                </w:p>
              </w:tc>
              <w:tc>
                <w:tcPr>
                  <w:tcW w:w="371"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6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0.074</w:t>
                  </w:r>
                </w:p>
              </w:tc>
              <w:tc>
                <w:tcPr>
                  <w:tcW w:w="393"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5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7" w:hRule="atLeast"/>
                <w:jc w:val="center"/>
              </w:trPr>
              <w:tc>
                <w:tcPr>
                  <w:tcW w:w="607" w:type="pct"/>
                  <w:gridSpan w:val="2"/>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72"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NO</w:t>
                  </w:r>
                  <w:r>
                    <w:rPr>
                      <w:rFonts w:ascii="Times New Roman" w:hAnsi="Times New Roman"/>
                      <w:color w:val="000000" w:themeColor="text1"/>
                      <w:szCs w:val="21"/>
                      <w:vertAlign w:val="subscript"/>
                      <w14:textFill>
                        <w14:solidFill>
                          <w14:schemeClr w14:val="tx1"/>
                        </w14:solidFill>
                      </w14:textFill>
                    </w:rPr>
                    <w:t>X</w:t>
                  </w:r>
                </w:p>
              </w:tc>
              <w:tc>
                <w:tcPr>
                  <w:tcW w:w="213" w:type="pct"/>
                  <w:vAlign w:val="bottom"/>
                </w:tcPr>
                <w:p>
                  <w:pPr>
                    <w:jc w:val="right"/>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2"/>
                      <w14:textFill>
                        <w14:solidFill>
                          <w14:schemeClr w14:val="tx1"/>
                        </w14:solidFill>
                      </w14:textFill>
                    </w:rPr>
                    <w:t>0.586</w:t>
                  </w:r>
                </w:p>
              </w:tc>
              <w:tc>
                <w:tcPr>
                  <w:tcW w:w="371"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6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0.586</w:t>
                  </w:r>
                </w:p>
              </w:tc>
              <w:tc>
                <w:tcPr>
                  <w:tcW w:w="393"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5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7" w:hRule="atLeast"/>
                <w:jc w:val="center"/>
              </w:trPr>
              <w:tc>
                <w:tcPr>
                  <w:tcW w:w="607" w:type="pct"/>
                  <w:gridSpan w:val="2"/>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72"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颗粒物</w:t>
                  </w:r>
                </w:p>
              </w:tc>
              <w:tc>
                <w:tcPr>
                  <w:tcW w:w="213" w:type="pct"/>
                  <w:vAlign w:val="bottom"/>
                </w:tcPr>
                <w:p>
                  <w:pPr>
                    <w:jc w:val="right"/>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2"/>
                      <w14:textFill>
                        <w14:solidFill>
                          <w14:schemeClr w14:val="tx1"/>
                        </w14:solidFill>
                      </w14:textFill>
                    </w:rPr>
                    <w:t>0.511</w:t>
                  </w:r>
                </w:p>
              </w:tc>
              <w:tc>
                <w:tcPr>
                  <w:tcW w:w="371"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6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0.146</w:t>
                  </w:r>
                </w:p>
              </w:tc>
              <w:tc>
                <w:tcPr>
                  <w:tcW w:w="393"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5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7" w:hRule="atLeast"/>
                <w:jc w:val="center"/>
              </w:trPr>
              <w:tc>
                <w:tcPr>
                  <w:tcW w:w="607" w:type="pct"/>
                  <w:gridSpan w:val="2"/>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72"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VOCs</w:t>
                  </w:r>
                </w:p>
              </w:tc>
              <w:tc>
                <w:tcPr>
                  <w:tcW w:w="213" w:type="pct"/>
                  <w:vAlign w:val="bottom"/>
                </w:tcPr>
                <w:p>
                  <w:pPr>
                    <w:jc w:val="right"/>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1.267</w:t>
                  </w:r>
                </w:p>
              </w:tc>
              <w:tc>
                <w:tcPr>
                  <w:tcW w:w="371"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6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0.117</w:t>
                  </w:r>
                </w:p>
              </w:tc>
              <w:tc>
                <w:tcPr>
                  <w:tcW w:w="393"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5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0" w:hRule="atLeast"/>
                <w:jc w:val="center"/>
              </w:trPr>
              <w:tc>
                <w:tcPr>
                  <w:tcW w:w="607" w:type="pct"/>
                  <w:gridSpan w:val="2"/>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72"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臭气浓度</w:t>
                  </w:r>
                </w:p>
              </w:tc>
              <w:tc>
                <w:tcPr>
                  <w:tcW w:w="213" w:type="pct"/>
                  <w:vAlign w:val="bottom"/>
                </w:tcPr>
                <w:p>
                  <w:pPr>
                    <w:jc w:val="right"/>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少量</w:t>
                  </w:r>
                </w:p>
              </w:tc>
              <w:tc>
                <w:tcPr>
                  <w:tcW w:w="371"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6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92"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3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少量</w:t>
                  </w:r>
                </w:p>
              </w:tc>
              <w:tc>
                <w:tcPr>
                  <w:tcW w:w="393"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80"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258"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r>
          </w:tbl>
          <w:p>
            <w:pPr>
              <w:pStyle w:val="90"/>
              <w:ind w:firstLine="480"/>
              <w:rPr>
                <w:rFonts w:ascii="Times New Roman"/>
                <w:color w:val="000000" w:themeColor="text1"/>
                <w14:textFill>
                  <w14:solidFill>
                    <w14:schemeClr w14:val="tx1"/>
                  </w14:solidFill>
                </w14:textFill>
              </w:rPr>
            </w:pP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项目废气排放口设置及大气污染物监测计划</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53"/>
              <w:gridCol w:w="1028"/>
              <w:gridCol w:w="1068"/>
              <w:gridCol w:w="1351"/>
              <w:gridCol w:w="1199"/>
              <w:gridCol w:w="740"/>
              <w:gridCol w:w="895"/>
              <w:gridCol w:w="897"/>
              <w:gridCol w:w="1600"/>
              <w:gridCol w:w="1811"/>
              <w:gridCol w:w="1047"/>
              <w:gridCol w:w="11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07"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排放类别</w:t>
                  </w:r>
                </w:p>
              </w:tc>
              <w:tc>
                <w:tcPr>
                  <w:tcW w:w="385"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排污口</w:t>
                  </w:r>
                </w:p>
              </w:tc>
              <w:tc>
                <w:tcPr>
                  <w:tcW w:w="400"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污染物</w:t>
                  </w:r>
                </w:p>
              </w:tc>
              <w:tc>
                <w:tcPr>
                  <w:tcW w:w="1903" w:type="pct"/>
                  <w:gridSpan w:val="5"/>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排污口基本情况</w:t>
                  </w:r>
                </w:p>
              </w:tc>
              <w:tc>
                <w:tcPr>
                  <w:tcW w:w="599"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排放标准</w:t>
                  </w:r>
                </w:p>
              </w:tc>
              <w:tc>
                <w:tcPr>
                  <w:tcW w:w="1506" w:type="pct"/>
                  <w:gridSpan w:val="3"/>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监测要求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07"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385"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400"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506"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坐标</w:t>
                  </w:r>
                </w:p>
              </w:tc>
              <w:tc>
                <w:tcPr>
                  <w:tcW w:w="449"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类型</w:t>
                  </w:r>
                </w:p>
              </w:tc>
              <w:tc>
                <w:tcPr>
                  <w:tcW w:w="277"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高度m</w:t>
                  </w:r>
                </w:p>
              </w:tc>
              <w:tc>
                <w:tcPr>
                  <w:tcW w:w="335"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内径m</w:t>
                  </w:r>
                </w:p>
              </w:tc>
              <w:tc>
                <w:tcPr>
                  <w:tcW w:w="336"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温度</w:t>
                  </w:r>
                  <w:r>
                    <w:rPr>
                      <w:rFonts w:hint="eastAsia" w:ascii="宋体" w:hAnsi="宋体" w:eastAsia="宋体" w:cs="宋体"/>
                      <w:color w:val="000000" w:themeColor="text1"/>
                      <w:szCs w:val="21"/>
                      <w14:textFill>
                        <w14:solidFill>
                          <w14:schemeClr w14:val="tx1"/>
                        </w14:solidFill>
                      </w14:textFill>
                    </w:rPr>
                    <w:t>℃</w:t>
                  </w:r>
                </w:p>
              </w:tc>
              <w:tc>
                <w:tcPr>
                  <w:tcW w:w="599"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浓度限值（mg/m</w:t>
                  </w:r>
                  <w:r>
                    <w:rPr>
                      <w:rFonts w:ascii="Times New Roman" w:hAnsi="Times New Roman"/>
                      <w:color w:val="000000" w:themeColor="text1"/>
                      <w:szCs w:val="21"/>
                      <w:vertAlign w:val="superscript"/>
                      <w14:textFill>
                        <w14:solidFill>
                          <w14:schemeClr w14:val="tx1"/>
                        </w14:solidFill>
                      </w14:textFill>
                    </w:rPr>
                    <w:t>3</w:t>
                  </w:r>
                  <w:r>
                    <w:rPr>
                      <w:rFonts w:ascii="Times New Roman" w:hAnsi="Times New Roman"/>
                      <w:color w:val="000000" w:themeColor="text1"/>
                      <w:szCs w:val="21"/>
                      <w14:textFill>
                        <w14:solidFill>
                          <w14:schemeClr w14:val="tx1"/>
                        </w14:solidFill>
                      </w14:textFill>
                    </w:rPr>
                    <w:t>）</w:t>
                  </w:r>
                </w:p>
              </w:tc>
              <w:tc>
                <w:tcPr>
                  <w:tcW w:w="678"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监测点位</w:t>
                  </w:r>
                </w:p>
              </w:tc>
              <w:tc>
                <w:tcPr>
                  <w:tcW w:w="392"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监测因子</w:t>
                  </w:r>
                </w:p>
              </w:tc>
              <w:tc>
                <w:tcPr>
                  <w:tcW w:w="436"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55" w:hRule="atLeast"/>
              </w:trPr>
              <w:tc>
                <w:tcPr>
                  <w:tcW w:w="207"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有组织</w:t>
                  </w:r>
                </w:p>
              </w:tc>
              <w:tc>
                <w:tcPr>
                  <w:tcW w:w="385"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P1排气筒</w:t>
                  </w:r>
                </w:p>
              </w:tc>
              <w:tc>
                <w:tcPr>
                  <w:tcW w:w="400"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颗粒物、SO</w:t>
                  </w:r>
                  <w:r>
                    <w:rPr>
                      <w:rFonts w:ascii="Times New Roman" w:hAnsi="Times New Roman"/>
                      <w:bCs/>
                      <w:color w:val="000000" w:themeColor="text1"/>
                      <w:szCs w:val="21"/>
                      <w:vertAlign w:val="subscript"/>
                      <w14:textFill>
                        <w14:solidFill>
                          <w14:schemeClr w14:val="tx1"/>
                        </w14:solidFill>
                      </w14:textFill>
                    </w:rPr>
                    <w:t>2</w:t>
                  </w:r>
                  <w:r>
                    <w:rPr>
                      <w:rFonts w:ascii="Times New Roman" w:hAnsi="Times New Roman"/>
                      <w:bCs/>
                      <w:color w:val="000000" w:themeColor="text1"/>
                      <w:szCs w:val="21"/>
                      <w14:textFill>
                        <w14:solidFill>
                          <w14:schemeClr w14:val="tx1"/>
                        </w14:solidFill>
                      </w14:textFill>
                    </w:rPr>
                    <w:t>、NOx</w:t>
                  </w:r>
                </w:p>
              </w:tc>
              <w:tc>
                <w:tcPr>
                  <w:tcW w:w="506"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115.588049°E</w:t>
                  </w:r>
                </w:p>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23.188377°N</w:t>
                  </w:r>
                </w:p>
              </w:tc>
              <w:tc>
                <w:tcPr>
                  <w:tcW w:w="449"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一般排放口</w:t>
                  </w:r>
                </w:p>
              </w:tc>
              <w:tc>
                <w:tcPr>
                  <w:tcW w:w="277"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15</w:t>
                  </w:r>
                </w:p>
              </w:tc>
              <w:tc>
                <w:tcPr>
                  <w:tcW w:w="335"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0.4</w:t>
                  </w:r>
                </w:p>
              </w:tc>
              <w:tc>
                <w:tcPr>
                  <w:tcW w:w="336"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150</w:t>
                  </w:r>
                </w:p>
              </w:tc>
              <w:tc>
                <w:tcPr>
                  <w:tcW w:w="599" w:type="pct"/>
                  <w:vMerge w:val="restart"/>
                  <w:vAlign w:val="center"/>
                </w:tcPr>
                <w:p>
                  <w:pPr>
                    <w:pStyle w:val="52"/>
                    <w:spacing w:before="0" w:after="0" w:line="240" w:lineRule="auto"/>
                    <w:ind w:firstLine="0" w:firstLineChars="0"/>
                    <w:jc w:val="center"/>
                    <w:rPr>
                      <w:bCs/>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颗粒物</w:t>
                  </w:r>
                  <w:r>
                    <w:rPr>
                      <w:bCs/>
                      <w:color w:val="000000" w:themeColor="text1"/>
                      <w:sz w:val="21"/>
                      <w:szCs w:val="21"/>
                      <w14:textFill>
                        <w14:solidFill>
                          <w14:schemeClr w14:val="tx1"/>
                        </w14:solidFill>
                      </w14:textFill>
                    </w:rPr>
                    <w:t>≤20、</w:t>
                  </w:r>
                </w:p>
                <w:p>
                  <w:pPr>
                    <w:pStyle w:val="52"/>
                    <w:spacing w:before="0" w:after="0"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SO</w:t>
                  </w:r>
                  <w:r>
                    <w:rPr>
                      <w:bCs/>
                      <w:color w:val="000000" w:themeColor="text1"/>
                      <w:sz w:val="21"/>
                      <w:szCs w:val="21"/>
                      <w:vertAlign w:val="subscript"/>
                      <w14:textFill>
                        <w14:solidFill>
                          <w14:schemeClr w14:val="tx1"/>
                        </w14:solidFill>
                      </w14:textFill>
                    </w:rPr>
                    <w:t>2</w:t>
                  </w:r>
                  <w:r>
                    <w:rPr>
                      <w:bCs/>
                      <w:color w:val="000000" w:themeColor="text1"/>
                      <w:sz w:val="21"/>
                      <w:szCs w:val="21"/>
                      <w14:textFill>
                        <w14:solidFill>
                          <w14:schemeClr w14:val="tx1"/>
                        </w14:solidFill>
                      </w14:textFill>
                    </w:rPr>
                    <w:t>≤50、</w:t>
                  </w:r>
                </w:p>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NOx≤50</w:t>
                  </w:r>
                </w:p>
              </w:tc>
              <w:tc>
                <w:tcPr>
                  <w:tcW w:w="678"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P1排气筒排放口</w:t>
                  </w:r>
                </w:p>
              </w:tc>
              <w:tc>
                <w:tcPr>
                  <w:tcW w:w="392"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颗粒物</w:t>
                  </w:r>
                </w:p>
              </w:tc>
              <w:tc>
                <w:tcPr>
                  <w:tcW w:w="436"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55" w:hRule="atLeast"/>
              </w:trPr>
              <w:tc>
                <w:tcPr>
                  <w:tcW w:w="207"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385"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400" w:type="pct"/>
                  <w:vMerge w:val="continue"/>
                  <w:vAlign w:val="center"/>
                </w:tcPr>
                <w:p>
                  <w:pPr>
                    <w:jc w:val="center"/>
                    <w:rPr>
                      <w:rFonts w:ascii="Times New Roman" w:hAnsi="Times New Roman"/>
                      <w:bCs/>
                      <w:color w:val="000000" w:themeColor="text1"/>
                      <w:szCs w:val="21"/>
                      <w14:textFill>
                        <w14:solidFill>
                          <w14:schemeClr w14:val="tx1"/>
                        </w14:solidFill>
                      </w14:textFill>
                    </w:rPr>
                  </w:pPr>
                </w:p>
              </w:tc>
              <w:tc>
                <w:tcPr>
                  <w:tcW w:w="506"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449"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277"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335"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336"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599" w:type="pct"/>
                  <w:vMerge w:val="continue"/>
                  <w:vAlign w:val="center"/>
                </w:tcPr>
                <w:p>
                  <w:pPr>
                    <w:pStyle w:val="52"/>
                    <w:spacing w:before="0" w:after="0" w:line="240" w:lineRule="auto"/>
                    <w:ind w:firstLine="0" w:firstLineChars="0"/>
                    <w:jc w:val="left"/>
                    <w:rPr>
                      <w:rFonts w:eastAsiaTheme="minorEastAsia"/>
                      <w:color w:val="000000" w:themeColor="text1"/>
                      <w:sz w:val="21"/>
                      <w:szCs w:val="21"/>
                      <w14:textFill>
                        <w14:solidFill>
                          <w14:schemeClr w14:val="tx1"/>
                        </w14:solidFill>
                      </w14:textFill>
                    </w:rPr>
                  </w:pPr>
                </w:p>
              </w:tc>
              <w:tc>
                <w:tcPr>
                  <w:tcW w:w="678"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392" w:type="pct"/>
                  <w:vAlign w:val="center"/>
                </w:tcPr>
                <w:p>
                  <w:pPr>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SO</w:t>
                  </w:r>
                  <w:r>
                    <w:rPr>
                      <w:rFonts w:ascii="Times New Roman" w:hAnsi="Times New Roman"/>
                      <w:bCs/>
                      <w:color w:val="000000" w:themeColor="text1"/>
                      <w:szCs w:val="21"/>
                      <w:vertAlign w:val="subscript"/>
                      <w14:textFill>
                        <w14:solidFill>
                          <w14:schemeClr w14:val="tx1"/>
                        </w14:solidFill>
                      </w14:textFill>
                    </w:rPr>
                    <w:t>2</w:t>
                  </w:r>
                </w:p>
              </w:tc>
              <w:tc>
                <w:tcPr>
                  <w:tcW w:w="436"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55" w:hRule="atLeast"/>
              </w:trPr>
              <w:tc>
                <w:tcPr>
                  <w:tcW w:w="207"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385"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400" w:type="pct"/>
                  <w:vMerge w:val="continue"/>
                  <w:vAlign w:val="center"/>
                </w:tcPr>
                <w:p>
                  <w:pPr>
                    <w:jc w:val="center"/>
                    <w:rPr>
                      <w:rFonts w:ascii="Times New Roman" w:hAnsi="Times New Roman"/>
                      <w:bCs/>
                      <w:color w:val="000000" w:themeColor="text1"/>
                      <w:szCs w:val="21"/>
                      <w14:textFill>
                        <w14:solidFill>
                          <w14:schemeClr w14:val="tx1"/>
                        </w14:solidFill>
                      </w14:textFill>
                    </w:rPr>
                  </w:pPr>
                </w:p>
              </w:tc>
              <w:tc>
                <w:tcPr>
                  <w:tcW w:w="506"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449"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277"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335"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336"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599" w:type="pct"/>
                  <w:vMerge w:val="continue"/>
                  <w:vAlign w:val="center"/>
                </w:tcPr>
                <w:p>
                  <w:pPr>
                    <w:pStyle w:val="52"/>
                    <w:spacing w:before="0" w:after="0" w:line="240" w:lineRule="auto"/>
                    <w:ind w:firstLine="0" w:firstLineChars="0"/>
                    <w:jc w:val="left"/>
                    <w:rPr>
                      <w:rFonts w:eastAsiaTheme="minorEastAsia"/>
                      <w:color w:val="000000" w:themeColor="text1"/>
                      <w:sz w:val="21"/>
                      <w:szCs w:val="21"/>
                      <w14:textFill>
                        <w14:solidFill>
                          <w14:schemeClr w14:val="tx1"/>
                        </w14:solidFill>
                      </w14:textFill>
                    </w:rPr>
                  </w:pPr>
                </w:p>
              </w:tc>
              <w:tc>
                <w:tcPr>
                  <w:tcW w:w="678"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392" w:type="pct"/>
                  <w:vAlign w:val="center"/>
                </w:tcPr>
                <w:p>
                  <w:pPr>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NOx</w:t>
                  </w:r>
                </w:p>
              </w:tc>
              <w:tc>
                <w:tcPr>
                  <w:tcW w:w="436"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1次/月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07"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无组织</w:t>
                  </w:r>
                </w:p>
              </w:tc>
              <w:tc>
                <w:tcPr>
                  <w:tcW w:w="385"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生产车间</w:t>
                  </w:r>
                </w:p>
              </w:tc>
              <w:tc>
                <w:tcPr>
                  <w:tcW w:w="400"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VOCs</w:t>
                  </w:r>
                  <w:r>
                    <w:rPr>
                      <w:rFonts w:ascii="Times New Roman" w:hAnsi="Times New Roman"/>
                      <w:color w:val="000000" w:themeColor="text1"/>
                      <w:szCs w:val="21"/>
                      <w14:textFill>
                        <w14:solidFill>
                          <w14:schemeClr w14:val="tx1"/>
                        </w14:solidFill>
                      </w14:textFill>
                    </w:rPr>
                    <w:t xml:space="preserve"> 、</w:t>
                  </w:r>
                  <w:r>
                    <w:rPr>
                      <w:rFonts w:ascii="Times New Roman" w:hAnsi="Times New Roman"/>
                      <w:bCs/>
                      <w:color w:val="000000" w:themeColor="text1"/>
                      <w:szCs w:val="21"/>
                      <w14:textFill>
                        <w14:solidFill>
                          <w14:schemeClr w14:val="tx1"/>
                        </w14:solidFill>
                      </w14:textFill>
                    </w:rPr>
                    <w:t>颗粒物、臭气浓度</w:t>
                  </w:r>
                </w:p>
              </w:tc>
              <w:tc>
                <w:tcPr>
                  <w:tcW w:w="506"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449"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277"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335"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336"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599" w:type="pct"/>
                  <w:vAlign w:val="center"/>
                </w:tcPr>
                <w:p>
                  <w:pPr>
                    <w:pStyle w:val="52"/>
                    <w:spacing w:before="0" w:after="0"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VOCs≤</w:t>
                  </w:r>
                  <w:r>
                    <w:rPr>
                      <w:rFonts w:hint="eastAsia"/>
                      <w:bCs/>
                      <w:color w:val="000000" w:themeColor="text1"/>
                      <w:sz w:val="21"/>
                      <w:szCs w:val="21"/>
                      <w14:textFill>
                        <w14:solidFill>
                          <w14:schemeClr w14:val="tx1"/>
                        </w14:solidFill>
                      </w14:textFill>
                    </w:rPr>
                    <w:t>6</w:t>
                  </w:r>
                  <w:r>
                    <w:rPr>
                      <w:bCs/>
                      <w:color w:val="000000" w:themeColor="text1"/>
                      <w:sz w:val="21"/>
                      <w:szCs w:val="21"/>
                      <w14:textFill>
                        <w14:solidFill>
                          <w14:schemeClr w14:val="tx1"/>
                        </w14:solidFill>
                      </w14:textFill>
                    </w:rPr>
                    <w:t>(1h平均)、</w:t>
                  </w:r>
                  <w:r>
                    <w:rPr>
                      <w:rFonts w:hint="eastAsia"/>
                      <w:bCs/>
                      <w:color w:val="000000" w:themeColor="text1"/>
                      <w:sz w:val="21"/>
                      <w:szCs w:val="21"/>
                      <w14:textFill>
                        <w14:solidFill>
                          <w14:schemeClr w14:val="tx1"/>
                        </w14:solidFill>
                      </w14:textFill>
                    </w:rPr>
                    <w:t>20</w:t>
                  </w:r>
                  <w:r>
                    <w:rPr>
                      <w:bCs/>
                      <w:color w:val="000000" w:themeColor="text1"/>
                      <w:sz w:val="21"/>
                      <w:szCs w:val="21"/>
                      <w14:textFill>
                        <w14:solidFill>
                          <w14:schemeClr w14:val="tx1"/>
                        </w14:solidFill>
                      </w14:textFill>
                    </w:rPr>
                    <w:t>(任意一次)；颗粒物≤120</w:t>
                  </w:r>
                </w:p>
                <w:p>
                  <w:pPr>
                    <w:pStyle w:val="52"/>
                    <w:spacing w:line="240" w:lineRule="auto"/>
                    <w:ind w:firstLine="0" w:firstLineChars="0"/>
                    <w:jc w:val="center"/>
                    <w:rPr>
                      <w:rFonts w:eastAsiaTheme="minorEastAsia"/>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；臭气浓度≤</w:t>
                  </w:r>
                  <w:r>
                    <w:rPr>
                      <w:color w:val="000000" w:themeColor="text1"/>
                      <w:sz w:val="21"/>
                      <w:szCs w:val="21"/>
                      <w14:textFill>
                        <w14:solidFill>
                          <w14:schemeClr w14:val="tx1"/>
                        </w14:solidFill>
                      </w14:textFill>
                    </w:rPr>
                    <w:t>20（无量纲）</w:t>
                  </w:r>
                </w:p>
              </w:tc>
              <w:tc>
                <w:tcPr>
                  <w:tcW w:w="678"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厂界四周</w:t>
                  </w:r>
                </w:p>
              </w:tc>
              <w:tc>
                <w:tcPr>
                  <w:tcW w:w="392"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VOCs</w:t>
                  </w:r>
                  <w:r>
                    <w:rPr>
                      <w:rFonts w:ascii="Times New Roman" w:hAnsi="Times New Roman"/>
                      <w:color w:val="000000" w:themeColor="text1"/>
                      <w:szCs w:val="21"/>
                      <w14:textFill>
                        <w14:solidFill>
                          <w14:schemeClr w14:val="tx1"/>
                        </w14:solidFill>
                      </w14:textFill>
                    </w:rPr>
                    <w:t xml:space="preserve"> 、</w:t>
                  </w:r>
                  <w:r>
                    <w:rPr>
                      <w:rFonts w:ascii="Times New Roman" w:hAnsi="Times New Roman"/>
                      <w:bCs/>
                      <w:color w:val="000000" w:themeColor="text1"/>
                      <w:szCs w:val="21"/>
                      <w14:textFill>
                        <w14:solidFill>
                          <w14:schemeClr w14:val="tx1"/>
                        </w14:solidFill>
                      </w14:textFill>
                    </w:rPr>
                    <w:t>颗粒物、臭气浓度</w:t>
                  </w:r>
                </w:p>
              </w:tc>
              <w:tc>
                <w:tcPr>
                  <w:tcW w:w="436"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1次/半年</w:t>
                  </w:r>
                </w:p>
              </w:tc>
            </w:tr>
          </w:tbl>
          <w:p>
            <w:pPr>
              <w:pStyle w:val="61"/>
              <w:ind w:firstLine="480" w:firstLineChars="0"/>
              <w:rPr>
                <w:rFonts w:eastAsiaTheme="minorEastAsia"/>
                <w:bCs w:val="0"/>
                <w:color w:val="000000" w:themeColor="text1"/>
                <w:szCs w:val="24"/>
                <w14:textFill>
                  <w14:solidFill>
                    <w14:schemeClr w14:val="tx1"/>
                  </w14:solidFill>
                </w14:textFill>
              </w:rPr>
            </w:pPr>
          </w:p>
          <w:p>
            <w:pPr>
              <w:pStyle w:val="61"/>
              <w:ind w:firstLine="480" w:firstLineChars="0"/>
              <w:rPr>
                <w:rFonts w:eastAsiaTheme="minorEastAsia"/>
                <w:bCs w:val="0"/>
                <w:color w:val="000000" w:themeColor="text1"/>
                <w:szCs w:val="24"/>
                <w14:textFill>
                  <w14:solidFill>
                    <w14:schemeClr w14:val="tx1"/>
                  </w14:solidFill>
                </w14:textFill>
              </w:rPr>
            </w:pPr>
            <w:r>
              <w:rPr>
                <w:rFonts w:eastAsiaTheme="minorEastAsia"/>
                <w:bCs w:val="0"/>
                <w:color w:val="000000" w:themeColor="text1"/>
                <w:szCs w:val="24"/>
                <w14:textFill>
                  <w14:solidFill>
                    <w14:schemeClr w14:val="tx1"/>
                  </w14:solidFill>
                </w14:textFill>
              </w:rPr>
              <w:t>（二）工艺废气非正常工况排放废气分析</w:t>
            </w:r>
          </w:p>
          <w:p>
            <w:pPr>
              <w:pStyle w:val="48"/>
              <w:spacing w:line="360" w:lineRule="auto"/>
              <w:ind w:firstLine="480" w:firstLineChars="200"/>
              <w:rPr>
                <w:rFonts w:ascii="Times New Roman" w:cs="Times New Roman"/>
                <w:color w:val="000000" w:themeColor="text1"/>
                <w14:textFill>
                  <w14:solidFill>
                    <w14:schemeClr w14:val="tx1"/>
                  </w14:solidFill>
                </w14:textFill>
              </w:rPr>
            </w:pPr>
            <w:r>
              <w:rPr>
                <w:rFonts w:ascii="Times New Roman" w:cs="Times New Roman"/>
                <w:color w:val="000000" w:themeColor="text1"/>
                <w14:textFill>
                  <w14:solidFill>
                    <w14:schemeClr w14:val="tx1"/>
                  </w14:solidFill>
                </w14:textFill>
              </w:rPr>
              <w:t>项目非正常工况主要为袋式除尘器、水封池喷淋设备发生故障导致，排放情况如下：</w:t>
            </w: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项目非正常工况下废气排放源强</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2"/>
              <w:gridCol w:w="4877"/>
              <w:gridCol w:w="1891"/>
              <w:gridCol w:w="1525"/>
              <w:gridCol w:w="1466"/>
              <w:gridCol w:w="1322"/>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454" w:type="pct"/>
                  <w:shd w:val="clear" w:color="auto" w:fill="auto"/>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非正常排放源</w:t>
                  </w:r>
                </w:p>
              </w:tc>
              <w:tc>
                <w:tcPr>
                  <w:tcW w:w="1826" w:type="pct"/>
                  <w:shd w:val="clear" w:color="auto" w:fill="auto"/>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非正常排放原因</w:t>
                  </w:r>
                </w:p>
              </w:tc>
              <w:tc>
                <w:tcPr>
                  <w:tcW w:w="708" w:type="pct"/>
                  <w:shd w:val="clear" w:color="auto" w:fill="auto"/>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污染物</w:t>
                  </w:r>
                </w:p>
              </w:tc>
              <w:tc>
                <w:tcPr>
                  <w:tcW w:w="571" w:type="pct"/>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非正常最大排放速率（kg/h）</w:t>
                  </w:r>
                </w:p>
              </w:tc>
              <w:tc>
                <w:tcPr>
                  <w:tcW w:w="549" w:type="pct"/>
                  <w:shd w:val="clear" w:color="auto" w:fill="auto"/>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单次持续时间/h</w:t>
                  </w:r>
                </w:p>
              </w:tc>
              <w:tc>
                <w:tcPr>
                  <w:tcW w:w="495" w:type="pct"/>
                  <w:shd w:val="clear" w:color="auto" w:fill="auto"/>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年发生频次/次</w:t>
                  </w:r>
                </w:p>
              </w:tc>
              <w:tc>
                <w:tcPr>
                  <w:tcW w:w="397" w:type="pct"/>
                  <w:shd w:val="clear" w:color="auto" w:fill="auto"/>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restart"/>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生产车间</w:t>
                  </w:r>
                </w:p>
              </w:tc>
              <w:tc>
                <w:tcPr>
                  <w:tcW w:w="1826" w:type="pct"/>
                  <w:shd w:val="clear" w:color="auto" w:fill="auto"/>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袋式除尘器发生故障，</w:t>
                  </w:r>
                  <w:r>
                    <w:rPr>
                      <w:rFonts w:ascii="Times New Roman" w:hAnsi="Times New Roman"/>
                      <w:color w:val="000000" w:themeColor="text1"/>
                      <w:szCs w:val="21"/>
                      <w14:textFill>
                        <w14:solidFill>
                          <w14:schemeClr w14:val="tx1"/>
                        </w14:solidFill>
                      </w14:textFill>
                    </w:rPr>
                    <w:t>去除率为0</w:t>
                  </w:r>
                </w:p>
              </w:tc>
              <w:tc>
                <w:tcPr>
                  <w:tcW w:w="708" w:type="pct"/>
                  <w:shd w:val="clear" w:color="auto" w:fill="auto"/>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position w:val="-10"/>
                      <w:szCs w:val="21"/>
                      <w14:textFill>
                        <w14:solidFill>
                          <w14:schemeClr w14:val="tx1"/>
                        </w14:solidFill>
                      </w14:textFill>
                    </w:rPr>
                    <w:t>颗粒物</w:t>
                  </w:r>
                </w:p>
              </w:tc>
              <w:tc>
                <w:tcPr>
                  <w:tcW w:w="571" w:type="pct"/>
                  <w:shd w:val="clear" w:color="auto" w:fill="auto"/>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0.343</w:t>
                  </w:r>
                </w:p>
              </w:tc>
              <w:tc>
                <w:tcPr>
                  <w:tcW w:w="549" w:type="pct"/>
                  <w:shd w:val="clear" w:color="auto" w:fill="auto"/>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w:t>
                  </w:r>
                </w:p>
              </w:tc>
              <w:tc>
                <w:tcPr>
                  <w:tcW w:w="495" w:type="pct"/>
                  <w:shd w:val="clear" w:color="auto" w:fill="auto"/>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8"/>
                      <w14:textFill>
                        <w14:solidFill>
                          <w14:schemeClr w14:val="tx1"/>
                        </w14:solidFill>
                      </w14:textFill>
                    </w:rPr>
                    <w:t>10</w:t>
                  </w:r>
                  <w:r>
                    <w:rPr>
                      <w:rFonts w:ascii="Times New Roman" w:hAnsi="Times New Roman"/>
                      <w:color w:val="000000" w:themeColor="text1"/>
                      <w:szCs w:val="28"/>
                      <w:vertAlign w:val="superscript"/>
                      <w14:textFill>
                        <w14:solidFill>
                          <w14:schemeClr w14:val="tx1"/>
                        </w14:solidFill>
                      </w14:textFill>
                    </w:rPr>
                    <w:t>-6</w:t>
                  </w:r>
                </w:p>
              </w:tc>
              <w:tc>
                <w:tcPr>
                  <w:tcW w:w="397" w:type="pct"/>
                  <w:vMerge w:val="restart"/>
                  <w:shd w:val="clear" w:color="auto" w:fill="auto"/>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停产</w:t>
                  </w:r>
                </w:p>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检查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continue"/>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p>
              </w:tc>
              <w:tc>
                <w:tcPr>
                  <w:tcW w:w="1826" w:type="pct"/>
                  <w:shd w:val="clear" w:color="auto" w:fill="auto"/>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水封池设备发生故障，</w:t>
                  </w:r>
                  <w:r>
                    <w:rPr>
                      <w:rFonts w:ascii="Times New Roman" w:hAnsi="Times New Roman"/>
                      <w:color w:val="000000" w:themeColor="text1"/>
                      <w:szCs w:val="21"/>
                      <w14:textFill>
                        <w14:solidFill>
                          <w14:schemeClr w14:val="tx1"/>
                        </w14:solidFill>
                      </w14:textFill>
                    </w:rPr>
                    <w:t>去除率为0</w:t>
                  </w:r>
                </w:p>
              </w:tc>
              <w:tc>
                <w:tcPr>
                  <w:tcW w:w="708" w:type="pct"/>
                  <w:shd w:val="clear" w:color="auto" w:fill="auto"/>
                  <w:vAlign w:val="center"/>
                </w:tcPr>
                <w:p>
                  <w:pPr>
                    <w:adjustRightInd w:val="0"/>
                    <w:snapToGrid w:val="0"/>
                    <w:jc w:val="center"/>
                    <w:rPr>
                      <w:rFonts w:ascii="Times New Roman" w:hAnsi="Times New Roman"/>
                      <w:color w:val="000000" w:themeColor="text1"/>
                      <w:position w:val="-10"/>
                      <w:szCs w:val="21"/>
                      <w14:textFill>
                        <w14:solidFill>
                          <w14:schemeClr w14:val="tx1"/>
                        </w14:solidFill>
                      </w14:textFill>
                    </w:rPr>
                  </w:pPr>
                  <w:r>
                    <w:rPr>
                      <w:rFonts w:ascii="Times New Roman" w:hAnsi="Times New Roman"/>
                      <w:color w:val="000000" w:themeColor="text1"/>
                      <w:position w:val="-10"/>
                      <w:szCs w:val="21"/>
                      <w14:textFill>
                        <w14:solidFill>
                          <w14:schemeClr w14:val="tx1"/>
                        </w14:solidFill>
                      </w14:textFill>
                    </w:rPr>
                    <w:t>VOCs</w:t>
                  </w:r>
                </w:p>
              </w:tc>
              <w:tc>
                <w:tcPr>
                  <w:tcW w:w="571" w:type="pct"/>
                  <w:shd w:val="clear" w:color="auto" w:fill="auto"/>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0.461</w:t>
                  </w:r>
                </w:p>
              </w:tc>
              <w:tc>
                <w:tcPr>
                  <w:tcW w:w="549" w:type="pct"/>
                  <w:shd w:val="clear" w:color="auto" w:fill="auto"/>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w:t>
                  </w:r>
                </w:p>
              </w:tc>
              <w:tc>
                <w:tcPr>
                  <w:tcW w:w="495" w:type="pct"/>
                  <w:shd w:val="clear" w:color="auto" w:fill="auto"/>
                  <w:vAlign w:val="center"/>
                </w:tcPr>
                <w:p>
                  <w:pPr>
                    <w:adjustRightInd w:val="0"/>
                    <w:snapToGrid w:val="0"/>
                    <w:jc w:val="center"/>
                    <w:rPr>
                      <w:rFonts w:ascii="Times New Roman" w:hAnsi="Times New Roman"/>
                      <w:color w:val="000000" w:themeColor="text1"/>
                      <w:szCs w:val="28"/>
                      <w14:textFill>
                        <w14:solidFill>
                          <w14:schemeClr w14:val="tx1"/>
                        </w14:solidFill>
                      </w14:textFill>
                    </w:rPr>
                  </w:pPr>
                  <w:r>
                    <w:rPr>
                      <w:rFonts w:ascii="Times New Roman" w:hAnsi="Times New Roman"/>
                      <w:color w:val="000000" w:themeColor="text1"/>
                      <w:szCs w:val="28"/>
                      <w14:textFill>
                        <w14:solidFill>
                          <w14:schemeClr w14:val="tx1"/>
                        </w14:solidFill>
                      </w14:textFill>
                    </w:rPr>
                    <w:t>10</w:t>
                  </w:r>
                  <w:r>
                    <w:rPr>
                      <w:rFonts w:ascii="Times New Roman" w:hAnsi="Times New Roman"/>
                      <w:color w:val="000000" w:themeColor="text1"/>
                      <w:szCs w:val="28"/>
                      <w:vertAlign w:val="superscript"/>
                      <w14:textFill>
                        <w14:solidFill>
                          <w14:schemeClr w14:val="tx1"/>
                        </w14:solidFill>
                      </w14:textFill>
                    </w:rPr>
                    <w:t>-6</w:t>
                  </w:r>
                </w:p>
              </w:tc>
              <w:tc>
                <w:tcPr>
                  <w:tcW w:w="397" w:type="pct"/>
                  <w:vMerge w:val="continue"/>
                  <w:shd w:val="clear" w:color="auto" w:fill="auto"/>
                  <w:vAlign w:val="center"/>
                </w:tcPr>
                <w:p>
                  <w:pPr>
                    <w:adjustRightInd w:val="0"/>
                    <w:snapToGrid w:val="0"/>
                    <w:jc w:val="center"/>
                    <w:rPr>
                      <w:rFonts w:ascii="Times New Roman" w:hAnsi="Times New Roman"/>
                      <w:color w:val="000000" w:themeColor="text1"/>
                      <w:szCs w:val="21"/>
                      <w14:textFill>
                        <w14:solidFill>
                          <w14:schemeClr w14:val="tx1"/>
                        </w14:solidFill>
                      </w14:textFill>
                    </w:rPr>
                  </w:pPr>
                </w:p>
              </w:tc>
            </w:tr>
          </w:tbl>
          <w:p>
            <w:pPr>
              <w:pStyle w:val="61"/>
              <w:ind w:firstLine="480" w:firstLineChars="0"/>
              <w:rPr>
                <w:rFonts w:eastAsiaTheme="minorEastAsia"/>
                <w:color w:val="000000" w:themeColor="text1"/>
                <w14:textFill>
                  <w14:solidFill>
                    <w14:schemeClr w14:val="tx1"/>
                  </w14:solidFill>
                </w14:textFill>
              </w:rPr>
            </w:pPr>
          </w:p>
          <w:p>
            <w:pPr>
              <w:pStyle w:val="61"/>
              <w:ind w:firstLine="480" w:firstLineChars="0"/>
              <w:rPr>
                <w:rFonts w:eastAsiaTheme="minorEastAsia"/>
                <w:bCs w:val="0"/>
                <w:color w:val="000000" w:themeColor="text1"/>
                <w:szCs w:val="24"/>
                <w14:textFill>
                  <w14:solidFill>
                    <w14:schemeClr w14:val="tx1"/>
                  </w14:solidFill>
                </w14:textFill>
              </w:rPr>
            </w:pPr>
            <w:r>
              <w:rPr>
                <w:rFonts w:eastAsiaTheme="minorEastAsia"/>
                <w:color w:val="000000" w:themeColor="text1"/>
                <w14:textFill>
                  <w14:solidFill>
                    <w14:schemeClr w14:val="tx1"/>
                  </w14:solidFill>
                </w14:textFill>
              </w:rPr>
              <w:t>（三）工艺废气处理措施可行性分析及其影响分析</w:t>
            </w:r>
          </w:p>
          <w:p>
            <w:pPr>
              <w:pStyle w:val="61"/>
              <w:ind w:firstLine="480"/>
              <w:rPr>
                <w:rFonts w:eastAsiaTheme="minorEastAsia"/>
                <w:bCs w:val="0"/>
                <w:color w:val="000000" w:themeColor="text1"/>
                <w:szCs w:val="24"/>
                <w14:textFill>
                  <w14:solidFill>
                    <w14:schemeClr w14:val="tx1"/>
                  </w14:solidFill>
                </w14:textFill>
              </w:rPr>
            </w:pPr>
            <w:r>
              <w:rPr>
                <w:rFonts w:eastAsiaTheme="minorEastAsia"/>
                <w:bCs w:val="0"/>
                <w:color w:val="000000" w:themeColor="text1"/>
                <w:szCs w:val="24"/>
                <w14:textFill>
                  <w14:solidFill>
                    <w14:schemeClr w14:val="tx1"/>
                  </w14:solidFill>
                </w14:textFill>
              </w:rPr>
              <w:t>项目生产产生的粉尘颗粒物经袋式除尘器处理、提取浓缩的乙醇经三级冷凝回收及水封池喷淋处理，</w:t>
            </w:r>
            <w:r>
              <w:rPr>
                <w:color w:val="000000" w:themeColor="text1"/>
                <w:kern w:val="0"/>
                <w14:textFill>
                  <w14:solidFill>
                    <w14:schemeClr w14:val="tx1"/>
                  </w14:solidFill>
                </w14:textFill>
              </w:rPr>
              <w:t>根据《排污许可证申请与核发技术规范 制药工业—中成药生产》（</w:t>
            </w:r>
            <w:r>
              <w:rPr>
                <w:color w:val="000000" w:themeColor="text1"/>
                <w14:textFill>
                  <w14:solidFill>
                    <w14:schemeClr w14:val="tx1"/>
                  </w14:solidFill>
                </w14:textFill>
              </w:rPr>
              <w:t>HJ1064-2019</w:t>
            </w:r>
            <w:r>
              <w:rPr>
                <w:color w:val="000000" w:themeColor="text1"/>
                <w:kern w:val="0"/>
                <w14:textFill>
                  <w14:solidFill>
                    <w14:schemeClr w14:val="tx1"/>
                  </w14:solidFill>
                </w14:textFill>
              </w:rPr>
              <w:t>），</w:t>
            </w:r>
            <w:r>
              <w:rPr>
                <w:rFonts w:eastAsiaTheme="minorEastAsia"/>
                <w:bCs w:val="0"/>
                <w:color w:val="000000" w:themeColor="text1"/>
                <w:szCs w:val="24"/>
                <w14:textFill>
                  <w14:solidFill>
                    <w14:schemeClr w14:val="tx1"/>
                  </w14:solidFill>
                </w14:textFill>
              </w:rPr>
              <w:t>为废气污染防治可行技术。天然气锅炉采用低氮燃烧、</w:t>
            </w:r>
            <w:r>
              <w:rPr>
                <w:color w:val="000000" w:themeColor="text1"/>
                <w:kern w:val="0"/>
                <w14:textFill>
                  <w14:solidFill>
                    <w14:schemeClr w14:val="tx1"/>
                  </w14:solidFill>
                </w14:textFill>
              </w:rPr>
              <w:t>根据《排污许可证申请与核发技术规范 锅炉》（HJ953-2018，</w:t>
            </w:r>
            <w:r>
              <w:rPr>
                <w:rFonts w:eastAsiaTheme="minorEastAsia"/>
                <w:bCs w:val="0"/>
                <w:color w:val="000000" w:themeColor="text1"/>
                <w:szCs w:val="24"/>
                <w14:textFill>
                  <w14:solidFill>
                    <w14:schemeClr w14:val="tx1"/>
                  </w14:solidFill>
                </w14:textFill>
              </w:rPr>
              <w:t>为废气污染防治可行技术。</w:t>
            </w:r>
          </w:p>
          <w:p>
            <w:pPr>
              <w:pStyle w:val="61"/>
              <w:ind w:firstLine="480"/>
              <w:rPr>
                <w:rFonts w:eastAsiaTheme="minorEastAsia"/>
                <w:bCs w:val="0"/>
                <w:color w:val="000000" w:themeColor="text1"/>
                <w:szCs w:val="24"/>
                <w14:textFill>
                  <w14:solidFill>
                    <w14:schemeClr w14:val="tx1"/>
                  </w14:solidFill>
                </w14:textFill>
              </w:rPr>
            </w:pPr>
            <w:r>
              <w:rPr>
                <w:rFonts w:eastAsiaTheme="minorEastAsia"/>
                <w:color w:val="000000" w:themeColor="text1"/>
                <w:kern w:val="0"/>
                <w14:textFill>
                  <w14:solidFill>
                    <w14:schemeClr w14:val="tx1"/>
                  </w14:solidFill>
                </w14:textFill>
              </w:rPr>
              <w:t>项目所在区域为大气达标区，距离最近的大气敏感目标为东北面451m的三峰村居民区。项目粉尘颗粒物经袋式除尘器处理后无组织排放，可达到</w:t>
            </w:r>
            <w:r>
              <w:rPr>
                <w:color w:val="000000" w:themeColor="text1"/>
                <w14:textFill>
                  <w14:solidFill>
                    <w14:schemeClr w14:val="tx1"/>
                  </w14:solidFill>
                </w14:textFill>
              </w:rPr>
              <w:t>广东省《大气污染物排放限值》（DB44/27-2001）中第二时段无组织排放点监控浓度限值。</w:t>
            </w:r>
            <w:r>
              <w:rPr>
                <w:rFonts w:eastAsiaTheme="minorEastAsia"/>
                <w:bCs w:val="0"/>
                <w:color w:val="000000" w:themeColor="text1"/>
                <w:szCs w:val="24"/>
                <w14:textFill>
                  <w14:solidFill>
                    <w14:schemeClr w14:val="tx1"/>
                  </w14:solidFill>
                </w14:textFill>
              </w:rPr>
              <w:t>提取浓缩的乙醇经三级冷凝回收及水封吸收处理后，</w:t>
            </w:r>
            <w:r>
              <w:rPr>
                <w:color w:val="000000" w:themeColor="text1"/>
                <w14:textFill>
                  <w14:solidFill>
                    <w14:schemeClr w14:val="tx1"/>
                  </w14:solidFill>
                </w14:textFill>
              </w:rPr>
              <w:t>乙醇不凝气外排量几乎为零；乙醇储罐呼吸损耗经加强通风后，项目VOCs排放</w:t>
            </w:r>
            <w:r>
              <w:rPr>
                <w:rFonts w:eastAsiaTheme="minorEastAsia"/>
                <w:bCs w:val="0"/>
                <w:color w:val="000000" w:themeColor="text1"/>
                <w:szCs w:val="24"/>
                <w14:textFill>
                  <w14:solidFill>
                    <w14:schemeClr w14:val="tx1"/>
                  </w14:solidFill>
                </w14:textFill>
              </w:rPr>
              <w:t>可达到</w:t>
            </w:r>
            <w:r>
              <w:rPr>
                <w:color w:val="000000" w:themeColor="text1"/>
                <w14:textFill>
                  <w14:solidFill>
                    <w14:schemeClr w14:val="tx1"/>
                  </w14:solidFill>
                </w14:textFill>
              </w:rPr>
              <w:t>《制药工业大气污染物排放标准》（GB37823-2019）厂区内VOCs无组织</w:t>
            </w:r>
            <w:r>
              <w:rPr>
                <w:rFonts w:hint="eastAsia"/>
                <w:color w:val="000000" w:themeColor="text1"/>
                <w14:textFill>
                  <w14:solidFill>
                    <w14:schemeClr w14:val="tx1"/>
                  </w14:solidFill>
                </w14:textFill>
              </w:rPr>
              <w:t>特别</w:t>
            </w:r>
            <w:r>
              <w:rPr>
                <w:color w:val="000000" w:themeColor="text1"/>
                <w14:textFill>
                  <w14:solidFill>
                    <w14:schemeClr w14:val="tx1"/>
                  </w14:solidFill>
                </w14:textFill>
              </w:rPr>
              <w:t>排放限值；天然气锅炉低氮燃烧后经由</w:t>
            </w:r>
            <w:r>
              <w:rPr>
                <w:color w:val="000000" w:themeColor="text1"/>
                <w:kern w:val="0"/>
                <w14:textFill>
                  <w14:solidFill>
                    <w14:schemeClr w14:val="tx1"/>
                  </w14:solidFill>
                </w14:textFill>
              </w:rPr>
              <w:t>一根15米的G1排气筒排放，可达到</w:t>
            </w:r>
            <w:r>
              <w:rPr>
                <w:color w:val="000000" w:themeColor="text1"/>
                <w14:textFill>
                  <w14:solidFill>
                    <w14:schemeClr w14:val="tx1"/>
                  </w14:solidFill>
                </w14:textFill>
              </w:rPr>
              <w:t>广东省《锅炉大气污染物排放标准》（DB44/765-2019）表2的排放浓度限值；药渣异味、发酵异味经生产车间空调洁净过滤，污水处理站恶臭经绿化、除臭剂处理，可达到《恶臭污染物排放标准》(GB14554-93)中表1厂界二级标准值。项目废气经上述措施处理后，</w:t>
            </w:r>
            <w:r>
              <w:rPr>
                <w:rFonts w:eastAsiaTheme="minorEastAsia"/>
                <w:bCs w:val="0"/>
                <w:color w:val="000000" w:themeColor="text1"/>
                <w:szCs w:val="24"/>
                <w14:textFill>
                  <w14:solidFill>
                    <w14:schemeClr w14:val="tx1"/>
                  </w14:solidFill>
                </w14:textFill>
              </w:rPr>
              <w:t>对周围大气环境及附近敏感点影响较小。</w:t>
            </w:r>
          </w:p>
          <w:p>
            <w:pPr>
              <w:pStyle w:val="61"/>
              <w:ind w:firstLine="480"/>
              <w:rPr>
                <w:rFonts w:eastAsiaTheme="minorEastAsia"/>
                <w:bCs w:val="0"/>
                <w:color w:val="000000" w:themeColor="text1"/>
                <w:szCs w:val="24"/>
                <w14:textFill>
                  <w14:solidFill>
                    <w14:schemeClr w14:val="tx1"/>
                  </w14:solidFill>
                </w14:textFill>
              </w:rPr>
            </w:pPr>
            <w:r>
              <w:rPr>
                <w:rFonts w:hint="eastAsia" w:eastAsiaTheme="minorEastAsia"/>
                <w:bCs w:val="0"/>
                <w:color w:val="000000" w:themeColor="text1"/>
                <w:szCs w:val="24"/>
                <w14:textFill>
                  <w14:solidFill>
                    <w14:schemeClr w14:val="tx1"/>
                  </w14:solidFill>
                </w14:textFill>
              </w:rPr>
              <w:t>项目非正常工况下主要为袋式除尘器、水封池喷淋设备发生故障导致颗粒物排放0343kg/h，VOCs 0.461kg/h，对周边环境空气的影响会高于正常排放的影响，本建设单位营运期应定期检查废气处理系统的运转情况，一旦发生故障，应立即停产，及时采取处理措施检修。停产后，项目对周边大气环境不存在影响。</w:t>
            </w:r>
          </w:p>
          <w:p>
            <w:pPr>
              <w:spacing w:line="360" w:lineRule="auto"/>
              <w:ind w:firstLine="482" w:firstLineChars="200"/>
              <w:rPr>
                <w:rFonts w:ascii="Times New Roman" w:hAnsi="Times New Roman"/>
                <w:color w:val="000000" w:themeColor="text1"/>
                <w:sz w:val="24"/>
                <w14:textFill>
                  <w14:solidFill>
                    <w14:schemeClr w14:val="tx1"/>
                  </w14:solidFill>
                </w14:textFill>
              </w:rPr>
            </w:pPr>
            <w:r>
              <w:rPr>
                <w:rFonts w:ascii="Times New Roman" w:hAnsi="Times New Roman"/>
                <w:b/>
                <w:bCs/>
                <w:color w:val="000000" w:themeColor="text1"/>
                <w:kern w:val="0"/>
                <w:sz w:val="24"/>
                <w14:textFill>
                  <w14:solidFill>
                    <w14:schemeClr w14:val="tx1"/>
                  </w14:solidFill>
                </w14:textFill>
              </w:rPr>
              <w:t>二、废水</w:t>
            </w:r>
          </w:p>
          <w:p>
            <w:pPr>
              <w:pStyle w:val="84"/>
              <w:autoSpaceDE/>
              <w:autoSpaceDN/>
              <w:snapToGrid w:val="0"/>
              <w:spacing w:line="360" w:lineRule="auto"/>
              <w:ind w:firstLine="476" w:firstLineChars="200"/>
              <w:textAlignment w:val="baseline"/>
              <w:rPr>
                <w:rFonts w:hAnsi="Times New Roman"/>
                <w:color w:val="000000" w:themeColor="text1"/>
                <w:sz w:val="24"/>
                <w14:textFill>
                  <w14:solidFill>
                    <w14:schemeClr w14:val="tx1"/>
                  </w14:solidFill>
                </w14:textFill>
              </w:rPr>
            </w:pPr>
            <w:r>
              <w:rPr>
                <w:rFonts w:hAnsi="Times New Roman"/>
                <w:color w:val="000000" w:themeColor="text1"/>
                <w:sz w:val="24"/>
                <w14:textFill>
                  <w14:solidFill>
                    <w14:schemeClr w14:val="tx1"/>
                  </w14:solidFill>
                </w14:textFill>
              </w:rPr>
              <w:t>项目废水产生环节主要为</w:t>
            </w:r>
            <w:r>
              <w:rPr>
                <w:rFonts w:hint="eastAsia" w:ascii="宋体" w:hAnsi="宋体" w:cs="宋体"/>
                <w:color w:val="000000" w:themeColor="text1"/>
                <w:sz w:val="24"/>
                <w14:textFill>
                  <w14:solidFill>
                    <w14:schemeClr w14:val="tx1"/>
                  </w14:solidFill>
                </w14:textFill>
              </w:rPr>
              <w:t>①</w:t>
            </w:r>
            <w:r>
              <w:rPr>
                <w:rFonts w:hAnsi="Times New Roman"/>
                <w:color w:val="000000" w:themeColor="text1"/>
                <w:sz w:val="24"/>
                <w14:textFill>
                  <w14:solidFill>
                    <w14:schemeClr w14:val="tx1"/>
                  </w14:solidFill>
                </w14:textFill>
              </w:rPr>
              <w:t>前处理车间：药材清洗废水；</w:t>
            </w:r>
            <w:r>
              <w:rPr>
                <w:rFonts w:hint="eastAsia" w:ascii="宋体" w:hAnsi="宋体" w:cs="宋体"/>
                <w:color w:val="000000" w:themeColor="text1"/>
                <w:sz w:val="24"/>
                <w14:textFill>
                  <w14:solidFill>
                    <w14:schemeClr w14:val="tx1"/>
                  </w14:solidFill>
                </w14:textFill>
              </w:rPr>
              <w:t>②</w:t>
            </w:r>
            <w:r>
              <w:rPr>
                <w:rFonts w:hAnsi="Times New Roman"/>
                <w:color w:val="000000" w:themeColor="text1"/>
                <w:sz w:val="24"/>
                <w14:textFill>
                  <w14:solidFill>
                    <w14:schemeClr w14:val="tx1"/>
                  </w14:solidFill>
                </w14:textFill>
              </w:rPr>
              <w:t>水提浓缩蒸馏废水；</w:t>
            </w:r>
            <w:r>
              <w:rPr>
                <w:rFonts w:hint="eastAsia" w:ascii="宋体" w:hAnsi="宋体" w:cs="宋体"/>
                <w:color w:val="000000" w:themeColor="text1"/>
                <w:sz w:val="24"/>
                <w14:textFill>
                  <w14:solidFill>
                    <w14:schemeClr w14:val="tx1"/>
                  </w14:solidFill>
                </w14:textFill>
              </w:rPr>
              <w:t>③</w:t>
            </w:r>
            <w:r>
              <w:rPr>
                <w:rFonts w:hAnsi="Times New Roman"/>
                <w:color w:val="000000" w:themeColor="text1"/>
                <w:sz w:val="24"/>
                <w14:textFill>
                  <w14:solidFill>
                    <w14:schemeClr w14:val="tx1"/>
                  </w14:solidFill>
                </w14:textFill>
              </w:rPr>
              <w:t>香茅草的含油废水；</w:t>
            </w:r>
            <w:r>
              <w:rPr>
                <w:rFonts w:hint="eastAsia" w:ascii="宋体" w:hAnsi="宋体" w:cs="宋体"/>
                <w:color w:val="000000" w:themeColor="text1"/>
                <w:sz w:val="24"/>
                <w14:textFill>
                  <w14:solidFill>
                    <w14:schemeClr w14:val="tx1"/>
                  </w14:solidFill>
                </w14:textFill>
              </w:rPr>
              <w:t>④</w:t>
            </w:r>
            <w:r>
              <w:rPr>
                <w:rFonts w:hAnsi="Times New Roman"/>
                <w:color w:val="000000" w:themeColor="text1"/>
                <w:sz w:val="24"/>
                <w14:textFill>
                  <w14:solidFill>
                    <w14:schemeClr w14:val="tx1"/>
                  </w14:solidFill>
                </w14:textFill>
              </w:rPr>
              <w:t>乙醇回收塔蒸馏后残留水溶液；</w:t>
            </w:r>
            <w:r>
              <w:rPr>
                <w:rFonts w:hint="eastAsia" w:ascii="宋体" w:hAnsi="宋体" w:cs="宋体"/>
                <w:color w:val="000000" w:themeColor="text1"/>
                <w:sz w:val="24"/>
                <w14:textFill>
                  <w14:solidFill>
                    <w14:schemeClr w14:val="tx1"/>
                  </w14:solidFill>
                </w14:textFill>
              </w:rPr>
              <w:t>⑤</w:t>
            </w:r>
            <w:r>
              <w:rPr>
                <w:rFonts w:hAnsi="Times New Roman"/>
                <w:color w:val="000000" w:themeColor="text1"/>
                <w:sz w:val="24"/>
                <w14:textFill>
                  <w14:solidFill>
                    <w14:schemeClr w14:val="tx1"/>
                  </w14:solidFill>
                </w14:textFill>
              </w:rPr>
              <w:t>罐体及设备清洗废水；</w:t>
            </w:r>
            <w:r>
              <w:rPr>
                <w:rFonts w:hint="eastAsia" w:ascii="宋体" w:hAnsi="宋体" w:cs="宋体"/>
                <w:color w:val="000000" w:themeColor="text1"/>
                <w:sz w:val="24"/>
                <w14:textFill>
                  <w14:solidFill>
                    <w14:schemeClr w14:val="tx1"/>
                  </w14:solidFill>
                </w14:textFill>
              </w:rPr>
              <w:t>⑥</w:t>
            </w:r>
            <w:r>
              <w:rPr>
                <w:rFonts w:hAnsi="Times New Roman"/>
                <w:color w:val="000000" w:themeColor="text1"/>
                <w:sz w:val="24"/>
                <w14:textFill>
                  <w14:solidFill>
                    <w14:schemeClr w14:val="tx1"/>
                  </w14:solidFill>
                </w14:textFill>
              </w:rPr>
              <w:t>车间地面清洗废水；</w:t>
            </w:r>
            <w:r>
              <w:rPr>
                <w:rFonts w:hint="eastAsia" w:ascii="宋体" w:hAnsi="宋体" w:cs="宋体"/>
                <w:color w:val="000000" w:themeColor="text1"/>
                <w:sz w:val="24"/>
                <w14:textFill>
                  <w14:solidFill>
                    <w14:schemeClr w14:val="tx1"/>
                  </w14:solidFill>
                </w14:textFill>
              </w:rPr>
              <w:t>⑦</w:t>
            </w:r>
            <w:r>
              <w:rPr>
                <w:rFonts w:hAnsi="Times New Roman"/>
                <w:color w:val="000000" w:themeColor="text1"/>
                <w:sz w:val="24"/>
                <w14:textFill>
                  <w14:solidFill>
                    <w14:schemeClr w14:val="tx1"/>
                  </w14:solidFill>
                </w14:textFill>
              </w:rPr>
              <w:t>冷却塔更换废水；</w:t>
            </w:r>
            <w:r>
              <w:rPr>
                <w:rFonts w:hint="eastAsia" w:ascii="宋体" w:hAnsi="宋体" w:cs="宋体"/>
                <w:color w:val="000000" w:themeColor="text1"/>
                <w:sz w:val="24"/>
                <w14:textFill>
                  <w14:solidFill>
                    <w14:schemeClr w14:val="tx1"/>
                  </w14:solidFill>
                </w14:textFill>
              </w:rPr>
              <w:t>⑧</w:t>
            </w:r>
            <w:r>
              <w:rPr>
                <w:rFonts w:hAnsi="Times New Roman"/>
                <w:color w:val="000000" w:themeColor="text1"/>
                <w:sz w:val="24"/>
                <w14:textFill>
                  <w14:solidFill>
                    <w14:schemeClr w14:val="tx1"/>
                  </w14:solidFill>
                </w14:textFill>
              </w:rPr>
              <w:t>锅炉软化废水；</w:t>
            </w:r>
            <w:r>
              <w:rPr>
                <w:rFonts w:hint="eastAsia" w:ascii="宋体" w:hAnsi="宋体" w:cs="宋体"/>
                <w:color w:val="000000" w:themeColor="text1"/>
                <w:sz w:val="24"/>
                <w14:textFill>
                  <w14:solidFill>
                    <w14:schemeClr w14:val="tx1"/>
                  </w14:solidFill>
                </w14:textFill>
              </w:rPr>
              <w:t>⑨</w:t>
            </w:r>
            <w:r>
              <w:rPr>
                <w:rFonts w:hAnsi="Times New Roman"/>
                <w:color w:val="000000" w:themeColor="text1"/>
                <w:sz w:val="24"/>
                <w14:textFill>
                  <w14:solidFill>
                    <w14:schemeClr w14:val="tx1"/>
                  </w14:solidFill>
                </w14:textFill>
              </w:rPr>
              <w:t>纯水制备浓水；</w:t>
            </w:r>
            <w:r>
              <w:rPr>
                <w:rFonts w:hint="eastAsia" w:ascii="宋体" w:hAnsi="宋体" w:cs="宋体"/>
                <w:color w:val="000000" w:themeColor="text1"/>
                <w:sz w:val="24"/>
                <w14:textFill>
                  <w14:solidFill>
                    <w14:schemeClr w14:val="tx1"/>
                  </w14:solidFill>
                </w14:textFill>
              </w:rPr>
              <w:t>⑩</w:t>
            </w:r>
            <w:r>
              <w:rPr>
                <w:rFonts w:hAnsi="Times New Roman"/>
                <w:color w:val="000000" w:themeColor="text1"/>
                <w:sz w:val="24"/>
                <w14:textFill>
                  <w14:solidFill>
                    <w14:schemeClr w14:val="tx1"/>
                  </w14:solidFill>
                </w14:textFill>
              </w:rPr>
              <w:t>水封吸收池废水；</w:t>
            </w:r>
            <w:r>
              <w:rPr>
                <w:rFonts w:ascii="Cambria Math" w:hAnsi="Cambria Math" w:cs="Cambria Math"/>
                <w:color w:val="000000" w:themeColor="text1"/>
                <w:sz w:val="21"/>
                <w:shd w:val="clear" w:color="auto" w:fill="FFFFFF"/>
                <w14:textFill>
                  <w14:solidFill>
                    <w14:schemeClr w14:val="tx1"/>
                  </w14:solidFill>
                </w14:textFill>
              </w:rPr>
              <w:t>⑪</w:t>
            </w:r>
            <w:r>
              <w:rPr>
                <w:rFonts w:hAnsi="Times New Roman"/>
                <w:color w:val="000000" w:themeColor="text1"/>
                <w:sz w:val="24"/>
                <w14:textFill>
                  <w14:solidFill>
                    <w14:schemeClr w14:val="tx1"/>
                  </w14:solidFill>
                </w14:textFill>
              </w:rPr>
              <w:t>员工生活污水。</w:t>
            </w:r>
          </w:p>
          <w:p>
            <w:pPr>
              <w:pStyle w:val="84"/>
              <w:autoSpaceDE/>
              <w:autoSpaceDN/>
              <w:snapToGrid w:val="0"/>
              <w:spacing w:line="360" w:lineRule="auto"/>
              <w:ind w:firstLine="476" w:firstLineChars="200"/>
              <w:textAlignment w:val="baseline"/>
              <w:rPr>
                <w:rFonts w:hAnsi="Times New Roman"/>
                <w:color w:val="000000" w:themeColor="text1"/>
                <w:sz w:val="24"/>
                <w14:textFill>
                  <w14:solidFill>
                    <w14:schemeClr w14:val="tx1"/>
                  </w14:solidFill>
                </w14:textFill>
              </w:rPr>
            </w:pPr>
            <w:r>
              <w:rPr>
                <w:rFonts w:hAnsi="Times New Roman"/>
                <w:color w:val="000000" w:themeColor="text1"/>
                <w:sz w:val="24"/>
                <w14:textFill>
                  <w14:solidFill>
                    <w14:schemeClr w14:val="tx1"/>
                  </w14:solidFill>
                </w14:textFill>
              </w:rPr>
              <w:t>（一）生产废水</w:t>
            </w:r>
          </w:p>
          <w:p>
            <w:pPr>
              <w:pStyle w:val="84"/>
              <w:autoSpaceDE/>
              <w:autoSpaceDN/>
              <w:snapToGrid w:val="0"/>
              <w:spacing w:line="360" w:lineRule="auto"/>
              <w:ind w:firstLine="476" w:firstLineChars="200"/>
              <w:textAlignment w:val="baseline"/>
              <w:rPr>
                <w:rFonts w:hAnsi="Times New Roman"/>
                <w:color w:val="000000" w:themeColor="text1"/>
                <w:sz w:val="24"/>
                <w14:textFill>
                  <w14:solidFill>
                    <w14:schemeClr w14:val="tx1"/>
                  </w14:solidFill>
                </w14:textFill>
              </w:rPr>
            </w:pPr>
            <w:r>
              <w:rPr>
                <w:rFonts w:hAnsi="Times New Roman"/>
                <w:color w:val="000000" w:themeColor="text1"/>
                <w:sz w:val="24"/>
                <w14:textFill>
                  <w14:solidFill>
                    <w14:schemeClr w14:val="tx1"/>
                  </w14:solidFill>
                </w14:textFill>
              </w:rPr>
              <w:t>1、生产废水源强分析</w:t>
            </w:r>
          </w:p>
          <w:p>
            <w:pPr>
              <w:pStyle w:val="84"/>
              <w:autoSpaceDE/>
              <w:autoSpaceDN/>
              <w:snapToGrid w:val="0"/>
              <w:spacing w:line="360" w:lineRule="auto"/>
              <w:ind w:firstLine="476" w:firstLineChars="200"/>
              <w:textAlignment w:val="baseline"/>
              <w:rPr>
                <w:rFonts w:hAnsi="Times New Roman"/>
                <w:color w:val="000000" w:themeColor="text1"/>
                <w:sz w:val="24"/>
                <w14:textFill>
                  <w14:solidFill>
                    <w14:schemeClr w14:val="tx1"/>
                  </w14:solidFill>
                </w14:textFill>
              </w:rPr>
            </w:pPr>
            <w:r>
              <w:rPr>
                <w:rFonts w:hAnsi="Times New Roman"/>
                <w:color w:val="000000" w:themeColor="text1"/>
                <w:sz w:val="24"/>
                <w14:textFill>
                  <w14:solidFill>
                    <w14:schemeClr w14:val="tx1"/>
                  </w14:solidFill>
                </w14:textFill>
              </w:rPr>
              <w:t>（1）药材清洗废水</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hint="eastAsia" w:ascii="Times New Roman" w:hAnsi="Times New Roman"/>
                <w:color w:val="000000" w:themeColor="text1"/>
                <w:sz w:val="24"/>
                <w14:textFill>
                  <w14:solidFill>
                    <w14:schemeClr w14:val="tx1"/>
                  </w14:solidFill>
                </w14:textFill>
              </w:rPr>
              <w:t>项目</w:t>
            </w:r>
            <w:r>
              <w:rPr>
                <w:rFonts w:ascii="Times New Roman" w:hAnsi="Times New Roman"/>
                <w:color w:val="000000" w:themeColor="text1"/>
                <w:sz w:val="24"/>
                <w14:textFill>
                  <w14:solidFill>
                    <w14:schemeClr w14:val="tx1"/>
                  </w14:solidFill>
                </w14:textFill>
              </w:rPr>
              <w:t>在提取前需对药材进行前处理清洗，药材清洗用自来水大概控制在1:8的比例，</w:t>
            </w:r>
            <w:r>
              <w:rPr>
                <w:rFonts w:hint="eastAsia" w:ascii="Times New Roman" w:hAnsi="Times New Roman"/>
                <w:color w:val="000000" w:themeColor="text1"/>
                <w:sz w:val="24"/>
                <w14:textFill>
                  <w14:solidFill>
                    <w14:schemeClr w14:val="tx1"/>
                  </w14:solidFill>
                </w14:textFill>
              </w:rPr>
              <w:t>项目需清洗药材88.918t/a，因此</w:t>
            </w:r>
            <w:r>
              <w:rPr>
                <w:rFonts w:ascii="Times New Roman" w:hAnsi="Times New Roman"/>
                <w:color w:val="000000" w:themeColor="text1"/>
                <w:sz w:val="24"/>
                <w14:textFill>
                  <w14:solidFill>
                    <w14:schemeClr w14:val="tx1"/>
                  </w14:solidFill>
                </w14:textFill>
              </w:rPr>
              <w:t>清洗用水量约714t/a。</w:t>
            </w:r>
            <w:r>
              <w:rPr>
                <w:rFonts w:hint="eastAsia" w:ascii="Times New Roman" w:hAnsi="Times New Roman"/>
                <w:color w:val="000000" w:themeColor="text1"/>
                <w:sz w:val="24"/>
                <w14:textFill>
                  <w14:solidFill>
                    <w14:schemeClr w14:val="tx1"/>
                  </w14:solidFill>
                </w14:textFill>
              </w:rPr>
              <w:t>根据企业生产设计资料，</w:t>
            </w:r>
            <w:r>
              <w:rPr>
                <w:rFonts w:ascii="Times New Roman" w:hAnsi="Times New Roman"/>
                <w:color w:val="000000" w:themeColor="text1"/>
                <w:sz w:val="24"/>
                <w14:textFill>
                  <w14:solidFill>
                    <w14:schemeClr w14:val="tx1"/>
                  </w14:solidFill>
                </w14:textFill>
              </w:rPr>
              <w:t>清洗过程损耗量按用水量的10%计、清洗后中药带出水量按中药的</w:t>
            </w:r>
            <w:r>
              <w:rPr>
                <w:rFonts w:hint="eastAsia" w:ascii="Times New Roman" w:hAnsi="Times New Roman"/>
                <w:color w:val="000000" w:themeColor="text1"/>
                <w:sz w:val="24"/>
                <w14:textFill>
                  <w14:solidFill>
                    <w14:schemeClr w14:val="tx1"/>
                  </w14:solidFill>
                </w14:textFill>
              </w:rPr>
              <w:t>30</w:t>
            </w:r>
            <w:r>
              <w:rPr>
                <w:rFonts w:ascii="Times New Roman" w:hAnsi="Times New Roman"/>
                <w:color w:val="000000" w:themeColor="text1"/>
                <w:sz w:val="24"/>
                <w14:textFill>
                  <w14:solidFill>
                    <w14:schemeClr w14:val="tx1"/>
                  </w14:solidFill>
                </w14:textFill>
              </w:rPr>
              <w:t>%计，因此，药材清洗废水产生量为605.3t/a，主要污染物为SS等，</w:t>
            </w:r>
            <w:r>
              <w:rPr>
                <w:rFonts w:ascii="Times New Roman" w:hAnsi="Times New Roman" w:eastAsia="宋体"/>
                <w:color w:val="000000" w:themeColor="text1"/>
                <w:sz w:val="24"/>
                <w:szCs w:val="20"/>
                <w14:textFill>
                  <w14:solidFill>
                    <w14:schemeClr w14:val="tx1"/>
                  </w14:solidFill>
                </w14:textFill>
              </w:rPr>
              <w:t>经厂区自建污水处理站处理达标后，排入园区工业污水处理厂。</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（2）水提浓缩蒸馏废水</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根据工艺需求，水提工序饮用水用量为</w:t>
            </w:r>
            <w:r>
              <w:rPr>
                <w:rFonts w:ascii="Times New Roman" w:hAnsi="Times New Roman"/>
                <w:color w:val="000000" w:themeColor="text1"/>
                <w:sz w:val="24"/>
                <w14:textFill>
                  <w14:solidFill>
                    <w14:schemeClr w14:val="tx1"/>
                  </w14:solidFill>
                </w14:textFill>
              </w:rPr>
              <w:t>15t/t药材，</w:t>
            </w:r>
            <w:r>
              <w:rPr>
                <w:rFonts w:hint="eastAsia" w:ascii="Times New Roman" w:hAnsi="Times New Roman"/>
                <w:color w:val="000000" w:themeColor="text1"/>
                <w:sz w:val="24"/>
                <w14:textFill>
                  <w14:solidFill>
                    <w14:schemeClr w14:val="tx1"/>
                  </w14:solidFill>
                </w14:textFill>
              </w:rPr>
              <w:t>项目水提工序药材约79.389t/a，</w:t>
            </w:r>
            <w:r>
              <w:rPr>
                <w:rFonts w:ascii="Times New Roman" w:hAnsi="Times New Roman"/>
                <w:color w:val="000000" w:themeColor="text1"/>
                <w:sz w:val="24"/>
                <w14:textFill>
                  <w14:solidFill>
                    <w14:schemeClr w14:val="tx1"/>
                  </w14:solidFill>
                </w14:textFill>
              </w:rPr>
              <w:t>饮用水用水量1194t/a</w:t>
            </w:r>
            <w:r>
              <w:rPr>
                <w:rFonts w:ascii="Times New Roman" w:hAnsi="Times New Roman" w:eastAsia="宋体"/>
                <w:color w:val="000000" w:themeColor="text1"/>
                <w:sz w:val="24"/>
                <w:szCs w:val="20"/>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根据企业生产设计资料，</w:t>
            </w:r>
            <w:r>
              <w:rPr>
                <w:rFonts w:ascii="Times New Roman" w:hAnsi="Times New Roman" w:eastAsia="宋体"/>
                <w:color w:val="000000" w:themeColor="text1"/>
                <w:sz w:val="24"/>
                <w:szCs w:val="20"/>
                <w14:textFill>
                  <w14:solidFill>
                    <w14:schemeClr w14:val="tx1"/>
                  </w14:solidFill>
                </w14:textFill>
              </w:rPr>
              <w:t>考虑水提过滤后药渣含水30%、真空浓缩后浸膏含水</w:t>
            </w:r>
            <w:r>
              <w:rPr>
                <w:rFonts w:hint="eastAsia" w:ascii="Times New Roman" w:hAnsi="Times New Roman" w:eastAsia="宋体"/>
                <w:color w:val="000000" w:themeColor="text1"/>
                <w:sz w:val="24"/>
                <w:szCs w:val="20"/>
                <w14:textFill>
                  <w14:solidFill>
                    <w14:schemeClr w14:val="tx1"/>
                  </w14:solidFill>
                </w14:textFill>
              </w:rPr>
              <w:t>不高于</w:t>
            </w:r>
            <w:r>
              <w:rPr>
                <w:rFonts w:ascii="Times New Roman" w:hAnsi="Times New Roman" w:eastAsia="宋体"/>
                <w:color w:val="000000" w:themeColor="text1"/>
                <w:sz w:val="24"/>
                <w:szCs w:val="20"/>
                <w14:textFill>
                  <w14:solidFill>
                    <w14:schemeClr w14:val="tx1"/>
                  </w14:solidFill>
                </w14:textFill>
              </w:rPr>
              <w:t>5%，因此根据物料平衡真空浓缩产生的水提浓缩蒸馏废水产生量为1166.404t/a，主要污染物为</w:t>
            </w:r>
            <w:r>
              <w:rPr>
                <w:rFonts w:ascii="Times New Roman" w:hAnsi="Times New Roman"/>
                <w:color w:val="000000" w:themeColor="text1"/>
                <w:sz w:val="24"/>
                <w:szCs w:val="21"/>
                <w14:textFill>
                  <w14:solidFill>
                    <w14:schemeClr w14:val="tx1"/>
                  </w14:solidFill>
                </w14:textFill>
              </w:rPr>
              <w:t>CODcr、BOD</w:t>
            </w:r>
            <w:r>
              <w:rPr>
                <w:rFonts w:ascii="Times New Roman" w:hAnsi="Times New Roman"/>
                <w:color w:val="000000" w:themeColor="text1"/>
                <w:sz w:val="24"/>
                <w:szCs w:val="21"/>
                <w:vertAlign w:val="subscript"/>
                <w14:textFill>
                  <w14:solidFill>
                    <w14:schemeClr w14:val="tx1"/>
                  </w14:solidFill>
                </w14:textFill>
              </w:rPr>
              <w:t>5</w:t>
            </w:r>
            <w:r>
              <w:rPr>
                <w:rFonts w:ascii="Times New Roman" w:hAnsi="Times New Roman"/>
                <w:color w:val="000000" w:themeColor="text1"/>
                <w:sz w:val="24"/>
                <w:szCs w:val="21"/>
                <w14:textFill>
                  <w14:solidFill>
                    <w14:schemeClr w14:val="tx1"/>
                  </w14:solidFill>
                </w14:textFill>
              </w:rPr>
              <w:t>、SS、NH</w:t>
            </w:r>
            <w:r>
              <w:rPr>
                <w:rFonts w:ascii="Times New Roman" w:hAnsi="Times New Roman"/>
                <w:color w:val="000000" w:themeColor="text1"/>
                <w:sz w:val="24"/>
                <w:szCs w:val="21"/>
                <w:vertAlign w:val="subscript"/>
                <w14:textFill>
                  <w14:solidFill>
                    <w14:schemeClr w14:val="tx1"/>
                  </w14:solidFill>
                </w14:textFill>
              </w:rPr>
              <w:t>3</w:t>
            </w:r>
            <w:r>
              <w:rPr>
                <w:rFonts w:ascii="Times New Roman" w:hAnsi="Times New Roman"/>
                <w:color w:val="000000" w:themeColor="text1"/>
                <w:sz w:val="24"/>
                <w:szCs w:val="21"/>
                <w14:textFill>
                  <w14:solidFill>
                    <w14:schemeClr w14:val="tx1"/>
                  </w14:solidFill>
                </w14:textFill>
              </w:rPr>
              <w:t>-N</w:t>
            </w:r>
            <w:r>
              <w:rPr>
                <w:rFonts w:ascii="Times New Roman" w:hAnsi="Times New Roman" w:eastAsia="宋体"/>
                <w:color w:val="000000" w:themeColor="text1"/>
                <w:sz w:val="24"/>
                <w:szCs w:val="20"/>
                <w14:textFill>
                  <w14:solidFill>
                    <w14:schemeClr w14:val="tx1"/>
                  </w14:solidFill>
                </w14:textFill>
              </w:rPr>
              <w:t>等，经厂区自建污水处理站处理达标后，排入园区工业污水处理厂。</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（3）</w:t>
            </w:r>
            <w:r>
              <w:rPr>
                <w:rFonts w:ascii="Times New Roman" w:hAnsi="Times New Roman"/>
                <w:color w:val="000000" w:themeColor="text1"/>
                <w:sz w:val="24"/>
                <w14:textFill>
                  <w14:solidFill>
                    <w14:schemeClr w14:val="tx1"/>
                  </w14:solidFill>
                </w14:textFill>
              </w:rPr>
              <w:t>含油废水</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香茅草蒸馏过程采取水蒸气直接接触蒸馏方式进行，</w:t>
            </w:r>
            <w:r>
              <w:rPr>
                <w:rFonts w:hint="eastAsia" w:ascii="Times New Roman" w:hAnsi="Times New Roman" w:eastAsia="宋体"/>
                <w:color w:val="000000" w:themeColor="text1"/>
                <w:sz w:val="24"/>
                <w:szCs w:val="20"/>
                <w14:textFill>
                  <w14:solidFill>
                    <w14:schemeClr w14:val="tx1"/>
                  </w14:solidFill>
                </w14:textFill>
              </w:rPr>
              <w:t>水蒸气用量为0.504t/t香茅草，项目外购香茅草240t/a，因此</w:t>
            </w:r>
            <w:r>
              <w:rPr>
                <w:rFonts w:ascii="Times New Roman" w:hAnsi="Times New Roman" w:eastAsia="宋体"/>
                <w:color w:val="000000" w:themeColor="text1"/>
                <w:sz w:val="24"/>
                <w:szCs w:val="20"/>
                <w14:textFill>
                  <w14:solidFill>
                    <w14:schemeClr w14:val="tx1"/>
                  </w14:solidFill>
                </w14:textFill>
              </w:rPr>
              <w:t>水蒸气用量为121t/a</w:t>
            </w:r>
            <w:r>
              <w:rPr>
                <w:rFonts w:hint="eastAsia" w:ascii="Times New Roman" w:hAnsi="Times New Roman" w:eastAsia="宋体"/>
                <w:color w:val="000000" w:themeColor="text1"/>
                <w:sz w:val="24"/>
                <w:szCs w:val="20"/>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根据企业生产设计资料，</w:t>
            </w:r>
            <w:r>
              <w:rPr>
                <w:rFonts w:ascii="Times New Roman" w:hAnsi="Times New Roman" w:eastAsia="宋体"/>
                <w:color w:val="000000" w:themeColor="text1"/>
                <w:sz w:val="24"/>
                <w:szCs w:val="20"/>
                <w14:textFill>
                  <w14:solidFill>
                    <w14:schemeClr w14:val="tx1"/>
                  </w14:solidFill>
                </w14:textFill>
              </w:rPr>
              <w:t>考虑15%的蒸发损耗、过滤后</w:t>
            </w:r>
            <w:r>
              <w:rPr>
                <w:rFonts w:ascii="Times New Roman" w:hAnsi="Times New Roman"/>
                <w:color w:val="000000" w:themeColor="text1"/>
                <w:sz w:val="24"/>
                <w14:textFill>
                  <w14:solidFill>
                    <w14:schemeClr w14:val="tx1"/>
                  </w14:solidFill>
                </w14:textFill>
              </w:rPr>
              <w:t>药渣含水10%，</w:t>
            </w:r>
            <w:r>
              <w:rPr>
                <w:rFonts w:ascii="Times New Roman" w:hAnsi="Times New Roman" w:eastAsia="宋体"/>
                <w:color w:val="000000" w:themeColor="text1"/>
                <w:sz w:val="24"/>
                <w:szCs w:val="20"/>
                <w14:textFill>
                  <w14:solidFill>
                    <w14:schemeClr w14:val="tx1"/>
                  </w14:solidFill>
                </w14:textFill>
              </w:rPr>
              <w:t>因此根据物料平衡油水分离时产生含油废水76.6t/a，主要污染物为</w:t>
            </w:r>
            <w:r>
              <w:rPr>
                <w:rFonts w:ascii="Times New Roman" w:hAnsi="Times New Roman"/>
                <w:color w:val="000000" w:themeColor="text1"/>
                <w:sz w:val="24"/>
                <w:szCs w:val="21"/>
                <w14:textFill>
                  <w14:solidFill>
                    <w14:schemeClr w14:val="tx1"/>
                  </w14:solidFill>
                </w14:textFill>
              </w:rPr>
              <w:t>CODcr、BOD</w:t>
            </w:r>
            <w:r>
              <w:rPr>
                <w:rFonts w:ascii="Times New Roman" w:hAnsi="Times New Roman"/>
                <w:color w:val="000000" w:themeColor="text1"/>
                <w:sz w:val="24"/>
                <w:szCs w:val="21"/>
                <w:vertAlign w:val="subscript"/>
                <w14:textFill>
                  <w14:solidFill>
                    <w14:schemeClr w14:val="tx1"/>
                  </w14:solidFill>
                </w14:textFill>
              </w:rPr>
              <w:t>5</w:t>
            </w:r>
            <w:r>
              <w:rPr>
                <w:rFonts w:ascii="Times New Roman" w:hAnsi="Times New Roman"/>
                <w:color w:val="000000" w:themeColor="text1"/>
                <w:sz w:val="24"/>
                <w:szCs w:val="21"/>
                <w14:textFill>
                  <w14:solidFill>
                    <w14:schemeClr w14:val="tx1"/>
                  </w14:solidFill>
                </w14:textFill>
              </w:rPr>
              <w:t>、SS、NH</w:t>
            </w:r>
            <w:r>
              <w:rPr>
                <w:rFonts w:ascii="Times New Roman" w:hAnsi="Times New Roman"/>
                <w:color w:val="000000" w:themeColor="text1"/>
                <w:sz w:val="24"/>
                <w:szCs w:val="21"/>
                <w:vertAlign w:val="subscript"/>
                <w14:textFill>
                  <w14:solidFill>
                    <w14:schemeClr w14:val="tx1"/>
                  </w14:solidFill>
                </w14:textFill>
              </w:rPr>
              <w:t>3</w:t>
            </w:r>
            <w:r>
              <w:rPr>
                <w:rFonts w:ascii="Times New Roman" w:hAnsi="Times New Roman"/>
                <w:color w:val="000000" w:themeColor="text1"/>
                <w:sz w:val="24"/>
                <w:szCs w:val="21"/>
                <w14:textFill>
                  <w14:solidFill>
                    <w14:schemeClr w14:val="tx1"/>
                  </w14:solidFill>
                </w14:textFill>
              </w:rPr>
              <w:t>-N</w:t>
            </w:r>
            <w:r>
              <w:rPr>
                <w:rFonts w:ascii="Times New Roman" w:hAnsi="Times New Roman" w:eastAsia="宋体"/>
                <w:color w:val="000000" w:themeColor="text1"/>
                <w:sz w:val="24"/>
                <w:szCs w:val="20"/>
                <w14:textFill>
                  <w14:solidFill>
                    <w14:schemeClr w14:val="tx1"/>
                  </w14:solidFill>
                </w14:textFill>
              </w:rPr>
              <w:t>等，经厂区自建污水处理站处理达标后，排入园区工业污水处理厂。</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 xml:space="preserve">（4）乙醇回收塔残留水溶液 </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水提醇沉后的稀乙醇经乙醇回收塔冷凝回收，乙醇回收工序中，最终将乙醇回收到设定浓度后，回收塔底端会产生部分残留水溶液。</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hint="eastAsia" w:ascii="Times New Roman" w:hAnsi="Times New Roman" w:eastAsia="宋体"/>
                <w:color w:val="000000" w:themeColor="text1"/>
                <w:sz w:val="24"/>
                <w:szCs w:val="20"/>
                <w14:textFill>
                  <w14:solidFill>
                    <w14:schemeClr w14:val="tx1"/>
                  </w14:solidFill>
                </w14:textFill>
              </w:rPr>
              <w:t>感冒清胶囊干膏粉、消炎利胆片干膏粉、康乐鼻炎片干膏粉、清肝颗粒流浸膏产品生产线中，药材经前处理烘干后进入净料库。提取工艺中，</w:t>
            </w:r>
            <w:r>
              <w:rPr>
                <w:rFonts w:hint="eastAsia" w:ascii="Times New Roman" w:hAnsi="Times New Roman"/>
                <w:color w:val="000000" w:themeColor="text1"/>
                <w:sz w:val="24"/>
                <w14:textFill>
                  <w14:solidFill>
                    <w14:schemeClr w14:val="tx1"/>
                  </w14:solidFill>
                </w14:textFill>
              </w:rPr>
              <w:t>根据企业生产设计资料，需提取药材46.789t/a，投入饮用水702t/a。根据设计</w:t>
            </w:r>
            <w:r>
              <w:rPr>
                <w:rFonts w:hint="eastAsia" w:ascii="Times New Roman" w:hAnsi="Times New Roman" w:eastAsia="宋体"/>
                <w:color w:val="000000" w:themeColor="text1"/>
                <w:sz w:val="24"/>
                <w:szCs w:val="20"/>
                <w14:textFill>
                  <w14:solidFill>
                    <w14:schemeClr w14:val="tx1"/>
                  </w14:solidFill>
                </w14:textFill>
              </w:rPr>
              <w:t>水提药材提取率17.27%（提取到的药材8.08t/a）、过滤后药渣量42.609t/a（含水30%，即含水16.6t/a），因此进入后续真空浓缩的水量约698.1t/a。根据设计水提浓缩后浓缩液含水率要求在30~40%（项目取36%），其余经由蒸发浓缩系统冷凝后产生水提浓缩蒸馏废水680.9t/a。水提浓缩后的浓缩液12.58t/a（含水36%，即4.5t/a）加入95%乙醇后，醇沉不溶性杂质析出率为0.6%，因此醇沉过滤产生滤渣0.068t/a（含醇水30%，即0.018t/a）。过滤后醇沉液26.512t/a（含醇水18.48t/a）进入真空浓缩过程，</w:t>
            </w:r>
            <w:r>
              <w:rPr>
                <w:rFonts w:ascii="Times New Roman" w:hAnsi="Times New Roman" w:eastAsia="宋体"/>
                <w:color w:val="000000" w:themeColor="text1"/>
                <w:sz w:val="24"/>
                <w:szCs w:val="20"/>
                <w14:textFill>
                  <w14:solidFill>
                    <w14:schemeClr w14:val="tx1"/>
                  </w14:solidFill>
                </w14:textFill>
              </w:rPr>
              <w:t>真空浓缩后浸膏</w:t>
            </w:r>
            <w:r>
              <w:rPr>
                <w:rFonts w:hint="eastAsia" w:ascii="Times New Roman" w:hAnsi="Times New Roman" w:eastAsia="宋体"/>
                <w:color w:val="000000" w:themeColor="text1"/>
                <w:sz w:val="24"/>
                <w:szCs w:val="20"/>
                <w14:textFill>
                  <w14:solidFill>
                    <w14:schemeClr w14:val="tx1"/>
                  </w14:solidFill>
                </w14:textFill>
              </w:rPr>
              <w:t>含醇水率要求不高于</w:t>
            </w:r>
            <w:r>
              <w:rPr>
                <w:rFonts w:ascii="Times New Roman" w:hAnsi="Times New Roman" w:eastAsia="宋体"/>
                <w:color w:val="000000" w:themeColor="text1"/>
                <w:sz w:val="24"/>
                <w:szCs w:val="20"/>
                <w14:textFill>
                  <w14:solidFill>
                    <w14:schemeClr w14:val="tx1"/>
                  </w14:solidFill>
                </w14:textFill>
              </w:rPr>
              <w:t>5%</w:t>
            </w:r>
            <w:r>
              <w:rPr>
                <w:rFonts w:hint="eastAsia" w:ascii="Times New Roman" w:hAnsi="Times New Roman" w:eastAsia="宋体"/>
                <w:color w:val="000000" w:themeColor="text1"/>
                <w:sz w:val="24"/>
                <w:szCs w:val="20"/>
                <w14:textFill>
                  <w14:solidFill>
                    <w14:schemeClr w14:val="tx1"/>
                  </w14:solidFill>
                </w14:textFill>
              </w:rPr>
              <w:t>（即含醇水不高于0.4t/a），根据设计醇沉浓缩过程三级冷凝回收效率达97.3%以上</w:t>
            </w:r>
            <w:r>
              <w:rPr>
                <w:rFonts w:ascii="Times New Roman" w:hAnsi="Times New Roman" w:eastAsia="宋体"/>
                <w:color w:val="000000" w:themeColor="text1"/>
                <w:sz w:val="24"/>
                <w14:textFill>
                  <w14:solidFill>
                    <w14:schemeClr w14:val="tx1"/>
                  </w14:solidFill>
                </w14:textFill>
              </w:rPr>
              <w:t>（每级回收效率70%以上）</w:t>
            </w:r>
            <w:r>
              <w:rPr>
                <w:rFonts w:hint="eastAsia" w:ascii="Times New Roman" w:hAnsi="Times New Roman" w:eastAsia="宋体"/>
                <w:color w:val="000000" w:themeColor="text1"/>
                <w:sz w:val="24"/>
                <w:szCs w:val="20"/>
                <w14:textFill>
                  <w14:solidFill>
                    <w14:schemeClr w14:val="tx1"/>
                  </w14:solidFill>
                </w14:textFill>
              </w:rPr>
              <w:t>，因此三级冷凝可回收稀乙醇17.721t/a（含醇59%，即10.462t/a）。该产品生产线物料平衡详见图2-11，水平衡、乙醇平衡详见图4-1~图4-3。</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hint="eastAsia" w:ascii="Times New Roman" w:hAnsi="Times New Roman"/>
                <w:color w:val="000000" w:themeColor="text1"/>
                <w:sz w:val="24"/>
                <w14:textFill>
                  <w14:solidFill>
                    <w14:schemeClr w14:val="tx1"/>
                  </w14:solidFill>
                </w14:textFill>
              </w:rPr>
              <w:t>根据企业生产设计资料，乙醇回收塔每处理1t稀乙醇，产生0.366t残留水溶液。乙醇回收塔共处理</w:t>
            </w:r>
            <w:r>
              <w:rPr>
                <w:rFonts w:hint="eastAsia" w:ascii="Times New Roman" w:hAnsi="Times New Roman" w:eastAsia="宋体"/>
                <w:color w:val="000000" w:themeColor="text1"/>
                <w:sz w:val="24"/>
                <w:szCs w:val="20"/>
                <w14:textFill>
                  <w14:solidFill>
                    <w14:schemeClr w14:val="tx1"/>
                  </w14:solidFill>
                </w14:textFill>
              </w:rPr>
              <w:t>稀乙醇17.721t/a，则</w:t>
            </w:r>
            <w:r>
              <w:rPr>
                <w:rFonts w:ascii="Times New Roman" w:hAnsi="Times New Roman" w:eastAsia="宋体"/>
                <w:color w:val="000000" w:themeColor="text1"/>
                <w:sz w:val="24"/>
                <w:szCs w:val="20"/>
                <w14:textFill>
                  <w14:solidFill>
                    <w14:schemeClr w14:val="tx1"/>
                  </w14:solidFill>
                </w14:textFill>
              </w:rPr>
              <w:t>残留水溶液产生量为6.494t/a</w:t>
            </w:r>
            <w:r>
              <w:rPr>
                <w:rFonts w:hint="eastAsia" w:ascii="Times New Roman" w:hAnsi="Times New Roman" w:eastAsia="宋体"/>
                <w:color w:val="000000" w:themeColor="text1"/>
                <w:sz w:val="24"/>
                <w:szCs w:val="20"/>
                <w14:textFill>
                  <w14:solidFill>
                    <w14:schemeClr w14:val="tx1"/>
                  </w14:solidFill>
                </w14:textFill>
              </w:rPr>
              <w:t>（</w:t>
            </w:r>
            <w:r>
              <w:rPr>
                <w:rFonts w:ascii="Times New Roman" w:hAnsi="Times New Roman" w:eastAsia="宋体"/>
                <w:color w:val="000000" w:themeColor="text1"/>
                <w:sz w:val="24"/>
                <w:szCs w:val="20"/>
                <w14:textFill>
                  <w14:solidFill>
                    <w14:schemeClr w14:val="tx1"/>
                  </w14:solidFill>
                </w14:textFill>
              </w:rPr>
              <w:t>含水</w:t>
            </w:r>
            <w:r>
              <w:rPr>
                <w:rFonts w:hint="eastAsia" w:ascii="Times New Roman" w:hAnsi="Times New Roman" w:eastAsia="宋体"/>
                <w:color w:val="000000" w:themeColor="text1"/>
                <w:sz w:val="24"/>
                <w:szCs w:val="20"/>
                <w14:textFill>
                  <w14:solidFill>
                    <w14:schemeClr w14:val="tx1"/>
                  </w14:solidFill>
                </w14:textFill>
              </w:rPr>
              <w:t>62</w:t>
            </w:r>
            <w:r>
              <w:rPr>
                <w:rFonts w:ascii="Times New Roman" w:hAnsi="Times New Roman" w:eastAsia="宋体"/>
                <w:color w:val="000000" w:themeColor="text1"/>
                <w:sz w:val="24"/>
                <w:szCs w:val="20"/>
                <w14:textFill>
                  <w14:solidFill>
                    <w14:schemeClr w14:val="tx1"/>
                  </w14:solidFill>
                </w14:textFill>
              </w:rPr>
              <w:t>%</w:t>
            </w:r>
            <w:r>
              <w:rPr>
                <w:rFonts w:hint="eastAsia" w:ascii="Times New Roman" w:hAnsi="Times New Roman" w:eastAsia="宋体"/>
                <w:color w:val="000000" w:themeColor="text1"/>
                <w:sz w:val="24"/>
                <w:szCs w:val="20"/>
                <w14:textFill>
                  <w14:solidFill>
                    <w14:schemeClr w14:val="tx1"/>
                  </w14:solidFill>
                </w14:textFill>
              </w:rPr>
              <w:t>）</w:t>
            </w:r>
            <w:r>
              <w:rPr>
                <w:rFonts w:ascii="Times New Roman" w:hAnsi="Times New Roman" w:eastAsia="宋体"/>
                <w:color w:val="000000" w:themeColor="text1"/>
                <w:sz w:val="24"/>
                <w:szCs w:val="20"/>
                <w14:textFill>
                  <w14:solidFill>
                    <w14:schemeClr w14:val="tx1"/>
                  </w14:solidFill>
                </w14:textFill>
              </w:rPr>
              <w:t>，主要污染物为CODcr等，经厂区自建污水处理站处理达标后，排入园区工业污水处理厂。</w:t>
            </w:r>
          </w:p>
          <w:p>
            <w:pPr>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drawing>
                <wp:inline distT="0" distB="0" distL="0" distR="0">
                  <wp:extent cx="8351520" cy="2420620"/>
                  <wp:effectExtent l="19050" t="19050" r="11430" b="17780"/>
                  <wp:docPr id="21" name="图片 21" descr="C:\Users\ADMINI~1\AppData\Local\Temp\WeChat Files\64df75b964d3fc1f477635892f0e2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1\AppData\Local\Temp\WeChat Files\64df75b964d3fc1f477635892f0e22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8352000" cy="2420992"/>
                          </a:xfrm>
                          <a:prstGeom prst="rect">
                            <a:avLst/>
                          </a:prstGeom>
                          <a:noFill/>
                          <a:ln>
                            <a:solidFill>
                              <a:schemeClr val="tx1"/>
                            </a:solidFill>
                          </a:ln>
                        </pic:spPr>
                      </pic:pic>
                    </a:graphicData>
                  </a:graphic>
                </wp:inline>
              </w:drawing>
            </w:r>
          </w:p>
          <w:p>
            <w:pPr>
              <w:pStyle w:val="59"/>
              <w:numPr>
                <w:ilvl w:val="0"/>
                <w:numId w:val="11"/>
              </w:numPr>
              <w:ind w:left="0" w:firstLine="0" w:firstLineChars="0"/>
              <w:jc w:val="center"/>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感冒清胶囊干膏粉、消炎利胆片干膏粉、康乐鼻炎片干膏粉、清肝颗粒流浸膏生产线水、乙醇平衡图</w:t>
            </w:r>
          </w:p>
          <w:p>
            <w:pPr>
              <w:adjustRightInd w:val="0"/>
              <w:snapToGrid w:val="0"/>
              <w:spacing w:line="360" w:lineRule="auto"/>
              <w:rPr>
                <w:rFonts w:ascii="Times New Roman" w:hAnsi="Times New Roman" w:eastAsia="宋体"/>
                <w:color w:val="000000" w:themeColor="text1"/>
                <w:sz w:val="24"/>
                <w:szCs w:val="20"/>
                <w14:textFill>
                  <w14:solidFill>
                    <w14:schemeClr w14:val="tx1"/>
                  </w14:solidFill>
                </w14:textFill>
              </w:rPr>
            </w:pPr>
          </w:p>
          <w:p>
            <w:pPr>
              <w:adjustRightInd w:val="0"/>
              <w:snapToGrid w:val="0"/>
              <w:spacing w:line="360" w:lineRule="auto"/>
              <w:jc w:val="center"/>
              <w:rPr>
                <w:rFonts w:ascii="Times New Roman" w:hAnsi="Times New Roman" w:eastAsia="宋体"/>
                <w:color w:val="000000" w:themeColor="text1"/>
                <w:sz w:val="24"/>
                <w:szCs w:val="20"/>
                <w14:textFill>
                  <w14:solidFill>
                    <w14:schemeClr w14:val="tx1"/>
                  </w14:solidFill>
                </w14:textFill>
              </w:rPr>
            </w:pPr>
            <w:r>
              <w:rPr>
                <w:color w:val="000000" w:themeColor="text1"/>
                <w14:textFill>
                  <w14:solidFill>
                    <w14:schemeClr w14:val="tx1"/>
                  </w14:solidFill>
                </w14:textFill>
              </w:rPr>
              <w:drawing>
                <wp:inline distT="0" distB="0" distL="0" distR="0">
                  <wp:extent cx="8352155" cy="1757045"/>
                  <wp:effectExtent l="19050" t="19050" r="10795" b="146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7"/>
                          <a:stretch>
                            <a:fillRect/>
                          </a:stretch>
                        </pic:blipFill>
                        <pic:spPr>
                          <a:xfrm>
                            <a:off x="0" y="0"/>
                            <a:ext cx="8371004" cy="1761399"/>
                          </a:xfrm>
                          <a:prstGeom prst="rect">
                            <a:avLst/>
                          </a:prstGeom>
                          <a:ln>
                            <a:solidFill>
                              <a:schemeClr val="tx1"/>
                            </a:solidFill>
                          </a:ln>
                        </pic:spPr>
                      </pic:pic>
                    </a:graphicData>
                  </a:graphic>
                </wp:inline>
              </w:drawing>
            </w:r>
          </w:p>
          <w:p>
            <w:pPr>
              <w:pStyle w:val="59"/>
              <w:numPr>
                <w:ilvl w:val="0"/>
                <w:numId w:val="11"/>
              </w:numPr>
              <w:ind w:left="0" w:firstLine="0" w:firstLineChars="0"/>
              <w:jc w:val="center"/>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感冒清胶囊干膏粉、消炎利胆片干膏粉、康乐鼻炎片干膏粉、清肝颗粒流浸膏生产线水平衡图</w:t>
            </w:r>
          </w:p>
          <w:p>
            <w:pPr>
              <w:jc w:val="center"/>
              <w:rPr>
                <w:b/>
                <w:color w:val="000000" w:themeColor="text1"/>
                <w:sz w:val="24"/>
                <w14:textFill>
                  <w14:solidFill>
                    <w14:schemeClr w14:val="tx1"/>
                  </w14:solidFill>
                </w14:textFill>
              </w:rPr>
            </w:pPr>
          </w:p>
          <w:p>
            <w:pPr>
              <w:jc w:val="center"/>
              <w:rPr>
                <w:b/>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0" distR="0">
                  <wp:extent cx="8351520" cy="1958340"/>
                  <wp:effectExtent l="19050" t="19050" r="11430" b="2286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8"/>
                          <a:stretch>
                            <a:fillRect/>
                          </a:stretch>
                        </pic:blipFill>
                        <pic:spPr>
                          <a:xfrm>
                            <a:off x="0" y="0"/>
                            <a:ext cx="8352000" cy="1958400"/>
                          </a:xfrm>
                          <a:prstGeom prst="rect">
                            <a:avLst/>
                          </a:prstGeom>
                          <a:ln>
                            <a:solidFill>
                              <a:schemeClr val="tx1"/>
                            </a:solidFill>
                          </a:ln>
                        </pic:spPr>
                      </pic:pic>
                    </a:graphicData>
                  </a:graphic>
                </wp:inline>
              </w:drawing>
            </w:r>
          </w:p>
          <w:p>
            <w:pPr>
              <w:pStyle w:val="59"/>
              <w:numPr>
                <w:ilvl w:val="0"/>
                <w:numId w:val="11"/>
              </w:numPr>
              <w:ind w:left="0" w:firstLine="0" w:firstLineChars="0"/>
              <w:jc w:val="center"/>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感冒清胶囊干膏粉、消炎利胆片干膏粉、康乐鼻炎片干膏粉、清肝颗粒流浸膏生产线乙醇平衡图</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（5）罐体及设备清洗废水</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①</w:t>
            </w:r>
            <w:r>
              <w:rPr>
                <w:rFonts w:ascii="Times New Roman" w:hAnsi="Times New Roman" w:eastAsia="宋体"/>
                <w:color w:val="000000" w:themeColor="text1"/>
                <w:sz w:val="24"/>
                <w:szCs w:val="20"/>
                <w14:textFill>
                  <w14:solidFill>
                    <w14:schemeClr w14:val="tx1"/>
                  </w14:solidFill>
                </w14:textFill>
              </w:rPr>
              <w:t>前处理车间：前处理车间生产设备</w:t>
            </w:r>
            <w:r>
              <w:rPr>
                <w:rFonts w:hint="eastAsia" w:ascii="Times New Roman" w:hAnsi="Times New Roman" w:eastAsia="宋体"/>
                <w:color w:val="000000" w:themeColor="text1"/>
                <w:sz w:val="24"/>
                <w:szCs w:val="20"/>
                <w14:textFill>
                  <w14:solidFill>
                    <w14:schemeClr w14:val="tx1"/>
                  </w14:solidFill>
                </w14:textFill>
              </w:rPr>
              <w:t>每天</w:t>
            </w:r>
            <w:r>
              <w:rPr>
                <w:rFonts w:ascii="Times New Roman" w:hAnsi="Times New Roman" w:eastAsia="宋体"/>
                <w:color w:val="000000" w:themeColor="text1"/>
                <w:sz w:val="24"/>
                <w:szCs w:val="20"/>
                <w14:textFill>
                  <w14:solidFill>
                    <w14:schemeClr w14:val="tx1"/>
                  </w14:solidFill>
                </w14:textFill>
              </w:rPr>
              <w:t>使用专用抹布蘸水进行擦洗，</w:t>
            </w:r>
            <w:r>
              <w:rPr>
                <w:rFonts w:hint="eastAsia" w:ascii="Times New Roman" w:hAnsi="Times New Roman"/>
                <w:color w:val="000000" w:themeColor="text1"/>
                <w:sz w:val="24"/>
                <w14:textFill>
                  <w14:solidFill>
                    <w14:schemeClr w14:val="tx1"/>
                  </w14:solidFill>
                </w14:textFill>
              </w:rPr>
              <w:t>根据企业生产设计资料，</w:t>
            </w:r>
            <w:r>
              <w:rPr>
                <w:rFonts w:ascii="Times New Roman" w:hAnsi="Times New Roman"/>
                <w:color w:val="000000" w:themeColor="text1"/>
                <w:sz w:val="24"/>
                <w14:textFill>
                  <w14:solidFill>
                    <w14:schemeClr w14:val="tx1"/>
                  </w14:solidFill>
                </w14:textFill>
              </w:rPr>
              <w:t>每天需擦洗一次，每次用水量约1t/</w:t>
            </w:r>
            <w:r>
              <w:rPr>
                <w:rFonts w:hint="eastAsia" w:ascii="Times New Roman" w:hAnsi="Times New Roman"/>
                <w:color w:val="000000" w:themeColor="text1"/>
                <w:sz w:val="24"/>
                <w14:textFill>
                  <w14:solidFill>
                    <w14:schemeClr w14:val="tx1"/>
                  </w14:solidFill>
                </w14:textFill>
              </w:rPr>
              <w:t>d</w:t>
            </w:r>
            <w:r>
              <w:rPr>
                <w:rFonts w:ascii="Times New Roman" w:hAnsi="Times New Roman"/>
                <w:color w:val="000000" w:themeColor="text1"/>
                <w:sz w:val="24"/>
                <w14:textFill>
                  <w14:solidFill>
                    <w14:schemeClr w14:val="tx1"/>
                  </w14:solidFill>
                </w14:textFill>
              </w:rPr>
              <w:t>（260t/a），</w:t>
            </w:r>
            <w:r>
              <w:rPr>
                <w:rFonts w:ascii="Times New Roman" w:hAnsi="Times New Roman" w:eastAsia="宋体"/>
                <w:color w:val="000000" w:themeColor="text1"/>
                <w:sz w:val="24"/>
                <w:szCs w:val="20"/>
                <w14:textFill>
                  <w14:solidFill>
                    <w14:schemeClr w14:val="tx1"/>
                  </w14:solidFill>
                </w14:textFill>
              </w:rPr>
              <w:t>产污系数按90%计，废水排放量约234t/a（0.9t/d）。</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②</w:t>
            </w:r>
            <w:r>
              <w:rPr>
                <w:rFonts w:ascii="Times New Roman" w:hAnsi="Times New Roman" w:eastAsia="宋体"/>
                <w:color w:val="000000" w:themeColor="text1"/>
                <w:sz w:val="24"/>
                <w:szCs w:val="20"/>
                <w14:textFill>
                  <w14:solidFill>
                    <w14:schemeClr w14:val="tx1"/>
                  </w14:solidFill>
                </w14:textFill>
              </w:rPr>
              <w:t>提取浓缩车间：项目提取浓缩车间共有64个生产批次（除西洋参粉、克癀胶囊粉以外的12种产品对应的生产批次见表2），每切换一个生产批次，均需进行清洗。提取浓缩线的各个罐体均设置有清洗球，自带清洗功能，清洗将采用逐级清洗模式，即按照工艺输送顺序，将上一级罐体清洗后的排水直接通过管道进入下一个罐体中进行重复利用，</w:t>
            </w:r>
            <w:r>
              <w:rPr>
                <w:rFonts w:hint="eastAsia" w:ascii="Times New Roman" w:hAnsi="Times New Roman"/>
                <w:color w:val="000000" w:themeColor="text1"/>
                <w:sz w:val="24"/>
                <w14:textFill>
                  <w14:solidFill>
                    <w14:schemeClr w14:val="tx1"/>
                  </w14:solidFill>
                </w14:textFill>
              </w:rPr>
              <w:t>根据企业生产设计资料</w:t>
            </w:r>
            <w:r>
              <w:rPr>
                <w:rFonts w:ascii="Times New Roman" w:hAnsi="Times New Roman" w:eastAsia="宋体"/>
                <w:color w:val="000000" w:themeColor="text1"/>
                <w:sz w:val="24"/>
                <w:szCs w:val="20"/>
                <w14:textFill>
                  <w14:solidFill>
                    <w14:schemeClr w14:val="tx1"/>
                  </w14:solidFill>
                </w14:textFill>
              </w:rPr>
              <w:t>每批次冲洗2次，每次自来水用量约5 t/次，因此提取浓缩车间清洗用水约640t/a。产污系数按0.9计，提取浓缩车间清洗废水产生量为576t/a。</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hint="eastAsia" w:ascii="宋体" w:hAnsi="宋体" w:eastAsia="宋体" w:cs="宋体"/>
                <w:color w:val="000000" w:themeColor="text1"/>
                <w:sz w:val="24"/>
                <w:szCs w:val="20"/>
                <w14:textFill>
                  <w14:solidFill>
                    <w14:schemeClr w14:val="tx1"/>
                  </w14:solidFill>
                </w14:textFill>
              </w:rPr>
              <w:t>③</w:t>
            </w:r>
            <w:r>
              <w:rPr>
                <w:rFonts w:ascii="Times New Roman" w:hAnsi="Times New Roman" w:eastAsia="宋体"/>
                <w:color w:val="000000" w:themeColor="text1"/>
                <w:sz w:val="24"/>
                <w:szCs w:val="20"/>
                <w14:textFill>
                  <w14:solidFill>
                    <w14:schemeClr w14:val="tx1"/>
                  </w14:solidFill>
                </w14:textFill>
              </w:rPr>
              <w:t>后处理车间、发酵车间：后处理车间、发酵车间为洁净区，洁净区内的设备、托盘类每天都需要进行擦洗</w:t>
            </w:r>
            <w:r>
              <w:rPr>
                <w:rFonts w:hint="eastAsia" w:ascii="Times New Roman" w:hAnsi="Times New Roman" w:eastAsia="宋体"/>
                <w:color w:val="000000" w:themeColor="text1"/>
                <w:sz w:val="24"/>
                <w:szCs w:val="20"/>
                <w14:textFill>
                  <w14:solidFill>
                    <w14:schemeClr w14:val="tx1"/>
                  </w14:solidFill>
                </w14:textFill>
              </w:rPr>
              <w:t>一次</w:t>
            </w:r>
            <w:r>
              <w:rPr>
                <w:rFonts w:ascii="Times New Roman" w:hAnsi="Times New Roman" w:eastAsia="宋体"/>
                <w:color w:val="000000" w:themeColor="text1"/>
                <w:sz w:val="24"/>
                <w:szCs w:val="20"/>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根据企业生产设计资料，每次</w:t>
            </w:r>
            <w:r>
              <w:rPr>
                <w:rFonts w:ascii="Times New Roman" w:hAnsi="Times New Roman" w:eastAsia="宋体"/>
                <w:color w:val="000000" w:themeColor="text1"/>
                <w:sz w:val="24"/>
                <w:szCs w:val="20"/>
                <w14:textFill>
                  <w14:solidFill>
                    <w14:schemeClr w14:val="tx1"/>
                  </w14:solidFill>
                </w14:textFill>
              </w:rPr>
              <w:t>纯水清洗用水量约1.5t/d（390t/a）。产污系数按0.9计，则洁净区清洗废水产生量为351t/a（1.35t/d）。</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因此，项目罐体及设备清洗废水产生量为1161t/a，主要污染物为CODcr、BOD</w:t>
            </w:r>
            <w:r>
              <w:rPr>
                <w:rFonts w:ascii="Times New Roman" w:hAnsi="Times New Roman" w:eastAsia="宋体"/>
                <w:color w:val="000000" w:themeColor="text1"/>
                <w:sz w:val="24"/>
                <w:szCs w:val="20"/>
                <w:vertAlign w:val="subscript"/>
                <w14:textFill>
                  <w14:solidFill>
                    <w14:schemeClr w14:val="tx1"/>
                  </w14:solidFill>
                </w14:textFill>
              </w:rPr>
              <w:t>5</w:t>
            </w:r>
            <w:r>
              <w:rPr>
                <w:rFonts w:ascii="Times New Roman" w:hAnsi="Times New Roman" w:eastAsia="宋体"/>
                <w:color w:val="000000" w:themeColor="text1"/>
                <w:sz w:val="24"/>
                <w:szCs w:val="20"/>
                <w14:textFill>
                  <w14:solidFill>
                    <w14:schemeClr w14:val="tx1"/>
                  </w14:solidFill>
                </w14:textFill>
              </w:rPr>
              <w:t>、NH</w:t>
            </w:r>
            <w:r>
              <w:rPr>
                <w:rFonts w:ascii="Times New Roman" w:hAnsi="Times New Roman" w:eastAsia="宋体"/>
                <w:color w:val="000000" w:themeColor="text1"/>
                <w:sz w:val="24"/>
                <w:szCs w:val="20"/>
                <w:vertAlign w:val="subscript"/>
                <w14:textFill>
                  <w14:solidFill>
                    <w14:schemeClr w14:val="tx1"/>
                  </w14:solidFill>
                </w14:textFill>
              </w:rPr>
              <w:t>3</w:t>
            </w:r>
            <w:r>
              <w:rPr>
                <w:rFonts w:ascii="Times New Roman" w:hAnsi="Times New Roman" w:eastAsia="宋体"/>
                <w:color w:val="000000" w:themeColor="text1"/>
                <w:sz w:val="24"/>
                <w:szCs w:val="20"/>
                <w14:textFill>
                  <w14:solidFill>
                    <w14:schemeClr w14:val="tx1"/>
                  </w14:solidFill>
                </w14:textFill>
              </w:rPr>
              <w:t>-H、SS等，经厂区自建污水处理站处理达标后，排入园区工业污水处理厂。</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（6）生产车间地面清洗废水</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为保证各生产车间的清洁度满足生产要求，本项目各生产车间地面需每周清洗1次（主要为拖把清洁），本项目车间需定期清洗的区域面积约2500m</w:t>
            </w:r>
            <w:r>
              <w:rPr>
                <w:rFonts w:ascii="Times New Roman" w:hAnsi="Times New Roman" w:eastAsia="宋体"/>
                <w:color w:val="000000" w:themeColor="text1"/>
                <w:sz w:val="24"/>
                <w:szCs w:val="20"/>
                <w:vertAlign w:val="superscript"/>
                <w14:textFill>
                  <w14:solidFill>
                    <w14:schemeClr w14:val="tx1"/>
                  </w14:solidFill>
                </w14:textFill>
              </w:rPr>
              <w:t>2</w:t>
            </w:r>
            <w:r>
              <w:rPr>
                <w:rFonts w:ascii="Times New Roman" w:hAnsi="Times New Roman" w:eastAsia="宋体"/>
                <w:color w:val="000000" w:themeColor="text1"/>
                <w:sz w:val="24"/>
                <w:szCs w:val="20"/>
                <w14:textFill>
                  <w14:solidFill>
                    <w14:schemeClr w14:val="tx1"/>
                  </w14:solidFill>
                </w14:textFill>
              </w:rPr>
              <w:t>。参照《建筑给水排水设计规范》(GB50015－2003，2009年修订版)停车库地面冲洗水用水定额2~3L/(m</w:t>
            </w:r>
            <w:r>
              <w:rPr>
                <w:rFonts w:ascii="Times New Roman" w:hAnsi="Times New Roman" w:eastAsia="宋体"/>
                <w:color w:val="000000" w:themeColor="text1"/>
                <w:sz w:val="24"/>
                <w:szCs w:val="20"/>
                <w:vertAlign w:val="superscript"/>
                <w14:textFill>
                  <w14:solidFill>
                    <w14:schemeClr w14:val="tx1"/>
                  </w14:solidFill>
                </w14:textFill>
              </w:rPr>
              <w:t>2</w:t>
            </w:r>
            <w:r>
              <w:rPr>
                <w:rFonts w:ascii="Times New Roman" w:hAnsi="Times New Roman" w:eastAsia="宋体"/>
                <w:color w:val="000000" w:themeColor="text1"/>
                <w:sz w:val="24"/>
                <w:szCs w:val="20"/>
                <w14:textFill>
                  <w14:solidFill>
                    <w14:schemeClr w14:val="tx1"/>
                  </w14:solidFill>
                </w14:textFill>
              </w:rPr>
              <w:t>/次)，本次评价取2.5 L/(m</w:t>
            </w:r>
            <w:r>
              <w:rPr>
                <w:rFonts w:ascii="Times New Roman" w:hAnsi="Times New Roman" w:eastAsia="宋体"/>
                <w:color w:val="000000" w:themeColor="text1"/>
                <w:sz w:val="24"/>
                <w:szCs w:val="20"/>
                <w:vertAlign w:val="superscript"/>
                <w14:textFill>
                  <w14:solidFill>
                    <w14:schemeClr w14:val="tx1"/>
                  </w14:solidFill>
                </w14:textFill>
              </w:rPr>
              <w:t>2</w:t>
            </w:r>
            <w:r>
              <w:rPr>
                <w:rFonts w:ascii="Times New Roman" w:hAnsi="Times New Roman" w:eastAsia="宋体"/>
                <w:color w:val="000000" w:themeColor="text1"/>
                <w:sz w:val="24"/>
                <w:szCs w:val="20"/>
                <w14:textFill>
                  <w14:solidFill>
                    <w14:schemeClr w14:val="tx1"/>
                  </w14:solidFill>
                </w14:textFill>
              </w:rPr>
              <w:t>/次)，因此项目地面清洗用水量为325t/a（6.25t/d），产污系数按0.9计，清洗废水产生量为292.5t/a，主要污染物为</w:t>
            </w:r>
            <w:r>
              <w:rPr>
                <w:rFonts w:ascii="Times New Roman" w:hAnsi="Times New Roman"/>
                <w:color w:val="000000" w:themeColor="text1"/>
                <w:sz w:val="24"/>
                <w:szCs w:val="21"/>
                <w14:textFill>
                  <w14:solidFill>
                    <w14:schemeClr w14:val="tx1"/>
                  </w14:solidFill>
                </w14:textFill>
              </w:rPr>
              <w:t>CODcr、SS、NH</w:t>
            </w:r>
            <w:r>
              <w:rPr>
                <w:rFonts w:ascii="Times New Roman" w:hAnsi="Times New Roman"/>
                <w:color w:val="000000" w:themeColor="text1"/>
                <w:sz w:val="24"/>
                <w:szCs w:val="21"/>
                <w:vertAlign w:val="subscript"/>
                <w14:textFill>
                  <w14:solidFill>
                    <w14:schemeClr w14:val="tx1"/>
                  </w14:solidFill>
                </w14:textFill>
              </w:rPr>
              <w:t>3</w:t>
            </w:r>
            <w:r>
              <w:rPr>
                <w:rFonts w:ascii="Times New Roman" w:hAnsi="Times New Roman"/>
                <w:color w:val="000000" w:themeColor="text1"/>
                <w:sz w:val="24"/>
                <w:szCs w:val="21"/>
                <w14:textFill>
                  <w14:solidFill>
                    <w14:schemeClr w14:val="tx1"/>
                  </w14:solidFill>
                </w14:textFill>
              </w:rPr>
              <w:t>-N等，</w:t>
            </w:r>
            <w:r>
              <w:rPr>
                <w:rFonts w:ascii="Times New Roman" w:hAnsi="Times New Roman" w:eastAsia="宋体"/>
                <w:color w:val="000000" w:themeColor="text1"/>
                <w:sz w:val="24"/>
                <w:szCs w:val="20"/>
                <w14:textFill>
                  <w14:solidFill>
                    <w14:schemeClr w14:val="tx1"/>
                  </w14:solidFill>
                </w14:textFill>
              </w:rPr>
              <w:t>经厂区自建污水处理站处理达标后，排入园区工业污水处理厂。</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（7）冷却塔更换废水</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项目冷却系统循环水量15t/h，总循环水量9.36万t/a（360t/d）。根据《建筑给水排水设计规范（GB50015-2003）》（2009年修订），冷却塔的补充水量按照循环水量的0.2%~0.3%计，本次评价取0.3%，则冷却塔补充水量为281t/a（1.1t/d）。冷却塔用水循环使用，定期排放，每半年更换1次，废水产生量为8t/a（4t/次）。主要污染物为CODcr、SS等，经厂区自建污水处理站处理达标后，排入园区工业污水处理厂。</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（8）锅炉软化废水</w:t>
            </w:r>
          </w:p>
          <w:p>
            <w:pPr>
              <w:adjustRightInd w:val="0"/>
              <w:snapToGrid w:val="0"/>
              <w:spacing w:line="360" w:lineRule="auto"/>
              <w:ind w:firstLine="480" w:firstLineChars="200"/>
              <w:rPr>
                <w:rFonts w:ascii="Times New Roman" w:hAnsi="Times New Roman" w:eastAsia="宋体"/>
                <w:color w:val="000000" w:themeColor="text1"/>
                <w:sz w:val="24"/>
                <w:szCs w:val="20"/>
                <w:lang w:bidi="zh-CN"/>
                <w14:textFill>
                  <w14:solidFill>
                    <w14:schemeClr w14:val="tx1"/>
                  </w14:solidFill>
                </w14:textFill>
              </w:rPr>
            </w:pPr>
            <w:r>
              <w:rPr>
                <w:rFonts w:ascii="Times New Roman" w:hAnsi="Times New Roman" w:eastAsia="宋体"/>
                <w:color w:val="000000" w:themeColor="text1"/>
                <w:sz w:val="24"/>
                <w:szCs w:val="20"/>
                <w:lang w:bidi="zh-CN"/>
                <w14:textFill>
                  <w14:solidFill>
                    <w14:schemeClr w14:val="tx1"/>
                  </w14:solidFill>
                </w14:textFill>
              </w:rPr>
              <w:t>锅炉软水制备采用Na离子软化法工艺，其流程如下：自来水→原水加压泵→多介质过滤器→活性炭过滤器→软水器→精密过滤器→阳树脂过滤床→阴树脂过滤床→阴阳树脂混床→微孔过滤器→用水点。定期采用食盐水对离子交换树脂进行再生处理。</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hint="eastAsia" w:ascii="Times New Roman" w:hAnsi="Times New Roman" w:eastAsia="宋体"/>
                <w:color w:val="000000" w:themeColor="text1"/>
                <w:sz w:val="24"/>
                <w:szCs w:val="20"/>
                <w14:textFill>
                  <w14:solidFill>
                    <w14:schemeClr w14:val="tx1"/>
                  </w14:solidFill>
                </w14:textFill>
              </w:rPr>
              <w:t>根据项目生产需求，项目燃气锅炉蒸汽供需量为4020t/a，</w:t>
            </w:r>
            <w:r>
              <w:rPr>
                <w:rFonts w:hint="eastAsia" w:ascii="Times New Roman" w:hAnsi="Times New Roman"/>
                <w:color w:val="000000" w:themeColor="text1"/>
                <w:sz w:val="24"/>
                <w14:textFill>
                  <w14:solidFill>
                    <w14:schemeClr w14:val="tx1"/>
                  </w14:solidFill>
                </w14:textFill>
              </w:rPr>
              <w:t>根据企业生产设计资料，</w:t>
            </w:r>
            <w:r>
              <w:rPr>
                <w:rFonts w:ascii="Times New Roman" w:hAnsi="Times New Roman" w:eastAsia="宋体"/>
                <w:color w:val="000000" w:themeColor="text1"/>
                <w:sz w:val="24"/>
                <w:szCs w:val="20"/>
                <w14:textFill>
                  <w14:solidFill>
                    <w14:schemeClr w14:val="tx1"/>
                  </w14:solidFill>
                </w14:textFill>
              </w:rPr>
              <w:t>考虑到蒸汽在运输、加热过程会发生一部分损耗，此外，香茅草蒸馏工艺采取的直接接触蒸馏的方式，该部分蒸汽不能进行回收利用，因此总的蒸发损耗量按20%计，即损耗量约804t/a。其余蒸汽冷凝后回水进行循环使用。即项目锅炉软水的补给量约804t/a。本项目软水系统转化率约为70%，则自来水用水量为1149t/a，软水系统产生锅炉废水345t/a，主要为</w:t>
            </w:r>
            <w:r>
              <w:rPr>
                <w:rFonts w:ascii="Times New Roman" w:hAnsi="Times New Roman"/>
                <w:color w:val="000000" w:themeColor="text1"/>
                <w:sz w:val="24"/>
                <w:szCs w:val="21"/>
                <w14:textFill>
                  <w14:solidFill>
                    <w14:schemeClr w14:val="tx1"/>
                  </w14:solidFill>
                </w14:textFill>
              </w:rPr>
              <w:t>Ca</w:t>
            </w:r>
            <w:r>
              <w:rPr>
                <w:rFonts w:ascii="Times New Roman" w:hAnsi="Times New Roman"/>
                <w:color w:val="000000" w:themeColor="text1"/>
                <w:sz w:val="24"/>
                <w:szCs w:val="21"/>
                <w:vertAlign w:val="superscript"/>
                <w14:textFill>
                  <w14:solidFill>
                    <w14:schemeClr w14:val="tx1"/>
                  </w14:solidFill>
                </w14:textFill>
              </w:rPr>
              <w:t>2+</w:t>
            </w:r>
            <w:r>
              <w:rPr>
                <w:rFonts w:ascii="Times New Roman" w:hAnsi="Times New Roman"/>
                <w:color w:val="000000" w:themeColor="text1"/>
                <w:sz w:val="24"/>
                <w:szCs w:val="21"/>
                <w14:textFill>
                  <w14:solidFill>
                    <w14:schemeClr w14:val="tx1"/>
                  </w14:solidFill>
                </w14:textFill>
              </w:rPr>
              <w:t>、Mg</w:t>
            </w:r>
            <w:r>
              <w:rPr>
                <w:rFonts w:ascii="Times New Roman" w:hAnsi="Times New Roman"/>
                <w:color w:val="000000" w:themeColor="text1"/>
                <w:sz w:val="24"/>
                <w:szCs w:val="21"/>
                <w:vertAlign w:val="superscript"/>
                <w14:textFill>
                  <w14:solidFill>
                    <w14:schemeClr w14:val="tx1"/>
                  </w14:solidFill>
                </w14:textFill>
              </w:rPr>
              <w:t>2+</w:t>
            </w:r>
            <w:r>
              <w:rPr>
                <w:rFonts w:ascii="Times New Roman" w:hAnsi="Times New Roman" w:eastAsia="宋体"/>
                <w:color w:val="000000" w:themeColor="text1"/>
                <w:sz w:val="24"/>
                <w:szCs w:val="20"/>
                <w14:textFill>
                  <w14:solidFill>
                    <w14:schemeClr w14:val="tx1"/>
                  </w14:solidFill>
                </w14:textFill>
              </w:rPr>
              <w:t>等，经厂区自建污水处理站处理达标后，排入园区工业污水处理厂。</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（9）纯水制备浓水</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本项目生产过程需使用纯水的工序主要是洁净区清洗用水390t/a、发酵用水11t/a，即纯水总用水量为401t/a。</w:t>
            </w:r>
            <w:r>
              <w:rPr>
                <w:rFonts w:hint="eastAsia" w:ascii="Times New Roman" w:hAnsi="Times New Roman"/>
                <w:color w:val="000000" w:themeColor="text1"/>
                <w:sz w:val="24"/>
                <w14:textFill>
                  <w14:solidFill>
                    <w14:schemeClr w14:val="tx1"/>
                  </w14:solidFill>
                </w14:textFill>
              </w:rPr>
              <w:t>根据企业生产设计资料</w:t>
            </w:r>
            <w:r>
              <w:rPr>
                <w:rFonts w:ascii="Times New Roman" w:hAnsi="Times New Roman" w:eastAsia="宋体"/>
                <w:color w:val="000000" w:themeColor="text1"/>
                <w:sz w:val="24"/>
                <w:szCs w:val="20"/>
                <w14:textFill>
                  <w14:solidFill>
                    <w14:schemeClr w14:val="tx1"/>
                  </w14:solidFill>
                </w14:textFill>
              </w:rPr>
              <w:t>纯水制备系统制水率为50%，则需用自来水约802t/a，浓水产生量为401t/a，主要污染物为</w:t>
            </w:r>
            <w:r>
              <w:rPr>
                <w:rFonts w:ascii="Times New Roman" w:hAnsi="Times New Roman"/>
                <w:color w:val="000000" w:themeColor="text1"/>
                <w:sz w:val="24"/>
                <w:szCs w:val="21"/>
                <w14:textFill>
                  <w14:solidFill>
                    <w14:schemeClr w14:val="tx1"/>
                  </w14:solidFill>
                </w14:textFill>
              </w:rPr>
              <w:t>pH、SS、盐分，</w:t>
            </w:r>
            <w:r>
              <w:rPr>
                <w:rFonts w:ascii="Times New Roman" w:hAnsi="Times New Roman" w:eastAsia="宋体"/>
                <w:color w:val="000000" w:themeColor="text1"/>
                <w:sz w:val="24"/>
                <w:szCs w:val="20"/>
                <w14:textFill>
                  <w14:solidFill>
                    <w14:schemeClr w14:val="tx1"/>
                  </w14:solidFill>
                </w14:textFill>
              </w:rPr>
              <w:t>等，经厂区自建污水处理站处理达标后，排入园区工业污水处理厂。</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本项目纯水工艺流程图见下图。</w:t>
            </w:r>
          </w:p>
          <w:p>
            <w:pPr>
              <w:adjustRightInd w:val="0"/>
              <w:snapToGrid w:val="0"/>
              <w:spacing w:line="360" w:lineRule="auto"/>
              <w:jc w:val="center"/>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drawing>
                <wp:inline distT="0" distB="0" distL="0" distR="0">
                  <wp:extent cx="5162550" cy="2075180"/>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73796" cy="2079733"/>
                          </a:xfrm>
                          <a:prstGeom prst="rect">
                            <a:avLst/>
                          </a:prstGeom>
                        </pic:spPr>
                      </pic:pic>
                    </a:graphicData>
                  </a:graphic>
                </wp:inline>
              </w:drawing>
            </w:r>
          </w:p>
          <w:p>
            <w:pPr>
              <w:pStyle w:val="59"/>
              <w:numPr>
                <w:ilvl w:val="0"/>
                <w:numId w:val="11"/>
              </w:numPr>
              <w:ind w:left="0" w:firstLine="0" w:firstLineChars="0"/>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纯水制备流程图</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（10）水封吸收池废水</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项目拟设置4个容积为0.5 m</w:t>
            </w:r>
            <w:r>
              <w:rPr>
                <w:rFonts w:ascii="Times New Roman" w:hAnsi="Times New Roman" w:eastAsia="宋体"/>
                <w:color w:val="000000" w:themeColor="text1"/>
                <w:sz w:val="24"/>
                <w:szCs w:val="20"/>
                <w:vertAlign w:val="superscript"/>
                <w14:textFill>
                  <w14:solidFill>
                    <w14:schemeClr w14:val="tx1"/>
                  </w14:solidFill>
                </w14:textFill>
              </w:rPr>
              <w:t>3</w:t>
            </w:r>
            <w:r>
              <w:rPr>
                <w:rFonts w:ascii="Times New Roman" w:hAnsi="Times New Roman" w:eastAsia="宋体"/>
                <w:color w:val="000000" w:themeColor="text1"/>
                <w:sz w:val="24"/>
                <w:szCs w:val="20"/>
                <w14:textFill>
                  <w14:solidFill>
                    <w14:schemeClr w14:val="tx1"/>
                  </w14:solidFill>
                </w14:textFill>
              </w:rPr>
              <w:t>的水封吸收池，由于水封吸收池废水中会溶解部分乙醇不凝气，水封池用水循环使用，每半个月更换一次，废水产生量为48t/a（2t/次），主要污染物为CODcr等，经厂区自建污水处理站处理达标后，排入园区工业污水处理厂。</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2、生产废水水质分析</w:t>
            </w: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参考《制药工业水污染排放标准 中药类——编制说明》（2007.9）中的4家中药生产企业以及5家已公开的中药生产企业废水水质情况，估算出本项目所产生的主要废水的水质情况。</w:t>
            </w: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主要废水的水质类比情况</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5"/>
              <w:gridCol w:w="4505"/>
              <w:gridCol w:w="1690"/>
              <w:gridCol w:w="1127"/>
              <w:gridCol w:w="1127"/>
              <w:gridCol w:w="1501"/>
              <w:gridCol w:w="2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35" w:type="pct"/>
                  <w:vMerge w:val="restart"/>
                  <w:vAlign w:val="center"/>
                </w:tcPr>
                <w:p>
                  <w:pPr>
                    <w:tabs>
                      <w:tab w:val="left" w:pos="-2848"/>
                    </w:tabs>
                    <w:adjustRightInd w:val="0"/>
                    <w:snapToGrid w:val="0"/>
                    <w:jc w:val="center"/>
                    <w:rPr>
                      <w:rFonts w:ascii="Times New Roman" w:hAnsi="Times New Roman" w:eastAsia="Times New Roman"/>
                      <w:color w:val="000000" w:themeColor="text1"/>
                      <w:kern w:val="0"/>
                      <w:position w:val="-10"/>
                      <w:szCs w:val="22"/>
                      <w14:textFill>
                        <w14:solidFill>
                          <w14:schemeClr w14:val="tx1"/>
                        </w14:solidFill>
                      </w14:textFill>
                    </w:rPr>
                  </w:pPr>
                  <w:r>
                    <w:rPr>
                      <w:rFonts w:ascii="Times New Roman" w:hAnsi="Times New Roman" w:eastAsia="宋体"/>
                      <w:color w:val="000000" w:themeColor="text1"/>
                      <w:kern w:val="0"/>
                      <w:position w:val="-10"/>
                      <w:szCs w:val="22"/>
                      <w14:textFill>
                        <w14:solidFill>
                          <w14:schemeClr w14:val="tx1"/>
                        </w14:solidFill>
                      </w14:textFill>
                    </w:rPr>
                    <w:t>序号</w:t>
                  </w:r>
                </w:p>
              </w:tc>
              <w:tc>
                <w:tcPr>
                  <w:tcW w:w="1687" w:type="pct"/>
                  <w:vMerge w:val="restart"/>
                  <w:vAlign w:val="center"/>
                </w:tcPr>
                <w:p>
                  <w:pPr>
                    <w:tabs>
                      <w:tab w:val="left" w:pos="-2848"/>
                    </w:tabs>
                    <w:adjustRightInd w:val="0"/>
                    <w:snapToGrid w:val="0"/>
                    <w:jc w:val="center"/>
                    <w:rPr>
                      <w:rFonts w:ascii="Times New Roman" w:hAnsi="Times New Roman" w:eastAsia="Times New Roman"/>
                      <w:color w:val="000000" w:themeColor="text1"/>
                      <w:kern w:val="0"/>
                      <w:position w:val="-10"/>
                      <w:szCs w:val="22"/>
                      <w14:textFill>
                        <w14:solidFill>
                          <w14:schemeClr w14:val="tx1"/>
                        </w14:solidFill>
                      </w14:textFill>
                    </w:rPr>
                  </w:pPr>
                  <w:r>
                    <w:rPr>
                      <w:rFonts w:ascii="Times New Roman" w:hAnsi="Times New Roman" w:eastAsia="宋体"/>
                      <w:color w:val="000000" w:themeColor="text1"/>
                      <w:kern w:val="0"/>
                      <w:position w:val="-10"/>
                      <w:szCs w:val="22"/>
                      <w14:textFill>
                        <w14:solidFill>
                          <w14:schemeClr w14:val="tx1"/>
                        </w14:solidFill>
                      </w14:textFill>
                    </w:rPr>
                    <w:t>企业</w:t>
                  </w:r>
                </w:p>
              </w:tc>
              <w:tc>
                <w:tcPr>
                  <w:tcW w:w="2039" w:type="pct"/>
                  <w:gridSpan w:val="4"/>
                </w:tcPr>
                <w:p>
                  <w:pPr>
                    <w:tabs>
                      <w:tab w:val="left" w:pos="-2848"/>
                    </w:tabs>
                    <w:adjustRightInd w:val="0"/>
                    <w:snapToGrid w:val="0"/>
                    <w:jc w:val="center"/>
                    <w:rPr>
                      <w:rFonts w:ascii="Times New Roman" w:hAnsi="Times New Roman" w:eastAsia="Times New Roman"/>
                      <w:color w:val="000000" w:themeColor="text1"/>
                      <w:kern w:val="0"/>
                      <w:position w:val="-10"/>
                      <w:szCs w:val="22"/>
                      <w14:textFill>
                        <w14:solidFill>
                          <w14:schemeClr w14:val="tx1"/>
                        </w14:solidFill>
                      </w14:textFill>
                    </w:rPr>
                  </w:pPr>
                  <w:r>
                    <w:rPr>
                      <w:rFonts w:ascii="Times New Roman" w:hAnsi="Times New Roman" w:eastAsia="宋体"/>
                      <w:color w:val="000000" w:themeColor="text1"/>
                      <w:kern w:val="0"/>
                      <w:position w:val="-10"/>
                      <w:szCs w:val="22"/>
                      <w14:textFill>
                        <w14:solidFill>
                          <w14:schemeClr w14:val="tx1"/>
                        </w14:solidFill>
                      </w14:textFill>
                    </w:rPr>
                    <w:t>废水水质指标（mg/L）</w:t>
                  </w:r>
                </w:p>
              </w:tc>
              <w:tc>
                <w:tcPr>
                  <w:tcW w:w="939" w:type="pct"/>
                  <w:vMerge w:val="restart"/>
                  <w:vAlign w:val="center"/>
                </w:tcPr>
                <w:p>
                  <w:pPr>
                    <w:tabs>
                      <w:tab w:val="left" w:pos="-2848"/>
                    </w:tabs>
                    <w:adjustRightInd w:val="0"/>
                    <w:snapToGrid w:val="0"/>
                    <w:jc w:val="center"/>
                    <w:rPr>
                      <w:rFonts w:ascii="Times New Roman" w:hAnsi="Times New Roman" w:eastAsia="Times New Roman"/>
                      <w:color w:val="000000" w:themeColor="text1"/>
                      <w:kern w:val="0"/>
                      <w:position w:val="-10"/>
                      <w:szCs w:val="22"/>
                      <w14:textFill>
                        <w14:solidFill>
                          <w14:schemeClr w14:val="tx1"/>
                        </w14:solidFill>
                      </w14:textFill>
                    </w:rPr>
                  </w:pPr>
                  <w:r>
                    <w:rPr>
                      <w:rFonts w:ascii="Times New Roman" w:hAnsi="Times New Roman" w:eastAsia="宋体"/>
                      <w:color w:val="000000" w:themeColor="text1"/>
                      <w:kern w:val="0"/>
                      <w:position w:val="-10"/>
                      <w:szCs w:val="22"/>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35" w:type="pct"/>
                  <w:vMerge w:val="continue"/>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p>
              </w:tc>
              <w:tc>
                <w:tcPr>
                  <w:tcW w:w="1687" w:type="pct"/>
                  <w:vMerge w:val="continue"/>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p>
              </w:tc>
              <w:tc>
                <w:tcPr>
                  <w:tcW w:w="633" w:type="pct"/>
                  <w:vAlign w:val="center"/>
                </w:tcPr>
                <w:p>
                  <w:pPr>
                    <w:tabs>
                      <w:tab w:val="left" w:pos="-2848"/>
                    </w:tabs>
                    <w:adjustRightInd w:val="0"/>
                    <w:snapToGrid w:val="0"/>
                    <w:jc w:val="center"/>
                    <w:rPr>
                      <w:rFonts w:ascii="Times New Roman" w:hAnsi="Times New Roman" w:eastAsia="Times New Roman"/>
                      <w:color w:val="000000" w:themeColor="text1"/>
                      <w:kern w:val="0"/>
                      <w:position w:val="-10"/>
                      <w:szCs w:val="22"/>
                      <w14:textFill>
                        <w14:solidFill>
                          <w14:schemeClr w14:val="tx1"/>
                        </w14:solidFill>
                      </w14:textFill>
                    </w:rPr>
                  </w:pPr>
                  <w:r>
                    <w:rPr>
                      <w:rFonts w:ascii="Times New Roman" w:hAnsi="Times New Roman" w:eastAsia="宋体"/>
                      <w:color w:val="000000" w:themeColor="text1"/>
                      <w:kern w:val="0"/>
                      <w:position w:val="-10"/>
                      <w:szCs w:val="22"/>
                      <w14:textFill>
                        <w14:solidFill>
                          <w14:schemeClr w14:val="tx1"/>
                        </w14:solidFill>
                      </w14:textFill>
                    </w:rPr>
                    <w:t>COD</w:t>
                  </w:r>
                </w:p>
              </w:tc>
              <w:tc>
                <w:tcPr>
                  <w:tcW w:w="422" w:type="pct"/>
                </w:tcPr>
                <w:p>
                  <w:pPr>
                    <w:tabs>
                      <w:tab w:val="left" w:pos="-2848"/>
                    </w:tabs>
                    <w:adjustRightInd w:val="0"/>
                    <w:snapToGrid w:val="0"/>
                    <w:jc w:val="center"/>
                    <w:rPr>
                      <w:rFonts w:ascii="Times New Roman" w:hAnsi="Times New Roman" w:eastAsia="宋体"/>
                      <w:color w:val="000000" w:themeColor="text1"/>
                      <w:kern w:val="0"/>
                      <w:position w:val="-10"/>
                      <w:szCs w:val="22"/>
                      <w14:textFill>
                        <w14:solidFill>
                          <w14:schemeClr w14:val="tx1"/>
                        </w14:solidFill>
                      </w14:textFill>
                    </w:rPr>
                  </w:pPr>
                  <w:r>
                    <w:rPr>
                      <w:rFonts w:ascii="Times New Roman" w:hAnsi="Times New Roman" w:eastAsia="宋体"/>
                      <w:color w:val="000000" w:themeColor="text1"/>
                      <w:kern w:val="0"/>
                      <w:position w:val="-10"/>
                      <w:szCs w:val="22"/>
                      <w14:textFill>
                        <w14:solidFill>
                          <w14:schemeClr w14:val="tx1"/>
                        </w14:solidFill>
                      </w14:textFill>
                    </w:rPr>
                    <w:t>BOD</w:t>
                  </w:r>
                  <w:r>
                    <w:rPr>
                      <w:rFonts w:ascii="Times New Roman" w:hAnsi="Times New Roman" w:eastAsia="宋体"/>
                      <w:color w:val="000000" w:themeColor="text1"/>
                      <w:kern w:val="0"/>
                      <w:position w:val="-10"/>
                      <w:szCs w:val="22"/>
                      <w:vertAlign w:val="subscript"/>
                      <w14:textFill>
                        <w14:solidFill>
                          <w14:schemeClr w14:val="tx1"/>
                        </w14:solidFill>
                      </w14:textFill>
                    </w:rPr>
                    <w:t>5</w:t>
                  </w:r>
                </w:p>
              </w:tc>
              <w:tc>
                <w:tcPr>
                  <w:tcW w:w="422" w:type="pct"/>
                  <w:vAlign w:val="center"/>
                </w:tcPr>
                <w:p>
                  <w:pPr>
                    <w:tabs>
                      <w:tab w:val="left" w:pos="-2848"/>
                    </w:tabs>
                    <w:adjustRightInd w:val="0"/>
                    <w:snapToGrid w:val="0"/>
                    <w:jc w:val="center"/>
                    <w:rPr>
                      <w:rFonts w:ascii="Times New Roman" w:hAnsi="Times New Roman" w:eastAsia="宋体"/>
                      <w:color w:val="000000" w:themeColor="text1"/>
                      <w:kern w:val="0"/>
                      <w:position w:val="-10"/>
                      <w:szCs w:val="22"/>
                      <w14:textFill>
                        <w14:solidFill>
                          <w14:schemeClr w14:val="tx1"/>
                        </w14:solidFill>
                      </w14:textFill>
                    </w:rPr>
                  </w:pPr>
                  <w:r>
                    <w:rPr>
                      <w:rFonts w:ascii="Times New Roman" w:hAnsi="Times New Roman" w:eastAsia="宋体"/>
                      <w:color w:val="000000" w:themeColor="text1"/>
                      <w:kern w:val="0"/>
                      <w:position w:val="-10"/>
                      <w:szCs w:val="22"/>
                      <w14:textFill>
                        <w14:solidFill>
                          <w14:schemeClr w14:val="tx1"/>
                        </w14:solidFill>
                      </w14:textFill>
                    </w:rPr>
                    <w:t>氨氮</w:t>
                  </w:r>
                </w:p>
              </w:tc>
              <w:tc>
                <w:tcPr>
                  <w:tcW w:w="562" w:type="pct"/>
                  <w:vAlign w:val="center"/>
                </w:tcPr>
                <w:p>
                  <w:pPr>
                    <w:tabs>
                      <w:tab w:val="left" w:pos="-2848"/>
                    </w:tabs>
                    <w:adjustRightInd w:val="0"/>
                    <w:snapToGrid w:val="0"/>
                    <w:jc w:val="center"/>
                    <w:rPr>
                      <w:rFonts w:ascii="Times New Roman" w:hAnsi="Times New Roman" w:eastAsia="Times New Roman"/>
                      <w:color w:val="000000" w:themeColor="text1"/>
                      <w:kern w:val="0"/>
                      <w:position w:val="-10"/>
                      <w:szCs w:val="22"/>
                      <w14:textFill>
                        <w14:solidFill>
                          <w14:schemeClr w14:val="tx1"/>
                        </w14:solidFill>
                      </w14:textFill>
                    </w:rPr>
                  </w:pPr>
                  <w:r>
                    <w:rPr>
                      <w:rFonts w:ascii="Times New Roman" w:hAnsi="Times New Roman" w:eastAsia="宋体"/>
                      <w:color w:val="000000" w:themeColor="text1"/>
                      <w:kern w:val="0"/>
                      <w:position w:val="-10"/>
                      <w:szCs w:val="22"/>
                      <w14:textFill>
                        <w14:solidFill>
                          <w14:schemeClr w14:val="tx1"/>
                        </w14:solidFill>
                      </w14:textFill>
                    </w:rPr>
                    <w:t>SS</w:t>
                  </w:r>
                </w:p>
              </w:tc>
              <w:tc>
                <w:tcPr>
                  <w:tcW w:w="939" w:type="pct"/>
                  <w:vMerge w:val="continue"/>
                  <w:vAlign w:val="center"/>
                </w:tcPr>
                <w:p>
                  <w:pPr>
                    <w:tabs>
                      <w:tab w:val="left" w:pos="-2848"/>
                    </w:tabs>
                    <w:adjustRightInd w:val="0"/>
                    <w:snapToGrid w:val="0"/>
                    <w:jc w:val="center"/>
                    <w:rPr>
                      <w:rFonts w:ascii="Times New Roman" w:hAnsi="Times New Roman" w:eastAsia="Times New Roman"/>
                      <w:color w:val="000000" w:themeColor="text1"/>
                      <w:kern w:val="0"/>
                      <w:position w:val="-10"/>
                      <w:szCs w:val="2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35"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1</w:t>
                  </w:r>
                </w:p>
              </w:tc>
              <w:tc>
                <w:tcPr>
                  <w:tcW w:w="1687"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××药业集团有限公司</w:t>
                  </w:r>
                </w:p>
              </w:tc>
              <w:tc>
                <w:tcPr>
                  <w:tcW w:w="633"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1333.9</w:t>
                  </w:r>
                </w:p>
              </w:tc>
              <w:tc>
                <w:tcPr>
                  <w:tcW w:w="422" w:type="pct"/>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387.2</w:t>
                  </w:r>
                </w:p>
              </w:tc>
              <w:tc>
                <w:tcPr>
                  <w:tcW w:w="42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w:t>
                  </w:r>
                </w:p>
              </w:tc>
              <w:tc>
                <w:tcPr>
                  <w:tcW w:w="56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109.3</w:t>
                  </w:r>
                </w:p>
              </w:tc>
              <w:tc>
                <w:tcPr>
                  <w:tcW w:w="939" w:type="pct"/>
                  <w:vMerge w:val="restart"/>
                  <w:vAlign w:val="center"/>
                </w:tcPr>
                <w:p>
                  <w:pPr>
                    <w:tabs>
                      <w:tab w:val="left" w:pos="-2848"/>
                    </w:tabs>
                    <w:adjustRightInd w:val="0"/>
                    <w:snapToGrid w:val="0"/>
                    <w:jc w:val="center"/>
                    <w:rPr>
                      <w:rFonts w:ascii="Times New Roman" w:hAnsi="Times New Roman" w:eastAsia="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《中药类制药工业水污染物排放标准编制说明》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35"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2</w:t>
                  </w:r>
                </w:p>
              </w:tc>
              <w:tc>
                <w:tcPr>
                  <w:tcW w:w="1687"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黑龙江××药业股份有限公司</w:t>
                  </w:r>
                </w:p>
              </w:tc>
              <w:tc>
                <w:tcPr>
                  <w:tcW w:w="633"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2536</w:t>
                  </w:r>
                </w:p>
              </w:tc>
              <w:tc>
                <w:tcPr>
                  <w:tcW w:w="422" w:type="pct"/>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1260</w:t>
                  </w:r>
                </w:p>
              </w:tc>
              <w:tc>
                <w:tcPr>
                  <w:tcW w:w="42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w:t>
                  </w:r>
                </w:p>
              </w:tc>
              <w:tc>
                <w:tcPr>
                  <w:tcW w:w="56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560</w:t>
                  </w:r>
                </w:p>
              </w:tc>
              <w:tc>
                <w:tcPr>
                  <w:tcW w:w="939" w:type="pct"/>
                  <w:vMerge w:val="continue"/>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35"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3</w:t>
                  </w:r>
                </w:p>
              </w:tc>
              <w:tc>
                <w:tcPr>
                  <w:tcW w:w="1687"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广州××中药厂</w:t>
                  </w:r>
                </w:p>
              </w:tc>
              <w:tc>
                <w:tcPr>
                  <w:tcW w:w="633"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1800</w:t>
                  </w:r>
                </w:p>
              </w:tc>
              <w:tc>
                <w:tcPr>
                  <w:tcW w:w="422" w:type="pct"/>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750</w:t>
                  </w:r>
                </w:p>
              </w:tc>
              <w:tc>
                <w:tcPr>
                  <w:tcW w:w="42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2.68</w:t>
                  </w:r>
                </w:p>
              </w:tc>
              <w:tc>
                <w:tcPr>
                  <w:tcW w:w="56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150</w:t>
                  </w:r>
                </w:p>
              </w:tc>
              <w:tc>
                <w:tcPr>
                  <w:tcW w:w="939" w:type="pct"/>
                  <w:vMerge w:val="continue"/>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35"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4</w:t>
                  </w:r>
                </w:p>
              </w:tc>
              <w:tc>
                <w:tcPr>
                  <w:tcW w:w="1687"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兰州××药业股份有限公司</w:t>
                  </w:r>
                </w:p>
              </w:tc>
              <w:tc>
                <w:tcPr>
                  <w:tcW w:w="633"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1000</w:t>
                  </w:r>
                </w:p>
              </w:tc>
              <w:tc>
                <w:tcPr>
                  <w:tcW w:w="422" w:type="pct"/>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670</w:t>
                  </w:r>
                </w:p>
              </w:tc>
              <w:tc>
                <w:tcPr>
                  <w:tcW w:w="42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0.1</w:t>
                  </w:r>
                </w:p>
              </w:tc>
              <w:tc>
                <w:tcPr>
                  <w:tcW w:w="56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90</w:t>
                  </w:r>
                </w:p>
              </w:tc>
              <w:tc>
                <w:tcPr>
                  <w:tcW w:w="939" w:type="pct"/>
                  <w:vMerge w:val="continue"/>
                  <w:vAlign w:val="center"/>
                </w:tcPr>
                <w:p>
                  <w:pPr>
                    <w:tabs>
                      <w:tab w:val="left" w:pos="-2848"/>
                    </w:tabs>
                    <w:adjustRightInd w:val="0"/>
                    <w:snapToGrid w:val="0"/>
                    <w:jc w:val="center"/>
                    <w:rPr>
                      <w:rFonts w:ascii="Times New Roman" w:hAnsi="Times New Roman" w:eastAsia="Times New Roman"/>
                      <w:color w:val="000000" w:themeColor="text1"/>
                      <w:kern w:val="0"/>
                      <w:position w:val="-10"/>
                      <w:szCs w:val="22"/>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35"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5</w:t>
                  </w:r>
                </w:p>
              </w:tc>
              <w:tc>
                <w:tcPr>
                  <w:tcW w:w="1687"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江西省宜春市某中药公司</w:t>
                  </w:r>
                </w:p>
              </w:tc>
              <w:tc>
                <w:tcPr>
                  <w:tcW w:w="633"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1600-2000</w:t>
                  </w:r>
                </w:p>
              </w:tc>
              <w:tc>
                <w:tcPr>
                  <w:tcW w:w="422" w:type="pct"/>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800-1000</w:t>
                  </w:r>
                </w:p>
              </w:tc>
              <w:tc>
                <w:tcPr>
                  <w:tcW w:w="42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30-40</w:t>
                  </w:r>
                </w:p>
              </w:tc>
              <w:tc>
                <w:tcPr>
                  <w:tcW w:w="56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200-400</w:t>
                  </w:r>
                </w:p>
              </w:tc>
              <w:tc>
                <w:tcPr>
                  <w:tcW w:w="939"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35"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6</w:t>
                  </w:r>
                </w:p>
              </w:tc>
              <w:tc>
                <w:tcPr>
                  <w:tcW w:w="1687"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山西亚宝药业集团股份有限公司</w:t>
                  </w:r>
                </w:p>
              </w:tc>
              <w:tc>
                <w:tcPr>
                  <w:tcW w:w="633"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1200-5000</w:t>
                  </w:r>
                </w:p>
              </w:tc>
              <w:tc>
                <w:tcPr>
                  <w:tcW w:w="422" w:type="pct"/>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w:t>
                  </w:r>
                </w:p>
              </w:tc>
              <w:tc>
                <w:tcPr>
                  <w:tcW w:w="42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w:t>
                  </w:r>
                </w:p>
              </w:tc>
              <w:tc>
                <w:tcPr>
                  <w:tcW w:w="562" w:type="pct"/>
                  <w:vAlign w:val="center"/>
                </w:tcPr>
                <w:p>
                  <w:pPr>
                    <w:tabs>
                      <w:tab w:val="left" w:pos="-2848"/>
                    </w:tabs>
                    <w:adjustRightInd w:val="0"/>
                    <w:snapToGrid w:val="0"/>
                    <w:jc w:val="center"/>
                    <w:rPr>
                      <w:rFonts w:ascii="Times New Roman" w:hAnsi="Times New Roman" w:eastAsia="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800-1700</w:t>
                  </w:r>
                </w:p>
              </w:tc>
              <w:tc>
                <w:tcPr>
                  <w:tcW w:w="939"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35"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7</w:t>
                  </w:r>
                </w:p>
              </w:tc>
              <w:tc>
                <w:tcPr>
                  <w:tcW w:w="1687"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吉林省力源药业股份有限公司</w:t>
                  </w:r>
                </w:p>
              </w:tc>
              <w:tc>
                <w:tcPr>
                  <w:tcW w:w="633"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2500</w:t>
                  </w:r>
                </w:p>
              </w:tc>
              <w:tc>
                <w:tcPr>
                  <w:tcW w:w="422" w:type="pct"/>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875</w:t>
                  </w:r>
                </w:p>
              </w:tc>
              <w:tc>
                <w:tcPr>
                  <w:tcW w:w="42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w:t>
                  </w:r>
                </w:p>
              </w:tc>
              <w:tc>
                <w:tcPr>
                  <w:tcW w:w="562" w:type="pct"/>
                  <w:vAlign w:val="center"/>
                </w:tcPr>
                <w:p>
                  <w:pPr>
                    <w:tabs>
                      <w:tab w:val="left" w:pos="-2848"/>
                    </w:tabs>
                    <w:adjustRightInd w:val="0"/>
                    <w:snapToGrid w:val="0"/>
                    <w:jc w:val="center"/>
                    <w:rPr>
                      <w:rFonts w:ascii="Times New Roman" w:hAnsi="Times New Roman" w:eastAsia="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700</w:t>
                  </w:r>
                </w:p>
              </w:tc>
              <w:tc>
                <w:tcPr>
                  <w:tcW w:w="939"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35"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8</w:t>
                  </w:r>
                </w:p>
              </w:tc>
              <w:tc>
                <w:tcPr>
                  <w:tcW w:w="1687"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桂林制药厂</w:t>
                  </w:r>
                </w:p>
              </w:tc>
              <w:tc>
                <w:tcPr>
                  <w:tcW w:w="633"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1000-2860</w:t>
                  </w:r>
                </w:p>
              </w:tc>
              <w:tc>
                <w:tcPr>
                  <w:tcW w:w="422" w:type="pct"/>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400-872</w:t>
                  </w:r>
                </w:p>
              </w:tc>
              <w:tc>
                <w:tcPr>
                  <w:tcW w:w="42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w:t>
                  </w:r>
                </w:p>
              </w:tc>
              <w:tc>
                <w:tcPr>
                  <w:tcW w:w="56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250-770</w:t>
                  </w:r>
                </w:p>
              </w:tc>
              <w:tc>
                <w:tcPr>
                  <w:tcW w:w="939"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35"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9</w:t>
                  </w:r>
                </w:p>
              </w:tc>
              <w:tc>
                <w:tcPr>
                  <w:tcW w:w="1687"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北京阡草制药厂</w:t>
                  </w:r>
                </w:p>
              </w:tc>
              <w:tc>
                <w:tcPr>
                  <w:tcW w:w="633"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1349-3815</w:t>
                  </w:r>
                </w:p>
              </w:tc>
              <w:tc>
                <w:tcPr>
                  <w:tcW w:w="422" w:type="pct"/>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532-1526</w:t>
                  </w:r>
                </w:p>
              </w:tc>
              <w:tc>
                <w:tcPr>
                  <w:tcW w:w="42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3.6</w:t>
                  </w:r>
                </w:p>
              </w:tc>
              <w:tc>
                <w:tcPr>
                  <w:tcW w:w="56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120</w:t>
                  </w:r>
                </w:p>
              </w:tc>
              <w:tc>
                <w:tcPr>
                  <w:tcW w:w="939"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 xml:space="preserve">*5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022" w:type="pct"/>
                  <w:gridSpan w:val="2"/>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本项目类比水质</w:t>
                  </w:r>
                </w:p>
              </w:tc>
              <w:tc>
                <w:tcPr>
                  <w:tcW w:w="633"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2055</w:t>
                  </w:r>
                </w:p>
              </w:tc>
              <w:tc>
                <w:tcPr>
                  <w:tcW w:w="42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813</w:t>
                  </w:r>
                </w:p>
              </w:tc>
              <w:tc>
                <w:tcPr>
                  <w:tcW w:w="42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10.3</w:t>
                  </w:r>
                </w:p>
              </w:tc>
              <w:tc>
                <w:tcPr>
                  <w:tcW w:w="562"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421</w:t>
                  </w:r>
                </w:p>
              </w:tc>
              <w:tc>
                <w:tcPr>
                  <w:tcW w:w="939" w:type="pct"/>
                  <w:vAlign w:val="center"/>
                </w:tcPr>
                <w:p>
                  <w:pPr>
                    <w:tabs>
                      <w:tab w:val="left" w:pos="-2848"/>
                    </w:tabs>
                    <w:adjustRightInd w:val="0"/>
                    <w:snapToGrid w:val="0"/>
                    <w:jc w:val="center"/>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取平均值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5000" w:type="pct"/>
                  <w:gridSpan w:val="7"/>
                </w:tcPr>
                <w:p>
                  <w:pPr>
                    <w:tabs>
                      <w:tab w:val="left" w:pos="-2848"/>
                    </w:tabs>
                    <w:adjustRightInd w:val="0"/>
                    <w:snapToGrid w:val="0"/>
                    <w:jc w:val="left"/>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*1：ABR+复合好氧+BAF处理中药废水，王白杨等，《环境工程》2010年2月第1期；</w:t>
                  </w:r>
                </w:p>
                <w:p>
                  <w:pPr>
                    <w:tabs>
                      <w:tab w:val="left" w:pos="-2848"/>
                    </w:tabs>
                    <w:adjustRightInd w:val="0"/>
                    <w:snapToGrid w:val="0"/>
                    <w:jc w:val="left"/>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*2：二级A/O处理中药废水工艺的改进，杨建宏等，《节能与环保》2009年第2期；</w:t>
                  </w:r>
                </w:p>
                <w:p>
                  <w:pPr>
                    <w:tabs>
                      <w:tab w:val="left" w:pos="-2848"/>
                    </w:tabs>
                    <w:adjustRightInd w:val="0"/>
                    <w:snapToGrid w:val="0"/>
                    <w:jc w:val="left"/>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*3：接触氧化/水解酸化/SBR工艺处理中药废水的工程实践，韩相奎等《中国给水排水》2003年第9期；</w:t>
                  </w:r>
                </w:p>
                <w:p>
                  <w:pPr>
                    <w:tabs>
                      <w:tab w:val="left" w:pos="-2848"/>
                    </w:tabs>
                    <w:adjustRightInd w:val="0"/>
                    <w:snapToGrid w:val="0"/>
                    <w:jc w:val="left"/>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*4：水解酸化-SBR工艺处理中中药废水的工程实践，黄海涛，《工业水处理》2012年第1期；</w:t>
                  </w:r>
                </w:p>
                <w:p>
                  <w:pPr>
                    <w:tabs>
                      <w:tab w:val="left" w:pos="-2848"/>
                    </w:tabs>
                    <w:adjustRightInd w:val="0"/>
                    <w:snapToGrid w:val="0"/>
                    <w:jc w:val="left"/>
                    <w:rPr>
                      <w:rFonts w:ascii="Times New Roman" w:hAnsi="Times New Roman"/>
                      <w:color w:val="000000" w:themeColor="text1"/>
                      <w:kern w:val="0"/>
                      <w:position w:val="-10"/>
                      <w:szCs w:val="22"/>
                      <w14:textFill>
                        <w14:solidFill>
                          <w14:schemeClr w14:val="tx1"/>
                        </w14:solidFill>
                      </w14:textFill>
                    </w:rPr>
                  </w:pPr>
                  <w:r>
                    <w:rPr>
                      <w:rFonts w:ascii="Times New Roman" w:hAnsi="Times New Roman"/>
                      <w:color w:val="000000" w:themeColor="text1"/>
                      <w:kern w:val="0"/>
                      <w:position w:val="-10"/>
                      <w:szCs w:val="22"/>
                      <w14:textFill>
                        <w14:solidFill>
                          <w14:schemeClr w14:val="tx1"/>
                        </w14:solidFill>
                      </w14:textFill>
                    </w:rPr>
                    <w:t>*5：中药废水处理工程实例，沈燕等，《环境科技》2012年6月第3期；</w:t>
                  </w:r>
                </w:p>
              </w:tc>
            </w:tr>
          </w:tbl>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p>
          <w:p>
            <w:pPr>
              <w:adjustRightInd w:val="0"/>
              <w:snapToGrid w:val="0"/>
              <w:spacing w:line="360" w:lineRule="auto"/>
              <w:ind w:firstLine="480" w:firstLineChars="200"/>
              <w:rPr>
                <w:rFonts w:ascii="Times New Roman" w:hAnsi="Times New Roman" w:eastAsia="宋体"/>
                <w:color w:val="000000" w:themeColor="text1"/>
                <w:sz w:val="24"/>
                <w:szCs w:val="20"/>
                <w14:textFill>
                  <w14:solidFill>
                    <w14:schemeClr w14:val="tx1"/>
                  </w14:solidFill>
                </w14:textFill>
              </w:rPr>
            </w:pPr>
            <w:r>
              <w:rPr>
                <w:rFonts w:ascii="Times New Roman" w:hAnsi="Times New Roman" w:eastAsia="宋体"/>
                <w:color w:val="000000" w:themeColor="text1"/>
                <w:sz w:val="24"/>
                <w:szCs w:val="20"/>
                <w14:textFill>
                  <w14:solidFill>
                    <w14:schemeClr w14:val="tx1"/>
                  </w14:solidFill>
                </w14:textFill>
              </w:rPr>
              <w:t>项目生产废水经自建污水站“格栅→调节池→UASB升流式厌氧塔→厌氧池→好氧生物接触氧化池→二沉池”处理达到广东省《水污染物排放限值》（DB44/26-2001）第二时段三级标准、工业污水处理厂进水水质要求及《中药类制药工业水污染物排放标准》（GB21906-2008）表2的较严值后</w:t>
            </w:r>
            <w:r>
              <w:rPr>
                <w:rFonts w:hint="eastAsia" w:ascii="Times New Roman" w:hAnsi="Times New Roman" w:eastAsia="宋体"/>
                <w:color w:val="000000" w:themeColor="text1"/>
                <w:sz w:val="24"/>
                <w:szCs w:val="20"/>
                <w14:textFill>
                  <w14:solidFill>
                    <w14:schemeClr w14:val="tx1"/>
                  </w14:solidFill>
                </w14:textFill>
              </w:rPr>
              <w:t>排入</w:t>
            </w:r>
            <w:r>
              <w:rPr>
                <w:rFonts w:ascii="Times New Roman" w:hAnsi="Times New Roman" w:eastAsia="宋体"/>
                <w:color w:val="000000" w:themeColor="text1"/>
                <w:sz w:val="24"/>
                <w:szCs w:val="20"/>
                <w14:textFill>
                  <w14:solidFill>
                    <w14:schemeClr w14:val="tx1"/>
                  </w14:solidFill>
                </w14:textFill>
              </w:rPr>
              <w:t>园区工业污水处理厂，尾水执行《地表水环境质量标准》（GB3838-2002）</w:t>
            </w:r>
            <w:r>
              <w:rPr>
                <w:rFonts w:hint="eastAsia" w:ascii="宋体" w:hAnsi="宋体" w:eastAsia="宋体" w:cs="宋体"/>
                <w:color w:val="000000" w:themeColor="text1"/>
                <w:sz w:val="24"/>
                <w:szCs w:val="20"/>
                <w14:textFill>
                  <w14:solidFill>
                    <w14:schemeClr w14:val="tx1"/>
                  </w14:solidFill>
                </w14:textFill>
              </w:rPr>
              <w:t>Ⅳ</w:t>
            </w:r>
            <w:r>
              <w:rPr>
                <w:rFonts w:ascii="Times New Roman" w:hAnsi="Times New Roman" w:eastAsia="宋体"/>
                <w:color w:val="000000" w:themeColor="text1"/>
                <w:sz w:val="24"/>
                <w:szCs w:val="20"/>
                <w14:textFill>
                  <w14:solidFill>
                    <w14:schemeClr w14:val="tx1"/>
                  </w14:solidFill>
                </w14:textFill>
              </w:rPr>
              <w:t>类标准，其余《地表水环境质量标准》（GB3838-2002）</w:t>
            </w:r>
            <w:r>
              <w:rPr>
                <w:rFonts w:hint="eastAsia" w:ascii="宋体" w:hAnsi="宋体" w:eastAsia="宋体" w:cs="宋体"/>
                <w:color w:val="000000" w:themeColor="text1"/>
                <w:sz w:val="24"/>
                <w:szCs w:val="20"/>
                <w14:textFill>
                  <w14:solidFill>
                    <w14:schemeClr w14:val="tx1"/>
                  </w14:solidFill>
                </w14:textFill>
              </w:rPr>
              <w:t>Ⅳ</w:t>
            </w:r>
            <w:r>
              <w:rPr>
                <w:rFonts w:ascii="Times New Roman" w:hAnsi="Times New Roman" w:eastAsia="宋体"/>
                <w:color w:val="000000" w:themeColor="text1"/>
                <w:sz w:val="24"/>
                <w:szCs w:val="20"/>
                <w14:textFill>
                  <w14:solidFill>
                    <w14:schemeClr w14:val="tx1"/>
                  </w14:solidFill>
                </w14:textFill>
              </w:rPr>
              <w:t>类标准未注明的指标，执行《城镇污水处理厂污染物排放标准》（GB18918-2002）一级A标准。</w:t>
            </w:r>
          </w:p>
          <w:p>
            <w:pPr>
              <w:pStyle w:val="84"/>
              <w:snapToGrid w:val="0"/>
              <w:spacing w:line="360" w:lineRule="auto"/>
              <w:ind w:firstLine="476" w:firstLineChars="200"/>
              <w:textAlignment w:val="baseline"/>
              <w:rPr>
                <w:rFonts w:hAnsi="Times New Roman"/>
                <w:color w:val="000000" w:themeColor="text1"/>
                <w:sz w:val="24"/>
                <w14:textFill>
                  <w14:solidFill>
                    <w14:schemeClr w14:val="tx1"/>
                  </w14:solidFill>
                </w14:textFill>
              </w:rPr>
            </w:pPr>
            <w:r>
              <w:rPr>
                <w:rFonts w:hAnsi="Times New Roman"/>
                <w:color w:val="000000" w:themeColor="text1"/>
                <w:sz w:val="24"/>
                <w14:textFill>
                  <w14:solidFill>
                    <w14:schemeClr w14:val="tx1"/>
                  </w14:solidFill>
                </w14:textFill>
              </w:rPr>
              <w:t>3、基准排水量达标分析</w:t>
            </w:r>
          </w:p>
          <w:p>
            <w:pPr>
              <w:pStyle w:val="84"/>
              <w:autoSpaceDE/>
              <w:autoSpaceDN/>
              <w:snapToGrid w:val="0"/>
              <w:spacing w:line="360" w:lineRule="auto"/>
              <w:ind w:firstLine="476" w:firstLineChars="200"/>
              <w:textAlignment w:val="baseline"/>
              <w:rPr>
                <w:rFonts w:hAnsi="Times New Roman"/>
                <w:color w:val="000000" w:themeColor="text1"/>
                <w:sz w:val="24"/>
                <w14:textFill>
                  <w14:solidFill>
                    <w14:schemeClr w14:val="tx1"/>
                  </w14:solidFill>
                </w14:textFill>
              </w:rPr>
            </w:pPr>
            <w:r>
              <w:rPr>
                <w:rFonts w:hAnsi="Times New Roman"/>
                <w:color w:val="000000" w:themeColor="text1"/>
                <w:sz w:val="24"/>
                <w14:textFill>
                  <w14:solidFill>
                    <w14:schemeClr w14:val="tx1"/>
                  </w14:solidFill>
                </w14:textFill>
              </w:rPr>
              <w:t>本项目属于中药类制药项目，根据《中药类制药工业水污染物排放标准》（GB21906-2008）中新建企业排放限值对产品废水排放量的控制要求，单位产品的基准排水量标准为300m</w:t>
            </w:r>
            <w:r>
              <w:rPr>
                <w:rFonts w:hAnsi="Times New Roman"/>
                <w:color w:val="000000" w:themeColor="text1"/>
                <w:sz w:val="24"/>
                <w:vertAlign w:val="superscript"/>
                <w14:textFill>
                  <w14:solidFill>
                    <w14:schemeClr w14:val="tx1"/>
                  </w14:solidFill>
                </w14:textFill>
              </w:rPr>
              <w:t>3</w:t>
            </w:r>
            <w:r>
              <w:rPr>
                <w:rFonts w:hAnsi="Times New Roman"/>
                <w:color w:val="000000" w:themeColor="text1"/>
                <w:sz w:val="24"/>
                <w14:textFill>
                  <w14:solidFill>
                    <w14:schemeClr w14:val="tx1"/>
                  </w14:solidFill>
                </w14:textFill>
              </w:rPr>
              <w:t>/t。本项目产品总质量为35.2t，废水的排放量为4110.298m</w:t>
            </w:r>
            <w:r>
              <w:rPr>
                <w:rFonts w:hAnsi="Times New Roman"/>
                <w:color w:val="000000" w:themeColor="text1"/>
                <w:sz w:val="24"/>
                <w:vertAlign w:val="superscript"/>
                <w14:textFill>
                  <w14:solidFill>
                    <w14:schemeClr w14:val="tx1"/>
                  </w14:solidFill>
                </w14:textFill>
              </w:rPr>
              <w:t>3</w:t>
            </w:r>
            <w:r>
              <w:rPr>
                <w:rFonts w:hAnsi="Times New Roman"/>
                <w:color w:val="000000" w:themeColor="text1"/>
                <w:sz w:val="24"/>
                <w14:textFill>
                  <w14:solidFill>
                    <w14:schemeClr w14:val="tx1"/>
                  </w14:solidFill>
                </w14:textFill>
              </w:rPr>
              <w:t>/a，经计算本项目的基准排水量是116.8m</w:t>
            </w:r>
            <w:r>
              <w:rPr>
                <w:rFonts w:hAnsi="Times New Roman"/>
                <w:color w:val="000000" w:themeColor="text1"/>
                <w:sz w:val="24"/>
                <w:vertAlign w:val="superscript"/>
                <w14:textFill>
                  <w14:solidFill>
                    <w14:schemeClr w14:val="tx1"/>
                  </w14:solidFill>
                </w14:textFill>
              </w:rPr>
              <w:t>3</w:t>
            </w:r>
            <w:r>
              <w:rPr>
                <w:rFonts w:hAnsi="Times New Roman"/>
                <w:color w:val="000000" w:themeColor="text1"/>
                <w:sz w:val="24"/>
                <w14:textFill>
                  <w14:solidFill>
                    <w14:schemeClr w14:val="tx1"/>
                  </w14:solidFill>
                </w14:textFill>
              </w:rPr>
              <w:t>/t。因此项目排水符合《中药类制药工业水污染物排放标准》（GB21906-2008）中新建企业排放限值对产品废水排放量的控制要求。</w:t>
            </w:r>
          </w:p>
          <w:p>
            <w:pPr>
              <w:pStyle w:val="84"/>
              <w:autoSpaceDE/>
              <w:autoSpaceDN/>
              <w:snapToGrid w:val="0"/>
              <w:spacing w:line="360" w:lineRule="auto"/>
              <w:ind w:firstLine="476" w:firstLineChars="200"/>
              <w:textAlignment w:val="baseline"/>
              <w:rPr>
                <w:rFonts w:hAnsi="Times New Roman"/>
                <w:color w:val="000000" w:themeColor="text1"/>
                <w:sz w:val="24"/>
                <w14:textFill>
                  <w14:solidFill>
                    <w14:schemeClr w14:val="tx1"/>
                  </w14:solidFill>
                </w14:textFill>
              </w:rPr>
            </w:pPr>
            <w:r>
              <w:rPr>
                <w:rFonts w:hAnsi="Times New Roman"/>
                <w:color w:val="000000" w:themeColor="text1"/>
                <w:sz w:val="24"/>
                <w14:textFill>
                  <w14:solidFill>
                    <w14:schemeClr w14:val="tx1"/>
                  </w14:solidFill>
                </w14:textFill>
              </w:rPr>
              <w:t>（二）生活污水</w:t>
            </w:r>
          </w:p>
          <w:p>
            <w:pPr>
              <w:pStyle w:val="84"/>
              <w:autoSpaceDE/>
              <w:autoSpaceDN/>
              <w:snapToGrid w:val="0"/>
              <w:spacing w:line="360" w:lineRule="auto"/>
              <w:ind w:firstLine="476" w:firstLineChars="200"/>
              <w:jc w:val="both"/>
              <w:textAlignment w:val="baseline"/>
              <w:rPr>
                <w:rFonts w:hAnsi="Times New Roman"/>
                <w:bCs/>
                <w:color w:val="000000" w:themeColor="text1"/>
                <w:sz w:val="24"/>
                <w14:textFill>
                  <w14:solidFill>
                    <w14:schemeClr w14:val="tx1"/>
                  </w14:solidFill>
                </w14:textFill>
              </w:rPr>
            </w:pPr>
            <w:r>
              <w:rPr>
                <w:rFonts w:hAnsi="Times New Roman"/>
                <w:color w:val="000000" w:themeColor="text1"/>
                <w:sz w:val="24"/>
                <w14:textFill>
                  <w14:solidFill>
                    <w14:schemeClr w14:val="tx1"/>
                  </w14:solidFill>
                </w14:textFill>
              </w:rPr>
              <w:t>本项目劳动定员为16人，年工作天数260天，不在厂内食宿，根据广东省《用水定额 第三部分：生活》（DB44/T1461.3-2021），生活用水量按10m</w:t>
            </w:r>
            <w:r>
              <w:rPr>
                <w:rFonts w:hAnsi="Times New Roman"/>
                <w:color w:val="000000" w:themeColor="text1"/>
                <w:sz w:val="24"/>
                <w:vertAlign w:val="superscript"/>
                <w14:textFill>
                  <w14:solidFill>
                    <w14:schemeClr w14:val="tx1"/>
                  </w14:solidFill>
                </w14:textFill>
              </w:rPr>
              <w:t>3</w:t>
            </w:r>
            <w:r>
              <w:rPr>
                <w:rFonts w:hAnsi="Times New Roman"/>
                <w:color w:val="000000" w:themeColor="text1"/>
                <w:sz w:val="24"/>
                <w14:textFill>
                  <w14:solidFill>
                    <w14:schemeClr w14:val="tx1"/>
                  </w14:solidFill>
                </w14:textFill>
              </w:rPr>
              <w:t>/（人•a）计，则项目生活自来水用量为160t/a（0.53t/d）。</w:t>
            </w:r>
            <w:r>
              <w:rPr>
                <w:rFonts w:hAnsi="Times New Roman"/>
                <w:bCs/>
                <w:color w:val="000000" w:themeColor="text1"/>
                <w:sz w:val="24"/>
                <w14:textFill>
                  <w14:solidFill>
                    <w14:schemeClr w14:val="tx1"/>
                  </w14:solidFill>
                </w14:textFill>
              </w:rPr>
              <w:t>产污系数按0.9计，项目生活污水的排放总量为144t/a（0.55t/d），经化粪池</w:t>
            </w:r>
            <w:r>
              <w:rPr>
                <w:rFonts w:hAnsi="Times New Roman"/>
                <w:color w:val="000000" w:themeColor="text1"/>
                <w:sz w:val="24"/>
                <w14:textFill>
                  <w14:solidFill>
                    <w14:schemeClr w14:val="tx1"/>
                  </w14:solidFill>
                </w14:textFill>
              </w:rPr>
              <w:t>预处理达到广东省《水污染物排放限值》（DB44/26-2001）第二时段三级标准后纳入到河口镇污水处理厂处理，河口镇污水处理厂尾水执行《地表水环境质量标准》（GB3838-2002）</w:t>
            </w:r>
            <w:r>
              <w:rPr>
                <w:rFonts w:hint="eastAsia" w:ascii="宋体" w:hAnsi="宋体" w:cs="宋体"/>
                <w:color w:val="000000" w:themeColor="text1"/>
                <w:sz w:val="24"/>
                <w14:textFill>
                  <w14:solidFill>
                    <w14:schemeClr w14:val="tx1"/>
                  </w14:solidFill>
                </w14:textFill>
              </w:rPr>
              <w:t>Ⅳ</w:t>
            </w:r>
            <w:r>
              <w:rPr>
                <w:rFonts w:hAnsi="Times New Roman"/>
                <w:color w:val="000000" w:themeColor="text1"/>
                <w:sz w:val="24"/>
                <w14:textFill>
                  <w14:solidFill>
                    <w14:schemeClr w14:val="tx1"/>
                  </w14:solidFill>
                </w14:textFill>
              </w:rPr>
              <w:t>类标准，其余《地表水环境质量标准》（GB3838-2002）</w:t>
            </w:r>
            <w:r>
              <w:rPr>
                <w:rFonts w:hint="eastAsia" w:ascii="宋体" w:hAnsi="宋体" w:cs="宋体"/>
                <w:color w:val="000000" w:themeColor="text1"/>
                <w:sz w:val="24"/>
                <w14:textFill>
                  <w14:solidFill>
                    <w14:schemeClr w14:val="tx1"/>
                  </w14:solidFill>
                </w14:textFill>
              </w:rPr>
              <w:t>Ⅳ</w:t>
            </w:r>
            <w:r>
              <w:rPr>
                <w:rFonts w:hAnsi="Times New Roman"/>
                <w:color w:val="000000" w:themeColor="text1"/>
                <w:sz w:val="24"/>
                <w14:textFill>
                  <w14:solidFill>
                    <w14:schemeClr w14:val="tx1"/>
                  </w14:solidFill>
                </w14:textFill>
              </w:rPr>
              <w:t>类标准未注明的指标，执行《城镇污水处理厂污染物排放标准》（GB18918-2002）一级A标准。</w:t>
            </w:r>
          </w:p>
          <w:p>
            <w:pPr>
              <w:pStyle w:val="84"/>
              <w:autoSpaceDE/>
              <w:autoSpaceDN/>
              <w:snapToGrid w:val="0"/>
              <w:spacing w:line="360" w:lineRule="auto"/>
              <w:ind w:firstLine="476" w:firstLineChars="200"/>
              <w:textAlignment w:val="baseline"/>
              <w:rPr>
                <w:rFonts w:hAnsi="Times New Roman"/>
                <w:bCs/>
                <w:color w:val="000000" w:themeColor="text1"/>
                <w:sz w:val="24"/>
                <w14:textFill>
                  <w14:solidFill>
                    <w14:schemeClr w14:val="tx1"/>
                  </w14:solidFill>
                </w14:textFill>
              </w:rPr>
            </w:pPr>
            <w:r>
              <w:rPr>
                <w:rFonts w:hAnsi="Times New Roman"/>
                <w:bCs/>
                <w:color w:val="000000" w:themeColor="text1"/>
                <w:sz w:val="24"/>
                <w14:textFill>
                  <w14:solidFill>
                    <w14:schemeClr w14:val="tx1"/>
                  </w14:solidFill>
                </w14:textFill>
              </w:rPr>
              <w:t>（三）项目废水产排情况汇总</w:t>
            </w:r>
          </w:p>
          <w:p>
            <w:pPr>
              <w:pStyle w:val="84"/>
              <w:autoSpaceDE/>
              <w:autoSpaceDN/>
              <w:snapToGrid w:val="0"/>
              <w:spacing w:line="360" w:lineRule="auto"/>
              <w:ind w:firstLine="476" w:firstLineChars="200"/>
              <w:textAlignment w:val="baseline"/>
              <w:rPr>
                <w:rFonts w:hAnsi="Times New Roman"/>
                <w:bCs/>
                <w:color w:val="000000" w:themeColor="text1"/>
                <w:sz w:val="24"/>
                <w14:textFill>
                  <w14:solidFill>
                    <w14:schemeClr w14:val="tx1"/>
                  </w14:solidFill>
                </w14:textFill>
              </w:rPr>
            </w:pPr>
            <w:r>
              <w:rPr>
                <w:rFonts w:hAnsi="Times New Roman"/>
                <w:bCs/>
                <w:color w:val="000000" w:themeColor="text1"/>
                <w:sz w:val="24"/>
                <w14:textFill>
                  <w14:solidFill>
                    <w14:schemeClr w14:val="tx1"/>
                  </w14:solidFill>
                </w14:textFill>
              </w:rPr>
              <w:t>本项目生产废水、生活污水污染物产排情况如下表。</w:t>
            </w: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本项目废水产排情况</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501"/>
              <w:gridCol w:w="1463"/>
              <w:gridCol w:w="959"/>
              <w:gridCol w:w="1349"/>
              <w:gridCol w:w="1541"/>
              <w:gridCol w:w="1346"/>
              <w:gridCol w:w="1538"/>
              <w:gridCol w:w="1349"/>
              <w:gridCol w:w="961"/>
              <w:gridCol w:w="13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污染物类别</w:t>
                  </w:r>
                </w:p>
              </w:tc>
              <w:tc>
                <w:tcPr>
                  <w:tcW w:w="548"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污染物种类</w:t>
                  </w:r>
                </w:p>
              </w:tc>
              <w:tc>
                <w:tcPr>
                  <w:tcW w:w="864" w:type="pct"/>
                  <w:gridSpan w:val="2"/>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污染物产生</w:t>
                  </w:r>
                </w:p>
              </w:tc>
              <w:tc>
                <w:tcPr>
                  <w:tcW w:w="2162" w:type="pct"/>
                  <w:gridSpan w:val="4"/>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主要污染治理设施</w:t>
                  </w:r>
                </w:p>
              </w:tc>
              <w:tc>
                <w:tcPr>
                  <w:tcW w:w="864" w:type="pct"/>
                  <w:gridSpan w:val="2"/>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污水处理厂污染物排放情况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548"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59" w:type="pct"/>
                  <w:vAlign w:val="center"/>
                </w:tcPr>
                <w:p>
                  <w:pPr>
                    <w:adjustRightInd w:val="0"/>
                    <w:snapToGrid w:val="0"/>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产生量t/a</w:t>
                  </w:r>
                </w:p>
              </w:tc>
              <w:tc>
                <w:tcPr>
                  <w:tcW w:w="505" w:type="pct"/>
                  <w:vAlign w:val="center"/>
                </w:tcPr>
                <w:p>
                  <w:pPr>
                    <w:adjustRightInd w:val="0"/>
                    <w:snapToGrid w:val="0"/>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产生浓度mg/m</w:t>
                  </w:r>
                  <w:r>
                    <w:rPr>
                      <w:rFonts w:ascii="Times New Roman" w:hAnsi="Times New Roman"/>
                      <w:bCs/>
                      <w:color w:val="000000" w:themeColor="text1"/>
                      <w:szCs w:val="21"/>
                      <w:vertAlign w:val="superscript"/>
                      <w14:textFill>
                        <w14:solidFill>
                          <w14:schemeClr w14:val="tx1"/>
                        </w14:solidFill>
                      </w14:textFill>
                    </w:rPr>
                    <w:t>3</w:t>
                  </w:r>
                </w:p>
              </w:tc>
              <w:tc>
                <w:tcPr>
                  <w:tcW w:w="577"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治理措施</w:t>
                  </w:r>
                </w:p>
              </w:tc>
              <w:tc>
                <w:tcPr>
                  <w:tcW w:w="504"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处理能力m</w:t>
                  </w:r>
                  <w:r>
                    <w:rPr>
                      <w:rFonts w:eastAsiaTheme="minorEastAsia"/>
                      <w:color w:val="000000" w:themeColor="text1"/>
                      <w:sz w:val="21"/>
                      <w:szCs w:val="21"/>
                      <w:vertAlign w:val="superscript"/>
                      <w14:textFill>
                        <w14:solidFill>
                          <w14:schemeClr w14:val="tx1"/>
                        </w14:solidFill>
                      </w14:textFill>
                    </w:rPr>
                    <w:t>3</w:t>
                  </w:r>
                  <w:r>
                    <w:rPr>
                      <w:rFonts w:eastAsiaTheme="minorEastAsia"/>
                      <w:color w:val="000000" w:themeColor="text1"/>
                      <w:sz w:val="21"/>
                      <w:szCs w:val="21"/>
                      <w14:textFill>
                        <w14:solidFill>
                          <w14:schemeClr w14:val="tx1"/>
                        </w14:solidFill>
                      </w14:textFill>
                    </w:rPr>
                    <w:t>/h</w:t>
                  </w:r>
                </w:p>
              </w:tc>
              <w:tc>
                <w:tcPr>
                  <w:tcW w:w="576"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治理效率%</w:t>
                  </w:r>
                </w:p>
              </w:tc>
              <w:tc>
                <w:tcPr>
                  <w:tcW w:w="505"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是否为可行技术</w:t>
                  </w:r>
                </w:p>
              </w:tc>
              <w:tc>
                <w:tcPr>
                  <w:tcW w:w="360" w:type="pct"/>
                  <w:vAlign w:val="center"/>
                </w:tcPr>
                <w:p>
                  <w:pPr>
                    <w:adjustRightInd w:val="0"/>
                    <w:snapToGrid w:val="0"/>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排放量t/a</w:t>
                  </w:r>
                </w:p>
              </w:tc>
              <w:tc>
                <w:tcPr>
                  <w:tcW w:w="504" w:type="pct"/>
                  <w:vAlign w:val="center"/>
                </w:tcPr>
                <w:p>
                  <w:pPr>
                    <w:adjustRightInd w:val="0"/>
                    <w:snapToGrid w:val="0"/>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排放浓度mg/m</w:t>
                  </w:r>
                  <w:r>
                    <w:rPr>
                      <w:rFonts w:ascii="Times New Roman" w:hAnsi="Times New Roman"/>
                      <w:bCs/>
                      <w:color w:val="000000" w:themeColor="text1"/>
                      <w:szCs w:val="21"/>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8" w:hRule="atLeast"/>
                <w:jc w:val="center"/>
              </w:trPr>
              <w:tc>
                <w:tcPr>
                  <w:tcW w:w="562" w:type="pct"/>
                  <w:vMerge w:val="restart"/>
                  <w:vAlign w:val="center"/>
                </w:tcPr>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r>
                    <w:rPr>
                      <w:rFonts w:eastAsiaTheme="minorEastAsia"/>
                      <w:bCs/>
                      <w:color w:val="000000" w:themeColor="text1"/>
                      <w:sz w:val="21"/>
                      <w:szCs w:val="21"/>
                      <w14:textFill>
                        <w14:solidFill>
                          <w14:schemeClr w14:val="tx1"/>
                        </w14:solidFill>
                      </w14:textFill>
                    </w:rPr>
                    <w:t>生产废水</w:t>
                  </w:r>
                </w:p>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r>
                    <w:rPr>
                      <w:rFonts w:eastAsiaTheme="minorEastAsia"/>
                      <w:bCs/>
                      <w:color w:val="000000" w:themeColor="text1"/>
                      <w:sz w:val="21"/>
                      <w:szCs w:val="21"/>
                      <w14:textFill>
                        <w14:solidFill>
                          <w14:schemeClr w14:val="tx1"/>
                        </w14:solidFill>
                      </w14:textFill>
                    </w:rPr>
                    <w:t>4110.298t/a（15.8t/d）</w:t>
                  </w:r>
                </w:p>
              </w:tc>
              <w:tc>
                <w:tcPr>
                  <w:tcW w:w="548"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COD</w:t>
                  </w:r>
                  <w:r>
                    <w:rPr>
                      <w:rFonts w:ascii="Times New Roman" w:hAnsi="Times New Roman"/>
                      <w:color w:val="000000" w:themeColor="text1"/>
                      <w:szCs w:val="21"/>
                      <w:vertAlign w:val="subscript"/>
                      <w14:textFill>
                        <w14:solidFill>
                          <w14:schemeClr w14:val="tx1"/>
                        </w14:solidFill>
                      </w14:textFill>
                    </w:rPr>
                    <w:t>Cr</w:t>
                  </w:r>
                </w:p>
              </w:tc>
              <w:tc>
                <w:tcPr>
                  <w:tcW w:w="35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szCs w:val="21"/>
                    </w:rPr>
                    <w:t>8.500</w:t>
                  </w:r>
                </w:p>
              </w:tc>
              <w:tc>
                <w:tcPr>
                  <w:tcW w:w="50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2055</w:t>
                  </w:r>
                </w:p>
              </w:tc>
              <w:tc>
                <w:tcPr>
                  <w:tcW w:w="577" w:type="pct"/>
                  <w:vMerge w:val="restart"/>
                  <w:vAlign w:val="center"/>
                </w:tcPr>
                <w:p>
                  <w:pPr>
                    <w:pStyle w:val="52"/>
                    <w:spacing w:before="0" w:after="0" w:line="240" w:lineRule="auto"/>
                    <w:ind w:firstLine="0" w:firstLineChars="0"/>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自建污水处理站（格栅池、调节池→UASB升流式厌氧塔→厌氧池→好氧生物接触氧化池→二沉池）+园区工业污水处理厂</w:t>
                  </w:r>
                </w:p>
              </w:tc>
              <w:tc>
                <w:tcPr>
                  <w:tcW w:w="504"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自建污水处理站25t/d，园区工业污水处理厂600t/d</w:t>
                  </w:r>
                </w:p>
              </w:tc>
              <w:tc>
                <w:tcPr>
                  <w:tcW w:w="576"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98.5%</w:t>
                  </w:r>
                </w:p>
              </w:tc>
              <w:tc>
                <w:tcPr>
                  <w:tcW w:w="505"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是</w:t>
                  </w:r>
                </w:p>
              </w:tc>
              <w:tc>
                <w:tcPr>
                  <w:tcW w:w="36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szCs w:val="21"/>
                    </w:rPr>
                    <w:t>0.124</w:t>
                  </w:r>
                </w:p>
              </w:tc>
              <w:tc>
                <w:tcPr>
                  <w:tcW w:w="504"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1" w:hRule="atLeast"/>
                <w:jc w:val="center"/>
              </w:trPr>
              <w:tc>
                <w:tcPr>
                  <w:tcW w:w="562" w:type="pct"/>
                  <w:vMerge w:val="continue"/>
                  <w:vAlign w:val="center"/>
                </w:tcPr>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p>
              </w:tc>
              <w:tc>
                <w:tcPr>
                  <w:tcW w:w="548"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BOD</w:t>
                  </w:r>
                  <w:r>
                    <w:rPr>
                      <w:rFonts w:ascii="Times New Roman" w:hAnsi="Times New Roman"/>
                      <w:color w:val="000000" w:themeColor="text1"/>
                      <w:szCs w:val="21"/>
                      <w:vertAlign w:val="subscript"/>
                      <w14:textFill>
                        <w14:solidFill>
                          <w14:schemeClr w14:val="tx1"/>
                        </w14:solidFill>
                      </w14:textFill>
                    </w:rPr>
                    <w:t>5</w:t>
                  </w:r>
                </w:p>
              </w:tc>
              <w:tc>
                <w:tcPr>
                  <w:tcW w:w="35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szCs w:val="21"/>
                    </w:rPr>
                    <w:t>3.363</w:t>
                  </w:r>
                </w:p>
              </w:tc>
              <w:tc>
                <w:tcPr>
                  <w:tcW w:w="50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813</w:t>
                  </w:r>
                </w:p>
              </w:tc>
              <w:tc>
                <w:tcPr>
                  <w:tcW w:w="577"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504"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576"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99.3%</w:t>
                  </w:r>
                </w:p>
              </w:tc>
              <w:tc>
                <w:tcPr>
                  <w:tcW w:w="505"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6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szCs w:val="21"/>
                    </w:rPr>
                    <w:t>0.025</w:t>
                  </w:r>
                </w:p>
              </w:tc>
              <w:tc>
                <w:tcPr>
                  <w:tcW w:w="504"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6" w:hRule="atLeast"/>
                <w:jc w:val="center"/>
              </w:trPr>
              <w:tc>
                <w:tcPr>
                  <w:tcW w:w="562" w:type="pct"/>
                  <w:vMerge w:val="continue"/>
                  <w:vAlign w:val="center"/>
                </w:tcPr>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p>
              </w:tc>
              <w:tc>
                <w:tcPr>
                  <w:tcW w:w="548"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SS</w:t>
                  </w:r>
                </w:p>
              </w:tc>
              <w:tc>
                <w:tcPr>
                  <w:tcW w:w="35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szCs w:val="21"/>
                    </w:rPr>
                    <w:t>1.741</w:t>
                  </w:r>
                </w:p>
              </w:tc>
              <w:tc>
                <w:tcPr>
                  <w:tcW w:w="50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421</w:t>
                  </w:r>
                </w:p>
              </w:tc>
              <w:tc>
                <w:tcPr>
                  <w:tcW w:w="577"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504"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576"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97.6%</w:t>
                  </w:r>
                </w:p>
              </w:tc>
              <w:tc>
                <w:tcPr>
                  <w:tcW w:w="505"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6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szCs w:val="21"/>
                    </w:rPr>
                    <w:t>0.041</w:t>
                  </w:r>
                </w:p>
              </w:tc>
              <w:tc>
                <w:tcPr>
                  <w:tcW w:w="504"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5" w:hRule="atLeast"/>
                <w:jc w:val="center"/>
              </w:trPr>
              <w:tc>
                <w:tcPr>
                  <w:tcW w:w="562" w:type="pct"/>
                  <w:vMerge w:val="continue"/>
                  <w:tcBorders>
                    <w:bottom w:val="single" w:color="auto" w:sz="4" w:space="0"/>
                  </w:tcBorders>
                  <w:vAlign w:val="center"/>
                </w:tcPr>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p>
              </w:tc>
              <w:tc>
                <w:tcPr>
                  <w:tcW w:w="548" w:type="pct"/>
                  <w:tcBorders>
                    <w:bottom w:val="single" w:color="auto" w:sz="4" w:space="0"/>
                  </w:tcBorders>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NH</w:t>
                  </w:r>
                  <w:r>
                    <w:rPr>
                      <w:rFonts w:ascii="Times New Roman" w:hAnsi="Times New Roman"/>
                      <w:color w:val="000000" w:themeColor="text1"/>
                      <w:szCs w:val="21"/>
                      <w:vertAlign w:val="subscript"/>
                      <w14:textFill>
                        <w14:solidFill>
                          <w14:schemeClr w14:val="tx1"/>
                        </w14:solidFill>
                      </w14:textFill>
                    </w:rPr>
                    <w:t>3</w:t>
                  </w:r>
                  <w:r>
                    <w:rPr>
                      <w:rFonts w:ascii="Times New Roman" w:hAnsi="Times New Roman"/>
                      <w:color w:val="000000" w:themeColor="text1"/>
                      <w:szCs w:val="21"/>
                      <w14:textFill>
                        <w14:solidFill>
                          <w14:schemeClr w14:val="tx1"/>
                        </w14:solidFill>
                      </w14:textFill>
                    </w:rPr>
                    <w:t>-N</w:t>
                  </w:r>
                </w:p>
              </w:tc>
              <w:tc>
                <w:tcPr>
                  <w:tcW w:w="359" w:type="pct"/>
                  <w:tcBorders>
                    <w:bottom w:val="single" w:color="auto" w:sz="4" w:space="0"/>
                  </w:tcBorders>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szCs w:val="21"/>
                    </w:rPr>
                    <w:t>0.043</w:t>
                  </w:r>
                </w:p>
              </w:tc>
              <w:tc>
                <w:tcPr>
                  <w:tcW w:w="505" w:type="pct"/>
                  <w:tcBorders>
                    <w:bottom w:val="single" w:color="auto" w:sz="4" w:space="0"/>
                  </w:tcBorders>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10.3</w:t>
                  </w:r>
                </w:p>
              </w:tc>
              <w:tc>
                <w:tcPr>
                  <w:tcW w:w="577" w:type="pct"/>
                  <w:vMerge w:val="continue"/>
                  <w:tcBorders>
                    <w:bottom w:val="single" w:color="auto" w:sz="4" w:space="0"/>
                  </w:tcBorders>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504" w:type="pct"/>
                  <w:vMerge w:val="continue"/>
                  <w:tcBorders>
                    <w:bottom w:val="single" w:color="auto" w:sz="4" w:space="0"/>
                  </w:tcBorders>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576" w:type="pct"/>
                  <w:tcBorders>
                    <w:bottom w:val="single" w:color="auto" w:sz="4" w:space="0"/>
                  </w:tcBorders>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85.4%</w:t>
                  </w:r>
                </w:p>
              </w:tc>
              <w:tc>
                <w:tcPr>
                  <w:tcW w:w="505" w:type="pct"/>
                  <w:vMerge w:val="continue"/>
                  <w:tcBorders>
                    <w:bottom w:val="single" w:color="auto" w:sz="4" w:space="0"/>
                  </w:tcBorders>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60" w:type="pct"/>
                  <w:tcBorders>
                    <w:bottom w:val="single" w:color="auto" w:sz="4" w:space="0"/>
                  </w:tcBorders>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szCs w:val="21"/>
                    </w:rPr>
                    <w:t>0.006</w:t>
                  </w:r>
                </w:p>
              </w:tc>
              <w:tc>
                <w:tcPr>
                  <w:tcW w:w="504" w:type="pct"/>
                  <w:tcBorders>
                    <w:bottom w:val="single" w:color="auto" w:sz="4" w:space="0"/>
                  </w:tcBorders>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pct"/>
                  <w:vMerge w:val="restart"/>
                  <w:vAlign w:val="center"/>
                </w:tcPr>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r>
                    <w:rPr>
                      <w:rFonts w:eastAsiaTheme="minorEastAsia"/>
                      <w:bCs/>
                      <w:color w:val="000000" w:themeColor="text1"/>
                      <w:sz w:val="21"/>
                      <w:szCs w:val="21"/>
                      <w14:textFill>
                        <w14:solidFill>
                          <w14:schemeClr w14:val="tx1"/>
                        </w14:solidFill>
                      </w14:textFill>
                    </w:rPr>
                    <w:t>生活污水</w:t>
                  </w:r>
                </w:p>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144t/a</w:t>
                  </w:r>
                </w:p>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r>
                    <w:rPr>
                      <w:rFonts w:eastAsiaTheme="minorEastAsia"/>
                      <w:bCs/>
                      <w:color w:val="000000" w:themeColor="text1"/>
                      <w:sz w:val="21"/>
                      <w:szCs w:val="21"/>
                      <w14:textFill>
                        <w14:solidFill>
                          <w14:schemeClr w14:val="tx1"/>
                        </w14:solidFill>
                      </w14:textFill>
                    </w:rPr>
                    <w:t>0.55</w:t>
                  </w:r>
                  <w:r>
                    <w:rPr>
                      <w:rFonts w:eastAsiaTheme="minorEastAsia"/>
                      <w:color w:val="000000" w:themeColor="text1"/>
                      <w:sz w:val="21"/>
                      <w:szCs w:val="21"/>
                      <w14:textFill>
                        <w14:solidFill>
                          <w14:schemeClr w14:val="tx1"/>
                        </w14:solidFill>
                      </w14:textFill>
                    </w:rPr>
                    <w:t>t/d）</w:t>
                  </w:r>
                </w:p>
              </w:tc>
              <w:tc>
                <w:tcPr>
                  <w:tcW w:w="548"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COD</w:t>
                  </w:r>
                  <w:r>
                    <w:rPr>
                      <w:rFonts w:ascii="Times New Roman" w:hAnsi="Times New Roman"/>
                      <w:color w:val="000000" w:themeColor="text1"/>
                      <w:szCs w:val="21"/>
                      <w:vertAlign w:val="subscript"/>
                      <w14:textFill>
                        <w14:solidFill>
                          <w14:schemeClr w14:val="tx1"/>
                        </w14:solidFill>
                      </w14:textFill>
                    </w:rPr>
                    <w:t>Cr</w:t>
                  </w:r>
                </w:p>
              </w:tc>
              <w:tc>
                <w:tcPr>
                  <w:tcW w:w="35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0.040</w:t>
                  </w:r>
                </w:p>
              </w:tc>
              <w:tc>
                <w:tcPr>
                  <w:tcW w:w="50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280</w:t>
                  </w:r>
                </w:p>
              </w:tc>
              <w:tc>
                <w:tcPr>
                  <w:tcW w:w="577"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化粪池+河口镇污水处理厂</w:t>
                  </w:r>
                </w:p>
              </w:tc>
              <w:tc>
                <w:tcPr>
                  <w:tcW w:w="504"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河口镇污水处理厂1.5万t/d</w:t>
                  </w:r>
                </w:p>
              </w:tc>
              <w:tc>
                <w:tcPr>
                  <w:tcW w:w="576"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89.3%</w:t>
                  </w:r>
                </w:p>
              </w:tc>
              <w:tc>
                <w:tcPr>
                  <w:tcW w:w="505"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是</w:t>
                  </w:r>
                </w:p>
              </w:tc>
              <w:tc>
                <w:tcPr>
                  <w:tcW w:w="36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0.004</w:t>
                  </w:r>
                </w:p>
              </w:tc>
              <w:tc>
                <w:tcPr>
                  <w:tcW w:w="504"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548"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BOD</w:t>
                  </w:r>
                  <w:r>
                    <w:rPr>
                      <w:rFonts w:ascii="Times New Roman" w:hAnsi="Times New Roman"/>
                      <w:color w:val="000000" w:themeColor="text1"/>
                      <w:szCs w:val="21"/>
                      <w:vertAlign w:val="subscript"/>
                      <w14:textFill>
                        <w14:solidFill>
                          <w14:schemeClr w14:val="tx1"/>
                        </w14:solidFill>
                      </w14:textFill>
                    </w:rPr>
                    <w:t>5</w:t>
                  </w:r>
                </w:p>
              </w:tc>
              <w:tc>
                <w:tcPr>
                  <w:tcW w:w="35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0.023</w:t>
                  </w:r>
                </w:p>
              </w:tc>
              <w:tc>
                <w:tcPr>
                  <w:tcW w:w="50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160</w:t>
                  </w:r>
                </w:p>
              </w:tc>
              <w:tc>
                <w:tcPr>
                  <w:tcW w:w="577" w:type="pct"/>
                  <w:vMerge w:val="continue"/>
                  <w:vAlign w:val="center"/>
                </w:tcPr>
                <w:p>
                  <w:pPr>
                    <w:pStyle w:val="52"/>
                    <w:spacing w:before="0" w:after="0" w:line="240" w:lineRule="auto"/>
                    <w:ind w:firstLine="420"/>
                    <w:jc w:val="center"/>
                    <w:rPr>
                      <w:rFonts w:eastAsiaTheme="minorEastAsia"/>
                      <w:color w:val="000000" w:themeColor="text1"/>
                      <w:sz w:val="21"/>
                      <w:szCs w:val="21"/>
                      <w14:textFill>
                        <w14:solidFill>
                          <w14:schemeClr w14:val="tx1"/>
                        </w14:solidFill>
                      </w14:textFill>
                    </w:rPr>
                  </w:pPr>
                </w:p>
              </w:tc>
              <w:tc>
                <w:tcPr>
                  <w:tcW w:w="504" w:type="pct"/>
                  <w:vMerge w:val="continue"/>
                  <w:vAlign w:val="center"/>
                </w:tcPr>
                <w:p>
                  <w:pPr>
                    <w:pStyle w:val="52"/>
                    <w:spacing w:before="0" w:after="0" w:line="240" w:lineRule="auto"/>
                    <w:ind w:firstLine="420"/>
                    <w:jc w:val="center"/>
                    <w:rPr>
                      <w:rFonts w:eastAsiaTheme="minorEastAsia"/>
                      <w:color w:val="000000" w:themeColor="text1"/>
                      <w:sz w:val="21"/>
                      <w:szCs w:val="21"/>
                      <w14:textFill>
                        <w14:solidFill>
                          <w14:schemeClr w14:val="tx1"/>
                        </w14:solidFill>
                      </w14:textFill>
                    </w:rPr>
                  </w:pPr>
                </w:p>
              </w:tc>
              <w:tc>
                <w:tcPr>
                  <w:tcW w:w="576"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96.3%</w:t>
                  </w:r>
                </w:p>
              </w:tc>
              <w:tc>
                <w:tcPr>
                  <w:tcW w:w="505"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6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0.001</w:t>
                  </w:r>
                </w:p>
              </w:tc>
              <w:tc>
                <w:tcPr>
                  <w:tcW w:w="504"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548"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SS</w:t>
                  </w:r>
                </w:p>
              </w:tc>
              <w:tc>
                <w:tcPr>
                  <w:tcW w:w="35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0.022</w:t>
                  </w:r>
                </w:p>
              </w:tc>
              <w:tc>
                <w:tcPr>
                  <w:tcW w:w="50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150</w:t>
                  </w:r>
                </w:p>
              </w:tc>
              <w:tc>
                <w:tcPr>
                  <w:tcW w:w="577" w:type="pct"/>
                  <w:vMerge w:val="continue"/>
                  <w:vAlign w:val="center"/>
                </w:tcPr>
                <w:p>
                  <w:pPr>
                    <w:pStyle w:val="52"/>
                    <w:spacing w:before="0" w:after="0" w:line="240" w:lineRule="auto"/>
                    <w:ind w:firstLine="420"/>
                    <w:jc w:val="center"/>
                    <w:rPr>
                      <w:rFonts w:eastAsiaTheme="minorEastAsia"/>
                      <w:color w:val="000000" w:themeColor="text1"/>
                      <w:sz w:val="21"/>
                      <w:szCs w:val="21"/>
                      <w14:textFill>
                        <w14:solidFill>
                          <w14:schemeClr w14:val="tx1"/>
                        </w14:solidFill>
                      </w14:textFill>
                    </w:rPr>
                  </w:pPr>
                </w:p>
              </w:tc>
              <w:tc>
                <w:tcPr>
                  <w:tcW w:w="504" w:type="pct"/>
                  <w:vMerge w:val="continue"/>
                  <w:vAlign w:val="center"/>
                </w:tcPr>
                <w:p>
                  <w:pPr>
                    <w:pStyle w:val="52"/>
                    <w:spacing w:before="0" w:after="0" w:line="240" w:lineRule="auto"/>
                    <w:ind w:firstLine="420"/>
                    <w:jc w:val="center"/>
                    <w:rPr>
                      <w:rFonts w:eastAsiaTheme="minorEastAsia"/>
                      <w:color w:val="000000" w:themeColor="text1"/>
                      <w:sz w:val="21"/>
                      <w:szCs w:val="21"/>
                      <w14:textFill>
                        <w14:solidFill>
                          <w14:schemeClr w14:val="tx1"/>
                        </w14:solidFill>
                      </w14:textFill>
                    </w:rPr>
                  </w:pPr>
                </w:p>
              </w:tc>
              <w:tc>
                <w:tcPr>
                  <w:tcW w:w="576"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93.3%</w:t>
                  </w:r>
                </w:p>
              </w:tc>
              <w:tc>
                <w:tcPr>
                  <w:tcW w:w="505"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6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0.001</w:t>
                  </w:r>
                </w:p>
              </w:tc>
              <w:tc>
                <w:tcPr>
                  <w:tcW w:w="504"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548"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NH</w:t>
                  </w:r>
                  <w:r>
                    <w:rPr>
                      <w:rFonts w:ascii="Times New Roman" w:hAnsi="Times New Roman"/>
                      <w:color w:val="000000" w:themeColor="text1"/>
                      <w:szCs w:val="21"/>
                      <w:vertAlign w:val="subscript"/>
                      <w14:textFill>
                        <w14:solidFill>
                          <w14:schemeClr w14:val="tx1"/>
                        </w14:solidFill>
                      </w14:textFill>
                    </w:rPr>
                    <w:t>3</w:t>
                  </w:r>
                  <w:r>
                    <w:rPr>
                      <w:rFonts w:ascii="Times New Roman" w:hAnsi="Times New Roman"/>
                      <w:color w:val="000000" w:themeColor="text1"/>
                      <w:szCs w:val="21"/>
                      <w14:textFill>
                        <w14:solidFill>
                          <w14:schemeClr w14:val="tx1"/>
                        </w14:solidFill>
                      </w14:textFill>
                    </w:rPr>
                    <w:t>-N</w:t>
                  </w:r>
                </w:p>
              </w:tc>
              <w:tc>
                <w:tcPr>
                  <w:tcW w:w="35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0.004</w:t>
                  </w:r>
                </w:p>
              </w:tc>
              <w:tc>
                <w:tcPr>
                  <w:tcW w:w="50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25</w:t>
                  </w:r>
                </w:p>
              </w:tc>
              <w:tc>
                <w:tcPr>
                  <w:tcW w:w="577" w:type="pct"/>
                  <w:vMerge w:val="continue"/>
                  <w:vAlign w:val="center"/>
                </w:tcPr>
                <w:p>
                  <w:pPr>
                    <w:pStyle w:val="52"/>
                    <w:spacing w:before="0" w:after="0" w:line="240" w:lineRule="auto"/>
                    <w:ind w:firstLine="420"/>
                    <w:jc w:val="center"/>
                    <w:rPr>
                      <w:rFonts w:eastAsiaTheme="minorEastAsia"/>
                      <w:color w:val="000000" w:themeColor="text1"/>
                      <w:sz w:val="21"/>
                      <w:szCs w:val="21"/>
                      <w14:textFill>
                        <w14:solidFill>
                          <w14:schemeClr w14:val="tx1"/>
                        </w14:solidFill>
                      </w14:textFill>
                    </w:rPr>
                  </w:pPr>
                </w:p>
              </w:tc>
              <w:tc>
                <w:tcPr>
                  <w:tcW w:w="504" w:type="pct"/>
                  <w:vMerge w:val="continue"/>
                  <w:vAlign w:val="center"/>
                </w:tcPr>
                <w:p>
                  <w:pPr>
                    <w:pStyle w:val="52"/>
                    <w:spacing w:before="0" w:after="0" w:line="240" w:lineRule="auto"/>
                    <w:ind w:firstLine="420"/>
                    <w:jc w:val="center"/>
                    <w:rPr>
                      <w:rFonts w:eastAsiaTheme="minorEastAsia"/>
                      <w:color w:val="000000" w:themeColor="text1"/>
                      <w:sz w:val="21"/>
                      <w:szCs w:val="21"/>
                      <w14:textFill>
                        <w14:solidFill>
                          <w14:schemeClr w14:val="tx1"/>
                        </w14:solidFill>
                      </w14:textFill>
                    </w:rPr>
                  </w:pPr>
                </w:p>
              </w:tc>
              <w:tc>
                <w:tcPr>
                  <w:tcW w:w="576"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94.0%</w:t>
                  </w:r>
                </w:p>
              </w:tc>
              <w:tc>
                <w:tcPr>
                  <w:tcW w:w="505"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6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0.0002</w:t>
                  </w:r>
                </w:p>
              </w:tc>
              <w:tc>
                <w:tcPr>
                  <w:tcW w:w="504"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pct"/>
                  <w:vMerge w:val="restart"/>
                  <w:vAlign w:val="center"/>
                </w:tcPr>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r>
                    <w:rPr>
                      <w:rFonts w:eastAsiaTheme="minorEastAsia"/>
                      <w:bCs/>
                      <w:color w:val="000000" w:themeColor="text1"/>
                      <w:sz w:val="21"/>
                      <w:szCs w:val="21"/>
                      <w14:textFill>
                        <w14:solidFill>
                          <w14:schemeClr w14:val="tx1"/>
                        </w14:solidFill>
                      </w14:textFill>
                    </w:rPr>
                    <w:t>合计</w:t>
                  </w:r>
                </w:p>
                <w:p>
                  <w:pPr>
                    <w:pStyle w:val="52"/>
                    <w:spacing w:before="0" w:after="0" w:line="240" w:lineRule="auto"/>
                    <w:ind w:firstLine="0" w:firstLineChars="0"/>
                    <w:jc w:val="center"/>
                    <w:rPr>
                      <w:rFonts w:eastAsiaTheme="minorEastAsia"/>
                      <w:bCs/>
                      <w:color w:val="000000" w:themeColor="text1"/>
                      <w:sz w:val="21"/>
                      <w:szCs w:val="21"/>
                      <w14:textFill>
                        <w14:solidFill>
                          <w14:schemeClr w14:val="tx1"/>
                        </w14:solidFill>
                      </w14:textFill>
                    </w:rPr>
                  </w:pPr>
                  <w:r>
                    <w:rPr>
                      <w:rFonts w:eastAsiaTheme="minorEastAsia"/>
                      <w:bCs/>
                      <w:color w:val="000000" w:themeColor="text1"/>
                      <w:sz w:val="21"/>
                      <w:szCs w:val="21"/>
                      <w14:textFill>
                        <w14:solidFill>
                          <w14:schemeClr w14:val="tx1"/>
                        </w14:solidFill>
                      </w14:textFill>
                    </w:rPr>
                    <w:t>4254.298t/a</w:t>
                  </w:r>
                </w:p>
              </w:tc>
              <w:tc>
                <w:tcPr>
                  <w:tcW w:w="548"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COD</w:t>
                  </w:r>
                  <w:r>
                    <w:rPr>
                      <w:rFonts w:ascii="Times New Roman" w:hAnsi="Times New Roman"/>
                      <w:color w:val="000000" w:themeColor="text1"/>
                      <w:szCs w:val="21"/>
                      <w:vertAlign w:val="subscript"/>
                      <w14:textFill>
                        <w14:solidFill>
                          <w14:schemeClr w14:val="tx1"/>
                        </w14:solidFill>
                      </w14:textFill>
                    </w:rPr>
                    <w:t>Cr</w:t>
                  </w:r>
                </w:p>
              </w:tc>
              <w:tc>
                <w:tcPr>
                  <w:tcW w:w="35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szCs w:val="21"/>
                    </w:rPr>
                    <w:t>8.540</w:t>
                  </w:r>
                </w:p>
              </w:tc>
              <w:tc>
                <w:tcPr>
                  <w:tcW w:w="50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w:t>
                  </w:r>
                </w:p>
              </w:tc>
              <w:tc>
                <w:tcPr>
                  <w:tcW w:w="577"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504"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576"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505" w:type="pct"/>
                  <w:vMerge w:val="restar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w:t>
                  </w:r>
                </w:p>
              </w:tc>
              <w:tc>
                <w:tcPr>
                  <w:tcW w:w="36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szCs w:val="21"/>
                    </w:rPr>
                    <w:t>0.128</w:t>
                  </w:r>
                </w:p>
              </w:tc>
              <w:tc>
                <w:tcPr>
                  <w:tcW w:w="504"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8" w:hRule="atLeast"/>
                <w:jc w:val="center"/>
              </w:trPr>
              <w:tc>
                <w:tcPr>
                  <w:tcW w:w="562"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548"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BOD</w:t>
                  </w:r>
                  <w:r>
                    <w:rPr>
                      <w:rFonts w:ascii="Times New Roman" w:hAnsi="Times New Roman"/>
                      <w:color w:val="000000" w:themeColor="text1"/>
                      <w:szCs w:val="21"/>
                      <w:vertAlign w:val="subscript"/>
                      <w14:textFill>
                        <w14:solidFill>
                          <w14:schemeClr w14:val="tx1"/>
                        </w14:solidFill>
                      </w14:textFill>
                    </w:rPr>
                    <w:t>5</w:t>
                  </w:r>
                </w:p>
              </w:tc>
              <w:tc>
                <w:tcPr>
                  <w:tcW w:w="35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szCs w:val="21"/>
                    </w:rPr>
                    <w:t>3.386</w:t>
                  </w:r>
                </w:p>
              </w:tc>
              <w:tc>
                <w:tcPr>
                  <w:tcW w:w="50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w:t>
                  </w:r>
                </w:p>
              </w:tc>
              <w:tc>
                <w:tcPr>
                  <w:tcW w:w="577" w:type="pct"/>
                  <w:vMerge w:val="continue"/>
                  <w:vAlign w:val="center"/>
                </w:tcPr>
                <w:p>
                  <w:pPr>
                    <w:pStyle w:val="52"/>
                    <w:spacing w:before="0" w:after="0" w:line="240" w:lineRule="auto"/>
                    <w:ind w:firstLine="420"/>
                    <w:jc w:val="center"/>
                    <w:rPr>
                      <w:rFonts w:eastAsiaTheme="minorEastAsia"/>
                      <w:color w:val="000000" w:themeColor="text1"/>
                      <w:sz w:val="21"/>
                      <w:szCs w:val="21"/>
                      <w14:textFill>
                        <w14:solidFill>
                          <w14:schemeClr w14:val="tx1"/>
                        </w14:solidFill>
                      </w14:textFill>
                    </w:rPr>
                  </w:pPr>
                </w:p>
              </w:tc>
              <w:tc>
                <w:tcPr>
                  <w:tcW w:w="504" w:type="pct"/>
                  <w:vMerge w:val="continue"/>
                  <w:vAlign w:val="center"/>
                </w:tcPr>
                <w:p>
                  <w:pPr>
                    <w:pStyle w:val="52"/>
                    <w:spacing w:before="0" w:after="0" w:line="240" w:lineRule="auto"/>
                    <w:ind w:firstLine="420"/>
                    <w:jc w:val="center"/>
                    <w:rPr>
                      <w:rFonts w:eastAsiaTheme="minorEastAsia"/>
                      <w:color w:val="000000" w:themeColor="text1"/>
                      <w:sz w:val="21"/>
                      <w:szCs w:val="21"/>
                      <w14:textFill>
                        <w14:solidFill>
                          <w14:schemeClr w14:val="tx1"/>
                        </w14:solidFill>
                      </w14:textFill>
                    </w:rPr>
                  </w:pPr>
                </w:p>
              </w:tc>
              <w:tc>
                <w:tcPr>
                  <w:tcW w:w="576"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505"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6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szCs w:val="21"/>
                    </w:rPr>
                    <w:t>0.026</w:t>
                  </w:r>
                </w:p>
              </w:tc>
              <w:tc>
                <w:tcPr>
                  <w:tcW w:w="504"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548"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SS</w:t>
                  </w:r>
                </w:p>
              </w:tc>
              <w:tc>
                <w:tcPr>
                  <w:tcW w:w="35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szCs w:val="21"/>
                    </w:rPr>
                    <w:t>1.763</w:t>
                  </w:r>
                </w:p>
              </w:tc>
              <w:tc>
                <w:tcPr>
                  <w:tcW w:w="50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w:t>
                  </w:r>
                </w:p>
              </w:tc>
              <w:tc>
                <w:tcPr>
                  <w:tcW w:w="577" w:type="pct"/>
                  <w:vMerge w:val="continue"/>
                  <w:vAlign w:val="center"/>
                </w:tcPr>
                <w:p>
                  <w:pPr>
                    <w:pStyle w:val="52"/>
                    <w:spacing w:before="0" w:after="0" w:line="240" w:lineRule="auto"/>
                    <w:ind w:firstLine="420"/>
                    <w:jc w:val="center"/>
                    <w:rPr>
                      <w:rFonts w:eastAsiaTheme="minorEastAsia"/>
                      <w:color w:val="000000" w:themeColor="text1"/>
                      <w:sz w:val="21"/>
                      <w:szCs w:val="21"/>
                      <w14:textFill>
                        <w14:solidFill>
                          <w14:schemeClr w14:val="tx1"/>
                        </w14:solidFill>
                      </w14:textFill>
                    </w:rPr>
                  </w:pPr>
                </w:p>
              </w:tc>
              <w:tc>
                <w:tcPr>
                  <w:tcW w:w="504" w:type="pct"/>
                  <w:vMerge w:val="continue"/>
                  <w:vAlign w:val="center"/>
                </w:tcPr>
                <w:p>
                  <w:pPr>
                    <w:pStyle w:val="52"/>
                    <w:spacing w:before="0" w:after="0" w:line="240" w:lineRule="auto"/>
                    <w:ind w:firstLine="420"/>
                    <w:jc w:val="center"/>
                    <w:rPr>
                      <w:rFonts w:eastAsiaTheme="minorEastAsia"/>
                      <w:color w:val="000000" w:themeColor="text1"/>
                      <w:sz w:val="21"/>
                      <w:szCs w:val="21"/>
                      <w14:textFill>
                        <w14:solidFill>
                          <w14:schemeClr w14:val="tx1"/>
                        </w14:solidFill>
                      </w14:textFill>
                    </w:rPr>
                  </w:pPr>
                </w:p>
              </w:tc>
              <w:tc>
                <w:tcPr>
                  <w:tcW w:w="576"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505"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6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szCs w:val="21"/>
                    </w:rPr>
                    <w:t>0.04</w:t>
                  </w:r>
                  <w:r>
                    <w:rPr>
                      <w:rFonts w:hint="eastAsia" w:ascii="Times New Roman" w:hAnsi="Times New Roman"/>
                      <w:color w:val="000000"/>
                      <w:szCs w:val="21"/>
                    </w:rPr>
                    <w:t>2</w:t>
                  </w:r>
                </w:p>
              </w:tc>
              <w:tc>
                <w:tcPr>
                  <w:tcW w:w="504"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62"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548" w:type="pct"/>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NH</w:t>
                  </w:r>
                  <w:r>
                    <w:rPr>
                      <w:rFonts w:ascii="Times New Roman" w:hAnsi="Times New Roman"/>
                      <w:color w:val="000000" w:themeColor="text1"/>
                      <w:szCs w:val="21"/>
                      <w:vertAlign w:val="subscript"/>
                      <w14:textFill>
                        <w14:solidFill>
                          <w14:schemeClr w14:val="tx1"/>
                        </w14:solidFill>
                      </w14:textFill>
                    </w:rPr>
                    <w:t>3</w:t>
                  </w:r>
                  <w:r>
                    <w:rPr>
                      <w:rFonts w:ascii="Times New Roman" w:hAnsi="Times New Roman"/>
                      <w:color w:val="000000" w:themeColor="text1"/>
                      <w:szCs w:val="21"/>
                      <w14:textFill>
                        <w14:solidFill>
                          <w14:schemeClr w14:val="tx1"/>
                        </w14:solidFill>
                      </w14:textFill>
                    </w:rPr>
                    <w:t>-N</w:t>
                  </w:r>
                </w:p>
              </w:tc>
              <w:tc>
                <w:tcPr>
                  <w:tcW w:w="359"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szCs w:val="21"/>
                    </w:rPr>
                    <w:t>0.046</w:t>
                  </w:r>
                </w:p>
              </w:tc>
              <w:tc>
                <w:tcPr>
                  <w:tcW w:w="505"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w:t>
                  </w:r>
                </w:p>
              </w:tc>
              <w:tc>
                <w:tcPr>
                  <w:tcW w:w="577" w:type="pct"/>
                  <w:vMerge w:val="continue"/>
                  <w:vAlign w:val="center"/>
                </w:tcPr>
                <w:p>
                  <w:pPr>
                    <w:pStyle w:val="52"/>
                    <w:spacing w:before="0" w:after="0" w:line="240" w:lineRule="auto"/>
                    <w:ind w:firstLine="420"/>
                    <w:jc w:val="center"/>
                    <w:rPr>
                      <w:rFonts w:eastAsiaTheme="minorEastAsia"/>
                      <w:color w:val="000000" w:themeColor="text1"/>
                      <w:sz w:val="21"/>
                      <w:szCs w:val="21"/>
                      <w14:textFill>
                        <w14:solidFill>
                          <w14:schemeClr w14:val="tx1"/>
                        </w14:solidFill>
                      </w14:textFill>
                    </w:rPr>
                  </w:pPr>
                </w:p>
              </w:tc>
              <w:tc>
                <w:tcPr>
                  <w:tcW w:w="504" w:type="pct"/>
                  <w:vMerge w:val="continue"/>
                  <w:vAlign w:val="center"/>
                </w:tcPr>
                <w:p>
                  <w:pPr>
                    <w:pStyle w:val="52"/>
                    <w:spacing w:before="0" w:after="0" w:line="240" w:lineRule="auto"/>
                    <w:ind w:firstLine="420"/>
                    <w:jc w:val="center"/>
                    <w:rPr>
                      <w:rFonts w:eastAsiaTheme="minorEastAsia"/>
                      <w:color w:val="000000" w:themeColor="text1"/>
                      <w:sz w:val="21"/>
                      <w:szCs w:val="21"/>
                      <w14:textFill>
                        <w14:solidFill>
                          <w14:schemeClr w14:val="tx1"/>
                        </w14:solidFill>
                      </w14:textFill>
                    </w:rPr>
                  </w:pPr>
                </w:p>
              </w:tc>
              <w:tc>
                <w:tcPr>
                  <w:tcW w:w="576"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505" w:type="pct"/>
                  <w:vMerge w:val="continue"/>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360"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szCs w:val="21"/>
                    </w:rPr>
                    <w:t>0.006</w:t>
                  </w:r>
                  <w:r>
                    <w:rPr>
                      <w:rFonts w:hint="eastAsia" w:ascii="Times New Roman" w:hAnsi="Times New Roman"/>
                      <w:color w:val="000000"/>
                      <w:szCs w:val="21"/>
                    </w:rPr>
                    <w:t>2</w:t>
                  </w:r>
                </w:p>
              </w:tc>
              <w:tc>
                <w:tcPr>
                  <w:tcW w:w="504" w:type="pct"/>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r>
          </w:tbl>
          <w:p>
            <w:pPr>
              <w:jc w:val="center"/>
              <w:rPr>
                <w:rFonts w:ascii="Times New Roman" w:hAnsi="Times New Roman"/>
                <w:color w:val="000000" w:themeColor="text1"/>
                <w14:textFill>
                  <w14:solidFill>
                    <w14:schemeClr w14:val="tx1"/>
                  </w14:solidFill>
                </w14:textFill>
              </w:rPr>
            </w:pPr>
          </w:p>
          <w:p>
            <w:pPr>
              <w:rPr>
                <w:rFonts w:ascii="Times New Roman" w:hAnsi="Times New Roman"/>
                <w:color w:val="000000" w:themeColor="text1"/>
                <w14:textFill>
                  <w14:solidFill>
                    <w14:schemeClr w14:val="tx1"/>
                  </w14:solidFill>
                </w14:textFill>
              </w:rPr>
            </w:pP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项目废水排放口设置及废水污染物监测计划</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99"/>
              <w:gridCol w:w="1883"/>
              <w:gridCol w:w="740"/>
              <w:gridCol w:w="1715"/>
              <w:gridCol w:w="2249"/>
              <w:gridCol w:w="1394"/>
              <w:gridCol w:w="903"/>
              <w:gridCol w:w="630"/>
              <w:gridCol w:w="708"/>
              <w:gridCol w:w="993"/>
              <w:gridCol w:w="12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37"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污染物类别</w:t>
                  </w:r>
                </w:p>
              </w:tc>
              <w:tc>
                <w:tcPr>
                  <w:tcW w:w="705"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排污口</w:t>
                  </w:r>
                </w:p>
              </w:tc>
              <w:tc>
                <w:tcPr>
                  <w:tcW w:w="277"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排放方式</w:t>
                  </w:r>
                </w:p>
              </w:tc>
              <w:tc>
                <w:tcPr>
                  <w:tcW w:w="642"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排放去向</w:t>
                  </w:r>
                </w:p>
              </w:tc>
              <w:tc>
                <w:tcPr>
                  <w:tcW w:w="842"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排放规律</w:t>
                  </w:r>
                </w:p>
              </w:tc>
              <w:tc>
                <w:tcPr>
                  <w:tcW w:w="860" w:type="pct"/>
                  <w:gridSpan w:val="2"/>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企业排污口基本情况</w:t>
                  </w:r>
                </w:p>
              </w:tc>
              <w:tc>
                <w:tcPr>
                  <w:tcW w:w="873" w:type="pct"/>
                  <w:gridSpan w:val="3"/>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监测要求</w:t>
                  </w:r>
                </w:p>
              </w:tc>
              <w:tc>
                <w:tcPr>
                  <w:tcW w:w="464" w:type="pct"/>
                </w:tcPr>
                <w:p>
                  <w:pPr>
                    <w:jc w:val="cente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污水管网接管</w:t>
                  </w:r>
                  <w:r>
                    <w:rPr>
                      <w:rFonts w:ascii="Times New Roman" w:hAnsi="Times New Roman"/>
                      <w:color w:val="000000" w:themeColor="text1"/>
                      <w14:textFill>
                        <w14:solidFill>
                          <w14:schemeClr w14:val="tx1"/>
                        </w14:solidFill>
                      </w14:textFill>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37" w:type="pct"/>
                  <w:vMerge w:val="continue"/>
                  <w:vAlign w:val="center"/>
                </w:tcPr>
                <w:p>
                  <w:pPr>
                    <w:jc w:val="center"/>
                    <w:rPr>
                      <w:rFonts w:ascii="Times New Roman" w:hAnsi="Times New Roman"/>
                      <w:color w:val="000000" w:themeColor="text1"/>
                      <w14:textFill>
                        <w14:solidFill>
                          <w14:schemeClr w14:val="tx1"/>
                        </w14:solidFill>
                      </w14:textFill>
                    </w:rPr>
                  </w:pPr>
                </w:p>
              </w:tc>
              <w:tc>
                <w:tcPr>
                  <w:tcW w:w="705" w:type="pct"/>
                  <w:vMerge w:val="continue"/>
                  <w:vAlign w:val="center"/>
                </w:tcPr>
                <w:p>
                  <w:pPr>
                    <w:jc w:val="center"/>
                    <w:rPr>
                      <w:rFonts w:ascii="Times New Roman" w:hAnsi="Times New Roman"/>
                      <w:color w:val="000000" w:themeColor="text1"/>
                      <w14:textFill>
                        <w14:solidFill>
                          <w14:schemeClr w14:val="tx1"/>
                        </w14:solidFill>
                      </w14:textFill>
                    </w:rPr>
                  </w:pPr>
                </w:p>
              </w:tc>
              <w:tc>
                <w:tcPr>
                  <w:tcW w:w="277" w:type="pct"/>
                  <w:vMerge w:val="continue"/>
                  <w:vAlign w:val="center"/>
                </w:tcPr>
                <w:p>
                  <w:pPr>
                    <w:jc w:val="center"/>
                    <w:rPr>
                      <w:rFonts w:ascii="Times New Roman" w:hAnsi="Times New Roman"/>
                      <w:color w:val="000000" w:themeColor="text1"/>
                      <w14:textFill>
                        <w14:solidFill>
                          <w14:schemeClr w14:val="tx1"/>
                        </w14:solidFill>
                      </w14:textFill>
                    </w:rPr>
                  </w:pPr>
                </w:p>
              </w:tc>
              <w:tc>
                <w:tcPr>
                  <w:tcW w:w="642" w:type="pct"/>
                  <w:vMerge w:val="continue"/>
                  <w:vAlign w:val="center"/>
                </w:tcPr>
                <w:p>
                  <w:pPr>
                    <w:jc w:val="center"/>
                    <w:rPr>
                      <w:rFonts w:ascii="Times New Roman" w:hAnsi="Times New Roman"/>
                      <w:color w:val="000000" w:themeColor="text1"/>
                      <w14:textFill>
                        <w14:solidFill>
                          <w14:schemeClr w14:val="tx1"/>
                        </w14:solidFill>
                      </w14:textFill>
                    </w:rPr>
                  </w:pPr>
                </w:p>
              </w:tc>
              <w:tc>
                <w:tcPr>
                  <w:tcW w:w="842" w:type="pct"/>
                  <w:vMerge w:val="continue"/>
                  <w:vAlign w:val="center"/>
                </w:tcPr>
                <w:p>
                  <w:pPr>
                    <w:jc w:val="center"/>
                    <w:rPr>
                      <w:rFonts w:ascii="Times New Roman" w:hAnsi="Times New Roman"/>
                      <w:color w:val="000000" w:themeColor="text1"/>
                      <w14:textFill>
                        <w14:solidFill>
                          <w14:schemeClr w14:val="tx1"/>
                        </w14:solidFill>
                      </w14:textFill>
                    </w:rPr>
                  </w:pPr>
                </w:p>
              </w:tc>
              <w:tc>
                <w:tcPr>
                  <w:tcW w:w="522"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坐标</w:t>
                  </w:r>
                </w:p>
              </w:tc>
              <w:tc>
                <w:tcPr>
                  <w:tcW w:w="338"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类型</w:t>
                  </w:r>
                </w:p>
              </w:tc>
              <w:tc>
                <w:tcPr>
                  <w:tcW w:w="236"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监测点位</w:t>
                  </w:r>
                </w:p>
              </w:tc>
              <w:tc>
                <w:tcPr>
                  <w:tcW w:w="265"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监测因子</w:t>
                  </w:r>
                </w:p>
              </w:tc>
              <w:tc>
                <w:tcPr>
                  <w:tcW w:w="372"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监测频次</w:t>
                  </w:r>
                </w:p>
              </w:tc>
              <w:tc>
                <w:tcPr>
                  <w:tcW w:w="464" w:type="pct"/>
                  <w:vAlign w:val="center"/>
                </w:tcPr>
                <w:p>
                  <w:pPr>
                    <w:pStyle w:val="52"/>
                    <w:spacing w:before="0" w:after="0" w:line="240" w:lineRule="auto"/>
                    <w:ind w:firstLine="0" w:firstLineChars="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排放限值</w:t>
                  </w:r>
                  <w:r>
                    <w:rPr>
                      <w:rFonts w:eastAsiaTheme="minorEastAsia"/>
                      <w:bCs/>
                      <w:color w:val="000000" w:themeColor="text1"/>
                      <w:sz w:val="20"/>
                      <w:szCs w:val="21"/>
                      <w14:textFill>
                        <w14:solidFill>
                          <w14:schemeClr w14:val="tx1"/>
                        </w14:solidFill>
                      </w14:textFill>
                    </w:rPr>
                    <w:t>mg/m</w:t>
                  </w:r>
                  <w:r>
                    <w:rPr>
                      <w:rFonts w:eastAsiaTheme="minorEastAsia"/>
                      <w:bCs/>
                      <w:color w:val="000000" w:themeColor="text1"/>
                      <w:sz w:val="20"/>
                      <w:szCs w:val="21"/>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69" w:hRule="atLeast"/>
              </w:trPr>
              <w:tc>
                <w:tcPr>
                  <w:tcW w:w="337"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生产废水</w:t>
                  </w:r>
                </w:p>
              </w:tc>
              <w:tc>
                <w:tcPr>
                  <w:tcW w:w="705"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DW001污水排放口</w:t>
                  </w:r>
                </w:p>
              </w:tc>
              <w:tc>
                <w:tcPr>
                  <w:tcW w:w="277"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间接排放</w:t>
                  </w:r>
                </w:p>
              </w:tc>
              <w:tc>
                <w:tcPr>
                  <w:tcW w:w="642"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园区工业园污水处理厂</w:t>
                  </w:r>
                </w:p>
              </w:tc>
              <w:tc>
                <w:tcPr>
                  <w:tcW w:w="842"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间断排放，排放期间流量稳定</w:t>
                  </w:r>
                </w:p>
              </w:tc>
              <w:tc>
                <w:tcPr>
                  <w:tcW w:w="522"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115.590270°E</w:t>
                  </w:r>
                </w:p>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23.188022°N</w:t>
                  </w:r>
                </w:p>
              </w:tc>
              <w:tc>
                <w:tcPr>
                  <w:tcW w:w="338"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一般排放口</w:t>
                  </w:r>
                </w:p>
              </w:tc>
              <w:tc>
                <w:tcPr>
                  <w:tcW w:w="236"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生产废水排放口</w:t>
                  </w:r>
                </w:p>
              </w:tc>
              <w:tc>
                <w:tcPr>
                  <w:tcW w:w="265" w:type="pct"/>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COD</w:t>
                  </w:r>
                  <w:r>
                    <w:rPr>
                      <w:rFonts w:ascii="Times New Roman" w:hAnsi="Times New Roman"/>
                      <w:color w:val="000000" w:themeColor="text1"/>
                      <w:sz w:val="16"/>
                      <w:szCs w:val="16"/>
                      <w14:textFill>
                        <w14:solidFill>
                          <w14:schemeClr w14:val="tx1"/>
                        </w14:solidFill>
                      </w14:textFill>
                    </w:rPr>
                    <w:t>Cr</w:t>
                  </w:r>
                </w:p>
              </w:tc>
              <w:tc>
                <w:tcPr>
                  <w:tcW w:w="372"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1次/半年</w:t>
                  </w:r>
                </w:p>
              </w:tc>
              <w:tc>
                <w:tcPr>
                  <w:tcW w:w="464" w:type="pct"/>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4" w:hRule="atLeast"/>
              </w:trPr>
              <w:tc>
                <w:tcPr>
                  <w:tcW w:w="337" w:type="pct"/>
                  <w:vMerge w:val="continue"/>
                  <w:vAlign w:val="center"/>
                </w:tcPr>
                <w:p>
                  <w:pPr>
                    <w:jc w:val="center"/>
                    <w:rPr>
                      <w:rFonts w:ascii="Times New Roman" w:hAnsi="Times New Roman"/>
                      <w:color w:val="000000" w:themeColor="text1"/>
                      <w14:textFill>
                        <w14:solidFill>
                          <w14:schemeClr w14:val="tx1"/>
                        </w14:solidFill>
                      </w14:textFill>
                    </w:rPr>
                  </w:pPr>
                </w:p>
              </w:tc>
              <w:tc>
                <w:tcPr>
                  <w:tcW w:w="705" w:type="pct"/>
                  <w:vMerge w:val="continue"/>
                  <w:vAlign w:val="center"/>
                </w:tcPr>
                <w:p>
                  <w:pPr>
                    <w:jc w:val="center"/>
                    <w:rPr>
                      <w:rFonts w:ascii="Times New Roman" w:hAnsi="Times New Roman"/>
                      <w:color w:val="000000" w:themeColor="text1"/>
                      <w14:textFill>
                        <w14:solidFill>
                          <w14:schemeClr w14:val="tx1"/>
                        </w14:solidFill>
                      </w14:textFill>
                    </w:rPr>
                  </w:pPr>
                </w:p>
              </w:tc>
              <w:tc>
                <w:tcPr>
                  <w:tcW w:w="277" w:type="pct"/>
                  <w:vMerge w:val="continue"/>
                  <w:vAlign w:val="center"/>
                </w:tcPr>
                <w:p>
                  <w:pPr>
                    <w:jc w:val="center"/>
                    <w:rPr>
                      <w:rFonts w:ascii="Times New Roman" w:hAnsi="Times New Roman"/>
                      <w:color w:val="000000" w:themeColor="text1"/>
                      <w14:textFill>
                        <w14:solidFill>
                          <w14:schemeClr w14:val="tx1"/>
                        </w14:solidFill>
                      </w14:textFill>
                    </w:rPr>
                  </w:pPr>
                </w:p>
              </w:tc>
              <w:tc>
                <w:tcPr>
                  <w:tcW w:w="642"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842"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522" w:type="pct"/>
                  <w:vMerge w:val="continue"/>
                  <w:vAlign w:val="center"/>
                </w:tcPr>
                <w:p>
                  <w:pPr>
                    <w:jc w:val="center"/>
                    <w:rPr>
                      <w:rFonts w:ascii="Times New Roman" w:hAnsi="Times New Roman"/>
                      <w:color w:val="000000" w:themeColor="text1"/>
                      <w14:textFill>
                        <w14:solidFill>
                          <w14:schemeClr w14:val="tx1"/>
                        </w14:solidFill>
                      </w14:textFill>
                    </w:rPr>
                  </w:pPr>
                </w:p>
              </w:tc>
              <w:tc>
                <w:tcPr>
                  <w:tcW w:w="338" w:type="pct"/>
                  <w:vMerge w:val="continue"/>
                  <w:vAlign w:val="center"/>
                </w:tcPr>
                <w:p>
                  <w:pPr>
                    <w:jc w:val="center"/>
                    <w:rPr>
                      <w:rFonts w:ascii="Times New Roman" w:hAnsi="Times New Roman"/>
                      <w:color w:val="000000" w:themeColor="text1"/>
                      <w14:textFill>
                        <w14:solidFill>
                          <w14:schemeClr w14:val="tx1"/>
                        </w14:solidFill>
                      </w14:textFill>
                    </w:rPr>
                  </w:pPr>
                </w:p>
              </w:tc>
              <w:tc>
                <w:tcPr>
                  <w:tcW w:w="236" w:type="pct"/>
                  <w:vMerge w:val="continue"/>
                  <w:vAlign w:val="center"/>
                </w:tcPr>
                <w:p>
                  <w:pPr>
                    <w:jc w:val="center"/>
                    <w:rPr>
                      <w:rFonts w:ascii="Times New Roman" w:hAnsi="Times New Roman"/>
                      <w:color w:val="000000" w:themeColor="text1"/>
                      <w14:textFill>
                        <w14:solidFill>
                          <w14:schemeClr w14:val="tx1"/>
                        </w14:solidFill>
                      </w14:textFill>
                    </w:rPr>
                  </w:pPr>
                </w:p>
              </w:tc>
              <w:tc>
                <w:tcPr>
                  <w:tcW w:w="265" w:type="pct"/>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BOD</w:t>
                  </w:r>
                  <w:r>
                    <w:rPr>
                      <w:rFonts w:ascii="Times New Roman" w:hAnsi="Times New Roman"/>
                      <w:color w:val="000000" w:themeColor="text1"/>
                      <w:sz w:val="16"/>
                      <w:szCs w:val="16"/>
                      <w14:textFill>
                        <w14:solidFill>
                          <w14:schemeClr w14:val="tx1"/>
                        </w14:solidFill>
                      </w14:textFill>
                    </w:rPr>
                    <w:t>5</w:t>
                  </w:r>
                </w:p>
              </w:tc>
              <w:tc>
                <w:tcPr>
                  <w:tcW w:w="372"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1次/半年</w:t>
                  </w:r>
                </w:p>
              </w:tc>
              <w:tc>
                <w:tcPr>
                  <w:tcW w:w="464" w:type="pct"/>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5" w:hRule="atLeast"/>
              </w:trPr>
              <w:tc>
                <w:tcPr>
                  <w:tcW w:w="337" w:type="pct"/>
                  <w:vMerge w:val="continue"/>
                  <w:vAlign w:val="center"/>
                </w:tcPr>
                <w:p>
                  <w:pPr>
                    <w:jc w:val="center"/>
                    <w:rPr>
                      <w:rFonts w:ascii="Times New Roman" w:hAnsi="Times New Roman"/>
                      <w:color w:val="000000" w:themeColor="text1"/>
                      <w14:textFill>
                        <w14:solidFill>
                          <w14:schemeClr w14:val="tx1"/>
                        </w14:solidFill>
                      </w14:textFill>
                    </w:rPr>
                  </w:pPr>
                </w:p>
              </w:tc>
              <w:tc>
                <w:tcPr>
                  <w:tcW w:w="705" w:type="pct"/>
                  <w:vMerge w:val="continue"/>
                  <w:vAlign w:val="center"/>
                </w:tcPr>
                <w:p>
                  <w:pPr>
                    <w:jc w:val="center"/>
                    <w:rPr>
                      <w:rFonts w:ascii="Times New Roman" w:hAnsi="Times New Roman"/>
                      <w:color w:val="000000" w:themeColor="text1"/>
                      <w14:textFill>
                        <w14:solidFill>
                          <w14:schemeClr w14:val="tx1"/>
                        </w14:solidFill>
                      </w14:textFill>
                    </w:rPr>
                  </w:pPr>
                </w:p>
              </w:tc>
              <w:tc>
                <w:tcPr>
                  <w:tcW w:w="277" w:type="pct"/>
                  <w:vMerge w:val="continue"/>
                  <w:vAlign w:val="center"/>
                </w:tcPr>
                <w:p>
                  <w:pPr>
                    <w:jc w:val="center"/>
                    <w:rPr>
                      <w:rFonts w:ascii="Times New Roman" w:hAnsi="Times New Roman"/>
                      <w:color w:val="000000" w:themeColor="text1"/>
                      <w14:textFill>
                        <w14:solidFill>
                          <w14:schemeClr w14:val="tx1"/>
                        </w14:solidFill>
                      </w14:textFill>
                    </w:rPr>
                  </w:pPr>
                </w:p>
              </w:tc>
              <w:tc>
                <w:tcPr>
                  <w:tcW w:w="642"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842"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522" w:type="pct"/>
                  <w:vMerge w:val="continue"/>
                  <w:vAlign w:val="center"/>
                </w:tcPr>
                <w:p>
                  <w:pPr>
                    <w:jc w:val="center"/>
                    <w:rPr>
                      <w:rFonts w:ascii="Times New Roman" w:hAnsi="Times New Roman"/>
                      <w:color w:val="000000" w:themeColor="text1"/>
                      <w14:textFill>
                        <w14:solidFill>
                          <w14:schemeClr w14:val="tx1"/>
                        </w14:solidFill>
                      </w14:textFill>
                    </w:rPr>
                  </w:pPr>
                </w:p>
              </w:tc>
              <w:tc>
                <w:tcPr>
                  <w:tcW w:w="338" w:type="pct"/>
                  <w:vMerge w:val="continue"/>
                  <w:vAlign w:val="center"/>
                </w:tcPr>
                <w:p>
                  <w:pPr>
                    <w:jc w:val="center"/>
                    <w:rPr>
                      <w:rFonts w:ascii="Times New Roman" w:hAnsi="Times New Roman"/>
                      <w:color w:val="000000" w:themeColor="text1"/>
                      <w14:textFill>
                        <w14:solidFill>
                          <w14:schemeClr w14:val="tx1"/>
                        </w14:solidFill>
                      </w14:textFill>
                    </w:rPr>
                  </w:pPr>
                </w:p>
              </w:tc>
              <w:tc>
                <w:tcPr>
                  <w:tcW w:w="236" w:type="pct"/>
                  <w:vMerge w:val="continue"/>
                  <w:vAlign w:val="center"/>
                </w:tcPr>
                <w:p>
                  <w:pPr>
                    <w:jc w:val="center"/>
                    <w:rPr>
                      <w:rFonts w:ascii="Times New Roman" w:hAnsi="Times New Roman"/>
                      <w:color w:val="000000" w:themeColor="text1"/>
                      <w14:textFill>
                        <w14:solidFill>
                          <w14:schemeClr w14:val="tx1"/>
                        </w14:solidFill>
                      </w14:textFill>
                    </w:rPr>
                  </w:pPr>
                </w:p>
              </w:tc>
              <w:tc>
                <w:tcPr>
                  <w:tcW w:w="265" w:type="pct"/>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SS</w:t>
                  </w:r>
                </w:p>
              </w:tc>
              <w:tc>
                <w:tcPr>
                  <w:tcW w:w="372"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1次/半年</w:t>
                  </w:r>
                </w:p>
              </w:tc>
              <w:tc>
                <w:tcPr>
                  <w:tcW w:w="464" w:type="pct"/>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5" w:hRule="atLeast"/>
              </w:trPr>
              <w:tc>
                <w:tcPr>
                  <w:tcW w:w="337" w:type="pct"/>
                  <w:vMerge w:val="continue"/>
                  <w:vAlign w:val="center"/>
                </w:tcPr>
                <w:p>
                  <w:pPr>
                    <w:jc w:val="center"/>
                    <w:rPr>
                      <w:rFonts w:ascii="Times New Roman" w:hAnsi="Times New Roman"/>
                      <w:color w:val="000000" w:themeColor="text1"/>
                      <w14:textFill>
                        <w14:solidFill>
                          <w14:schemeClr w14:val="tx1"/>
                        </w14:solidFill>
                      </w14:textFill>
                    </w:rPr>
                  </w:pPr>
                </w:p>
              </w:tc>
              <w:tc>
                <w:tcPr>
                  <w:tcW w:w="705" w:type="pct"/>
                  <w:vMerge w:val="continue"/>
                  <w:vAlign w:val="center"/>
                </w:tcPr>
                <w:p>
                  <w:pPr>
                    <w:jc w:val="center"/>
                    <w:rPr>
                      <w:rFonts w:ascii="Times New Roman" w:hAnsi="Times New Roman"/>
                      <w:color w:val="000000" w:themeColor="text1"/>
                      <w14:textFill>
                        <w14:solidFill>
                          <w14:schemeClr w14:val="tx1"/>
                        </w14:solidFill>
                      </w14:textFill>
                    </w:rPr>
                  </w:pPr>
                </w:p>
              </w:tc>
              <w:tc>
                <w:tcPr>
                  <w:tcW w:w="277" w:type="pct"/>
                  <w:vMerge w:val="continue"/>
                  <w:vAlign w:val="center"/>
                </w:tcPr>
                <w:p>
                  <w:pPr>
                    <w:jc w:val="center"/>
                    <w:rPr>
                      <w:rFonts w:ascii="Times New Roman" w:hAnsi="Times New Roman"/>
                      <w:color w:val="000000" w:themeColor="text1"/>
                      <w14:textFill>
                        <w14:solidFill>
                          <w14:schemeClr w14:val="tx1"/>
                        </w14:solidFill>
                      </w14:textFill>
                    </w:rPr>
                  </w:pPr>
                </w:p>
              </w:tc>
              <w:tc>
                <w:tcPr>
                  <w:tcW w:w="642"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842"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522" w:type="pct"/>
                  <w:vMerge w:val="continue"/>
                  <w:vAlign w:val="center"/>
                </w:tcPr>
                <w:p>
                  <w:pPr>
                    <w:jc w:val="center"/>
                    <w:rPr>
                      <w:rFonts w:ascii="Times New Roman" w:hAnsi="Times New Roman"/>
                      <w:color w:val="000000" w:themeColor="text1"/>
                      <w14:textFill>
                        <w14:solidFill>
                          <w14:schemeClr w14:val="tx1"/>
                        </w14:solidFill>
                      </w14:textFill>
                    </w:rPr>
                  </w:pPr>
                </w:p>
              </w:tc>
              <w:tc>
                <w:tcPr>
                  <w:tcW w:w="338" w:type="pct"/>
                  <w:vMerge w:val="continue"/>
                  <w:vAlign w:val="center"/>
                </w:tcPr>
                <w:p>
                  <w:pPr>
                    <w:jc w:val="center"/>
                    <w:rPr>
                      <w:rFonts w:ascii="Times New Roman" w:hAnsi="Times New Roman"/>
                      <w:color w:val="000000" w:themeColor="text1"/>
                      <w14:textFill>
                        <w14:solidFill>
                          <w14:schemeClr w14:val="tx1"/>
                        </w14:solidFill>
                      </w14:textFill>
                    </w:rPr>
                  </w:pPr>
                </w:p>
              </w:tc>
              <w:tc>
                <w:tcPr>
                  <w:tcW w:w="236" w:type="pct"/>
                  <w:vMerge w:val="continue"/>
                  <w:vAlign w:val="center"/>
                </w:tcPr>
                <w:p>
                  <w:pPr>
                    <w:jc w:val="center"/>
                    <w:rPr>
                      <w:rFonts w:ascii="Times New Roman" w:hAnsi="Times New Roman"/>
                      <w:color w:val="000000" w:themeColor="text1"/>
                      <w14:textFill>
                        <w14:solidFill>
                          <w14:schemeClr w14:val="tx1"/>
                        </w14:solidFill>
                      </w14:textFill>
                    </w:rPr>
                  </w:pPr>
                </w:p>
              </w:tc>
              <w:tc>
                <w:tcPr>
                  <w:tcW w:w="265" w:type="pct"/>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NH</w:t>
                  </w:r>
                  <w:r>
                    <w:rPr>
                      <w:rFonts w:ascii="Times New Roman" w:hAnsi="Times New Roman"/>
                      <w:color w:val="000000" w:themeColor="text1"/>
                      <w:sz w:val="16"/>
                      <w:szCs w:val="16"/>
                      <w14:textFill>
                        <w14:solidFill>
                          <w14:schemeClr w14:val="tx1"/>
                        </w14:solidFill>
                      </w14:textFill>
                    </w:rPr>
                    <w:t>3</w:t>
                  </w:r>
                  <w:r>
                    <w:rPr>
                      <w:rFonts w:ascii="Times New Roman" w:hAnsi="Times New Roman"/>
                      <w:color w:val="000000" w:themeColor="text1"/>
                      <w:szCs w:val="22"/>
                      <w14:textFill>
                        <w14:solidFill>
                          <w14:schemeClr w14:val="tx1"/>
                        </w14:solidFill>
                      </w14:textFill>
                    </w:rPr>
                    <w:t>-N</w:t>
                  </w:r>
                </w:p>
              </w:tc>
              <w:tc>
                <w:tcPr>
                  <w:tcW w:w="372"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1次/半年</w:t>
                  </w:r>
                </w:p>
              </w:tc>
              <w:tc>
                <w:tcPr>
                  <w:tcW w:w="464" w:type="pct"/>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 w:hRule="atLeast"/>
              </w:trPr>
              <w:tc>
                <w:tcPr>
                  <w:tcW w:w="337"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bCs/>
                      <w:color w:val="000000" w:themeColor="text1"/>
                      <w:szCs w:val="21"/>
                      <w14:textFill>
                        <w14:solidFill>
                          <w14:schemeClr w14:val="tx1"/>
                        </w14:solidFill>
                      </w14:textFill>
                    </w:rPr>
                    <w:t>生活污水</w:t>
                  </w:r>
                </w:p>
              </w:tc>
              <w:tc>
                <w:tcPr>
                  <w:tcW w:w="705"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DW002污水排放口</w:t>
                  </w:r>
                </w:p>
              </w:tc>
              <w:tc>
                <w:tcPr>
                  <w:tcW w:w="277"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间接排放</w:t>
                  </w:r>
                </w:p>
              </w:tc>
              <w:tc>
                <w:tcPr>
                  <w:tcW w:w="642"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河口镇污水处理厂</w:t>
                  </w:r>
                </w:p>
              </w:tc>
              <w:tc>
                <w:tcPr>
                  <w:tcW w:w="842"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间断排放，排放期间流量稳定</w:t>
                  </w:r>
                </w:p>
              </w:tc>
              <w:tc>
                <w:tcPr>
                  <w:tcW w:w="522"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115.586665°E</w:t>
                  </w:r>
                </w:p>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23.188081°N</w:t>
                  </w:r>
                </w:p>
              </w:tc>
              <w:tc>
                <w:tcPr>
                  <w:tcW w:w="338"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一般排放口</w:t>
                  </w:r>
                </w:p>
              </w:tc>
              <w:tc>
                <w:tcPr>
                  <w:tcW w:w="236" w:type="pct"/>
                  <w:vMerge w:val="restar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w:t>
                  </w:r>
                </w:p>
              </w:tc>
              <w:tc>
                <w:tcPr>
                  <w:tcW w:w="265" w:type="pct"/>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COD</w:t>
                  </w:r>
                  <w:r>
                    <w:rPr>
                      <w:rFonts w:ascii="Times New Roman" w:hAnsi="Times New Roman"/>
                      <w:color w:val="000000" w:themeColor="text1"/>
                      <w:sz w:val="16"/>
                      <w:szCs w:val="16"/>
                      <w14:textFill>
                        <w14:solidFill>
                          <w14:schemeClr w14:val="tx1"/>
                        </w14:solidFill>
                      </w14:textFill>
                    </w:rPr>
                    <w:t>Cr</w:t>
                  </w:r>
                </w:p>
              </w:tc>
              <w:tc>
                <w:tcPr>
                  <w:tcW w:w="372"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w:t>
                  </w:r>
                </w:p>
              </w:tc>
              <w:tc>
                <w:tcPr>
                  <w:tcW w:w="464" w:type="pct"/>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 w:hRule="atLeast"/>
              </w:trPr>
              <w:tc>
                <w:tcPr>
                  <w:tcW w:w="337" w:type="pct"/>
                  <w:vMerge w:val="continue"/>
                  <w:vAlign w:val="center"/>
                </w:tcPr>
                <w:p>
                  <w:pPr>
                    <w:jc w:val="center"/>
                    <w:rPr>
                      <w:rFonts w:ascii="Times New Roman" w:hAnsi="Times New Roman"/>
                      <w:color w:val="000000" w:themeColor="text1"/>
                      <w14:textFill>
                        <w14:solidFill>
                          <w14:schemeClr w14:val="tx1"/>
                        </w14:solidFill>
                      </w14:textFill>
                    </w:rPr>
                  </w:pPr>
                </w:p>
              </w:tc>
              <w:tc>
                <w:tcPr>
                  <w:tcW w:w="705" w:type="pct"/>
                  <w:vMerge w:val="continue"/>
                  <w:vAlign w:val="center"/>
                </w:tcPr>
                <w:p>
                  <w:pPr>
                    <w:jc w:val="center"/>
                    <w:rPr>
                      <w:rFonts w:ascii="Times New Roman" w:hAnsi="Times New Roman"/>
                      <w:color w:val="000000" w:themeColor="text1"/>
                      <w14:textFill>
                        <w14:solidFill>
                          <w14:schemeClr w14:val="tx1"/>
                        </w14:solidFill>
                      </w14:textFill>
                    </w:rPr>
                  </w:pPr>
                </w:p>
              </w:tc>
              <w:tc>
                <w:tcPr>
                  <w:tcW w:w="277" w:type="pct"/>
                  <w:vMerge w:val="continue"/>
                  <w:vAlign w:val="center"/>
                </w:tcPr>
                <w:p>
                  <w:pPr>
                    <w:jc w:val="center"/>
                    <w:rPr>
                      <w:rFonts w:ascii="Times New Roman" w:hAnsi="Times New Roman"/>
                      <w:color w:val="000000" w:themeColor="text1"/>
                      <w14:textFill>
                        <w14:solidFill>
                          <w14:schemeClr w14:val="tx1"/>
                        </w14:solidFill>
                      </w14:textFill>
                    </w:rPr>
                  </w:pPr>
                </w:p>
              </w:tc>
              <w:tc>
                <w:tcPr>
                  <w:tcW w:w="642"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842"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522" w:type="pct"/>
                  <w:vMerge w:val="continue"/>
                  <w:vAlign w:val="center"/>
                </w:tcPr>
                <w:p>
                  <w:pPr>
                    <w:jc w:val="center"/>
                    <w:rPr>
                      <w:rFonts w:ascii="Times New Roman" w:hAnsi="Times New Roman"/>
                      <w:color w:val="000000" w:themeColor="text1"/>
                      <w14:textFill>
                        <w14:solidFill>
                          <w14:schemeClr w14:val="tx1"/>
                        </w14:solidFill>
                      </w14:textFill>
                    </w:rPr>
                  </w:pPr>
                </w:p>
              </w:tc>
              <w:tc>
                <w:tcPr>
                  <w:tcW w:w="338" w:type="pct"/>
                  <w:vMerge w:val="continue"/>
                  <w:vAlign w:val="center"/>
                </w:tcPr>
                <w:p>
                  <w:pPr>
                    <w:jc w:val="center"/>
                    <w:rPr>
                      <w:rFonts w:ascii="Times New Roman" w:hAnsi="Times New Roman"/>
                      <w:color w:val="000000" w:themeColor="text1"/>
                      <w14:textFill>
                        <w14:solidFill>
                          <w14:schemeClr w14:val="tx1"/>
                        </w14:solidFill>
                      </w14:textFill>
                    </w:rPr>
                  </w:pPr>
                </w:p>
              </w:tc>
              <w:tc>
                <w:tcPr>
                  <w:tcW w:w="236" w:type="pct"/>
                  <w:vMerge w:val="continue"/>
                  <w:vAlign w:val="center"/>
                </w:tcPr>
                <w:p>
                  <w:pPr>
                    <w:jc w:val="center"/>
                    <w:rPr>
                      <w:rFonts w:ascii="Times New Roman" w:hAnsi="Times New Roman"/>
                      <w:color w:val="000000" w:themeColor="text1"/>
                      <w14:textFill>
                        <w14:solidFill>
                          <w14:schemeClr w14:val="tx1"/>
                        </w14:solidFill>
                      </w14:textFill>
                    </w:rPr>
                  </w:pPr>
                </w:p>
              </w:tc>
              <w:tc>
                <w:tcPr>
                  <w:tcW w:w="265" w:type="pct"/>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BOD</w:t>
                  </w:r>
                  <w:r>
                    <w:rPr>
                      <w:rFonts w:ascii="Times New Roman" w:hAnsi="Times New Roman"/>
                      <w:color w:val="000000" w:themeColor="text1"/>
                      <w:sz w:val="16"/>
                      <w:szCs w:val="16"/>
                      <w14:textFill>
                        <w14:solidFill>
                          <w14:schemeClr w14:val="tx1"/>
                        </w14:solidFill>
                      </w14:textFill>
                    </w:rPr>
                    <w:t>5</w:t>
                  </w:r>
                </w:p>
              </w:tc>
              <w:tc>
                <w:tcPr>
                  <w:tcW w:w="372"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w:t>
                  </w:r>
                </w:p>
              </w:tc>
              <w:tc>
                <w:tcPr>
                  <w:tcW w:w="464" w:type="pct"/>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 w:hRule="atLeast"/>
              </w:trPr>
              <w:tc>
                <w:tcPr>
                  <w:tcW w:w="337" w:type="pct"/>
                  <w:vMerge w:val="continue"/>
                  <w:vAlign w:val="center"/>
                </w:tcPr>
                <w:p>
                  <w:pPr>
                    <w:jc w:val="center"/>
                    <w:rPr>
                      <w:rFonts w:ascii="Times New Roman" w:hAnsi="Times New Roman"/>
                      <w:color w:val="000000" w:themeColor="text1"/>
                      <w14:textFill>
                        <w14:solidFill>
                          <w14:schemeClr w14:val="tx1"/>
                        </w14:solidFill>
                      </w14:textFill>
                    </w:rPr>
                  </w:pPr>
                </w:p>
              </w:tc>
              <w:tc>
                <w:tcPr>
                  <w:tcW w:w="705" w:type="pct"/>
                  <w:vMerge w:val="continue"/>
                  <w:vAlign w:val="center"/>
                </w:tcPr>
                <w:p>
                  <w:pPr>
                    <w:jc w:val="center"/>
                    <w:rPr>
                      <w:rFonts w:ascii="Times New Roman" w:hAnsi="Times New Roman"/>
                      <w:color w:val="000000" w:themeColor="text1"/>
                      <w14:textFill>
                        <w14:solidFill>
                          <w14:schemeClr w14:val="tx1"/>
                        </w14:solidFill>
                      </w14:textFill>
                    </w:rPr>
                  </w:pPr>
                </w:p>
              </w:tc>
              <w:tc>
                <w:tcPr>
                  <w:tcW w:w="277" w:type="pct"/>
                  <w:vMerge w:val="continue"/>
                  <w:vAlign w:val="center"/>
                </w:tcPr>
                <w:p>
                  <w:pPr>
                    <w:jc w:val="center"/>
                    <w:rPr>
                      <w:rFonts w:ascii="Times New Roman" w:hAnsi="Times New Roman"/>
                      <w:color w:val="000000" w:themeColor="text1"/>
                      <w14:textFill>
                        <w14:solidFill>
                          <w14:schemeClr w14:val="tx1"/>
                        </w14:solidFill>
                      </w14:textFill>
                    </w:rPr>
                  </w:pPr>
                </w:p>
              </w:tc>
              <w:tc>
                <w:tcPr>
                  <w:tcW w:w="642"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842"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522" w:type="pct"/>
                  <w:vMerge w:val="continue"/>
                  <w:vAlign w:val="center"/>
                </w:tcPr>
                <w:p>
                  <w:pPr>
                    <w:jc w:val="center"/>
                    <w:rPr>
                      <w:rFonts w:ascii="Times New Roman" w:hAnsi="Times New Roman"/>
                      <w:color w:val="000000" w:themeColor="text1"/>
                      <w14:textFill>
                        <w14:solidFill>
                          <w14:schemeClr w14:val="tx1"/>
                        </w14:solidFill>
                      </w14:textFill>
                    </w:rPr>
                  </w:pPr>
                </w:p>
              </w:tc>
              <w:tc>
                <w:tcPr>
                  <w:tcW w:w="338" w:type="pct"/>
                  <w:vMerge w:val="continue"/>
                  <w:vAlign w:val="center"/>
                </w:tcPr>
                <w:p>
                  <w:pPr>
                    <w:jc w:val="center"/>
                    <w:rPr>
                      <w:rFonts w:ascii="Times New Roman" w:hAnsi="Times New Roman"/>
                      <w:color w:val="000000" w:themeColor="text1"/>
                      <w14:textFill>
                        <w14:solidFill>
                          <w14:schemeClr w14:val="tx1"/>
                        </w14:solidFill>
                      </w14:textFill>
                    </w:rPr>
                  </w:pPr>
                </w:p>
              </w:tc>
              <w:tc>
                <w:tcPr>
                  <w:tcW w:w="236" w:type="pct"/>
                  <w:vMerge w:val="continue"/>
                  <w:vAlign w:val="center"/>
                </w:tcPr>
                <w:p>
                  <w:pPr>
                    <w:jc w:val="center"/>
                    <w:rPr>
                      <w:rFonts w:ascii="Times New Roman" w:hAnsi="Times New Roman"/>
                      <w:color w:val="000000" w:themeColor="text1"/>
                      <w14:textFill>
                        <w14:solidFill>
                          <w14:schemeClr w14:val="tx1"/>
                        </w14:solidFill>
                      </w14:textFill>
                    </w:rPr>
                  </w:pPr>
                </w:p>
              </w:tc>
              <w:tc>
                <w:tcPr>
                  <w:tcW w:w="265" w:type="pct"/>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SS</w:t>
                  </w:r>
                </w:p>
              </w:tc>
              <w:tc>
                <w:tcPr>
                  <w:tcW w:w="372"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w:t>
                  </w:r>
                </w:p>
              </w:tc>
              <w:tc>
                <w:tcPr>
                  <w:tcW w:w="464" w:type="pct"/>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 w:hRule="atLeast"/>
              </w:trPr>
              <w:tc>
                <w:tcPr>
                  <w:tcW w:w="337" w:type="pct"/>
                  <w:vMerge w:val="continue"/>
                  <w:vAlign w:val="center"/>
                </w:tcPr>
                <w:p>
                  <w:pPr>
                    <w:jc w:val="center"/>
                    <w:rPr>
                      <w:rFonts w:ascii="Times New Roman" w:hAnsi="Times New Roman"/>
                      <w:color w:val="000000" w:themeColor="text1"/>
                      <w14:textFill>
                        <w14:solidFill>
                          <w14:schemeClr w14:val="tx1"/>
                        </w14:solidFill>
                      </w14:textFill>
                    </w:rPr>
                  </w:pPr>
                </w:p>
              </w:tc>
              <w:tc>
                <w:tcPr>
                  <w:tcW w:w="705" w:type="pct"/>
                  <w:vMerge w:val="continue"/>
                  <w:vAlign w:val="center"/>
                </w:tcPr>
                <w:p>
                  <w:pPr>
                    <w:jc w:val="center"/>
                    <w:rPr>
                      <w:rFonts w:ascii="Times New Roman" w:hAnsi="Times New Roman"/>
                      <w:color w:val="000000" w:themeColor="text1"/>
                      <w14:textFill>
                        <w14:solidFill>
                          <w14:schemeClr w14:val="tx1"/>
                        </w14:solidFill>
                      </w14:textFill>
                    </w:rPr>
                  </w:pPr>
                </w:p>
              </w:tc>
              <w:tc>
                <w:tcPr>
                  <w:tcW w:w="277" w:type="pct"/>
                  <w:vMerge w:val="continue"/>
                  <w:vAlign w:val="center"/>
                </w:tcPr>
                <w:p>
                  <w:pPr>
                    <w:jc w:val="center"/>
                    <w:rPr>
                      <w:rFonts w:ascii="Times New Roman" w:hAnsi="Times New Roman"/>
                      <w:color w:val="000000" w:themeColor="text1"/>
                      <w14:textFill>
                        <w14:solidFill>
                          <w14:schemeClr w14:val="tx1"/>
                        </w14:solidFill>
                      </w14:textFill>
                    </w:rPr>
                  </w:pPr>
                </w:p>
              </w:tc>
              <w:tc>
                <w:tcPr>
                  <w:tcW w:w="642"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842"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522" w:type="pct"/>
                  <w:vMerge w:val="continue"/>
                  <w:vAlign w:val="center"/>
                </w:tcPr>
                <w:p>
                  <w:pPr>
                    <w:jc w:val="center"/>
                    <w:rPr>
                      <w:rFonts w:ascii="Times New Roman" w:hAnsi="Times New Roman"/>
                      <w:color w:val="000000" w:themeColor="text1"/>
                      <w14:textFill>
                        <w14:solidFill>
                          <w14:schemeClr w14:val="tx1"/>
                        </w14:solidFill>
                      </w14:textFill>
                    </w:rPr>
                  </w:pPr>
                </w:p>
              </w:tc>
              <w:tc>
                <w:tcPr>
                  <w:tcW w:w="338" w:type="pct"/>
                  <w:vMerge w:val="continue"/>
                  <w:vAlign w:val="center"/>
                </w:tcPr>
                <w:p>
                  <w:pPr>
                    <w:jc w:val="center"/>
                    <w:rPr>
                      <w:rFonts w:ascii="Times New Roman" w:hAnsi="Times New Roman"/>
                      <w:color w:val="000000" w:themeColor="text1"/>
                      <w14:textFill>
                        <w14:solidFill>
                          <w14:schemeClr w14:val="tx1"/>
                        </w14:solidFill>
                      </w14:textFill>
                    </w:rPr>
                  </w:pPr>
                </w:p>
              </w:tc>
              <w:tc>
                <w:tcPr>
                  <w:tcW w:w="236" w:type="pct"/>
                  <w:vMerge w:val="continue"/>
                  <w:vAlign w:val="center"/>
                </w:tcPr>
                <w:p>
                  <w:pPr>
                    <w:jc w:val="center"/>
                    <w:rPr>
                      <w:rFonts w:ascii="Times New Roman" w:hAnsi="Times New Roman"/>
                      <w:color w:val="000000" w:themeColor="text1"/>
                      <w14:textFill>
                        <w14:solidFill>
                          <w14:schemeClr w14:val="tx1"/>
                        </w14:solidFill>
                      </w14:textFill>
                    </w:rPr>
                  </w:pPr>
                </w:p>
              </w:tc>
              <w:tc>
                <w:tcPr>
                  <w:tcW w:w="265" w:type="pct"/>
                  <w:vAlign w:val="center"/>
                </w:tcPr>
                <w:p>
                  <w:pPr>
                    <w:adjustRightInd w:val="0"/>
                    <w:snapToGrid w:val="0"/>
                    <w:jc w:val="center"/>
                    <w:rPr>
                      <w:rFonts w:ascii="Times New Roman" w:hAnsi="Times New Roman"/>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NH</w:t>
                  </w:r>
                  <w:r>
                    <w:rPr>
                      <w:rFonts w:ascii="Times New Roman" w:hAnsi="Times New Roman"/>
                      <w:color w:val="000000" w:themeColor="text1"/>
                      <w:sz w:val="16"/>
                      <w:szCs w:val="16"/>
                      <w14:textFill>
                        <w14:solidFill>
                          <w14:schemeClr w14:val="tx1"/>
                        </w14:solidFill>
                      </w14:textFill>
                    </w:rPr>
                    <w:t>3</w:t>
                  </w:r>
                  <w:r>
                    <w:rPr>
                      <w:rFonts w:ascii="Times New Roman" w:hAnsi="Times New Roman"/>
                      <w:color w:val="000000" w:themeColor="text1"/>
                      <w:szCs w:val="22"/>
                      <w14:textFill>
                        <w14:solidFill>
                          <w14:schemeClr w14:val="tx1"/>
                        </w14:solidFill>
                      </w14:textFill>
                    </w:rPr>
                    <w:t>-N</w:t>
                  </w:r>
                </w:p>
              </w:tc>
              <w:tc>
                <w:tcPr>
                  <w:tcW w:w="372"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w:t>
                  </w:r>
                </w:p>
              </w:tc>
              <w:tc>
                <w:tcPr>
                  <w:tcW w:w="464" w:type="pct"/>
                  <w:vAlign w:val="center"/>
                </w:tcPr>
                <w:p>
                  <w:pPr>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w:t>
                  </w:r>
                </w:p>
              </w:tc>
            </w:tr>
          </w:tbl>
          <w:p>
            <w:pPr>
              <w:spacing w:line="360" w:lineRule="auto"/>
              <w:jc w:val="left"/>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注：项目生活污水排至河口镇污水处理厂，为间接排放，无需进行跟踪监测。</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bCs/>
                <w:color w:val="000000" w:themeColor="text1"/>
                <w:sz w:val="24"/>
                <w14:textFill>
                  <w14:solidFill>
                    <w14:schemeClr w14:val="tx1"/>
                  </w14:solidFill>
                </w14:textFill>
              </w:rPr>
              <w:t>（四）项目废水处理措施可行性分析及其影响分析</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1、生产废水</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项目自建污水处理站采用“格栅→调节池→UASB升流式厌氧塔→厌氧池→好氧生物接触氧化池→二沉池”处理达到</w:t>
            </w:r>
            <w:r>
              <w:rPr>
                <w:rFonts w:ascii="Times New Roman" w:hAnsi="Times New Roman" w:eastAsia="宋体"/>
                <w:color w:val="000000" w:themeColor="text1"/>
                <w:sz w:val="24"/>
                <w14:textFill>
                  <w14:solidFill>
                    <w14:schemeClr w14:val="tx1"/>
                  </w14:solidFill>
                </w14:textFill>
              </w:rPr>
              <w:t>广东省《水污染物排放限值》（DB44/26-2001）第二时段三级标准、工业污水处理厂进水水质要求及《中药类制药工业水污染物排放标准》（GB21906-2008）表2的较严值后进入园区工业污水处理厂，属于《排污许可证申请与核发技术规范制药工业一中成药生产》（HJ 1064-2019）附录B.2中预处理系统、生化处理系统的废水处理可行技术。</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工业污水处理厂主要处理园区生产废水，占地面积约 2200m</w:t>
            </w:r>
            <w:r>
              <w:rPr>
                <w:rFonts w:ascii="Times New Roman" w:hAnsi="Times New Roman"/>
                <w:color w:val="000000" w:themeColor="text1"/>
                <w:kern w:val="0"/>
                <w:sz w:val="24"/>
                <w:vertAlign w:val="superscript"/>
                <w14:textFill>
                  <w14:solidFill>
                    <w14:schemeClr w14:val="tx1"/>
                  </w14:solidFill>
                </w14:textFill>
              </w:rPr>
              <w:t>2</w:t>
            </w:r>
            <w:r>
              <w:rPr>
                <w:rFonts w:ascii="Times New Roman" w:hAnsi="Times New Roman"/>
                <w:color w:val="000000" w:themeColor="text1"/>
                <w:kern w:val="0"/>
                <w:sz w:val="24"/>
                <w14:textFill>
                  <w14:solidFill>
                    <w14:schemeClr w14:val="tx1"/>
                  </w14:solidFill>
                </w14:textFill>
              </w:rPr>
              <w:t>，日处理量600m</w:t>
            </w:r>
            <w:r>
              <w:rPr>
                <w:rFonts w:ascii="Times New Roman" w:hAnsi="Times New Roman"/>
                <w:color w:val="000000" w:themeColor="text1"/>
                <w:kern w:val="0"/>
                <w:sz w:val="24"/>
                <w:vertAlign w:val="superscript"/>
                <w14:textFill>
                  <w14:solidFill>
                    <w14:schemeClr w14:val="tx1"/>
                  </w14:solidFill>
                </w14:textFill>
              </w:rPr>
              <w:t>3</w:t>
            </w:r>
            <w:r>
              <w:rPr>
                <w:rFonts w:ascii="Times New Roman" w:hAnsi="Times New Roman"/>
                <w:color w:val="000000" w:themeColor="text1"/>
                <w:kern w:val="0"/>
                <w:sz w:val="24"/>
                <w14:textFill>
                  <w14:solidFill>
                    <w14:schemeClr w14:val="tx1"/>
                  </w14:solidFill>
                </w14:textFill>
              </w:rPr>
              <w:t>/d。采用“格栅沉砂+混凝絮凝+沉淀池+二级‘缺氧+好氧+污泥回流’+混凝絮凝池除磷+二沉池+化学脱氮+砂滤+碳滤+UF超滤”工艺，</w:t>
            </w:r>
            <w:r>
              <w:rPr>
                <w:rFonts w:ascii="Times New Roman" w:hAnsi="Times New Roman"/>
                <w:color w:val="000000" w:themeColor="text1"/>
                <w:sz w:val="24"/>
                <w14:textFill>
                  <w14:solidFill>
                    <w14:schemeClr w14:val="tx1"/>
                  </w14:solidFill>
                </w14:textFill>
              </w:rPr>
              <w:t>尾水处理达到《地表水环境质量标准》（GB3838-2002）</w:t>
            </w:r>
            <w:r>
              <w:rPr>
                <w:rFonts w:hint="eastAsia" w:ascii="宋体" w:hAnsi="宋体" w:eastAsia="宋体" w:cs="宋体"/>
                <w:color w:val="000000" w:themeColor="text1"/>
                <w:sz w:val="24"/>
                <w14:textFill>
                  <w14:solidFill>
                    <w14:schemeClr w14:val="tx1"/>
                  </w14:solidFill>
                </w14:textFill>
              </w:rPr>
              <w:t>Ⅳ</w:t>
            </w:r>
            <w:r>
              <w:rPr>
                <w:rFonts w:ascii="Times New Roman" w:hAnsi="Times New Roman"/>
                <w:color w:val="000000" w:themeColor="text1"/>
                <w:sz w:val="24"/>
                <w14:textFill>
                  <w14:solidFill>
                    <w14:schemeClr w14:val="tx1"/>
                  </w14:solidFill>
                </w14:textFill>
              </w:rPr>
              <w:t>类标准（其余《地表水环境质量标准》（GB3838-2002）</w:t>
            </w:r>
            <w:r>
              <w:rPr>
                <w:rFonts w:hint="eastAsia" w:ascii="宋体" w:hAnsi="宋体" w:eastAsia="宋体" w:cs="宋体"/>
                <w:color w:val="000000" w:themeColor="text1"/>
                <w:sz w:val="24"/>
                <w14:textFill>
                  <w14:solidFill>
                    <w14:schemeClr w14:val="tx1"/>
                  </w14:solidFill>
                </w14:textFill>
              </w:rPr>
              <w:t>Ⅳ</w:t>
            </w:r>
            <w:r>
              <w:rPr>
                <w:rFonts w:ascii="Times New Roman" w:hAnsi="Times New Roman"/>
                <w:color w:val="000000" w:themeColor="text1"/>
                <w:sz w:val="24"/>
                <w14:textFill>
                  <w14:solidFill>
                    <w14:schemeClr w14:val="tx1"/>
                  </w14:solidFill>
                </w14:textFill>
              </w:rPr>
              <w:t>类标准未注明的指标，执行《城镇污水处理厂污染物排放标准》（GB18918-2002）一级A标准</w:t>
            </w:r>
            <w:r>
              <w:rPr>
                <w:rFonts w:hint="eastAsia" w:ascii="Times New Roman" w:hAnsi="Times New Roman"/>
                <w:color w:val="000000" w:themeColor="text1"/>
                <w:sz w:val="24"/>
                <w14:textFill>
                  <w14:solidFill>
                    <w14:schemeClr w14:val="tx1"/>
                  </w14:solidFill>
                </w14:textFill>
              </w:rPr>
              <w:t>）</w:t>
            </w:r>
            <w:r>
              <w:rPr>
                <w:rFonts w:ascii="Times New Roman" w:hAnsi="Times New Roman"/>
                <w:color w:val="000000" w:themeColor="text1"/>
                <w:sz w:val="24"/>
                <w14:textFill>
                  <w14:solidFill>
                    <w14:schemeClr w14:val="tx1"/>
                  </w14:solidFill>
                </w14:textFill>
              </w:rPr>
              <w:t>后排入砂公磂河涌，经砂公磂河涌2.82km（砂公磂小水塘至暗渠0.02km、暗渠段1.80km、暗渠出口下游1.00km）后汇入螺河。</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本项目位于园区工业污水处理厂生产废水纳污范围内，可收集处理本项目生产废水。工业污水处理厂预计2022年5月投产使用，本项目拟于2022年7月投产，且项目生产废水排放量占工业污水处理厂日处理能力的2.65%，占比较小，在处理能力之内。因此园区工业污水</w:t>
            </w:r>
            <w:r>
              <w:rPr>
                <w:rFonts w:ascii="Times New Roman" w:hAnsi="Times New Roman"/>
                <w:color w:val="000000" w:themeColor="text1"/>
                <w:sz w:val="24"/>
                <w14:textFill>
                  <w14:solidFill>
                    <w14:schemeClr w14:val="tx1"/>
                  </w14:solidFill>
                </w14:textFill>
              </w:rPr>
              <w:t>处理厂具有接纳本项目生产废水的能力。</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2、生活污水</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生活污水经化粪池预处理后排入河口镇污水处理厂处理，河口镇污水处理厂为生活污水处理厂，位于陆河县河口镇河口洋，占地面积46666平方米，建筑面积4320.2平方米。2017年11月首期工程建设完成，并于2018年8月进行陆河县河口镇污水处理厂首期项目竣工验收环境保护验收</w:t>
            </w:r>
            <w:r>
              <w:rPr>
                <w:rFonts w:hint="eastAsia" w:ascii="Times New Roman" w:hAnsi="Times New Roman"/>
                <w:color w:val="000000" w:themeColor="text1"/>
                <w:sz w:val="24"/>
                <w14:textFill>
                  <w14:solidFill>
                    <w14:schemeClr w14:val="tx1"/>
                  </w14:solidFill>
                </w14:textFill>
              </w:rPr>
              <w:t>。</w:t>
            </w:r>
            <w:r>
              <w:rPr>
                <w:rFonts w:ascii="Times New Roman" w:hAnsi="Times New Roman"/>
                <w:color w:val="000000" w:themeColor="text1"/>
                <w:sz w:val="24"/>
                <w14:textFill>
                  <w14:solidFill>
                    <w14:schemeClr w14:val="tx1"/>
                  </w14:solidFill>
                </w14:textFill>
              </w:rPr>
              <w:t>污水处理厂现有处理规模为日处理污水1.5万吨，</w:t>
            </w:r>
            <w:r>
              <w:rPr>
                <w:rFonts w:hint="eastAsia" w:ascii="Times New Roman" w:hAnsi="Times New Roman"/>
                <w:color w:val="000000" w:themeColor="text1"/>
                <w:sz w:val="24"/>
                <w14:textFill>
                  <w14:solidFill>
                    <w14:schemeClr w14:val="tx1"/>
                  </w14:solidFill>
                </w14:textFill>
              </w:rPr>
              <w:t>尾水排放执行《城镇污水处理厂污染物排放标准》（GB18918-2002）一级</w:t>
            </w:r>
            <w:r>
              <w:rPr>
                <w:rFonts w:hint="eastAsia" w:ascii="Times New Roman" w:hAnsi="Times New Roman"/>
                <w:color w:val="000000" w:themeColor="text1"/>
                <w:sz w:val="24"/>
                <w14:textFill>
                  <w14:solidFill>
                    <w14:schemeClr w14:val="tx1"/>
                  </w14:solidFill>
                </w14:textFill>
              </w:rPr>
              <w:tab/>
            </w:r>
            <w:r>
              <w:rPr>
                <w:rFonts w:hint="eastAsia" w:ascii="Times New Roman" w:hAnsi="Times New Roman"/>
                <w:color w:val="000000" w:themeColor="text1"/>
                <w:sz w:val="24"/>
                <w14:textFill>
                  <w14:solidFill>
                    <w14:schemeClr w14:val="tx1"/>
                  </w14:solidFill>
                </w14:textFill>
              </w:rPr>
              <w:t>A标准和广东省地方标准《水污染物排放限值》（DB44/26-2001）第二时段一级标准较严值。为进一步减少污染物排放量，河口镇污水处理厂拟升级改造，</w:t>
            </w:r>
            <w:r>
              <w:rPr>
                <w:rFonts w:ascii="Times New Roman" w:hAnsi="Times New Roman"/>
                <w:color w:val="000000" w:themeColor="text1"/>
                <w:sz w:val="24"/>
                <w14:textFill>
                  <w14:solidFill>
                    <w14:schemeClr w14:val="tx1"/>
                  </w14:solidFill>
                </w14:textFill>
              </w:rPr>
              <w:t>采用</w:t>
            </w:r>
            <w:r>
              <w:rPr>
                <w:rFonts w:ascii="Times New Roman" w:hAnsi="Times New Roman"/>
                <w:bCs/>
                <w:color w:val="000000" w:themeColor="text1"/>
                <w:sz w:val="24"/>
                <w14:textFill>
                  <w14:solidFill>
                    <w14:schemeClr w14:val="tx1"/>
                  </w14:solidFill>
                </w14:textFill>
              </w:rPr>
              <w:t>“</w:t>
            </w:r>
            <w:r>
              <w:rPr>
                <w:rFonts w:hint="eastAsia" w:ascii="Times New Roman" w:hAnsi="Times New Roman"/>
                <w:bCs/>
                <w:color w:val="000000" w:themeColor="text1"/>
                <w:sz w:val="24"/>
                <w14:textFill>
                  <w14:solidFill>
                    <w14:schemeClr w14:val="tx1"/>
                  </w14:solidFill>
                </w14:textFill>
              </w:rPr>
              <w:t>粗格栅+细格栅+初沉池+A/A/O池+高密度沉淀池+中间水池+曝气生物+纤维转盘滤池+紫外消毒</w:t>
            </w:r>
            <w:r>
              <w:rPr>
                <w:rFonts w:ascii="Times New Roman" w:hAnsi="Times New Roman"/>
                <w:bCs/>
                <w:color w:val="000000" w:themeColor="text1"/>
                <w:sz w:val="24"/>
                <w14:textFill>
                  <w14:solidFill>
                    <w14:schemeClr w14:val="tx1"/>
                  </w14:solidFill>
                </w14:textFill>
              </w:rPr>
              <w:t>”工艺</w:t>
            </w:r>
            <w:r>
              <w:rPr>
                <w:rFonts w:hint="eastAsia" w:ascii="Times New Roman" w:hAnsi="Times New Roman"/>
                <w:bCs/>
                <w:color w:val="000000" w:themeColor="text1"/>
                <w:sz w:val="24"/>
                <w14:textFill>
                  <w14:solidFill>
                    <w14:schemeClr w14:val="tx1"/>
                  </w14:solidFill>
                </w14:textFill>
              </w:rPr>
              <w:t>，尾水处理达到《地表水环境质量标准》（GB3838-2002）Ⅳ类标准（其余《地表水环境质量标准》（GB3838-2002）Ⅳ类标准未注明的指标，执行《城镇污水处理厂污染物排放标准》（GB18918-2002）一级A标准）后排入东侧小河涌，汇入南北溪</w:t>
            </w:r>
            <w:r>
              <w:rPr>
                <w:rFonts w:ascii="Times New Roman" w:hAnsi="Times New Roman"/>
                <w:bCs/>
                <w:color w:val="000000" w:themeColor="text1"/>
                <w:sz w:val="24"/>
                <w14:textFill>
                  <w14:solidFill>
                    <w14:schemeClr w14:val="tx1"/>
                  </w14:solidFill>
                </w14:textFill>
              </w:rPr>
              <w:t>。</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项目位于河口镇污水处理厂生活污水</w:t>
            </w:r>
            <w:r>
              <w:rPr>
                <w:rFonts w:ascii="Times New Roman" w:hAnsi="Times New Roman"/>
                <w:color w:val="000000" w:themeColor="text1"/>
                <w:kern w:val="0"/>
                <w:sz w:val="24"/>
                <w14:textFill>
                  <w14:solidFill>
                    <w14:schemeClr w14:val="tx1"/>
                  </w14:solidFill>
                </w14:textFill>
              </w:rPr>
              <w:t>纳污范围内，可收集处理本项目生活污水。</w:t>
            </w:r>
            <w:r>
              <w:rPr>
                <w:rFonts w:hint="eastAsia" w:ascii="Times New Roman" w:hAnsi="Times New Roman"/>
                <w:color w:val="000000" w:themeColor="text1"/>
                <w:kern w:val="0"/>
                <w:sz w:val="24"/>
                <w14:textFill>
                  <w14:solidFill>
                    <w14:schemeClr w14:val="tx1"/>
                  </w14:solidFill>
                </w14:textFill>
              </w:rPr>
              <w:t>河口镇污水处理厂升级改造预计2021年12月完成并投产使用，本项目</w:t>
            </w:r>
            <w:r>
              <w:rPr>
                <w:rFonts w:ascii="Times New Roman" w:hAnsi="Times New Roman"/>
                <w:color w:val="000000" w:themeColor="text1"/>
                <w:kern w:val="0"/>
                <w:sz w:val="24"/>
                <w14:textFill>
                  <w14:solidFill>
                    <w14:schemeClr w14:val="tx1"/>
                  </w14:solidFill>
                </w14:textFill>
              </w:rPr>
              <w:t>拟于2022年7月投产</w:t>
            </w:r>
            <w:r>
              <w:rPr>
                <w:rFonts w:hint="eastAsia" w:ascii="Times New Roman" w:hAnsi="Times New Roman"/>
                <w:color w:val="000000" w:themeColor="text1"/>
                <w:kern w:val="0"/>
                <w:sz w:val="24"/>
                <w14:textFill>
                  <w14:solidFill>
                    <w14:schemeClr w14:val="tx1"/>
                  </w14:solidFill>
                </w14:textFill>
              </w:rPr>
              <w:t>，且</w:t>
            </w:r>
            <w:r>
              <w:rPr>
                <w:rFonts w:ascii="Times New Roman" w:hAnsi="Times New Roman"/>
                <w:color w:val="000000" w:themeColor="text1"/>
                <w:kern w:val="0"/>
                <w:sz w:val="24"/>
                <w14:textFill>
                  <w14:solidFill>
                    <w14:schemeClr w14:val="tx1"/>
                  </w14:solidFill>
                </w14:textFill>
              </w:rPr>
              <w:t>项目生活污水排放量占河口镇污水处理厂日处理能力的0.004%，占比较小，在处理能力之内。因此河口镇污水</w:t>
            </w:r>
            <w:r>
              <w:rPr>
                <w:rFonts w:ascii="Times New Roman" w:hAnsi="Times New Roman"/>
                <w:color w:val="000000" w:themeColor="text1"/>
                <w:sz w:val="24"/>
                <w14:textFill>
                  <w14:solidFill>
                    <w14:schemeClr w14:val="tx1"/>
                  </w14:solidFill>
                </w14:textFill>
              </w:rPr>
              <w:t>处理厂具有接纳本项目生活污水的能力。</w:t>
            </w:r>
          </w:p>
          <w:p>
            <w:pPr>
              <w:spacing w:line="360" w:lineRule="auto"/>
              <w:ind w:firstLine="482" w:firstLineChars="200"/>
              <w:rPr>
                <w:rFonts w:ascii="Times New Roman" w:hAnsi="Times New Roman"/>
                <w:b/>
                <w:color w:val="000000" w:themeColor="text1"/>
                <w:sz w:val="24"/>
                <w14:textFill>
                  <w14:solidFill>
                    <w14:schemeClr w14:val="tx1"/>
                  </w14:solidFill>
                </w14:textFill>
              </w:rPr>
            </w:pPr>
            <w:r>
              <w:rPr>
                <w:rFonts w:ascii="Times New Roman" w:hAnsi="Times New Roman"/>
                <w:b/>
                <w:bCs/>
                <w:color w:val="000000" w:themeColor="text1"/>
                <w:kern w:val="0"/>
                <w:sz w:val="24"/>
                <w14:textFill>
                  <w14:solidFill>
                    <w14:schemeClr w14:val="tx1"/>
                  </w14:solidFill>
                </w14:textFill>
              </w:rPr>
              <w:t>三、</w:t>
            </w:r>
            <w:r>
              <w:rPr>
                <w:rFonts w:ascii="Times New Roman" w:hAnsi="Times New Roman"/>
                <w:b/>
                <w:color w:val="000000" w:themeColor="text1"/>
                <w:sz w:val="24"/>
                <w14:textFill>
                  <w14:solidFill>
                    <w14:schemeClr w14:val="tx1"/>
                  </w14:solidFill>
                </w14:textFill>
              </w:rPr>
              <w:t>噪声</w:t>
            </w:r>
          </w:p>
          <w:p>
            <w:pPr>
              <w:snapToGrid w:val="0"/>
              <w:spacing w:line="360" w:lineRule="auto"/>
              <w:ind w:firstLine="470" w:firstLineChars="196"/>
              <w:rPr>
                <w:rFonts w:ascii="Times New Roman" w:hAnsi="Times New Roman"/>
                <w:color w:val="000000" w:themeColor="text1"/>
                <w:kern w:val="18"/>
                <w:sz w:val="24"/>
                <w14:textFill>
                  <w14:solidFill>
                    <w14:schemeClr w14:val="tx1"/>
                  </w14:solidFill>
                </w14:textFill>
              </w:rPr>
            </w:pPr>
            <w:r>
              <w:rPr>
                <w:rFonts w:ascii="Times New Roman" w:hAnsi="Times New Roman"/>
                <w:color w:val="000000" w:themeColor="text1"/>
                <w:kern w:val="18"/>
                <w:sz w:val="24"/>
                <w14:textFill>
                  <w14:solidFill>
                    <w14:schemeClr w14:val="tx1"/>
                  </w14:solidFill>
                </w14:textFill>
              </w:rPr>
              <w:t>（1）噪声源强</w:t>
            </w:r>
          </w:p>
          <w:p>
            <w:pPr>
              <w:snapToGrid w:val="0"/>
              <w:spacing w:line="360" w:lineRule="auto"/>
              <w:ind w:firstLine="470" w:firstLineChars="196"/>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kern w:val="18"/>
                <w:sz w:val="24"/>
                <w14:textFill>
                  <w14:solidFill>
                    <w14:schemeClr w14:val="tx1"/>
                  </w14:solidFill>
                </w14:textFill>
              </w:rPr>
              <w:t>项目主要噪声源为运营期机械设备运行时产生的设备噪声，各主要产噪设备噪声源强特性见下表：</w:t>
            </w: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主要生产设备噪声值</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884"/>
              <w:gridCol w:w="2270"/>
              <w:gridCol w:w="1116"/>
              <w:gridCol w:w="1859"/>
              <w:gridCol w:w="1843"/>
              <w:gridCol w:w="1605"/>
              <w:gridCol w:w="1829"/>
              <w:gridCol w:w="12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adjustRightInd w:val="0"/>
                    <w:snapToGrid w:val="0"/>
                    <w:jc w:val="center"/>
                    <w:rPr>
                      <w:rFonts w:ascii="Times New Roman" w:hAnsi="Times New Roman"/>
                      <w:bCs/>
                      <w:color w:val="000000" w:themeColor="text1"/>
                      <w:szCs w:val="21"/>
                      <w:lang w:bidi="ar"/>
                      <w14:textFill>
                        <w14:solidFill>
                          <w14:schemeClr w14:val="tx1"/>
                        </w14:solidFill>
                      </w14:textFill>
                    </w:rPr>
                  </w:pPr>
                  <w:r>
                    <w:rPr>
                      <w:rFonts w:ascii="Times New Roman" w:hAnsi="Times New Roman"/>
                      <w:bCs/>
                      <w:color w:val="000000" w:themeColor="text1"/>
                      <w:szCs w:val="21"/>
                      <w:lang w:bidi="ar"/>
                      <w14:textFill>
                        <w14:solidFill>
                          <w14:schemeClr w14:val="tx1"/>
                        </w14:solidFill>
                      </w14:textFill>
                    </w:rPr>
                    <w:t>序号</w:t>
                  </w:r>
                </w:p>
              </w:tc>
              <w:tc>
                <w:tcPr>
                  <w:tcW w:w="1181" w:type="pct"/>
                  <w:gridSpan w:val="2"/>
                  <w:vAlign w:val="center"/>
                </w:tcPr>
                <w:p>
                  <w:pPr>
                    <w:adjustRightInd w:val="0"/>
                    <w:snapToGrid w:val="0"/>
                    <w:jc w:val="center"/>
                    <w:rPr>
                      <w:rFonts w:ascii="Times New Roman" w:hAnsi="Times New Roman"/>
                      <w:bCs/>
                      <w:color w:val="000000" w:themeColor="text1"/>
                      <w:szCs w:val="21"/>
                      <w:lang w:bidi="ar"/>
                      <w14:textFill>
                        <w14:solidFill>
                          <w14:schemeClr w14:val="tx1"/>
                        </w14:solidFill>
                      </w14:textFill>
                    </w:rPr>
                  </w:pPr>
                  <w:r>
                    <w:rPr>
                      <w:rFonts w:ascii="Times New Roman" w:hAnsi="Times New Roman"/>
                      <w:bCs/>
                      <w:color w:val="000000" w:themeColor="text1"/>
                      <w:szCs w:val="21"/>
                      <w:lang w:bidi="ar"/>
                      <w14:textFill>
                        <w14:solidFill>
                          <w14:schemeClr w14:val="tx1"/>
                        </w14:solidFill>
                      </w14:textFill>
                    </w:rPr>
                    <w:t>名称</w:t>
                  </w:r>
                </w:p>
              </w:tc>
              <w:tc>
                <w:tcPr>
                  <w:tcW w:w="418" w:type="pct"/>
                  <w:vAlign w:val="center"/>
                </w:tcPr>
                <w:p>
                  <w:pPr>
                    <w:adjustRightInd w:val="0"/>
                    <w:snapToGrid w:val="0"/>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数量</w:t>
                  </w:r>
                  <w:r>
                    <w:rPr>
                      <w:rFonts w:ascii="Times New Roman" w:hAnsi="Times New Roman"/>
                      <w:color w:val="000000" w:themeColor="text1"/>
                      <w14:textFill>
                        <w14:solidFill>
                          <w14:schemeClr w14:val="tx1"/>
                        </w14:solidFill>
                      </w14:textFill>
                    </w:rPr>
                    <w:t>/台</w:t>
                  </w:r>
                </w:p>
              </w:tc>
              <w:tc>
                <w:tcPr>
                  <w:tcW w:w="696" w:type="pct"/>
                  <w:vAlign w:val="center"/>
                </w:tcPr>
                <w:p>
                  <w:pPr>
                    <w:adjustRightInd w:val="0"/>
                    <w:snapToGrid w:val="0"/>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声源类型</w:t>
                  </w:r>
                </w:p>
                <w:p>
                  <w:pPr>
                    <w:adjustRightInd w:val="0"/>
                    <w:snapToGrid w:val="0"/>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（频发、偶发等)</w:t>
                  </w:r>
                </w:p>
              </w:tc>
              <w:tc>
                <w:tcPr>
                  <w:tcW w:w="690" w:type="pct"/>
                  <w:vAlign w:val="center"/>
                </w:tcPr>
                <w:p>
                  <w:pPr>
                    <w:adjustRightInd w:val="0"/>
                    <w:snapToGrid w:val="0"/>
                    <w:jc w:val="center"/>
                    <w:rPr>
                      <w:rFonts w:ascii="Times New Roman" w:hAnsi="Times New Roman"/>
                      <w:bCs/>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产生源强dB(A)</w:t>
                  </w:r>
                </w:p>
              </w:tc>
              <w:tc>
                <w:tcPr>
                  <w:tcW w:w="601" w:type="pct"/>
                  <w:vAlign w:val="center"/>
                </w:tcPr>
                <w:p>
                  <w:pPr>
                    <w:adjustRightInd w:val="0"/>
                    <w:snapToGrid w:val="0"/>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降噪措施</w:t>
                  </w:r>
                </w:p>
              </w:tc>
              <w:tc>
                <w:tcPr>
                  <w:tcW w:w="685" w:type="pct"/>
                  <w:vAlign w:val="center"/>
                </w:tcPr>
                <w:p>
                  <w:pPr>
                    <w:adjustRightInd w:val="0"/>
                    <w:snapToGrid w:val="0"/>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排放源强</w:t>
                  </w:r>
                  <w:r>
                    <w:rPr>
                      <w:rFonts w:ascii="Times New Roman" w:hAnsi="Times New Roman"/>
                      <w:color w:val="000000" w:themeColor="text1"/>
                      <w:szCs w:val="21"/>
                      <w14:textFill>
                        <w14:solidFill>
                          <w14:schemeClr w14:val="tx1"/>
                        </w14:solidFill>
                      </w14:textFill>
                    </w:rPr>
                    <w:t>dB(A)</w:t>
                  </w:r>
                </w:p>
              </w:tc>
              <w:tc>
                <w:tcPr>
                  <w:tcW w:w="453" w:type="pct"/>
                  <w:vAlign w:val="center"/>
                </w:tcPr>
                <w:p>
                  <w:pPr>
                    <w:adjustRightInd w:val="0"/>
                    <w:snapToGrid w:val="0"/>
                    <w:jc w:val="center"/>
                    <w:rPr>
                      <w:rFonts w:ascii="Times New Roman" w:hAnsi="Times New Roman"/>
                      <w:bCs/>
                      <w:color w:val="000000" w:themeColor="text1"/>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排放时间h/d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331" w:type="pct"/>
                  <w:vMerge w:val="restar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前处理车间</w:t>
                  </w: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洗药机</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75</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35</w:t>
                  </w:r>
                </w:p>
              </w:tc>
              <w:tc>
                <w:tcPr>
                  <w:tcW w:w="453"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331" w:type="pct"/>
                  <w:vMerge w:val="continue"/>
                  <w:vAlign w:val="center"/>
                </w:tcPr>
                <w:p>
                  <w:pPr>
                    <w:widowControl/>
                    <w:jc w:val="center"/>
                    <w:rPr>
                      <w:rFonts w:ascii="Times New Roman" w:hAnsi="Times New Roman"/>
                      <w:color w:val="000000" w:themeColor="text1"/>
                      <w:kern w:val="0"/>
                      <w14:textFill>
                        <w14:solidFill>
                          <w14:schemeClr w14:val="tx1"/>
                        </w14:solidFill>
                      </w14:textFill>
                    </w:rPr>
                  </w:pP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热风循环烘箱</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2</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75</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35</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331" w:type="pct"/>
                  <w:vMerge w:val="continue"/>
                  <w:vAlign w:val="center"/>
                </w:tcPr>
                <w:p>
                  <w:pPr>
                    <w:widowControl/>
                    <w:jc w:val="center"/>
                    <w:rPr>
                      <w:rFonts w:ascii="Times New Roman" w:hAnsi="Times New Roman"/>
                      <w:color w:val="000000" w:themeColor="text1"/>
                      <w:kern w:val="0"/>
                      <w14:textFill>
                        <w14:solidFill>
                          <w14:schemeClr w14:val="tx1"/>
                        </w14:solidFill>
                      </w14:textFill>
                    </w:rPr>
                  </w:pP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万能粉碎机</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80</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40</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331" w:type="pct"/>
                  <w:vMerge w:val="continue"/>
                  <w:vAlign w:val="center"/>
                </w:tcPr>
                <w:p>
                  <w:pPr>
                    <w:widowControl/>
                    <w:jc w:val="center"/>
                    <w:rPr>
                      <w:rFonts w:ascii="Times New Roman" w:hAnsi="Times New Roman"/>
                      <w:color w:val="000000" w:themeColor="text1"/>
                      <w:kern w:val="0"/>
                      <w:szCs w:val="21"/>
                      <w14:textFill>
                        <w14:solidFill>
                          <w14:schemeClr w14:val="tx1"/>
                        </w14:solidFill>
                      </w14:textFill>
                    </w:rPr>
                  </w:pP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往复式切药机</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75</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35</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331" w:type="pct"/>
                  <w:vMerge w:val="continue"/>
                  <w:vAlign w:val="center"/>
                </w:tcPr>
                <w:p>
                  <w:pPr>
                    <w:widowControl/>
                    <w:jc w:val="center"/>
                    <w:textAlignment w:val="bottom"/>
                    <w:rPr>
                      <w:rFonts w:ascii="Times New Roman" w:hAnsi="Times New Roman"/>
                      <w:color w:val="000000" w:themeColor="text1"/>
                      <w:kern w:val="0"/>
                      <w:szCs w:val="21"/>
                      <w14:textFill>
                        <w14:solidFill>
                          <w14:schemeClr w14:val="tx1"/>
                        </w14:solidFill>
                      </w14:textFill>
                    </w:rPr>
                  </w:pP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三维混合机</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80</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40</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331" w:type="pct"/>
                  <w:vMerge w:val="restart"/>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提取浓缩车间</w:t>
                  </w: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1500L单效浓缩机组</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2</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80</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40</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331" w:type="pct"/>
                  <w:vMerge w:val="continue"/>
                  <w:vAlign w:val="center"/>
                </w:tcPr>
                <w:p>
                  <w:pPr>
                    <w:widowControl/>
                    <w:jc w:val="center"/>
                    <w:textAlignment w:val="bottom"/>
                    <w:rPr>
                      <w:rFonts w:ascii="Times New Roman" w:hAnsi="Times New Roman"/>
                      <w:color w:val="000000" w:themeColor="text1"/>
                      <w:kern w:val="0"/>
                      <w:szCs w:val="21"/>
                      <w14:textFill>
                        <w14:solidFill>
                          <w14:schemeClr w14:val="tx1"/>
                        </w14:solidFill>
                      </w14:textFill>
                    </w:rPr>
                  </w:pP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喷雾干燥机组</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80</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40</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331" w:type="pct"/>
                  <w:vMerge w:val="restar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后处理车间</w:t>
                  </w: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真空干燥箱</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2</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80</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40</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331" w:type="pct"/>
                  <w:vMerge w:val="continue"/>
                  <w:vAlign w:val="center"/>
                </w:tcPr>
                <w:p>
                  <w:pPr>
                    <w:widowControl/>
                    <w:jc w:val="center"/>
                    <w:rPr>
                      <w:rFonts w:ascii="Times New Roman" w:hAnsi="Times New Roman"/>
                      <w:color w:val="000000" w:themeColor="text1"/>
                      <w:kern w:val="0"/>
                      <w:szCs w:val="21"/>
                      <w14:textFill>
                        <w14:solidFill>
                          <w14:schemeClr w14:val="tx1"/>
                        </w14:solidFill>
                      </w14:textFill>
                    </w:rPr>
                  </w:pP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万能粉碎机</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80</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40</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331" w:type="pct"/>
                  <w:vMerge w:val="continue"/>
                  <w:vAlign w:val="center"/>
                </w:tcPr>
                <w:p>
                  <w:pPr>
                    <w:widowControl/>
                    <w:jc w:val="center"/>
                    <w:textAlignment w:val="bottom"/>
                    <w:rPr>
                      <w:rFonts w:ascii="Times New Roman" w:hAnsi="Times New Roman"/>
                      <w:color w:val="000000" w:themeColor="text1"/>
                      <w:kern w:val="0"/>
                      <w:szCs w:val="21"/>
                      <w14:textFill>
                        <w14:solidFill>
                          <w14:schemeClr w14:val="tx1"/>
                        </w14:solidFill>
                      </w14:textFill>
                    </w:rPr>
                  </w:pP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旋振筛</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75</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35</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331" w:type="pct"/>
                  <w:vMerge w:val="continue"/>
                  <w:vAlign w:val="center"/>
                </w:tcPr>
                <w:p>
                  <w:pPr>
                    <w:widowControl/>
                    <w:jc w:val="center"/>
                    <w:rPr>
                      <w:rFonts w:ascii="Times New Roman" w:hAnsi="Times New Roman"/>
                      <w:color w:val="000000" w:themeColor="text1"/>
                      <w:kern w:val="0"/>
                      <w14:textFill>
                        <w14:solidFill>
                          <w14:schemeClr w14:val="tx1"/>
                        </w14:solidFill>
                      </w14:textFill>
                    </w:rPr>
                  </w:pP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平振筛</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75</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35</w:t>
                  </w:r>
                </w:p>
              </w:tc>
              <w:tc>
                <w:tcPr>
                  <w:tcW w:w="453"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331" w:type="pct"/>
                  <w:vMerge w:val="continue"/>
                  <w:vAlign w:val="center"/>
                </w:tcPr>
                <w:p>
                  <w:pPr>
                    <w:widowControl/>
                    <w:jc w:val="center"/>
                    <w:rPr>
                      <w:rFonts w:ascii="Times New Roman" w:hAnsi="Times New Roman"/>
                      <w:color w:val="000000" w:themeColor="text1"/>
                      <w:kern w:val="0"/>
                      <w14:textFill>
                        <w14:solidFill>
                          <w14:schemeClr w14:val="tx1"/>
                        </w14:solidFill>
                      </w14:textFill>
                    </w:rPr>
                  </w:pP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三维混合机</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80</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40</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331" w:type="pct"/>
                  <w:vMerge w:val="continue"/>
                  <w:vAlign w:val="center"/>
                </w:tcPr>
                <w:p>
                  <w:pPr>
                    <w:widowControl/>
                    <w:jc w:val="center"/>
                    <w:rPr>
                      <w:rFonts w:ascii="Times New Roman" w:hAnsi="Times New Roman"/>
                      <w:color w:val="000000" w:themeColor="text1"/>
                      <w:kern w:val="0"/>
                      <w14:textFill>
                        <w14:solidFill>
                          <w14:schemeClr w14:val="tx1"/>
                        </w14:solidFill>
                      </w14:textFill>
                    </w:rPr>
                  </w:pP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多功能灭菌柜</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75</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35</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331" w:type="pct"/>
                  <w:vMerge w:val="restart"/>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发酵车间</w:t>
                  </w: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二维运动混合机</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75</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35</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331" w:type="pct"/>
                  <w:vMerge w:val="continue"/>
                  <w:vAlign w:val="center"/>
                </w:tcPr>
                <w:p>
                  <w:pPr>
                    <w:widowControl/>
                    <w:jc w:val="center"/>
                    <w:textAlignment w:val="bottom"/>
                    <w:rPr>
                      <w:rFonts w:ascii="Times New Roman" w:hAnsi="Times New Roman"/>
                      <w:color w:val="000000" w:themeColor="text1"/>
                      <w:kern w:val="0"/>
                      <w:szCs w:val="21"/>
                      <w14:textFill>
                        <w14:solidFill>
                          <w14:schemeClr w14:val="tx1"/>
                        </w14:solidFill>
                      </w14:textFill>
                    </w:rPr>
                  </w:pP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多功能中成药灭菌柜</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2</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75</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35</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331" w:type="pct"/>
                  <w:vMerge w:val="continue"/>
                  <w:vAlign w:val="center"/>
                </w:tcPr>
                <w:p>
                  <w:pPr>
                    <w:widowControl/>
                    <w:jc w:val="center"/>
                    <w:rPr>
                      <w:rFonts w:ascii="Times New Roman" w:hAnsi="Times New Roman"/>
                      <w:color w:val="000000" w:themeColor="text1"/>
                      <w:kern w:val="0"/>
                      <w14:textFill>
                        <w14:solidFill>
                          <w14:schemeClr w14:val="tx1"/>
                        </w14:solidFill>
                      </w14:textFill>
                    </w:rPr>
                  </w:pP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过筛粉碎机</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80</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40</w:t>
                  </w:r>
                </w:p>
              </w:tc>
              <w:tc>
                <w:tcPr>
                  <w:tcW w:w="453"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331" w:type="pct"/>
                  <w:vMerge w:val="continue"/>
                  <w:vAlign w:val="center"/>
                </w:tcPr>
                <w:p>
                  <w:pPr>
                    <w:widowControl/>
                    <w:jc w:val="center"/>
                    <w:rPr>
                      <w:rFonts w:ascii="Times New Roman" w:hAnsi="Times New Roman"/>
                      <w:color w:val="000000" w:themeColor="text1"/>
                      <w:kern w:val="0"/>
                      <w14:textFill>
                        <w14:solidFill>
                          <w14:schemeClr w14:val="tx1"/>
                        </w14:solidFill>
                      </w14:textFill>
                    </w:rPr>
                  </w:pP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榨汁机</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80</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40</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331" w:type="pct"/>
                  <w:vMerge w:val="continue"/>
                  <w:vAlign w:val="center"/>
                </w:tcPr>
                <w:p>
                  <w:pPr>
                    <w:widowControl/>
                    <w:jc w:val="center"/>
                    <w:rPr>
                      <w:rFonts w:ascii="Times New Roman" w:hAnsi="Times New Roman"/>
                      <w:color w:val="000000" w:themeColor="text1"/>
                      <w:kern w:val="0"/>
                      <w14:textFill>
                        <w14:solidFill>
                          <w14:schemeClr w14:val="tx1"/>
                        </w14:solidFill>
                      </w14:textFill>
                    </w:rPr>
                  </w:pP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槽型混合机</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75</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35</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lang w:bidi="ar"/>
                      <w14:textFill>
                        <w14:solidFill>
                          <w14:schemeClr w14:val="tx1"/>
                        </w14:solidFill>
                      </w14:textFill>
                    </w:rPr>
                  </w:pPr>
                </w:p>
              </w:tc>
              <w:tc>
                <w:tcPr>
                  <w:tcW w:w="331" w:type="pct"/>
                  <w:vMerge w:val="continue"/>
                  <w:vAlign w:val="center"/>
                </w:tcPr>
                <w:p>
                  <w:pPr>
                    <w:widowControl/>
                    <w:jc w:val="center"/>
                    <w:rPr>
                      <w:rFonts w:ascii="Times New Roman" w:hAnsi="Times New Roman"/>
                      <w:color w:val="000000" w:themeColor="text1"/>
                      <w:kern w:val="0"/>
                      <w:szCs w:val="21"/>
                      <w14:textFill>
                        <w14:solidFill>
                          <w14:schemeClr w14:val="tx1"/>
                        </w14:solidFill>
                      </w14:textFill>
                    </w:rPr>
                  </w:pP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真空干燥箱</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4</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80</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40</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331" w:type="pct"/>
                  <w:vMerge w:val="continue"/>
                  <w:vAlign w:val="center"/>
                </w:tcPr>
                <w:p>
                  <w:pPr>
                    <w:widowControl/>
                    <w:jc w:val="center"/>
                    <w:textAlignment w:val="bottom"/>
                    <w:rPr>
                      <w:rFonts w:ascii="Times New Roman" w:hAnsi="Times New Roman"/>
                      <w:color w:val="000000" w:themeColor="text1"/>
                      <w:kern w:val="0"/>
                      <w:szCs w:val="21"/>
                      <w14:textFill>
                        <w14:solidFill>
                          <w14:schemeClr w14:val="tx1"/>
                        </w14:solidFill>
                      </w14:textFill>
                    </w:rPr>
                  </w:pP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粉碎机</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80</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40</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331"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顶楼</w:t>
                  </w: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冷却塔</w:t>
                  </w:r>
                </w:p>
              </w:tc>
              <w:tc>
                <w:tcPr>
                  <w:tcW w:w="418"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85</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45</w:t>
                  </w:r>
                </w:p>
              </w:tc>
              <w:tc>
                <w:tcPr>
                  <w:tcW w:w="453"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 w:type="pct"/>
                  <w:vAlign w:val="center"/>
                </w:tcPr>
                <w:p>
                  <w:pPr>
                    <w:numPr>
                      <w:ilvl w:val="0"/>
                      <w:numId w:val="12"/>
                    </w:numPr>
                    <w:adjustRightInd w:val="0"/>
                    <w:snapToGrid w:val="0"/>
                    <w:jc w:val="center"/>
                    <w:rPr>
                      <w:rFonts w:ascii="Times New Roman" w:hAnsi="Times New Roman"/>
                      <w:bCs/>
                      <w:color w:val="000000" w:themeColor="text1"/>
                      <w:szCs w:val="21"/>
                      <w14:textFill>
                        <w14:solidFill>
                          <w14:schemeClr w14:val="tx1"/>
                        </w14:solidFill>
                      </w14:textFill>
                    </w:rPr>
                  </w:pPr>
                </w:p>
              </w:tc>
              <w:tc>
                <w:tcPr>
                  <w:tcW w:w="331"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锅炉房</w:t>
                  </w:r>
                </w:p>
              </w:tc>
              <w:tc>
                <w:tcPr>
                  <w:tcW w:w="8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3t/h锅炉</w:t>
                  </w:r>
                </w:p>
              </w:tc>
              <w:tc>
                <w:tcPr>
                  <w:tcW w:w="41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696"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频发</w:t>
                  </w:r>
                </w:p>
              </w:tc>
              <w:tc>
                <w:tcPr>
                  <w:tcW w:w="690" w:type="pct"/>
                  <w:vAlign w:val="center"/>
                </w:tcPr>
                <w:p>
                  <w:pPr>
                    <w:widowControl/>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90</w:t>
                  </w:r>
                </w:p>
              </w:tc>
              <w:tc>
                <w:tcPr>
                  <w:tcW w:w="601"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隔声、减震</w:t>
                  </w:r>
                </w:p>
              </w:tc>
              <w:tc>
                <w:tcPr>
                  <w:tcW w:w="685" w:type="pct"/>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50</w:t>
                  </w:r>
                </w:p>
              </w:tc>
              <w:tc>
                <w:tcPr>
                  <w:tcW w:w="453" w:type="pct"/>
                  <w:vAlign w:val="center"/>
                </w:tcPr>
                <w:p>
                  <w:pPr>
                    <w:jc w:val="center"/>
                    <w:rPr>
                      <w:rFonts w:ascii="Times New Roman" w:hAnsi="Times New Roman"/>
                      <w:color w:val="000000" w:themeColor="text1"/>
                      <w:kern w:val="0"/>
                      <w14:textFill>
                        <w14:solidFill>
                          <w14:schemeClr w14:val="tx1"/>
                        </w14:solidFill>
                      </w14:textFill>
                    </w:rPr>
                  </w:pPr>
                  <w:r>
                    <w:rPr>
                      <w:rFonts w:ascii="Times New Roman" w:hAnsi="Times New Roman"/>
                      <w:color w:val="000000" w:themeColor="text1"/>
                      <w:kern w:val="0"/>
                      <w14:textFill>
                        <w14:solidFill>
                          <w14:schemeClr w14:val="tx1"/>
                        </w14:solidFill>
                      </w14:textFill>
                    </w:rPr>
                    <w:t>12</w:t>
                  </w:r>
                </w:p>
              </w:tc>
            </w:tr>
          </w:tbl>
          <w:p>
            <w:pPr>
              <w:widowControl/>
              <w:spacing w:line="360" w:lineRule="auto"/>
              <w:ind w:firstLine="480" w:firstLineChars="200"/>
              <w:rPr>
                <w:rFonts w:ascii="Times New Roman" w:hAnsi="Times New Roman"/>
                <w:bCs/>
                <w:color w:val="000000" w:themeColor="text1"/>
                <w:kern w:val="0"/>
                <w:sz w:val="24"/>
                <w14:textFill>
                  <w14:solidFill>
                    <w14:schemeClr w14:val="tx1"/>
                  </w14:solidFill>
                </w14:textFill>
              </w:rPr>
            </w:pPr>
            <w:r>
              <w:rPr>
                <w:rFonts w:ascii="Times New Roman" w:hAnsi="Times New Roman"/>
                <w:bCs/>
                <w:color w:val="000000" w:themeColor="text1"/>
                <w:kern w:val="0"/>
                <w:sz w:val="24"/>
                <w14:textFill>
                  <w14:solidFill>
                    <w14:schemeClr w14:val="tx1"/>
                  </w14:solidFill>
                </w14:textFill>
              </w:rPr>
              <w:t>（2）厂界和环境目标达标情况分析</w:t>
            </w:r>
          </w:p>
          <w:p>
            <w:pPr>
              <w:adjustRightInd w:val="0"/>
              <w:snapToGrid w:val="0"/>
              <w:spacing w:line="336" w:lineRule="auto"/>
              <w:ind w:firstLine="48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本次评价预测模式采用《环境影响评价技术导则声环境》（HJ</w:t>
            </w:r>
            <w:r>
              <w:rPr>
                <w:rFonts w:hint="eastAsia" w:ascii="Times New Roman" w:hAnsi="Times New Roman"/>
                <w:color w:val="000000" w:themeColor="text1"/>
                <w:kern w:val="0"/>
                <w:sz w:val="24"/>
                <w14:textFill>
                  <w14:solidFill>
                    <w14:schemeClr w14:val="tx1"/>
                  </w14:solidFill>
                </w14:textFill>
              </w:rPr>
              <w:t>2.4</w:t>
            </w:r>
            <w:r>
              <w:rPr>
                <w:rFonts w:ascii="Times New Roman" w:hAnsi="Times New Roman"/>
                <w:color w:val="000000" w:themeColor="text1"/>
                <w:kern w:val="0"/>
                <w:sz w:val="24"/>
                <w14:textFill>
                  <w14:solidFill>
                    <w14:schemeClr w14:val="tx1"/>
                  </w14:solidFill>
                </w14:textFill>
              </w:rPr>
              <w:t>-2009）中推荐的预测模式，应用过程中将根据具体情况作必要简化。</w:t>
            </w:r>
          </w:p>
          <w:p>
            <w:pPr>
              <w:adjustRightInd w:val="0"/>
              <w:snapToGrid w:val="0"/>
              <w:spacing w:line="336" w:lineRule="auto"/>
              <w:ind w:firstLine="48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1）预测模式</w:t>
            </w:r>
          </w:p>
          <w:p>
            <w:pPr>
              <w:adjustRightInd w:val="0"/>
              <w:snapToGrid w:val="0"/>
              <w:spacing w:line="336" w:lineRule="auto"/>
              <w:ind w:firstLine="480" w:firstLineChars="200"/>
              <w:rPr>
                <w:rFonts w:ascii="Times New Roman" w:hAnsi="Times New Roman"/>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①</w:t>
            </w:r>
            <w:r>
              <w:rPr>
                <w:rFonts w:ascii="Times New Roman" w:hAnsi="Times New Roman"/>
                <w:color w:val="000000" w:themeColor="text1"/>
                <w:sz w:val="24"/>
                <w14:textFill>
                  <w14:solidFill>
                    <w14:schemeClr w14:val="tx1"/>
                  </w14:solidFill>
                </w14:textFill>
              </w:rPr>
              <w:t>多点声源理论声压级的估算方法：</w:t>
            </w:r>
            <w:r>
              <w:rPr>
                <w:rFonts w:ascii="Times New Roman" w:hAnsi="Times New Roman"/>
                <w:b/>
                <w:color w:val="000000" w:themeColor="text1"/>
                <w:position w:val="-34"/>
                <w:sz w:val="24"/>
                <w14:textFill>
                  <w14:solidFill>
                    <w14:schemeClr w14:val="tx1"/>
                  </w14:solidFill>
                </w14:textFill>
              </w:rPr>
              <w:object>
                <v:shape id="_x0000_i1025" o:spt="75" type="#_x0000_t75" style="height:33.75pt;width:98.3pt;" o:ole="t" filled="f" o:preferrelative="t" stroked="f" coordsize="21600,21600">
                  <v:path/>
                  <v:fill on="f" focussize="0,0"/>
                  <v:stroke on="f" joinstyle="miter"/>
                  <v:imagedata r:id="rId31" o:title=""/>
                  <o:lock v:ext="edit" aspectratio="t"/>
                  <w10:wrap type="none"/>
                  <w10:anchorlock/>
                </v:shape>
                <o:OLEObject Type="Embed" ProgID="Equation.3" ShapeID="_x0000_i1025" DrawAspect="Content" ObjectID="_1468075725" r:id="rId30">
                  <o:LockedField>false</o:LockedField>
                </o:OLEObject>
              </w:object>
            </w:r>
          </w:p>
          <w:p>
            <w:pPr>
              <w:adjustRightInd w:val="0"/>
              <w:snapToGrid w:val="0"/>
              <w:spacing w:line="336"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式中：L</w:t>
            </w:r>
            <w:r>
              <w:rPr>
                <w:rFonts w:ascii="Times New Roman" w:hAnsi="Times New Roman"/>
                <w:color w:val="000000" w:themeColor="text1"/>
                <w:sz w:val="24"/>
                <w:vertAlign w:val="subscript"/>
                <w14:textFill>
                  <w14:solidFill>
                    <w14:schemeClr w14:val="tx1"/>
                  </w14:solidFill>
                </w14:textFill>
              </w:rPr>
              <w:t>A总</w:t>
            </w:r>
            <w:r>
              <w:rPr>
                <w:rFonts w:ascii="Times New Roman" w:hAnsi="Times New Roman"/>
                <w:color w:val="000000" w:themeColor="text1"/>
                <w:sz w:val="24"/>
                <w14:textFill>
                  <w14:solidFill>
                    <w14:schemeClr w14:val="tx1"/>
                  </w14:solidFill>
                </w14:textFill>
              </w:rPr>
              <w:t>为某点由n个声源叠加后的总噪声值，dB；</w:t>
            </w:r>
          </w:p>
          <w:p>
            <w:pPr>
              <w:adjustRightInd w:val="0"/>
              <w:snapToGrid w:val="0"/>
              <w:spacing w:line="336"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 xml:space="preserve">      L</w:t>
            </w:r>
            <w:r>
              <w:rPr>
                <w:rFonts w:ascii="Times New Roman" w:hAnsi="Times New Roman"/>
                <w:color w:val="000000" w:themeColor="text1"/>
                <w:sz w:val="24"/>
                <w:vertAlign w:val="subscript"/>
                <w14:textFill>
                  <w14:solidFill>
                    <w14:schemeClr w14:val="tx1"/>
                  </w14:solidFill>
                </w14:textFill>
              </w:rPr>
              <w:t>Ai</w:t>
            </w:r>
            <w:r>
              <w:rPr>
                <w:rFonts w:ascii="Times New Roman" w:hAnsi="Times New Roman"/>
                <w:color w:val="000000" w:themeColor="text1"/>
                <w:sz w:val="24"/>
                <w14:textFill>
                  <w14:solidFill>
                    <w14:schemeClr w14:val="tx1"/>
                  </w14:solidFill>
                </w14:textFill>
              </w:rPr>
              <w:t>为第i个声源对某预测点的等效声级。</w:t>
            </w:r>
          </w:p>
          <w:p>
            <w:pPr>
              <w:adjustRightInd w:val="0"/>
              <w:snapToGrid w:val="0"/>
              <w:spacing w:line="336" w:lineRule="auto"/>
              <w:ind w:firstLine="480"/>
              <w:rPr>
                <w:rFonts w:ascii="Times New Roman" w:hAnsi="Times New Roman"/>
                <w:color w:val="000000" w:themeColor="text1"/>
                <w:kern w:val="0"/>
                <w:sz w:val="24"/>
                <w14:textFill>
                  <w14:solidFill>
                    <w14:schemeClr w14:val="tx1"/>
                  </w14:solidFill>
                </w14:textFill>
              </w:rPr>
            </w:pPr>
            <w:r>
              <w:rPr>
                <w:rFonts w:hint="eastAsia" w:ascii="宋体" w:hAnsi="宋体" w:eastAsia="宋体" w:cs="宋体"/>
                <w:color w:val="000000" w:themeColor="text1"/>
                <w:kern w:val="0"/>
                <w:sz w:val="24"/>
                <w14:textFill>
                  <w14:solidFill>
                    <w14:schemeClr w14:val="tx1"/>
                  </w14:solidFill>
                </w14:textFill>
              </w:rPr>
              <w:t>②</w:t>
            </w:r>
            <w:r>
              <w:rPr>
                <w:rFonts w:ascii="Times New Roman" w:hAnsi="Times New Roman"/>
                <w:color w:val="000000" w:themeColor="text1"/>
                <w:kern w:val="0"/>
                <w:sz w:val="24"/>
                <w14:textFill>
                  <w14:solidFill>
                    <w14:schemeClr w14:val="tx1"/>
                  </w14:solidFill>
                </w14:textFill>
              </w:rPr>
              <w:t>某个点源在预测点的倍频带声压级：</w:t>
            </w:r>
            <w:r>
              <w:rPr>
                <w:rFonts w:ascii="Times New Roman" w:hAnsi="Times New Roman"/>
                <w:color w:val="000000" w:themeColor="text1"/>
                <w:sz w:val="24"/>
                <w14:textFill>
                  <w14:solidFill>
                    <w14:schemeClr w14:val="tx1"/>
                  </w14:solidFill>
                </w14:textFill>
              </w:rPr>
              <w:t xml:space="preserve"> </w:t>
            </w:r>
            <w:r>
              <w:rPr>
                <w:rFonts w:ascii="Times New Roman" w:hAnsi="Times New Roman"/>
                <w:color w:val="000000" w:themeColor="text1"/>
                <w:sz w:val="24"/>
                <w14:textFill>
                  <w14:solidFill>
                    <w14:schemeClr w14:val="tx1"/>
                  </w14:solidFill>
                </w14:textFill>
              </w:rPr>
              <w:object>
                <v:shape id="_x0000_i1026" o:spt="75" type="#_x0000_t75" style="height:18.75pt;width:138.7pt;" o:ole="t" filled="f" o:preferrelative="t" stroked="f" coordsize="21600,21600">
                  <v:path/>
                  <v:fill on="f" focussize="0,0"/>
                  <v:stroke on="f" joinstyle="miter"/>
                  <v:imagedata r:id="rId33" o:title=""/>
                  <o:lock v:ext="edit" aspectratio="t"/>
                  <w10:wrap type="none"/>
                  <w10:anchorlock/>
                </v:shape>
                <o:OLEObject Type="Embed" ProgID="Equation.3" ShapeID="_x0000_i1026" DrawAspect="Content" ObjectID="_1468075726" r:id="rId32">
                  <o:LockedField>false</o:LockedField>
                </o:OLEObject>
              </w:object>
            </w:r>
          </w:p>
          <w:p>
            <w:pPr>
              <w:adjustRightInd w:val="0"/>
              <w:snapToGrid w:val="0"/>
              <w:spacing w:line="336" w:lineRule="auto"/>
              <w:ind w:firstLine="48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式中：L</w:t>
            </w:r>
            <w:r>
              <w:rPr>
                <w:rFonts w:ascii="Times New Roman" w:hAnsi="Times New Roman"/>
                <w:color w:val="000000" w:themeColor="text1"/>
                <w:kern w:val="0"/>
                <w:sz w:val="24"/>
                <w:vertAlign w:val="subscript"/>
                <w14:textFill>
                  <w14:solidFill>
                    <w14:schemeClr w14:val="tx1"/>
                  </w14:solidFill>
                </w14:textFill>
              </w:rPr>
              <w:t>oct</w:t>
            </w:r>
            <w:r>
              <w:rPr>
                <w:rFonts w:ascii="Times New Roman" w:hAnsi="Times New Roman"/>
                <w:color w:val="000000" w:themeColor="text1"/>
                <w:kern w:val="0"/>
                <w:sz w:val="24"/>
                <w14:textFill>
                  <w14:solidFill>
                    <w14:schemeClr w14:val="tx1"/>
                  </w14:solidFill>
                </w14:textFill>
              </w:rPr>
              <w:t>（r）——点声源在预测点产生的倍频带声压级；</w:t>
            </w:r>
          </w:p>
          <w:p>
            <w:pPr>
              <w:adjustRightInd w:val="0"/>
              <w:snapToGrid w:val="0"/>
              <w:spacing w:line="336" w:lineRule="auto"/>
              <w:ind w:firstLine="48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 xml:space="preserve">          L</w:t>
            </w:r>
            <w:r>
              <w:rPr>
                <w:rFonts w:ascii="Times New Roman" w:hAnsi="Times New Roman"/>
                <w:color w:val="000000" w:themeColor="text1"/>
                <w:kern w:val="0"/>
                <w:sz w:val="24"/>
                <w:vertAlign w:val="subscript"/>
                <w14:textFill>
                  <w14:solidFill>
                    <w14:schemeClr w14:val="tx1"/>
                  </w14:solidFill>
                </w14:textFill>
              </w:rPr>
              <w:t>oct</w:t>
            </w:r>
            <w:r>
              <w:rPr>
                <w:rFonts w:ascii="Times New Roman" w:hAnsi="Times New Roman"/>
                <w:color w:val="000000" w:themeColor="text1"/>
                <w:kern w:val="0"/>
                <w:sz w:val="24"/>
                <w14:textFill>
                  <w14:solidFill>
                    <w14:schemeClr w14:val="tx1"/>
                  </w14:solidFill>
                </w14:textFill>
              </w:rPr>
              <w:t>（r</w:t>
            </w:r>
            <w:r>
              <w:rPr>
                <w:rFonts w:ascii="Times New Roman" w:hAnsi="Times New Roman"/>
                <w:color w:val="000000" w:themeColor="text1"/>
                <w:kern w:val="0"/>
                <w:sz w:val="24"/>
                <w:vertAlign w:val="subscript"/>
                <w14:textFill>
                  <w14:solidFill>
                    <w14:schemeClr w14:val="tx1"/>
                  </w14:solidFill>
                </w14:textFill>
              </w:rPr>
              <w:t>0</w:t>
            </w:r>
            <w:r>
              <w:rPr>
                <w:rFonts w:ascii="Times New Roman" w:hAnsi="Times New Roman"/>
                <w:color w:val="000000" w:themeColor="text1"/>
                <w:kern w:val="0"/>
                <w:sz w:val="24"/>
                <w14:textFill>
                  <w14:solidFill>
                    <w14:schemeClr w14:val="tx1"/>
                  </w14:solidFill>
                </w14:textFill>
              </w:rPr>
              <w:t>）——参考位置r</w:t>
            </w:r>
            <w:r>
              <w:rPr>
                <w:rFonts w:ascii="Times New Roman" w:hAnsi="Times New Roman"/>
                <w:color w:val="000000" w:themeColor="text1"/>
                <w:kern w:val="0"/>
                <w:sz w:val="24"/>
                <w:vertAlign w:val="subscript"/>
                <w14:textFill>
                  <w14:solidFill>
                    <w14:schemeClr w14:val="tx1"/>
                  </w14:solidFill>
                </w14:textFill>
              </w:rPr>
              <w:t>0</w:t>
            </w:r>
            <w:r>
              <w:rPr>
                <w:rFonts w:ascii="Times New Roman" w:hAnsi="Times New Roman"/>
                <w:color w:val="000000" w:themeColor="text1"/>
                <w:kern w:val="0"/>
                <w:sz w:val="24"/>
                <w14:textFill>
                  <w14:solidFill>
                    <w14:schemeClr w14:val="tx1"/>
                  </w14:solidFill>
                </w14:textFill>
              </w:rPr>
              <w:t>处的倍频带声压级；</w:t>
            </w:r>
          </w:p>
          <w:p>
            <w:pPr>
              <w:adjustRightInd w:val="0"/>
              <w:snapToGrid w:val="0"/>
              <w:spacing w:line="336" w:lineRule="auto"/>
              <w:ind w:firstLine="48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 xml:space="preserve">          r——预测点距声源的距离，m；</w:t>
            </w:r>
          </w:p>
          <w:p>
            <w:pPr>
              <w:adjustRightInd w:val="0"/>
              <w:snapToGrid w:val="0"/>
              <w:spacing w:line="336" w:lineRule="auto"/>
              <w:ind w:firstLine="1200" w:firstLineChars="500"/>
              <w:rPr>
                <w:rFonts w:ascii="Times New Roman" w:hAnsi="Times New Roman"/>
                <w:color w:val="000000" w:themeColor="text1"/>
                <w:sz w:val="24"/>
                <w:lang w:val="zh-CN"/>
                <w14:textFill>
                  <w14:solidFill>
                    <w14:schemeClr w14:val="tx1"/>
                  </w14:solidFill>
                </w14:textFill>
              </w:rPr>
            </w:pPr>
            <w:r>
              <w:rPr>
                <w:rFonts w:ascii="Times New Roman" w:hAnsi="Times New Roman"/>
                <w:color w:val="000000" w:themeColor="text1"/>
                <w:sz w:val="24"/>
                <w14:textFill>
                  <w14:solidFill>
                    <w14:schemeClr w14:val="tx1"/>
                  </w14:solidFill>
                </w14:textFill>
              </w:rPr>
              <w:t xml:space="preserve">    r</w:t>
            </w:r>
            <w:r>
              <w:rPr>
                <w:rFonts w:ascii="Times New Roman" w:hAnsi="Times New Roman"/>
                <w:color w:val="000000" w:themeColor="text1"/>
                <w:sz w:val="24"/>
                <w:vertAlign w:val="subscript"/>
                <w14:textFill>
                  <w14:solidFill>
                    <w14:schemeClr w14:val="tx1"/>
                  </w14:solidFill>
                </w14:textFill>
              </w:rPr>
              <w:t>0</w:t>
            </w:r>
            <w:r>
              <w:rPr>
                <w:rFonts w:ascii="Times New Roman" w:hAnsi="Times New Roman"/>
                <w:color w:val="000000" w:themeColor="text1"/>
                <w:sz w:val="24"/>
                <w14:textFill>
                  <w14:solidFill>
                    <w14:schemeClr w14:val="tx1"/>
                  </w14:solidFill>
                </w14:textFill>
              </w:rPr>
              <w:t>——参考位置距声源的距离，m</w:t>
            </w:r>
            <w:r>
              <w:rPr>
                <w:rFonts w:ascii="Times New Roman" w:hAnsi="Times New Roman"/>
                <w:color w:val="000000" w:themeColor="text1"/>
                <w:sz w:val="24"/>
                <w:lang w:val="zh-CN"/>
                <w14:textFill>
                  <w14:solidFill>
                    <w14:schemeClr w14:val="tx1"/>
                  </w14:solidFill>
                </w14:textFill>
              </w:rPr>
              <w:t>。</w:t>
            </w:r>
          </w:p>
          <w:p>
            <w:pPr>
              <w:adjustRightInd w:val="0"/>
              <w:snapToGrid w:val="0"/>
              <w:spacing w:line="336" w:lineRule="auto"/>
              <w:ind w:firstLine="480" w:firstLineChars="200"/>
              <w:rPr>
                <w:rFonts w:ascii="Times New Roman" w:hAnsi="Times New Roman"/>
                <w:color w:val="000000" w:themeColor="text1"/>
                <w:kern w:val="0"/>
                <w:sz w:val="24"/>
                <w14:textFill>
                  <w14:solidFill>
                    <w14:schemeClr w14:val="tx1"/>
                  </w14:solidFill>
                </w14:textFill>
              </w:rPr>
            </w:pPr>
            <w:r>
              <w:rPr>
                <w:rFonts w:hint="eastAsia" w:ascii="宋体" w:hAnsi="宋体" w:eastAsia="宋体" w:cs="宋体"/>
                <w:color w:val="000000" w:themeColor="text1"/>
                <w:kern w:val="0"/>
                <w:sz w:val="24"/>
                <w14:textFill>
                  <w14:solidFill>
                    <w14:schemeClr w14:val="tx1"/>
                  </w14:solidFill>
                </w14:textFill>
              </w:rPr>
              <w:t>③</w:t>
            </w:r>
            <w:r>
              <w:rPr>
                <w:rFonts w:ascii="Times New Roman" w:hAnsi="Times New Roman"/>
                <w:color w:val="000000" w:themeColor="text1"/>
                <w:kern w:val="0"/>
                <w:sz w:val="24"/>
                <w14:textFill>
                  <w14:solidFill>
                    <w14:schemeClr w14:val="tx1"/>
                  </w14:solidFill>
                </w14:textFill>
              </w:rPr>
              <w:t>噪声预测值计算公式</w:t>
            </w:r>
          </w:p>
          <w:p>
            <w:pPr>
              <w:adjustRightInd w:val="0"/>
              <w:snapToGrid w:val="0"/>
              <w:spacing w:line="336" w:lineRule="auto"/>
              <w:ind w:firstLine="480" w:firstLineChars="20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按声压级的定义合成的声压级：L</w:t>
            </w:r>
            <w:r>
              <w:rPr>
                <w:rFonts w:ascii="Times New Roman" w:hAnsi="Times New Roman"/>
                <w:color w:val="000000" w:themeColor="text1"/>
                <w:kern w:val="0"/>
                <w:sz w:val="24"/>
                <w:vertAlign w:val="subscript"/>
                <w14:textFill>
                  <w14:solidFill>
                    <w14:schemeClr w14:val="tx1"/>
                  </w14:solidFill>
                </w14:textFill>
              </w:rPr>
              <w:t>1+2</w:t>
            </w:r>
            <w:r>
              <w:rPr>
                <w:rFonts w:ascii="Times New Roman" w:hAnsi="Times New Roman"/>
                <w:color w:val="000000" w:themeColor="text1"/>
                <w:kern w:val="0"/>
                <w:sz w:val="24"/>
                <w14:textFill>
                  <w14:solidFill>
                    <w14:schemeClr w14:val="tx1"/>
                  </w14:solidFill>
                </w14:textFill>
              </w:rPr>
              <w:t>=10Lg（10</w:t>
            </w:r>
            <w:r>
              <w:rPr>
                <w:rFonts w:ascii="Times New Roman" w:hAnsi="Times New Roman"/>
                <w:color w:val="000000" w:themeColor="text1"/>
                <w:kern w:val="0"/>
                <w:sz w:val="24"/>
                <w:vertAlign w:val="superscript"/>
                <w14:textFill>
                  <w14:solidFill>
                    <w14:schemeClr w14:val="tx1"/>
                  </w14:solidFill>
                </w14:textFill>
              </w:rPr>
              <w:t>L1/10</w:t>
            </w:r>
            <w:r>
              <w:rPr>
                <w:rFonts w:ascii="Times New Roman" w:hAnsi="Times New Roman"/>
                <w:color w:val="000000" w:themeColor="text1"/>
                <w:kern w:val="0"/>
                <w:sz w:val="24"/>
                <w14:textFill>
                  <w14:solidFill>
                    <w14:schemeClr w14:val="tx1"/>
                  </w14:solidFill>
                </w14:textFill>
              </w:rPr>
              <w:t>+10</w:t>
            </w:r>
            <w:r>
              <w:rPr>
                <w:rFonts w:ascii="Times New Roman" w:hAnsi="Times New Roman"/>
                <w:color w:val="000000" w:themeColor="text1"/>
                <w:kern w:val="0"/>
                <w:sz w:val="24"/>
                <w:vertAlign w:val="superscript"/>
                <w14:textFill>
                  <w14:solidFill>
                    <w14:schemeClr w14:val="tx1"/>
                  </w14:solidFill>
                </w14:textFill>
              </w:rPr>
              <w:t>L2/10</w:t>
            </w:r>
            <w:r>
              <w:rPr>
                <w:rFonts w:ascii="Times New Roman" w:hAnsi="Times New Roman"/>
                <w:color w:val="000000" w:themeColor="text1"/>
                <w:kern w:val="0"/>
                <w:sz w:val="24"/>
                <w14:textFill>
                  <w14:solidFill>
                    <w14:schemeClr w14:val="tx1"/>
                  </w14:solidFill>
                </w14:textFill>
              </w:rPr>
              <w:t>）</w:t>
            </w:r>
          </w:p>
          <w:p>
            <w:pPr>
              <w:widowControl/>
              <w:adjustRightInd w:val="0"/>
              <w:snapToGrid w:val="0"/>
              <w:spacing w:line="336" w:lineRule="auto"/>
              <w:ind w:firstLine="480" w:firstLineChars="200"/>
              <w:jc w:val="left"/>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2）项目运营期噪声预测过程：</w:t>
            </w:r>
          </w:p>
          <w:p>
            <w:pPr>
              <w:widowControl/>
              <w:adjustRightInd w:val="0"/>
              <w:snapToGrid w:val="0"/>
              <w:spacing w:line="336" w:lineRule="auto"/>
              <w:ind w:firstLine="480" w:firstLineChars="200"/>
              <w:jc w:val="left"/>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根据《环境影响评价技术导则—声环境》（HJ2.4-2009），室内声源等效室外声源声功率级计算，如下图所示，声源位于室内，室内声源可采用等效室外声源声功率级法进行计算。设靠近开口处（或窗户）室内、室外某倍频带的声压级分别为LG1和LG2。若声源所在室内声场为近似扩散声场，则可按式1计算某一室内声源靠近围护结构处产生的倍频带声压级：</w:t>
            </w:r>
          </w:p>
          <w:p>
            <w:pPr>
              <w:widowControl/>
              <w:adjustRightInd w:val="0"/>
              <w:snapToGrid w:val="0"/>
              <w:spacing w:line="336" w:lineRule="auto"/>
              <w:ind w:firstLine="480" w:firstLineChars="200"/>
              <w:jc w:val="center"/>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LG2=LG1-（TL+6）……式1</w:t>
            </w:r>
          </w:p>
          <w:p>
            <w:pPr>
              <w:widowControl/>
              <w:adjustRightInd w:val="0"/>
              <w:snapToGrid w:val="0"/>
              <w:spacing w:line="336" w:lineRule="auto"/>
              <w:ind w:firstLine="480" w:firstLineChars="200"/>
              <w:jc w:val="left"/>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式中：TL—隔墙（或窗户）倍频带的隔声量，dB。</w:t>
            </w:r>
          </w:p>
          <w:p>
            <w:pPr>
              <w:autoSpaceDE w:val="0"/>
              <w:autoSpaceDN w:val="0"/>
              <w:ind w:firstLine="480"/>
              <w:jc w:val="center"/>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2276475" cy="1019810"/>
                  <wp:effectExtent l="0" t="0" r="0" b="0"/>
                  <wp:docPr id="2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7"/>
                          <pic:cNvPicPr>
                            <a:picLocks noChangeAspect="1" noChangeArrowheads="1"/>
                          </pic:cNvPicPr>
                        </pic:nvPicPr>
                        <pic:blipFill>
                          <a:blip r:embed="rId34">
                            <a:extLst>
                              <a:ext uri="{28A0092B-C50C-407E-A947-70E740481C1C}">
                                <a14:useLocalDpi xmlns:a14="http://schemas.microsoft.com/office/drawing/2010/main" val="0"/>
                              </a:ext>
                            </a:extLst>
                          </a:blip>
                          <a:srcRect t="7910" b="5977"/>
                          <a:stretch>
                            <a:fillRect/>
                          </a:stretch>
                        </pic:blipFill>
                        <pic:spPr>
                          <a:xfrm>
                            <a:off x="0" y="0"/>
                            <a:ext cx="2276475" cy="1019810"/>
                          </a:xfrm>
                          <a:prstGeom prst="rect">
                            <a:avLst/>
                          </a:prstGeom>
                          <a:noFill/>
                          <a:ln>
                            <a:noFill/>
                          </a:ln>
                        </pic:spPr>
                      </pic:pic>
                    </a:graphicData>
                  </a:graphic>
                </wp:inline>
              </w:drawing>
            </w:r>
          </w:p>
          <w:p>
            <w:pPr>
              <w:pStyle w:val="59"/>
              <w:numPr>
                <w:ilvl w:val="0"/>
                <w:numId w:val="11"/>
              </w:numPr>
              <w:ind w:left="0" w:firstLine="0" w:firstLineChars="0"/>
              <w:jc w:val="center"/>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室内声源等效为室外声源图例</w:t>
            </w:r>
          </w:p>
          <w:p>
            <w:pPr>
              <w:widowControl/>
              <w:adjustRightInd w:val="0"/>
              <w:snapToGrid w:val="0"/>
              <w:spacing w:line="336" w:lineRule="auto"/>
              <w:ind w:firstLine="480" w:firstLineChars="200"/>
              <w:rPr>
                <w:rFonts w:ascii="Times New Roman" w:hAnsi="Times New Roman"/>
                <w:color w:val="000000" w:themeColor="text1"/>
                <w:kern w:val="0"/>
                <w:sz w:val="24"/>
                <w14:textFill>
                  <w14:solidFill>
                    <w14:schemeClr w14:val="tx1"/>
                  </w14:solidFill>
                </w14:textFill>
              </w:rPr>
            </w:pPr>
          </w:p>
          <w:p>
            <w:pPr>
              <w:widowControl/>
              <w:adjustRightInd w:val="0"/>
              <w:snapToGrid w:val="0"/>
              <w:spacing w:line="336" w:lineRule="auto"/>
              <w:ind w:firstLine="480" w:firstLineChars="20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3）本项目主要噪声治理措施</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本项目噪声主要来自生产车间的设备噪声，其噪声级为75~80dB（A）。</w:t>
            </w:r>
            <w:r>
              <w:rPr>
                <w:rFonts w:ascii="Times New Roman" w:hAnsi="Times New Roman"/>
                <w:color w:val="000000" w:themeColor="text1"/>
                <w:kern w:val="0"/>
                <w:sz w:val="24"/>
                <w14:textFill>
                  <w14:solidFill>
                    <w14:schemeClr w14:val="tx1"/>
                  </w14:solidFill>
                </w14:textFill>
              </w:rPr>
              <w:t>为进一步减少本项目噪声环境影响，使项目厂界噪声达到《工业企业厂界环境噪声排放标准》（GB12348-2008）3类标准，建议本项目噪声治理具体措施如下：</w:t>
            </w:r>
          </w:p>
          <w:p>
            <w:pPr>
              <w:autoSpaceDE w:val="0"/>
              <w:autoSpaceDN w:val="0"/>
              <w:adjustRightInd w:val="0"/>
              <w:spacing w:line="360" w:lineRule="auto"/>
              <w:ind w:firstLine="480" w:firstLineChars="200"/>
              <w:jc w:val="left"/>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A）选用低噪声型设备，加强设备日常维护与保养，及时淘汰落后设备；</w:t>
            </w:r>
          </w:p>
          <w:p>
            <w:pPr>
              <w:autoSpaceDE w:val="0"/>
              <w:autoSpaceDN w:val="0"/>
              <w:adjustRightInd w:val="0"/>
              <w:spacing w:line="360" w:lineRule="auto"/>
              <w:ind w:firstLine="480" w:firstLineChars="200"/>
              <w:jc w:val="left"/>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B）对高噪声设备采取相应的隔声，减振和降噪等综合治理措施；</w:t>
            </w:r>
          </w:p>
          <w:p>
            <w:pPr>
              <w:widowControl/>
              <w:adjustRightInd w:val="0"/>
              <w:snapToGrid w:val="0"/>
              <w:spacing w:line="360" w:lineRule="auto"/>
              <w:ind w:firstLine="480" w:firstLineChars="200"/>
              <w:jc w:val="left"/>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C）合理布局噪声源，将高噪声源设于本项目车间中部，远离厂界。</w:t>
            </w:r>
          </w:p>
          <w:p>
            <w:pPr>
              <w:widowControl/>
              <w:adjustRightInd w:val="0"/>
              <w:snapToGrid w:val="0"/>
              <w:spacing w:line="360" w:lineRule="auto"/>
              <w:ind w:firstLine="480" w:firstLineChars="200"/>
              <w:jc w:val="left"/>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项目室内设备噪声隔声量由建筑物的墙、门、窗等综合而成，运营期间门窗紧闭，类似形成隔声间；同时对生产设备底座采取减振处理。根据刘惠玲主编《噪声控制技术》（2002年10月第1版），采用隔声间（室）技术措施，降噪效果可达20~40dB(A)；减振处理，降噪效果可达5~25dB(A)。本项目预测取40dB(A)。</w:t>
            </w:r>
          </w:p>
          <w:p>
            <w:pPr>
              <w:adjustRightInd w:val="0"/>
              <w:snapToGrid w:val="0"/>
              <w:spacing w:line="360" w:lineRule="auto"/>
              <w:ind w:left="48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4）预测结果与评价</w:t>
            </w:r>
          </w:p>
          <w:p>
            <w:pPr>
              <w:widowControl/>
              <w:adjustRightInd w:val="0"/>
              <w:snapToGrid w:val="0"/>
              <w:spacing w:line="360" w:lineRule="auto"/>
              <w:ind w:firstLine="480" w:firstLineChars="200"/>
              <w:jc w:val="left"/>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本项目设备主要分布于厂房内，按照噪声从室内向室外传播的计算方法，将各个室内噪声源分别等效为室外噪声源。</w:t>
            </w:r>
            <w:r>
              <w:rPr>
                <w:rFonts w:ascii="Times New Roman" w:hAnsi="Times New Roman"/>
                <w:color w:val="000000" w:themeColor="text1"/>
                <w:kern w:val="0"/>
                <w:sz w:val="24"/>
                <w:szCs w:val="20"/>
                <w14:textFill>
                  <w14:solidFill>
                    <w14:schemeClr w14:val="tx1"/>
                  </w14:solidFill>
                </w14:textFill>
              </w:rPr>
              <w:t>则厂界四周预测结果如下表：</w:t>
            </w: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 xml:space="preserve">项目厂界噪声贡献值  </w:t>
            </w:r>
            <w:r>
              <w:rPr>
                <w:color w:val="000000" w:themeColor="text1"/>
                <w:szCs w:val="16"/>
                <w14:textFill>
                  <w14:solidFill>
                    <w14:schemeClr w14:val="tx1"/>
                  </w14:solidFill>
                </w14:textFill>
              </w:rPr>
              <w:t>单位：dB</w:t>
            </w:r>
            <w:r>
              <w:rPr>
                <w:color w:val="000000" w:themeColor="text1"/>
                <w14:textFill>
                  <w14:solidFill>
                    <w14:schemeClr w14:val="tx1"/>
                  </w14:solidFill>
                </w14:textFill>
              </w:rPr>
              <w:t>(A)</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4"/>
              <w:gridCol w:w="2224"/>
              <w:gridCol w:w="2225"/>
              <w:gridCol w:w="2225"/>
              <w:gridCol w:w="2225"/>
              <w:gridCol w:w="1178"/>
              <w:gridCol w:w="10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2224" w:type="dxa"/>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厂界</w:t>
                  </w:r>
                </w:p>
              </w:tc>
              <w:tc>
                <w:tcPr>
                  <w:tcW w:w="2224" w:type="dxa"/>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时段</w:t>
                  </w:r>
                </w:p>
              </w:tc>
              <w:tc>
                <w:tcPr>
                  <w:tcW w:w="2225" w:type="dxa"/>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背景值</w:t>
                  </w:r>
                </w:p>
              </w:tc>
              <w:tc>
                <w:tcPr>
                  <w:tcW w:w="2225" w:type="dxa"/>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贡献值昼/夜间</w:t>
                  </w:r>
                </w:p>
              </w:tc>
              <w:tc>
                <w:tcPr>
                  <w:tcW w:w="2225" w:type="dxa"/>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预测值</w:t>
                  </w:r>
                </w:p>
              </w:tc>
              <w:tc>
                <w:tcPr>
                  <w:tcW w:w="2225" w:type="dxa"/>
                  <w:gridSpan w:val="2"/>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2224" w:type="dxa"/>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2224" w:type="dxa"/>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2225" w:type="dxa"/>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2225" w:type="dxa"/>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2225" w:type="dxa"/>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1178"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昼间</w:t>
                  </w:r>
                </w:p>
              </w:tc>
              <w:tc>
                <w:tcPr>
                  <w:tcW w:w="1047"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24"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北边边界外1m处</w:t>
                  </w:r>
                </w:p>
              </w:tc>
              <w:tc>
                <w:tcPr>
                  <w:tcW w:w="2224"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昼间</w:t>
                  </w:r>
                </w:p>
              </w:tc>
              <w:tc>
                <w:tcPr>
                  <w:tcW w:w="2225"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2225"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49.12</w:t>
                  </w:r>
                </w:p>
              </w:tc>
              <w:tc>
                <w:tcPr>
                  <w:tcW w:w="2225"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49.12</w:t>
                  </w:r>
                </w:p>
              </w:tc>
              <w:tc>
                <w:tcPr>
                  <w:tcW w:w="1178"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65</w:t>
                  </w:r>
                </w:p>
              </w:tc>
              <w:tc>
                <w:tcPr>
                  <w:tcW w:w="1047"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24"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东边边界外1m处</w:t>
                  </w:r>
                </w:p>
              </w:tc>
              <w:tc>
                <w:tcPr>
                  <w:tcW w:w="2224"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昼间</w:t>
                  </w:r>
                </w:p>
              </w:tc>
              <w:tc>
                <w:tcPr>
                  <w:tcW w:w="2225"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2225"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21.16</w:t>
                  </w:r>
                </w:p>
              </w:tc>
              <w:tc>
                <w:tcPr>
                  <w:tcW w:w="2225"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21.16</w:t>
                  </w:r>
                </w:p>
              </w:tc>
              <w:tc>
                <w:tcPr>
                  <w:tcW w:w="1178"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65</w:t>
                  </w:r>
                </w:p>
              </w:tc>
              <w:tc>
                <w:tcPr>
                  <w:tcW w:w="1047"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24"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南边边界外1m处</w:t>
                  </w:r>
                </w:p>
              </w:tc>
              <w:tc>
                <w:tcPr>
                  <w:tcW w:w="2224"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昼间</w:t>
                  </w:r>
                </w:p>
              </w:tc>
              <w:tc>
                <w:tcPr>
                  <w:tcW w:w="2225"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2225"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25.60</w:t>
                  </w:r>
                </w:p>
              </w:tc>
              <w:tc>
                <w:tcPr>
                  <w:tcW w:w="2225"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25.60</w:t>
                  </w:r>
                </w:p>
              </w:tc>
              <w:tc>
                <w:tcPr>
                  <w:tcW w:w="1178"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65</w:t>
                  </w:r>
                </w:p>
              </w:tc>
              <w:tc>
                <w:tcPr>
                  <w:tcW w:w="1047"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24"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西边边界外1m处</w:t>
                  </w:r>
                </w:p>
              </w:tc>
              <w:tc>
                <w:tcPr>
                  <w:tcW w:w="2224"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昼间</w:t>
                  </w:r>
                </w:p>
              </w:tc>
              <w:tc>
                <w:tcPr>
                  <w:tcW w:w="2225"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w:t>
                  </w:r>
                </w:p>
              </w:tc>
              <w:tc>
                <w:tcPr>
                  <w:tcW w:w="2225"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14.31</w:t>
                  </w:r>
                </w:p>
              </w:tc>
              <w:tc>
                <w:tcPr>
                  <w:tcW w:w="2225"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14.31</w:t>
                  </w:r>
                </w:p>
              </w:tc>
              <w:tc>
                <w:tcPr>
                  <w:tcW w:w="1178"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65</w:t>
                  </w:r>
                </w:p>
              </w:tc>
              <w:tc>
                <w:tcPr>
                  <w:tcW w:w="1047" w:type="dxa"/>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55</w:t>
                  </w:r>
                </w:p>
              </w:tc>
            </w:tr>
          </w:tbl>
          <w:p>
            <w:pPr>
              <w:spacing w:after="120"/>
              <w:jc w:val="left"/>
              <w:rPr>
                <w:rFonts w:ascii="Times New Roman" w:hAnsi="Times New Roman"/>
                <w:color w:val="000000" w:themeColor="text1"/>
                <w:szCs w:val="20"/>
                <w14:textFill>
                  <w14:solidFill>
                    <w14:schemeClr w14:val="tx1"/>
                  </w14:solidFill>
                </w14:textFill>
              </w:rPr>
            </w:pPr>
            <w:r>
              <w:rPr>
                <w:rFonts w:ascii="Times New Roman" w:hAnsi="Times New Roman"/>
                <w:color w:val="000000" w:themeColor="text1"/>
                <w:szCs w:val="20"/>
                <w14:textFill>
                  <w14:solidFill>
                    <w14:schemeClr w14:val="tx1"/>
                  </w14:solidFill>
                </w14:textFill>
              </w:rPr>
              <w:t>注：本项目夜间不运营。</w:t>
            </w:r>
          </w:p>
          <w:p>
            <w:pPr>
              <w:widowControl/>
              <w:spacing w:line="360" w:lineRule="auto"/>
              <w:ind w:firstLine="480" w:firstLineChars="200"/>
              <w:rPr>
                <w:rFonts w:ascii="Times New Roman" w:hAnsi="Times New Roman"/>
                <w:color w:val="000000" w:themeColor="text1"/>
                <w:sz w:val="24"/>
                <w:szCs w:val="16"/>
                <w14:textFill>
                  <w14:solidFill>
                    <w14:schemeClr w14:val="tx1"/>
                  </w14:solidFill>
                </w14:textFill>
              </w:rPr>
            </w:pPr>
            <w:r>
              <w:rPr>
                <w:rFonts w:ascii="Times New Roman" w:hAnsi="Times New Roman"/>
                <w:color w:val="000000" w:themeColor="text1"/>
                <w:sz w:val="24"/>
                <w:szCs w:val="16"/>
                <w14:textFill>
                  <w14:solidFill>
                    <w14:schemeClr w14:val="tx1"/>
                  </w14:solidFill>
                </w14:textFill>
              </w:rPr>
              <w:t>根据预测结果可知，经以上防护措施及墙体隔声和距离的自然衰减后，项目四周厂界均满足《工业企业厂界环境噪声排放标准》（GB12348-2008）中3类标准要求，不会对周围声环境成明显影响。</w:t>
            </w:r>
          </w:p>
          <w:p>
            <w:pPr>
              <w:widowControl/>
              <w:spacing w:line="360" w:lineRule="auto"/>
              <w:ind w:firstLine="480" w:firstLineChars="200"/>
              <w:rPr>
                <w:rFonts w:ascii="Times New Roman" w:hAnsi="Times New Roman"/>
                <w:color w:val="000000" w:themeColor="text1"/>
                <w:sz w:val="24"/>
                <w:szCs w:val="16"/>
                <w14:textFill>
                  <w14:solidFill>
                    <w14:schemeClr w14:val="tx1"/>
                  </w14:solidFill>
                </w14:textFill>
              </w:rPr>
            </w:pPr>
            <w:r>
              <w:rPr>
                <w:rFonts w:ascii="Times New Roman" w:hAnsi="Times New Roman"/>
                <w:color w:val="000000" w:themeColor="text1"/>
                <w:sz w:val="24"/>
                <w:szCs w:val="16"/>
                <w14:textFill>
                  <w14:solidFill>
                    <w14:schemeClr w14:val="tx1"/>
                  </w14:solidFill>
                </w14:textFill>
              </w:rPr>
              <w:t>（3）监测计划</w:t>
            </w:r>
          </w:p>
          <w:p>
            <w:pPr>
              <w:pStyle w:val="76"/>
              <w:numPr>
                <w:ilvl w:val="0"/>
                <w:numId w:val="10"/>
              </w:numPr>
              <w:ind w:left="0" w:firstLine="0"/>
              <w:rPr>
                <w:color w:val="000000" w:themeColor="text1"/>
                <w:szCs w:val="16"/>
                <w14:textFill>
                  <w14:solidFill>
                    <w14:schemeClr w14:val="tx1"/>
                  </w14:solidFill>
                </w14:textFill>
              </w:rPr>
            </w:pPr>
            <w:r>
              <w:rPr>
                <w:color w:val="000000" w:themeColor="text1"/>
                <w14:textFill>
                  <w14:solidFill>
                    <w14:schemeClr w14:val="tx1"/>
                  </w14:solidFill>
                </w14:textFill>
              </w:rPr>
              <w:t>项目噪声监测计划</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38"/>
              <w:gridCol w:w="3338"/>
              <w:gridCol w:w="3338"/>
              <w:gridCol w:w="3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50"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类别</w:t>
                  </w:r>
                </w:p>
              </w:tc>
              <w:tc>
                <w:tcPr>
                  <w:tcW w:w="1250"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监测点位</w:t>
                  </w:r>
                </w:p>
              </w:tc>
              <w:tc>
                <w:tcPr>
                  <w:tcW w:w="1250"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监测项目</w:t>
                  </w:r>
                </w:p>
              </w:tc>
              <w:tc>
                <w:tcPr>
                  <w:tcW w:w="1250"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50"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厂界噪声</w:t>
                  </w:r>
                </w:p>
              </w:tc>
              <w:tc>
                <w:tcPr>
                  <w:tcW w:w="1250"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厂界</w:t>
                  </w:r>
                </w:p>
              </w:tc>
              <w:tc>
                <w:tcPr>
                  <w:tcW w:w="1250"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等效连续A声级</w:t>
                  </w:r>
                </w:p>
              </w:tc>
              <w:tc>
                <w:tcPr>
                  <w:tcW w:w="1250" w:type="pc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1次/季</w:t>
                  </w:r>
                </w:p>
              </w:tc>
            </w:tr>
          </w:tbl>
          <w:p>
            <w:pPr>
              <w:rPr>
                <w:rFonts w:ascii="Times New Roman" w:hAnsi="Times New Roman"/>
                <w:color w:val="000000" w:themeColor="text1"/>
                <w14:textFill>
                  <w14:solidFill>
                    <w14:schemeClr w14:val="tx1"/>
                  </w14:solidFill>
                </w14:textFill>
              </w:rPr>
            </w:pPr>
          </w:p>
          <w:p>
            <w:pPr>
              <w:widowControl/>
              <w:spacing w:line="360" w:lineRule="auto"/>
              <w:ind w:firstLine="482" w:firstLineChars="200"/>
              <w:rPr>
                <w:rFonts w:ascii="Times New Roman" w:hAnsi="Times New Roman"/>
                <w:b/>
                <w:bCs/>
                <w:color w:val="000000" w:themeColor="text1"/>
                <w:kern w:val="0"/>
                <w:sz w:val="24"/>
                <w14:textFill>
                  <w14:solidFill>
                    <w14:schemeClr w14:val="tx1"/>
                  </w14:solidFill>
                </w14:textFill>
              </w:rPr>
            </w:pPr>
            <w:r>
              <w:rPr>
                <w:rFonts w:ascii="Times New Roman" w:hAnsi="Times New Roman"/>
                <w:b/>
                <w:bCs/>
                <w:color w:val="000000" w:themeColor="text1"/>
                <w:kern w:val="0"/>
                <w:sz w:val="24"/>
                <w14:textFill>
                  <w14:solidFill>
                    <w14:schemeClr w14:val="tx1"/>
                  </w14:solidFill>
                </w14:textFill>
              </w:rPr>
              <w:t>四、固体废物</w:t>
            </w:r>
          </w:p>
          <w:p>
            <w:pPr>
              <w:pStyle w:val="61"/>
              <w:ind w:firstLine="199" w:firstLineChars="83"/>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 xml:space="preserve"> （1）固体废物源强</w:t>
            </w:r>
          </w:p>
          <w:p>
            <w:pPr>
              <w:pStyle w:val="61"/>
              <w:ind w:firstLine="48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1）一般固废</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①</w:t>
            </w:r>
            <w:r>
              <w:rPr>
                <w:rFonts w:ascii="Times New Roman" w:hAnsi="Times New Roman"/>
                <w:color w:val="000000" w:themeColor="text1"/>
                <w:sz w:val="24"/>
                <w14:textFill>
                  <w14:solidFill>
                    <w14:schemeClr w14:val="tx1"/>
                  </w14:solidFill>
                </w14:textFill>
              </w:rPr>
              <w:t>药材杂质</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药材挑选的杂质产生量约为药材用量的1%~5%，产生量为1.497t/a，主要成分为砂石、树皮、根、叶等，成分及理化性质与生活垃圾性质接近，可与生活垃圾一起交由环卫部门处理。</w:t>
            </w:r>
          </w:p>
          <w:p>
            <w:pPr>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②</w:t>
            </w:r>
            <w:r>
              <w:rPr>
                <w:rFonts w:ascii="Times New Roman" w:hAnsi="Times New Roman"/>
                <w:color w:val="000000" w:themeColor="text1"/>
                <w:sz w:val="24"/>
                <w14:textFill>
                  <w14:solidFill>
                    <w14:schemeClr w14:val="tx1"/>
                  </w14:solidFill>
                </w14:textFill>
              </w:rPr>
              <w:t>药渣、滤渣、</w:t>
            </w:r>
            <w:r>
              <w:rPr>
                <w:rFonts w:ascii="Times New Roman" w:hAnsi="Times New Roman" w:eastAsia="宋体"/>
                <w:color w:val="000000" w:themeColor="text1"/>
                <w:sz w:val="24"/>
                <w14:textFill>
                  <w14:solidFill>
                    <w14:schemeClr w14:val="tx1"/>
                  </w14:solidFill>
                </w14:textFill>
              </w:rPr>
              <w:t>袋式除尘器收集粉尘</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中药提取过程会产生废药渣（含30%醇水或水）约357.98t/a，滤渣（含30%醇水）0.066t/a，袋式除尘器收集粉尘量为0.340t/a。项目在厂区污水站边上设40m</w:t>
            </w:r>
            <w:r>
              <w:rPr>
                <w:rFonts w:ascii="Times New Roman" w:hAnsi="Times New Roman"/>
                <w:color w:val="000000" w:themeColor="text1"/>
                <w:sz w:val="24"/>
                <w:vertAlign w:val="superscript"/>
                <w14:textFill>
                  <w14:solidFill>
                    <w14:schemeClr w14:val="tx1"/>
                  </w14:solidFill>
                </w14:textFill>
              </w:rPr>
              <w:t>3</w:t>
            </w:r>
            <w:r>
              <w:rPr>
                <w:rFonts w:ascii="Times New Roman" w:hAnsi="Times New Roman"/>
                <w:color w:val="000000" w:themeColor="text1"/>
                <w:sz w:val="24"/>
                <w14:textFill>
                  <w14:solidFill>
                    <w14:schemeClr w14:val="tx1"/>
                  </w14:solidFill>
                </w14:textFill>
              </w:rPr>
              <w:t>的药渣池，药渣日产日清</w:t>
            </w:r>
            <w:r>
              <w:rPr>
                <w:rFonts w:hint="eastAsia" w:ascii="Times New Roman" w:hAnsi="Times New Roman"/>
                <w:color w:val="000000" w:themeColor="text1"/>
                <w:sz w:val="24"/>
                <w14:textFill>
                  <w14:solidFill>
                    <w14:schemeClr w14:val="tx1"/>
                  </w14:solidFill>
                </w14:textFill>
              </w:rPr>
              <w:t>。</w:t>
            </w:r>
            <w:r>
              <w:rPr>
                <w:rFonts w:ascii="Times New Roman" w:hAnsi="Times New Roman"/>
                <w:color w:val="000000" w:themeColor="text1"/>
                <w:sz w:val="24"/>
                <w14:textFill>
                  <w14:solidFill>
                    <w14:schemeClr w14:val="tx1"/>
                  </w14:solidFill>
                </w14:textFill>
              </w:rPr>
              <w:t>药渣、滤渣、收集粉尘主要是植物残渣，主要成分为纤维素</w:t>
            </w:r>
            <w:r>
              <w:rPr>
                <w:rFonts w:hint="eastAsia" w:ascii="Times New Roman" w:hAnsi="Times New Roman"/>
                <w:color w:val="000000" w:themeColor="text1"/>
                <w:sz w:val="24"/>
                <w14:textFill>
                  <w14:solidFill>
                    <w14:schemeClr w14:val="tx1"/>
                  </w14:solidFill>
                </w14:textFill>
              </w:rPr>
              <w:t>，</w:t>
            </w:r>
            <w:r>
              <w:rPr>
                <w:rFonts w:ascii="Times New Roman" w:hAnsi="Times New Roman"/>
                <w:color w:val="000000" w:themeColor="text1"/>
                <w:sz w:val="24"/>
                <w14:textFill>
                  <w14:solidFill>
                    <w14:schemeClr w14:val="tx1"/>
                  </w14:solidFill>
                </w14:textFill>
              </w:rPr>
              <w:t>交由有机肥厂家综合利用。</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③</w:t>
            </w:r>
            <w:r>
              <w:rPr>
                <w:rFonts w:ascii="Times New Roman" w:hAnsi="Times New Roman"/>
                <w:color w:val="000000" w:themeColor="text1"/>
                <w:sz w:val="24"/>
                <w14:textFill>
                  <w14:solidFill>
                    <w14:schemeClr w14:val="tx1"/>
                  </w14:solidFill>
                </w14:textFill>
              </w:rPr>
              <w:t>废包装材料</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项目包装过程产生包装废弃物，主要包括包装纸箱、塑料袋等，产生量约1t/a。废包装材料中不沾有毒有害物质，收集后交由专业回收公司回收利用。</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④</w:t>
            </w:r>
            <w:r>
              <w:rPr>
                <w:rFonts w:ascii="Times New Roman" w:hAnsi="Times New Roman"/>
                <w:color w:val="000000" w:themeColor="text1"/>
                <w:sz w:val="24"/>
                <w14:textFill>
                  <w14:solidFill>
                    <w14:schemeClr w14:val="tx1"/>
                  </w14:solidFill>
                </w14:textFill>
              </w:rPr>
              <w:t>污水处理站污泥</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根据《污水处理厂污泥产生系数手册》中的表1中的“工业废水集中处理设施”核算公式：</w:t>
            </w:r>
          </w:p>
          <w:p>
            <w:pPr>
              <w:spacing w:line="360" w:lineRule="auto"/>
              <w:jc w:val="center"/>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S=k</w:t>
            </w:r>
            <w:r>
              <w:rPr>
                <w:rFonts w:ascii="Times New Roman" w:hAnsi="Times New Roman"/>
                <w:color w:val="000000" w:themeColor="text1"/>
                <w:sz w:val="24"/>
                <w:vertAlign w:val="subscript"/>
                <w14:textFill>
                  <w14:solidFill>
                    <w14:schemeClr w14:val="tx1"/>
                  </w14:solidFill>
                </w14:textFill>
              </w:rPr>
              <w:t>4</w:t>
            </w:r>
            <w:r>
              <w:rPr>
                <w:rFonts w:ascii="Times New Roman" w:hAnsi="Times New Roman"/>
                <w:color w:val="000000" w:themeColor="text1"/>
                <w:sz w:val="24"/>
                <w14:textFill>
                  <w14:solidFill>
                    <w14:schemeClr w14:val="tx1"/>
                  </w14:solidFill>
                </w14:textFill>
              </w:rPr>
              <w:t>Q+k</w:t>
            </w:r>
            <w:r>
              <w:rPr>
                <w:rFonts w:ascii="Times New Roman" w:hAnsi="Times New Roman"/>
                <w:color w:val="000000" w:themeColor="text1"/>
                <w:sz w:val="24"/>
                <w:vertAlign w:val="subscript"/>
                <w14:textFill>
                  <w14:solidFill>
                    <w14:schemeClr w14:val="tx1"/>
                  </w14:solidFill>
                </w14:textFill>
              </w:rPr>
              <w:t>3</w:t>
            </w:r>
            <w:r>
              <w:rPr>
                <w:rFonts w:ascii="Times New Roman" w:hAnsi="Times New Roman"/>
                <w:color w:val="000000" w:themeColor="text1"/>
                <w:sz w:val="24"/>
                <w14:textFill>
                  <w14:solidFill>
                    <w14:schemeClr w14:val="tx1"/>
                  </w14:solidFill>
                </w14:textFill>
              </w:rPr>
              <w:t>C</w:t>
            </w:r>
          </w:p>
          <w:p>
            <w:pPr>
              <w:spacing w:line="360" w:lineRule="auto"/>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式中：S：污水处理厂含水率80%的污泥产生量，吨/年；</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k3：城镇污水处理厂或工业废水集中处理设施的化学污泥产生系数，吨/吨—絮凝剂使用量，取值为4.53，见“第一分册”表4；</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k4：工业废水集中处理设施的物理与生化污泥综合产生系数，吨/万吨—废水处理量，取值为16.7，见“第一分册”表5；</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Q：污水厂的实际污（废）水处理量，万吨/年，本项目实际废水处理量为4110.298t/a；</w:t>
            </w: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C：污水厂的无机絮凝剂使用总量，吨/年。有机絮凝剂由于用量较少，对总的污泥产生量影响不大，本手册将其忽略不计。根据污水工程设计方案，本项目正常运营期间，无机絮凝剂PAC约0.1t/a。</w:t>
            </w:r>
          </w:p>
          <w:p>
            <w:pPr>
              <w:adjustRightInd w:val="0"/>
              <w:snapToGrid w:val="0"/>
              <w:spacing w:line="360" w:lineRule="auto"/>
              <w:ind w:firstLine="480" w:firstLineChars="200"/>
              <w:jc w:val="left"/>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经计算，</w:t>
            </w:r>
            <w:r>
              <w:rPr>
                <w:rFonts w:hint="eastAsia" w:ascii="Times New Roman" w:hAnsi="Times New Roman"/>
                <w:color w:val="000000" w:themeColor="text1"/>
                <w:sz w:val="24"/>
                <w14:textFill>
                  <w14:solidFill>
                    <w14:schemeClr w14:val="tx1"/>
                  </w14:solidFill>
                </w14:textFill>
              </w:rPr>
              <w:t>本项目污泥经压滤后（含水率＜60%）产生总量为5.52t/a。</w:t>
            </w:r>
            <w:r>
              <w:rPr>
                <w:rFonts w:ascii="Times New Roman" w:hAnsi="Times New Roman"/>
                <w:color w:val="000000" w:themeColor="text1"/>
                <w:sz w:val="24"/>
                <w14:textFill>
                  <w14:solidFill>
                    <w14:schemeClr w14:val="tx1"/>
                  </w14:solidFill>
                </w14:textFill>
              </w:rPr>
              <w:t>参照国家环境保护总局环境标准研究所《制药工业水污染排放标准 中药类——编制说明》（2007.9）中固体废物污染控制技术：污水处理站污泥运送生活垃圾堆放场堆放或处置。</w:t>
            </w:r>
            <w:r>
              <w:rPr>
                <w:rFonts w:hint="eastAsia" w:ascii="Times New Roman" w:hAnsi="Times New Roman"/>
                <w:color w:val="000000" w:themeColor="text1"/>
                <w:sz w:val="24"/>
                <w14:textFill>
                  <w14:solidFill>
                    <w14:schemeClr w14:val="tx1"/>
                  </w14:solidFill>
                </w14:textFill>
              </w:rPr>
              <w:t>根据《生活垃圾填埋场污染控制标准》（GB16889—2008）“厌氧产沼等生物处理后的固态残余物和生活污水处理厂污泥经处理后含水率小于60%，可进入生活垃圾填埋场填埋处理”。因此项目污泥经压滤后（含水率＜60%），可交由环卫部门进行填埋处理。</w:t>
            </w:r>
          </w:p>
          <w:p>
            <w:pPr>
              <w:adjustRightInd w:val="0"/>
              <w:snapToGrid w:val="0"/>
              <w:spacing w:line="360" w:lineRule="auto"/>
              <w:ind w:firstLine="480" w:firstLineChars="200"/>
              <w:jc w:val="left"/>
              <w:rPr>
                <w:color w:val="000000" w:themeColor="text1"/>
                <w14:textFill>
                  <w14:solidFill>
                    <w14:schemeClr w14:val="tx1"/>
                  </w14:solidFill>
                </w14:textFill>
              </w:rPr>
            </w:pPr>
            <w:r>
              <w:rPr>
                <w:rFonts w:ascii="Times New Roman" w:hAnsi="Times New Roman"/>
                <w:color w:val="000000" w:themeColor="text1"/>
                <w:sz w:val="24"/>
                <w14:textFill>
                  <w14:solidFill>
                    <w14:schemeClr w14:val="tx1"/>
                  </w14:solidFill>
                </w14:textFill>
              </w:rPr>
              <w:t>2）危险废物</w:t>
            </w:r>
          </w:p>
          <w:p>
            <w:pPr>
              <w:spacing w:line="360" w:lineRule="auto"/>
              <w:ind w:firstLine="480" w:firstLineChars="200"/>
              <w:rPr>
                <w:rFonts w:ascii="Times New Roman" w:hAnsi="Times New Roman"/>
                <w:bCs/>
                <w:color w:val="000000" w:themeColor="text1"/>
                <w:sz w:val="24"/>
                <w:lang w:val="zh-CN"/>
                <w14:textFill>
                  <w14:solidFill>
                    <w14:schemeClr w14:val="tx1"/>
                  </w14:solidFill>
                </w14:textFill>
              </w:rPr>
            </w:pPr>
            <w:r>
              <w:rPr>
                <w:rFonts w:ascii="Times New Roman" w:hAnsi="Times New Roman" w:eastAsia="宋体"/>
                <w:bCs/>
                <w:color w:val="000000" w:themeColor="text1"/>
                <w:sz w:val="24"/>
                <w14:textFill>
                  <w14:solidFill>
                    <w14:schemeClr w14:val="tx1"/>
                  </w14:solidFill>
                </w14:textFill>
              </w:rPr>
              <w:t>纯水制备需定期更换滤芯、软水制备定期更换树脂，产生废滤芯、废树脂，产生量分别为0.5t/a、0.02t/a，</w:t>
            </w:r>
            <w:r>
              <w:rPr>
                <w:rFonts w:ascii="Times New Roman" w:hAnsi="Times New Roman"/>
                <w:color w:val="000000" w:themeColor="text1"/>
                <w:sz w:val="24"/>
                <w14:textFill>
                  <w14:solidFill>
                    <w14:schemeClr w14:val="tx1"/>
                  </w14:solidFill>
                </w14:textFill>
              </w:rPr>
              <w:t>属于</w:t>
            </w:r>
            <w:r>
              <w:rPr>
                <w:rFonts w:ascii="Times New Roman" w:hAnsi="Times New Roman"/>
                <w:bCs/>
                <w:color w:val="000000" w:themeColor="text1"/>
                <w:sz w:val="24"/>
                <w14:textFill>
                  <w14:solidFill>
                    <w14:schemeClr w14:val="tx1"/>
                  </w14:solidFill>
                </w14:textFill>
              </w:rPr>
              <w:t>《国家危险废物名录》（2021年版）中危险废物（废物类别：HW49其他废物，废物代码：900-041-49），收集后交由具危险废物处理资质单位进行处置。</w:t>
            </w:r>
          </w:p>
          <w:p>
            <w:pPr>
              <w:spacing w:line="360" w:lineRule="auto"/>
              <w:ind w:firstLine="480" w:firstLineChars="200"/>
              <w:rPr>
                <w:rFonts w:ascii="Times New Roman" w:hAnsi="Times New Roman"/>
                <w:bCs/>
                <w:color w:val="000000" w:themeColor="text1"/>
                <w:sz w:val="24"/>
                <w14:textFill>
                  <w14:solidFill>
                    <w14:schemeClr w14:val="tx1"/>
                  </w14:solidFill>
                </w14:textFill>
              </w:rPr>
            </w:pPr>
            <w:r>
              <w:rPr>
                <w:rFonts w:ascii="Times New Roman" w:hAnsi="Times New Roman"/>
                <w:bCs/>
                <w:color w:val="000000" w:themeColor="text1"/>
                <w:sz w:val="24"/>
                <w14:textFill>
                  <w14:solidFill>
                    <w14:schemeClr w14:val="tx1"/>
                  </w14:solidFill>
                </w14:textFill>
              </w:rPr>
              <w:t>故项目危险废物的名称、数量、类别、形态、危险特性和污染防治措施等内容具体见下表：</w:t>
            </w: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项目危险废物汇总表</w:t>
            </w:r>
          </w:p>
          <w:tbl>
            <w:tblPr>
              <w:tblStyle w:val="19"/>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28" w:type="dxa"/>
                <w:bottom w:w="0" w:type="dxa"/>
                <w:right w:w="28" w:type="dxa"/>
              </w:tblCellMar>
            </w:tblPr>
            <w:tblGrid>
              <w:gridCol w:w="646"/>
              <w:gridCol w:w="1411"/>
              <w:gridCol w:w="1411"/>
              <w:gridCol w:w="1611"/>
              <w:gridCol w:w="1338"/>
              <w:gridCol w:w="1159"/>
              <w:gridCol w:w="761"/>
              <w:gridCol w:w="1133"/>
              <w:gridCol w:w="890"/>
              <w:gridCol w:w="938"/>
              <w:gridCol w:w="1157"/>
              <w:gridCol w:w="90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46" w:hRule="atLeast"/>
                <w:jc w:val="center"/>
              </w:trPr>
              <w:tc>
                <w:tcPr>
                  <w:tcW w:w="242"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序号</w:t>
                  </w:r>
                </w:p>
              </w:tc>
              <w:tc>
                <w:tcPr>
                  <w:tcW w:w="528"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危险废物名称</w:t>
                  </w:r>
                </w:p>
              </w:tc>
              <w:tc>
                <w:tcPr>
                  <w:tcW w:w="528"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危险废物类别</w:t>
                  </w:r>
                </w:p>
              </w:tc>
              <w:tc>
                <w:tcPr>
                  <w:tcW w:w="603"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危险废物代码</w:t>
                  </w:r>
                </w:p>
              </w:tc>
              <w:tc>
                <w:tcPr>
                  <w:tcW w:w="501"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产生量（t/a）</w:t>
                  </w:r>
                </w:p>
              </w:tc>
              <w:tc>
                <w:tcPr>
                  <w:tcW w:w="434"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产生工序及装置</w:t>
                  </w:r>
                </w:p>
              </w:tc>
              <w:tc>
                <w:tcPr>
                  <w:tcW w:w="285"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形态</w:t>
                  </w:r>
                </w:p>
              </w:tc>
              <w:tc>
                <w:tcPr>
                  <w:tcW w:w="424"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主要成分</w:t>
                  </w:r>
                </w:p>
              </w:tc>
              <w:tc>
                <w:tcPr>
                  <w:tcW w:w="333"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有害成分</w:t>
                  </w:r>
                </w:p>
              </w:tc>
              <w:tc>
                <w:tcPr>
                  <w:tcW w:w="351"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产废周期</w:t>
                  </w:r>
                </w:p>
              </w:tc>
              <w:tc>
                <w:tcPr>
                  <w:tcW w:w="433"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危险</w:t>
                  </w:r>
                </w:p>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特性</w:t>
                  </w:r>
                </w:p>
              </w:tc>
              <w:tc>
                <w:tcPr>
                  <w:tcW w:w="338"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污染防治措施</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54" w:hRule="atLeast"/>
                <w:jc w:val="center"/>
              </w:trPr>
              <w:tc>
                <w:tcPr>
                  <w:tcW w:w="242" w:type="pct"/>
                  <w:vAlign w:val="center"/>
                </w:tcPr>
                <w:p>
                  <w:pPr>
                    <w:topLinePunct/>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w:t>
                  </w:r>
                </w:p>
              </w:tc>
              <w:tc>
                <w:tcPr>
                  <w:tcW w:w="528"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废滤芯</w:t>
                  </w:r>
                </w:p>
              </w:tc>
              <w:tc>
                <w:tcPr>
                  <w:tcW w:w="528"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HW49</w:t>
                  </w:r>
                </w:p>
              </w:tc>
              <w:tc>
                <w:tcPr>
                  <w:tcW w:w="603"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bCs/>
                      <w:color w:val="000000" w:themeColor="text1"/>
                      <w14:textFill>
                        <w14:solidFill>
                          <w14:schemeClr w14:val="tx1"/>
                        </w14:solidFill>
                      </w14:textFill>
                    </w:rPr>
                    <w:t>900-041-49</w:t>
                  </w:r>
                </w:p>
              </w:tc>
              <w:tc>
                <w:tcPr>
                  <w:tcW w:w="501" w:type="pct"/>
                  <w:tcBorders>
                    <w:bottom w:val="single" w:color="auto" w:sz="4" w:space="0"/>
                  </w:tcBorders>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0.5</w:t>
                  </w:r>
                </w:p>
              </w:tc>
              <w:tc>
                <w:tcPr>
                  <w:tcW w:w="434" w:type="pct"/>
                  <w:tcBorders>
                    <w:bottom w:val="single" w:color="auto" w:sz="4" w:space="0"/>
                  </w:tcBorders>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纯水制备</w:t>
                  </w:r>
                </w:p>
              </w:tc>
              <w:tc>
                <w:tcPr>
                  <w:tcW w:w="285" w:type="pct"/>
                  <w:tcBorders>
                    <w:bottom w:val="single" w:color="auto" w:sz="4" w:space="0"/>
                  </w:tcBorders>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固体</w:t>
                  </w:r>
                </w:p>
              </w:tc>
              <w:tc>
                <w:tcPr>
                  <w:tcW w:w="424" w:type="pct"/>
                  <w:tcBorders>
                    <w:bottom w:val="single" w:color="auto" w:sz="4" w:space="0"/>
                  </w:tcBorders>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含活性炭、渗透膜</w:t>
                  </w:r>
                </w:p>
              </w:tc>
              <w:tc>
                <w:tcPr>
                  <w:tcW w:w="333" w:type="pct"/>
                  <w:tcBorders>
                    <w:bottom w:val="single" w:color="auto" w:sz="4" w:space="0"/>
                  </w:tcBorders>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活性炭、渗透膜</w:t>
                  </w:r>
                </w:p>
              </w:tc>
              <w:tc>
                <w:tcPr>
                  <w:tcW w:w="351" w:type="pct"/>
                  <w:tcBorders>
                    <w:bottom w:val="single" w:color="auto" w:sz="4" w:space="0"/>
                  </w:tcBorders>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一季度</w:t>
                  </w:r>
                </w:p>
              </w:tc>
              <w:tc>
                <w:tcPr>
                  <w:tcW w:w="433" w:type="pct"/>
                  <w:tcBorders>
                    <w:bottom w:val="single" w:color="auto" w:sz="4" w:space="0"/>
                  </w:tcBorders>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T/In</w:t>
                  </w:r>
                </w:p>
              </w:tc>
              <w:tc>
                <w:tcPr>
                  <w:tcW w:w="338" w:type="pct"/>
                  <w:vMerge w:val="restar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具危废资质单位处置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54" w:hRule="atLeast"/>
                <w:jc w:val="center"/>
              </w:trPr>
              <w:tc>
                <w:tcPr>
                  <w:tcW w:w="242" w:type="pct"/>
                  <w:vAlign w:val="center"/>
                </w:tcPr>
                <w:p>
                  <w:pPr>
                    <w:topLinePunct/>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w:t>
                  </w:r>
                </w:p>
              </w:tc>
              <w:tc>
                <w:tcPr>
                  <w:tcW w:w="528"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废树脂</w:t>
                  </w:r>
                </w:p>
              </w:tc>
              <w:tc>
                <w:tcPr>
                  <w:tcW w:w="528"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HW49</w:t>
                  </w:r>
                </w:p>
              </w:tc>
              <w:tc>
                <w:tcPr>
                  <w:tcW w:w="603" w:type="pct"/>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bCs/>
                      <w:color w:val="000000" w:themeColor="text1"/>
                      <w14:textFill>
                        <w14:solidFill>
                          <w14:schemeClr w14:val="tx1"/>
                        </w14:solidFill>
                      </w14:textFill>
                    </w:rPr>
                    <w:t>900-041-49</w:t>
                  </w:r>
                </w:p>
              </w:tc>
              <w:tc>
                <w:tcPr>
                  <w:tcW w:w="501" w:type="pct"/>
                  <w:tcBorders>
                    <w:top w:val="single" w:color="auto" w:sz="4" w:space="0"/>
                    <w:bottom w:val="single" w:color="auto" w:sz="4" w:space="0"/>
                  </w:tcBorders>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0.02</w:t>
                  </w:r>
                </w:p>
              </w:tc>
              <w:tc>
                <w:tcPr>
                  <w:tcW w:w="434" w:type="pct"/>
                  <w:tcBorders>
                    <w:top w:val="single" w:color="auto" w:sz="4" w:space="0"/>
                  </w:tcBorders>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软水制备</w:t>
                  </w:r>
                </w:p>
              </w:tc>
              <w:tc>
                <w:tcPr>
                  <w:tcW w:w="285" w:type="pct"/>
                  <w:tcBorders>
                    <w:top w:val="single" w:color="auto" w:sz="4" w:space="0"/>
                    <w:bottom w:val="single" w:color="auto" w:sz="4" w:space="0"/>
                  </w:tcBorders>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固体</w:t>
                  </w:r>
                </w:p>
              </w:tc>
              <w:tc>
                <w:tcPr>
                  <w:tcW w:w="424" w:type="pct"/>
                  <w:tcBorders>
                    <w:top w:val="single" w:color="auto" w:sz="4" w:space="0"/>
                    <w:bottom w:val="single" w:color="auto" w:sz="4" w:space="0"/>
                  </w:tcBorders>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含树脂</w:t>
                  </w:r>
                </w:p>
              </w:tc>
              <w:tc>
                <w:tcPr>
                  <w:tcW w:w="333" w:type="pct"/>
                  <w:tcBorders>
                    <w:top w:val="single" w:color="auto" w:sz="4" w:space="0"/>
                    <w:bottom w:val="single" w:color="auto" w:sz="4" w:space="0"/>
                  </w:tcBorders>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树脂</w:t>
                  </w:r>
                </w:p>
              </w:tc>
              <w:tc>
                <w:tcPr>
                  <w:tcW w:w="351" w:type="pct"/>
                  <w:tcBorders>
                    <w:top w:val="single" w:color="auto" w:sz="4" w:space="0"/>
                    <w:bottom w:val="single" w:color="auto" w:sz="4" w:space="0"/>
                  </w:tcBorders>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一季度</w:t>
                  </w:r>
                </w:p>
              </w:tc>
              <w:tc>
                <w:tcPr>
                  <w:tcW w:w="433" w:type="pct"/>
                  <w:tcBorders>
                    <w:top w:val="single" w:color="auto" w:sz="4" w:space="0"/>
                    <w:bottom w:val="single" w:color="auto" w:sz="4" w:space="0"/>
                  </w:tcBorders>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T/In</w:t>
                  </w:r>
                </w:p>
              </w:tc>
              <w:tc>
                <w:tcPr>
                  <w:tcW w:w="338" w:type="pct"/>
                  <w:vMerge w:val="continue"/>
                  <w:vAlign w:val="center"/>
                </w:tcPr>
                <w:p>
                  <w:pPr>
                    <w:topLinePunct/>
                    <w:adjustRightInd w:val="0"/>
                    <w:snapToGrid w:val="0"/>
                    <w:jc w:val="center"/>
                    <w:rPr>
                      <w:rFonts w:ascii="Times New Roman" w:hAnsi="Times New Roman"/>
                      <w:color w:val="000000" w:themeColor="text1"/>
                      <w:kern w:val="0"/>
                      <w:szCs w:val="21"/>
                      <w14:textFill>
                        <w14:solidFill>
                          <w14:schemeClr w14:val="tx1"/>
                        </w14:solidFill>
                      </w14:textFill>
                    </w:rPr>
                  </w:pPr>
                </w:p>
              </w:tc>
            </w:tr>
          </w:tbl>
          <w:p>
            <w:pPr>
              <w:pStyle w:val="66"/>
              <w:jc w:val="left"/>
              <w:rPr>
                <w:color w:val="000000" w:themeColor="text1"/>
                <w14:textFill>
                  <w14:solidFill>
                    <w14:schemeClr w14:val="tx1"/>
                  </w14:solidFill>
                </w14:textFill>
              </w:rPr>
            </w:pPr>
            <w:r>
              <w:rPr>
                <w:color w:val="000000" w:themeColor="text1"/>
                <w14:textFill>
                  <w14:solidFill>
                    <w14:schemeClr w14:val="tx1"/>
                  </w14:solidFill>
                </w14:textFill>
              </w:rPr>
              <w:t>备注：T毒性；In感染性。</w:t>
            </w:r>
          </w:p>
          <w:p>
            <w:pPr>
              <w:spacing w:line="360" w:lineRule="auto"/>
              <w:ind w:firstLine="480" w:firstLineChars="200"/>
              <w:rPr>
                <w:rFonts w:ascii="Times New Roman" w:hAnsi="Times New Roman"/>
                <w:color w:val="000000" w:themeColor="text1"/>
                <w:sz w:val="24"/>
                <w14:textFill>
                  <w14:solidFill>
                    <w14:schemeClr w14:val="tx1"/>
                  </w14:solidFill>
                </w14:textFill>
              </w:rPr>
            </w:pPr>
          </w:p>
          <w:p>
            <w:pPr>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3）生活垃圾</w:t>
            </w:r>
          </w:p>
          <w:p>
            <w:pPr>
              <w:adjustRightInd w:val="0"/>
              <w:snapToGrid w:val="0"/>
              <w:spacing w:line="360" w:lineRule="auto"/>
              <w:ind w:firstLine="480" w:firstLineChars="200"/>
              <w:jc w:val="left"/>
              <w:rPr>
                <w:rFonts w:ascii="Times New Roman" w:hAnsi="Times New Roman"/>
                <w:color w:val="000000" w:themeColor="text1"/>
                <w:sz w:val="24"/>
                <w:lang w:val="zh-CN"/>
                <w14:textFill>
                  <w14:solidFill>
                    <w14:schemeClr w14:val="tx1"/>
                  </w14:solidFill>
                </w14:textFill>
              </w:rPr>
            </w:pPr>
            <w:r>
              <w:rPr>
                <w:rFonts w:ascii="Times New Roman" w:hAnsi="Times New Roman"/>
                <w:color w:val="000000" w:themeColor="text1"/>
                <w:sz w:val="24"/>
                <w14:textFill>
                  <w14:solidFill>
                    <w14:schemeClr w14:val="tx1"/>
                  </w14:solidFill>
                </w14:textFill>
              </w:rPr>
              <w:t>本项目劳动定员为16人，生活垃圾系数按每人每天产生生活垃圾0.5kg计，年工作260天，则员工生活垃圾的产量为2.08t/a（8kg/d）。</w:t>
            </w:r>
            <w:r>
              <w:rPr>
                <w:rFonts w:ascii="Times New Roman" w:hAnsi="Times New Roman"/>
                <w:color w:val="000000" w:themeColor="text1"/>
                <w:sz w:val="24"/>
                <w:lang w:val="zh-CN"/>
                <w14:textFill>
                  <w14:solidFill>
                    <w14:schemeClr w14:val="tx1"/>
                  </w14:solidFill>
                </w14:textFill>
              </w:rPr>
              <w:t>建议项目设置垃圾分类收集容器，对垃圾进行分类收集。生活垃圾中可回收物投放至可回收物收集容器；其他不可回收垃圾投放至其他垃圾收集容器，由环卫部门统一收集清运。</w:t>
            </w: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本项目固废一览表</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1311"/>
              <w:gridCol w:w="2182"/>
              <w:gridCol w:w="1528"/>
              <w:gridCol w:w="1210"/>
              <w:gridCol w:w="4788"/>
              <w:gridCol w:w="1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47" w:type="pct"/>
                </w:tcPr>
                <w:p>
                  <w:pPr>
                    <w:widowControl/>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序号</w:t>
                  </w:r>
                </w:p>
              </w:tc>
              <w:tc>
                <w:tcPr>
                  <w:tcW w:w="491" w:type="pct"/>
                  <w:shd w:val="clear" w:color="auto" w:fill="auto"/>
                  <w:vAlign w:val="center"/>
                </w:tcPr>
                <w:p>
                  <w:pPr>
                    <w:widowControl/>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来源</w:t>
                  </w:r>
                </w:p>
              </w:tc>
              <w:tc>
                <w:tcPr>
                  <w:tcW w:w="817" w:type="pct"/>
                  <w:shd w:val="clear" w:color="auto" w:fill="auto"/>
                  <w:vAlign w:val="center"/>
                </w:tcPr>
                <w:p>
                  <w:pPr>
                    <w:widowControl/>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名称</w:t>
                  </w:r>
                </w:p>
              </w:tc>
              <w:tc>
                <w:tcPr>
                  <w:tcW w:w="572" w:type="pct"/>
                  <w:vAlign w:val="center"/>
                </w:tcPr>
                <w:p>
                  <w:pPr>
                    <w:widowControl/>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属性</w:t>
                  </w:r>
                </w:p>
              </w:tc>
              <w:tc>
                <w:tcPr>
                  <w:tcW w:w="453" w:type="pct"/>
                  <w:shd w:val="clear" w:color="auto" w:fill="auto"/>
                  <w:vAlign w:val="center"/>
                </w:tcPr>
                <w:p>
                  <w:pPr>
                    <w:widowControl/>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产生量t/a</w:t>
                  </w:r>
                </w:p>
              </w:tc>
              <w:tc>
                <w:tcPr>
                  <w:tcW w:w="1793" w:type="pct"/>
                  <w:shd w:val="clear" w:color="auto" w:fill="auto"/>
                  <w:vAlign w:val="center"/>
                </w:tcPr>
                <w:p>
                  <w:pPr>
                    <w:widowControl/>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处理措施</w:t>
                  </w:r>
                </w:p>
              </w:tc>
              <w:tc>
                <w:tcPr>
                  <w:tcW w:w="627" w:type="pct"/>
                  <w:shd w:val="clear" w:color="auto" w:fill="auto"/>
                  <w:vAlign w:val="center"/>
                </w:tcPr>
                <w:p>
                  <w:pPr>
                    <w:widowControl/>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247"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1</w:t>
                  </w:r>
                </w:p>
              </w:tc>
              <w:tc>
                <w:tcPr>
                  <w:tcW w:w="491" w:type="pct"/>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过滤工序</w:t>
                  </w:r>
                </w:p>
              </w:tc>
              <w:tc>
                <w:tcPr>
                  <w:tcW w:w="817"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药渣、滤渣</w:t>
                  </w:r>
                </w:p>
              </w:tc>
              <w:tc>
                <w:tcPr>
                  <w:tcW w:w="572" w:type="pct"/>
                  <w:vMerge w:val="restart"/>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一般固废</w:t>
                  </w:r>
                </w:p>
              </w:tc>
              <w:tc>
                <w:tcPr>
                  <w:tcW w:w="453"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358.046</w:t>
                  </w:r>
                </w:p>
              </w:tc>
              <w:tc>
                <w:tcPr>
                  <w:tcW w:w="1793"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 w:val="24"/>
                      <w14:textFill>
                        <w14:solidFill>
                          <w14:schemeClr w14:val="tx1"/>
                        </w14:solidFill>
                      </w14:textFill>
                    </w:rPr>
                    <w:t>交由有机肥厂家综合利用</w:t>
                  </w:r>
                  <w:r>
                    <w:rPr>
                      <w:rFonts w:ascii="Times New Roman" w:hAnsi="Times New Roman"/>
                      <w:color w:val="000000" w:themeColor="text1"/>
                      <w:kern w:val="0"/>
                      <w:szCs w:val="21"/>
                      <w14:textFill>
                        <w14:solidFill>
                          <w14:schemeClr w14:val="tx1"/>
                        </w14:solidFill>
                      </w14:textFill>
                    </w:rPr>
                    <w:t>（358.386t/a）</w:t>
                  </w:r>
                </w:p>
              </w:tc>
              <w:tc>
                <w:tcPr>
                  <w:tcW w:w="627"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247"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2</w:t>
                  </w:r>
                </w:p>
              </w:tc>
              <w:tc>
                <w:tcPr>
                  <w:tcW w:w="491" w:type="pct"/>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袋式除尘器</w:t>
                  </w:r>
                </w:p>
              </w:tc>
              <w:tc>
                <w:tcPr>
                  <w:tcW w:w="817"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收集粉尘</w:t>
                  </w:r>
                </w:p>
              </w:tc>
              <w:tc>
                <w:tcPr>
                  <w:tcW w:w="572" w:type="pct"/>
                  <w:vMerge w:val="continue"/>
                  <w:vAlign w:val="center"/>
                </w:tcPr>
                <w:p>
                  <w:pPr>
                    <w:jc w:val="center"/>
                    <w:rPr>
                      <w:rFonts w:ascii="Times New Roman" w:hAnsi="Times New Roman"/>
                      <w:color w:val="000000" w:themeColor="text1"/>
                      <w:kern w:val="0"/>
                      <w:szCs w:val="21"/>
                      <w14:textFill>
                        <w14:solidFill>
                          <w14:schemeClr w14:val="tx1"/>
                        </w14:solidFill>
                      </w14:textFill>
                    </w:rPr>
                  </w:pPr>
                </w:p>
              </w:tc>
              <w:tc>
                <w:tcPr>
                  <w:tcW w:w="453"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0.340</w:t>
                  </w:r>
                </w:p>
              </w:tc>
              <w:tc>
                <w:tcPr>
                  <w:tcW w:w="1793"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627" w:type="pct"/>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247"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3</w:t>
                  </w:r>
                </w:p>
              </w:tc>
              <w:tc>
                <w:tcPr>
                  <w:tcW w:w="491" w:type="pct"/>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包装工序</w:t>
                  </w:r>
                </w:p>
              </w:tc>
              <w:tc>
                <w:tcPr>
                  <w:tcW w:w="817"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包装废物</w:t>
                  </w:r>
                </w:p>
              </w:tc>
              <w:tc>
                <w:tcPr>
                  <w:tcW w:w="572" w:type="pct"/>
                  <w:vMerge w:val="continue"/>
                  <w:vAlign w:val="center"/>
                </w:tcPr>
                <w:p>
                  <w:pPr>
                    <w:widowControl/>
                    <w:jc w:val="center"/>
                    <w:rPr>
                      <w:rFonts w:ascii="Times New Roman" w:hAnsi="Times New Roman"/>
                      <w:color w:val="000000" w:themeColor="text1"/>
                      <w:kern w:val="0"/>
                      <w:szCs w:val="21"/>
                      <w14:textFill>
                        <w14:solidFill>
                          <w14:schemeClr w14:val="tx1"/>
                        </w14:solidFill>
                      </w14:textFill>
                    </w:rPr>
                  </w:pPr>
                </w:p>
              </w:tc>
              <w:tc>
                <w:tcPr>
                  <w:tcW w:w="453"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0.1</w:t>
                  </w:r>
                </w:p>
              </w:tc>
              <w:tc>
                <w:tcPr>
                  <w:tcW w:w="1793" w:type="pct"/>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由</w:t>
                  </w:r>
                  <w:r>
                    <w:rPr>
                      <w:rFonts w:ascii="Times New Roman" w:hAnsi="Times New Roman"/>
                      <w:color w:val="000000" w:themeColor="text1"/>
                      <w:spacing w:val="-1"/>
                      <w:position w:val="-1"/>
                      <w14:textFill>
                        <w14:solidFill>
                          <w14:schemeClr w14:val="tx1"/>
                        </w14:solidFill>
                      </w14:textFill>
                    </w:rPr>
                    <w:t>专业回收公司回收</w:t>
                  </w:r>
                  <w:r>
                    <w:rPr>
                      <w:rFonts w:ascii="Times New Roman" w:hAnsi="Times New Roman"/>
                      <w:color w:val="000000" w:themeColor="text1"/>
                      <w:szCs w:val="21"/>
                      <w14:textFill>
                        <w14:solidFill>
                          <w14:schemeClr w14:val="tx1"/>
                        </w14:solidFill>
                      </w14:textFill>
                    </w:rPr>
                    <w:t>利用</w:t>
                  </w:r>
                  <w:r>
                    <w:rPr>
                      <w:rFonts w:ascii="Times New Roman" w:hAnsi="Times New Roman"/>
                      <w:color w:val="000000" w:themeColor="text1"/>
                      <w:kern w:val="0"/>
                      <w:szCs w:val="21"/>
                      <w14:textFill>
                        <w14:solidFill>
                          <w14:schemeClr w14:val="tx1"/>
                        </w14:solidFill>
                      </w14:textFill>
                    </w:rPr>
                    <w:t>（0.1t/a）</w:t>
                  </w:r>
                </w:p>
              </w:tc>
              <w:tc>
                <w:tcPr>
                  <w:tcW w:w="627"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247"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4</w:t>
                  </w:r>
                </w:p>
              </w:tc>
              <w:tc>
                <w:tcPr>
                  <w:tcW w:w="491" w:type="pct"/>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挑选工序</w:t>
                  </w:r>
                </w:p>
              </w:tc>
              <w:tc>
                <w:tcPr>
                  <w:tcW w:w="817"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药材杂质</w:t>
                  </w:r>
                </w:p>
              </w:tc>
              <w:tc>
                <w:tcPr>
                  <w:tcW w:w="572" w:type="pct"/>
                  <w:vMerge w:val="continue"/>
                  <w:vAlign w:val="center"/>
                </w:tcPr>
                <w:p>
                  <w:pPr>
                    <w:widowControl/>
                    <w:jc w:val="center"/>
                    <w:rPr>
                      <w:rFonts w:ascii="Times New Roman" w:hAnsi="Times New Roman"/>
                      <w:color w:val="000000" w:themeColor="text1"/>
                      <w:kern w:val="0"/>
                      <w:szCs w:val="21"/>
                      <w14:textFill>
                        <w14:solidFill>
                          <w14:schemeClr w14:val="tx1"/>
                        </w14:solidFill>
                      </w14:textFill>
                    </w:rPr>
                  </w:pPr>
                </w:p>
              </w:tc>
              <w:tc>
                <w:tcPr>
                  <w:tcW w:w="453"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1.497</w:t>
                  </w:r>
                </w:p>
              </w:tc>
              <w:tc>
                <w:tcPr>
                  <w:tcW w:w="1793"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由环卫部门统一处理</w:t>
                  </w:r>
                  <w:r>
                    <w:rPr>
                      <w:rFonts w:ascii="Times New Roman" w:hAnsi="Times New Roman"/>
                      <w:color w:val="000000" w:themeColor="text1"/>
                      <w:kern w:val="0"/>
                      <w:szCs w:val="21"/>
                      <w14:textFill>
                        <w14:solidFill>
                          <w14:schemeClr w14:val="tx1"/>
                        </w14:solidFill>
                      </w14:textFill>
                    </w:rPr>
                    <w:t>（</w:t>
                  </w:r>
                  <w:r>
                    <w:rPr>
                      <w:rFonts w:hint="eastAsia" w:ascii="Times New Roman" w:hAnsi="Times New Roman"/>
                      <w:color w:val="000000" w:themeColor="text1"/>
                      <w:kern w:val="0"/>
                      <w:szCs w:val="21"/>
                      <w14:textFill>
                        <w14:solidFill>
                          <w14:schemeClr w14:val="tx1"/>
                        </w14:solidFill>
                      </w14:textFill>
                    </w:rPr>
                    <w:t>9.097</w:t>
                  </w:r>
                  <w:r>
                    <w:rPr>
                      <w:rFonts w:ascii="Times New Roman" w:hAnsi="Times New Roman"/>
                      <w:color w:val="000000" w:themeColor="text1"/>
                      <w:kern w:val="0"/>
                      <w:szCs w:val="21"/>
                      <w14:textFill>
                        <w14:solidFill>
                          <w14:schemeClr w14:val="tx1"/>
                        </w14:solidFill>
                      </w14:textFill>
                    </w:rPr>
                    <w:t>t/a）</w:t>
                  </w:r>
                </w:p>
              </w:tc>
              <w:tc>
                <w:tcPr>
                  <w:tcW w:w="627"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247"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5</w:t>
                  </w:r>
                </w:p>
              </w:tc>
              <w:tc>
                <w:tcPr>
                  <w:tcW w:w="491" w:type="pct"/>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污水处理</w:t>
                  </w:r>
                </w:p>
              </w:tc>
              <w:tc>
                <w:tcPr>
                  <w:tcW w:w="817"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污泥</w:t>
                  </w:r>
                </w:p>
              </w:tc>
              <w:tc>
                <w:tcPr>
                  <w:tcW w:w="572" w:type="pct"/>
                  <w:vMerge w:val="continue"/>
                  <w:vAlign w:val="center"/>
                </w:tcPr>
                <w:p>
                  <w:pPr>
                    <w:widowControl/>
                    <w:jc w:val="center"/>
                    <w:rPr>
                      <w:rFonts w:ascii="Times New Roman" w:hAnsi="Times New Roman"/>
                      <w:color w:val="000000" w:themeColor="text1"/>
                      <w:kern w:val="0"/>
                      <w:szCs w:val="21"/>
                      <w14:textFill>
                        <w14:solidFill>
                          <w14:schemeClr w14:val="tx1"/>
                        </w14:solidFill>
                      </w14:textFill>
                    </w:rPr>
                  </w:pPr>
                </w:p>
              </w:tc>
              <w:tc>
                <w:tcPr>
                  <w:tcW w:w="453"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hint="eastAsia" w:ascii="Times New Roman" w:hAnsi="Times New Roman"/>
                      <w:color w:val="000000" w:themeColor="text1"/>
                      <w:kern w:val="0"/>
                      <w:szCs w:val="21"/>
                      <w14:textFill>
                        <w14:solidFill>
                          <w14:schemeClr w14:val="tx1"/>
                        </w14:solidFill>
                      </w14:textFill>
                    </w:rPr>
                    <w:t>5.52</w:t>
                  </w:r>
                </w:p>
              </w:tc>
              <w:tc>
                <w:tcPr>
                  <w:tcW w:w="1793"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627"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47"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3</w:t>
                  </w:r>
                </w:p>
              </w:tc>
              <w:tc>
                <w:tcPr>
                  <w:tcW w:w="491" w:type="pct"/>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员工生活</w:t>
                  </w:r>
                </w:p>
              </w:tc>
              <w:tc>
                <w:tcPr>
                  <w:tcW w:w="817"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生活垃圾</w:t>
                  </w:r>
                </w:p>
              </w:tc>
              <w:tc>
                <w:tcPr>
                  <w:tcW w:w="572" w:type="pct"/>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生活垃圾</w:t>
                  </w:r>
                </w:p>
              </w:tc>
              <w:tc>
                <w:tcPr>
                  <w:tcW w:w="453"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2.08</w:t>
                  </w:r>
                </w:p>
              </w:tc>
              <w:tc>
                <w:tcPr>
                  <w:tcW w:w="1793" w:type="pct"/>
                  <w:vMerge w:val="continue"/>
                  <w:vAlign w:val="center"/>
                </w:tcPr>
                <w:p>
                  <w:pPr>
                    <w:jc w:val="center"/>
                    <w:rPr>
                      <w:rFonts w:ascii="Times New Roman" w:hAnsi="Times New Roman"/>
                      <w:color w:val="000000" w:themeColor="text1"/>
                      <w:kern w:val="0"/>
                      <w:szCs w:val="21"/>
                      <w14:textFill>
                        <w14:solidFill>
                          <w14:schemeClr w14:val="tx1"/>
                        </w14:solidFill>
                      </w14:textFill>
                    </w:rPr>
                  </w:pPr>
                </w:p>
              </w:tc>
              <w:tc>
                <w:tcPr>
                  <w:tcW w:w="627" w:type="pct"/>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47"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4</w:t>
                  </w:r>
                </w:p>
              </w:tc>
              <w:tc>
                <w:tcPr>
                  <w:tcW w:w="491"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纯水制备</w:t>
                  </w:r>
                </w:p>
              </w:tc>
              <w:tc>
                <w:tcPr>
                  <w:tcW w:w="817"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废滤芯</w:t>
                  </w:r>
                </w:p>
              </w:tc>
              <w:tc>
                <w:tcPr>
                  <w:tcW w:w="572" w:type="pct"/>
                  <w:vMerge w:val="restart"/>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危险废物</w:t>
                  </w:r>
                </w:p>
              </w:tc>
              <w:tc>
                <w:tcPr>
                  <w:tcW w:w="453"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0.5</w:t>
                  </w:r>
                </w:p>
              </w:tc>
              <w:tc>
                <w:tcPr>
                  <w:tcW w:w="1793" w:type="pct"/>
                  <w:vMerge w:val="restart"/>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交由具危险废物处理资质单位处置（0.52t/a）</w:t>
                  </w:r>
                </w:p>
              </w:tc>
              <w:tc>
                <w:tcPr>
                  <w:tcW w:w="627" w:type="pct"/>
                  <w:vMerge w:val="restart"/>
                  <w:shd w:val="clear" w:color="auto" w:fill="auto"/>
                  <w:vAlign w:val="center"/>
                </w:tcPr>
                <w:p>
                  <w:pPr>
                    <w:topLinePunct/>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HW49</w:t>
                  </w:r>
                </w:p>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（900-041-49）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47" w:type="pct"/>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5</w:t>
                  </w:r>
                </w:p>
              </w:tc>
              <w:tc>
                <w:tcPr>
                  <w:tcW w:w="491" w:type="pct"/>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软水制备</w:t>
                  </w:r>
                </w:p>
              </w:tc>
              <w:tc>
                <w:tcPr>
                  <w:tcW w:w="817"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废树脂</w:t>
                  </w:r>
                </w:p>
              </w:tc>
              <w:tc>
                <w:tcPr>
                  <w:tcW w:w="572" w:type="pct"/>
                  <w:vMerge w:val="continue"/>
                  <w:vAlign w:val="center"/>
                </w:tcPr>
                <w:p>
                  <w:pPr>
                    <w:widowControl/>
                    <w:jc w:val="center"/>
                    <w:rPr>
                      <w:rFonts w:ascii="Times New Roman" w:hAnsi="Times New Roman"/>
                      <w:color w:val="000000" w:themeColor="text1"/>
                      <w:kern w:val="0"/>
                      <w:szCs w:val="21"/>
                      <w14:textFill>
                        <w14:solidFill>
                          <w14:schemeClr w14:val="tx1"/>
                        </w14:solidFill>
                      </w14:textFill>
                    </w:rPr>
                  </w:pPr>
                </w:p>
              </w:tc>
              <w:tc>
                <w:tcPr>
                  <w:tcW w:w="453"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0.02</w:t>
                  </w:r>
                </w:p>
              </w:tc>
              <w:tc>
                <w:tcPr>
                  <w:tcW w:w="1793" w:type="pct"/>
                  <w:vMerge w:val="continue"/>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p>
              </w:tc>
              <w:tc>
                <w:tcPr>
                  <w:tcW w:w="627" w:type="pct"/>
                  <w:vMerge w:val="continue"/>
                  <w:shd w:val="clear" w:color="auto" w:fill="auto"/>
                  <w:vAlign w:val="center"/>
                </w:tcPr>
                <w:p>
                  <w:pPr>
                    <w:topLinePunct/>
                    <w:adjustRightInd w:val="0"/>
                    <w:snapToGrid w:val="0"/>
                    <w:jc w:val="center"/>
                    <w:rPr>
                      <w:rFonts w:ascii="Times New Roman" w:hAnsi="Times New Roman"/>
                      <w:color w:val="000000" w:themeColor="text1"/>
                      <w:szCs w:val="21"/>
                      <w14:textFill>
                        <w14:solidFill>
                          <w14:schemeClr w14:val="tx1"/>
                        </w14:solidFill>
                      </w14:textFill>
                    </w:rPr>
                  </w:pPr>
                </w:p>
              </w:tc>
            </w:tr>
          </w:tbl>
          <w:p>
            <w:pPr>
              <w:widowControl/>
              <w:spacing w:line="360" w:lineRule="auto"/>
              <w:ind w:firstLine="480" w:firstLineChars="200"/>
              <w:rPr>
                <w:rFonts w:ascii="Times New Roman" w:hAnsi="Times New Roman"/>
                <w:bCs/>
                <w:color w:val="000000" w:themeColor="text1"/>
                <w:kern w:val="0"/>
                <w:sz w:val="24"/>
                <w14:textFill>
                  <w14:solidFill>
                    <w14:schemeClr w14:val="tx1"/>
                  </w14:solidFill>
                </w14:textFill>
              </w:rPr>
            </w:pPr>
            <w:r>
              <w:rPr>
                <w:rFonts w:ascii="Times New Roman" w:hAnsi="Times New Roman"/>
                <w:bCs/>
                <w:color w:val="000000" w:themeColor="text1"/>
                <w:kern w:val="0"/>
                <w:sz w:val="24"/>
                <w14:textFill>
                  <w14:solidFill>
                    <w14:schemeClr w14:val="tx1"/>
                  </w14:solidFill>
                </w14:textFill>
              </w:rPr>
              <w:t>（2）处理去向及环境管理要求</w:t>
            </w:r>
          </w:p>
          <w:p>
            <w:pPr>
              <w:snapToGrid w:val="0"/>
              <w:spacing w:line="360" w:lineRule="auto"/>
              <w:ind w:firstLine="472" w:firstLineChars="197"/>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1）生活垃圾</w:t>
            </w:r>
          </w:p>
          <w:p>
            <w:pPr>
              <w:snapToGrid w:val="0"/>
              <w:spacing w:line="360" w:lineRule="auto"/>
              <w:ind w:firstLine="472" w:firstLineChars="197"/>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统一收集，交由环卫部门统一处理。</w:t>
            </w:r>
          </w:p>
          <w:p>
            <w:pPr>
              <w:snapToGrid w:val="0"/>
              <w:spacing w:line="360" w:lineRule="auto"/>
              <w:ind w:firstLine="472" w:firstLineChars="197"/>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2）一般固体废物</w:t>
            </w:r>
          </w:p>
          <w:p>
            <w:pPr>
              <w:snapToGrid w:val="0"/>
              <w:spacing w:line="360" w:lineRule="auto"/>
              <w:ind w:firstLine="472" w:firstLineChars="197"/>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对于一般工业废物，根据《一般工业固体废物贮存和填埋污染控制标准》(GB 18599-2020)及相关国家及地方法律法规，提出如下环保措施：</w:t>
            </w:r>
            <w:r>
              <w:rPr>
                <w:rFonts w:hint="eastAsia" w:ascii="宋体" w:hAnsi="宋体" w:eastAsia="宋体" w:cs="宋体"/>
                <w:color w:val="000000" w:themeColor="text1"/>
                <w:sz w:val="24"/>
                <w14:textFill>
                  <w14:solidFill>
                    <w14:schemeClr w14:val="tx1"/>
                  </w14:solidFill>
                </w14:textFill>
              </w:rPr>
              <w:t>①</w:t>
            </w:r>
            <w:r>
              <w:rPr>
                <w:rFonts w:ascii="Times New Roman" w:hAnsi="Times New Roman"/>
                <w:color w:val="000000" w:themeColor="text1"/>
                <w:sz w:val="24"/>
                <w14:textFill>
                  <w14:solidFill>
                    <w14:schemeClr w14:val="tx1"/>
                  </w14:solidFill>
                </w14:textFill>
              </w:rPr>
              <w:t>为防止雨水径流进入贮存、处置场内，避免渗滤液量增加和滑坡，贮存、处置场周边应设置导流渠。</w:t>
            </w:r>
            <w:r>
              <w:rPr>
                <w:rFonts w:hint="eastAsia" w:ascii="宋体" w:hAnsi="宋体" w:eastAsia="宋体" w:cs="宋体"/>
                <w:color w:val="000000" w:themeColor="text1"/>
                <w:sz w:val="24"/>
                <w14:textFill>
                  <w14:solidFill>
                    <w14:schemeClr w14:val="tx1"/>
                  </w14:solidFill>
                </w14:textFill>
              </w:rPr>
              <w:t>②</w:t>
            </w:r>
            <w:r>
              <w:rPr>
                <w:rFonts w:ascii="Times New Roman" w:hAnsi="Times New Roman"/>
                <w:color w:val="000000" w:themeColor="text1"/>
                <w:sz w:val="24"/>
                <w14:textFill>
                  <w14:solidFill>
                    <w14:schemeClr w14:val="tx1"/>
                  </w14:solidFill>
                </w14:textFill>
              </w:rPr>
              <w:t>为加强监督管理，贮存、处置场应按GB15562.2设置环境保护图形标志。</w:t>
            </w:r>
            <w:r>
              <w:rPr>
                <w:rFonts w:hint="eastAsia" w:ascii="宋体" w:hAnsi="宋体" w:eastAsia="宋体" w:cs="宋体"/>
                <w:color w:val="000000" w:themeColor="text1"/>
                <w:sz w:val="24"/>
                <w14:textFill>
                  <w14:solidFill>
                    <w14:schemeClr w14:val="tx1"/>
                  </w14:solidFill>
                </w14:textFill>
              </w:rPr>
              <w:t>③</w:t>
            </w:r>
            <w:r>
              <w:rPr>
                <w:rFonts w:ascii="Times New Roman" w:hAnsi="Times New Roman"/>
                <w:color w:val="000000" w:themeColor="text1"/>
                <w:sz w:val="24"/>
                <w14:textFill>
                  <w14:solidFill>
                    <w14:schemeClr w14:val="tx1"/>
                  </w14:solidFill>
                </w14:textFill>
              </w:rPr>
              <w:t>贮存、处置场使用单位，应建立检查维护制度。定期检查维护堤、坝、挡土墙、导流渠等设施，发现有损坏可能或异常，应及时采取必要措施，以保障正常运行。</w:t>
            </w:r>
            <w:r>
              <w:rPr>
                <w:rFonts w:hint="eastAsia" w:ascii="宋体" w:hAnsi="宋体" w:eastAsia="宋体" w:cs="宋体"/>
                <w:color w:val="000000" w:themeColor="text1"/>
                <w:sz w:val="24"/>
                <w14:textFill>
                  <w14:solidFill>
                    <w14:schemeClr w14:val="tx1"/>
                  </w14:solidFill>
                </w14:textFill>
              </w:rPr>
              <w:t>④</w:t>
            </w:r>
            <w:r>
              <w:rPr>
                <w:rFonts w:ascii="Times New Roman" w:hAnsi="Times New Roman"/>
                <w:color w:val="000000" w:themeColor="text1"/>
                <w:sz w:val="24"/>
                <w14:textFill>
                  <w14:solidFill>
                    <w14:schemeClr w14:val="tx1"/>
                  </w14:solidFill>
                </w14:textFill>
              </w:rPr>
              <w:t>贮存、处置场的使用单位，应建立档案制度。应将入场的一般工业固体废物的种类和数量以及下列资料。详细记录在案，长期保存，供随时查阅。</w:t>
            </w:r>
          </w:p>
          <w:p>
            <w:pPr>
              <w:snapToGrid w:val="0"/>
              <w:spacing w:line="360" w:lineRule="auto"/>
              <w:ind w:firstLine="472" w:firstLineChars="197"/>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3）危险废物</w:t>
            </w: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建设项目危险废物贮存场所（设施）基本情况表</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1" w:type="dxa"/>
                <w:bottom w:w="0" w:type="dxa"/>
                <w:right w:w="51" w:type="dxa"/>
              </w:tblCellMar>
            </w:tblPr>
            <w:tblGrid>
              <w:gridCol w:w="785"/>
              <w:gridCol w:w="1522"/>
              <w:gridCol w:w="2102"/>
              <w:gridCol w:w="1482"/>
              <w:gridCol w:w="1979"/>
              <w:gridCol w:w="1244"/>
              <w:gridCol w:w="1180"/>
              <w:gridCol w:w="1052"/>
              <w:gridCol w:w="1071"/>
              <w:gridCol w:w="9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864" w:hRule="atLeast"/>
              </w:trPr>
              <w:tc>
                <w:tcPr>
                  <w:tcW w:w="294"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57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贮存场所（设施）</w:t>
                  </w:r>
                </w:p>
                <w:p>
                  <w:pPr>
                    <w:pStyle w:val="66"/>
                    <w:rPr>
                      <w:color w:val="000000" w:themeColor="text1"/>
                      <w14:textFill>
                        <w14:solidFill>
                          <w14:schemeClr w14:val="tx1"/>
                        </w14:solidFill>
                      </w14:textFill>
                    </w:rPr>
                  </w:pPr>
                  <w:r>
                    <w:rPr>
                      <w:color w:val="000000" w:themeColor="text1"/>
                      <w14:textFill>
                        <w14:solidFill>
                          <w14:schemeClr w14:val="tx1"/>
                        </w14:solidFill>
                      </w14:textFill>
                    </w:rPr>
                    <w:t>名称</w:t>
                  </w:r>
                </w:p>
              </w:tc>
              <w:tc>
                <w:tcPr>
                  <w:tcW w:w="787"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危险废物名称</w:t>
                  </w:r>
                </w:p>
              </w:tc>
              <w:tc>
                <w:tcPr>
                  <w:tcW w:w="55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危险废物类别</w:t>
                  </w:r>
                </w:p>
              </w:tc>
              <w:tc>
                <w:tcPr>
                  <w:tcW w:w="741"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危险废物代码</w:t>
                  </w:r>
                </w:p>
              </w:tc>
              <w:tc>
                <w:tcPr>
                  <w:tcW w:w="466"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位置</w:t>
                  </w:r>
                </w:p>
              </w:tc>
              <w:tc>
                <w:tcPr>
                  <w:tcW w:w="442"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占地面积</w:t>
                  </w:r>
                </w:p>
              </w:tc>
              <w:tc>
                <w:tcPr>
                  <w:tcW w:w="394"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贮存方式</w:t>
                  </w:r>
                </w:p>
              </w:tc>
              <w:tc>
                <w:tcPr>
                  <w:tcW w:w="401"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贮存</w:t>
                  </w:r>
                </w:p>
                <w:p>
                  <w:pPr>
                    <w:pStyle w:val="66"/>
                    <w:rPr>
                      <w:color w:val="000000" w:themeColor="text1"/>
                      <w14:textFill>
                        <w14:solidFill>
                          <w14:schemeClr w14:val="tx1"/>
                        </w14:solidFill>
                      </w14:textFill>
                    </w:rPr>
                  </w:pPr>
                  <w:r>
                    <w:rPr>
                      <w:color w:val="000000" w:themeColor="text1"/>
                      <w14:textFill>
                        <w14:solidFill>
                          <w14:schemeClr w14:val="tx1"/>
                        </w14:solidFill>
                      </w14:textFill>
                    </w:rPr>
                    <w:t>能力</w:t>
                  </w:r>
                </w:p>
              </w:tc>
              <w:tc>
                <w:tcPr>
                  <w:tcW w:w="3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贮存</w:t>
                  </w:r>
                </w:p>
                <w:p>
                  <w:pPr>
                    <w:pStyle w:val="66"/>
                    <w:rPr>
                      <w:color w:val="000000" w:themeColor="text1"/>
                      <w14:textFill>
                        <w14:solidFill>
                          <w14:schemeClr w14:val="tx1"/>
                        </w14:solidFill>
                      </w14:textFill>
                    </w:rPr>
                  </w:pPr>
                  <w:r>
                    <w:rPr>
                      <w:color w:val="000000" w:themeColor="text1"/>
                      <w14:textFill>
                        <w14:solidFill>
                          <w14:schemeClr w14:val="tx1"/>
                        </w14:solidFill>
                      </w14:textFill>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67" w:hRule="atLeast"/>
              </w:trPr>
              <w:tc>
                <w:tcPr>
                  <w:tcW w:w="294"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w:t>
                  </w:r>
                </w:p>
              </w:tc>
              <w:tc>
                <w:tcPr>
                  <w:tcW w:w="570" w:type="pct"/>
                  <w:vMerge w:val="restar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危废暂存区</w:t>
                  </w:r>
                </w:p>
              </w:tc>
              <w:tc>
                <w:tcPr>
                  <w:tcW w:w="787" w:type="pct"/>
                  <w:vAlign w:val="center"/>
                </w:tcPr>
                <w:p>
                  <w:pPr>
                    <w:pStyle w:val="66"/>
                    <w:rPr>
                      <w:color w:val="000000" w:themeColor="text1"/>
                      <w14:textFill>
                        <w14:solidFill>
                          <w14:schemeClr w14:val="tx1"/>
                        </w14:solidFill>
                      </w14:textFill>
                    </w:rPr>
                  </w:pPr>
                  <w:r>
                    <w:rPr>
                      <w:color w:val="000000" w:themeColor="text1"/>
                      <w:szCs w:val="21"/>
                      <w14:textFill>
                        <w14:solidFill>
                          <w14:schemeClr w14:val="tx1"/>
                        </w14:solidFill>
                      </w14:textFill>
                    </w:rPr>
                    <w:t>废滤芯</w:t>
                  </w:r>
                </w:p>
              </w:tc>
              <w:tc>
                <w:tcPr>
                  <w:tcW w:w="55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HW49</w:t>
                  </w:r>
                </w:p>
              </w:tc>
              <w:tc>
                <w:tcPr>
                  <w:tcW w:w="741"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900-041-49</w:t>
                  </w:r>
                </w:p>
              </w:tc>
              <w:tc>
                <w:tcPr>
                  <w:tcW w:w="466" w:type="pct"/>
                  <w:vMerge w:val="restar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自建污水站南侧</w:t>
                  </w:r>
                </w:p>
              </w:tc>
              <w:tc>
                <w:tcPr>
                  <w:tcW w:w="442" w:type="pct"/>
                  <w:vMerge w:val="restar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5m</w:t>
                  </w:r>
                  <w:r>
                    <w:rPr>
                      <w:color w:val="000000" w:themeColor="text1"/>
                      <w:vertAlign w:val="superscript"/>
                      <w14:textFill>
                        <w14:solidFill>
                          <w14:schemeClr w14:val="tx1"/>
                        </w14:solidFill>
                      </w14:textFill>
                    </w:rPr>
                    <w:t>2</w:t>
                  </w:r>
                </w:p>
              </w:tc>
              <w:tc>
                <w:tcPr>
                  <w:tcW w:w="394"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桶内密封</w:t>
                  </w:r>
                </w:p>
              </w:tc>
              <w:tc>
                <w:tcPr>
                  <w:tcW w:w="401"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1t</w:t>
                  </w:r>
                </w:p>
              </w:tc>
              <w:tc>
                <w:tcPr>
                  <w:tcW w:w="3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半个月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67" w:hRule="atLeast"/>
              </w:trPr>
              <w:tc>
                <w:tcPr>
                  <w:tcW w:w="294"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2</w:t>
                  </w:r>
                </w:p>
              </w:tc>
              <w:tc>
                <w:tcPr>
                  <w:tcW w:w="570" w:type="pct"/>
                  <w:vMerge w:val="continue"/>
                  <w:vAlign w:val="center"/>
                </w:tcPr>
                <w:p>
                  <w:pPr>
                    <w:pStyle w:val="66"/>
                    <w:rPr>
                      <w:color w:val="000000" w:themeColor="text1"/>
                      <w14:textFill>
                        <w14:solidFill>
                          <w14:schemeClr w14:val="tx1"/>
                        </w14:solidFill>
                      </w14:textFill>
                    </w:rPr>
                  </w:pPr>
                </w:p>
              </w:tc>
              <w:tc>
                <w:tcPr>
                  <w:tcW w:w="787" w:type="pct"/>
                  <w:vAlign w:val="center"/>
                </w:tcPr>
                <w:p>
                  <w:pPr>
                    <w:pStyle w:val="66"/>
                    <w:rPr>
                      <w:color w:val="000000" w:themeColor="text1"/>
                      <w14:textFill>
                        <w14:solidFill>
                          <w14:schemeClr w14:val="tx1"/>
                        </w14:solidFill>
                      </w14:textFill>
                    </w:rPr>
                  </w:pPr>
                  <w:r>
                    <w:rPr>
                      <w:color w:val="000000" w:themeColor="text1"/>
                      <w:szCs w:val="21"/>
                      <w14:textFill>
                        <w14:solidFill>
                          <w14:schemeClr w14:val="tx1"/>
                        </w14:solidFill>
                      </w14:textFill>
                    </w:rPr>
                    <w:t>废树脂</w:t>
                  </w:r>
                </w:p>
              </w:tc>
              <w:tc>
                <w:tcPr>
                  <w:tcW w:w="55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HW49</w:t>
                  </w:r>
                </w:p>
              </w:tc>
              <w:tc>
                <w:tcPr>
                  <w:tcW w:w="741"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900-041-49</w:t>
                  </w:r>
                </w:p>
              </w:tc>
              <w:tc>
                <w:tcPr>
                  <w:tcW w:w="466" w:type="pct"/>
                  <w:vMerge w:val="continue"/>
                  <w:vAlign w:val="center"/>
                </w:tcPr>
                <w:p>
                  <w:pPr>
                    <w:pStyle w:val="66"/>
                    <w:rPr>
                      <w:color w:val="000000" w:themeColor="text1"/>
                      <w14:textFill>
                        <w14:solidFill>
                          <w14:schemeClr w14:val="tx1"/>
                        </w14:solidFill>
                      </w14:textFill>
                    </w:rPr>
                  </w:pPr>
                </w:p>
              </w:tc>
              <w:tc>
                <w:tcPr>
                  <w:tcW w:w="442" w:type="pct"/>
                  <w:vMerge w:val="continue"/>
                  <w:vAlign w:val="center"/>
                </w:tcPr>
                <w:p>
                  <w:pPr>
                    <w:pStyle w:val="66"/>
                    <w:rPr>
                      <w:color w:val="000000" w:themeColor="text1"/>
                      <w14:textFill>
                        <w14:solidFill>
                          <w14:schemeClr w14:val="tx1"/>
                        </w14:solidFill>
                      </w14:textFill>
                    </w:rPr>
                  </w:pPr>
                </w:p>
              </w:tc>
              <w:tc>
                <w:tcPr>
                  <w:tcW w:w="394"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桶内密封</w:t>
                  </w:r>
                </w:p>
              </w:tc>
              <w:tc>
                <w:tcPr>
                  <w:tcW w:w="401"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0.1t</w:t>
                  </w:r>
                </w:p>
              </w:tc>
              <w:tc>
                <w:tcPr>
                  <w:tcW w:w="350"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半个月</w:t>
                  </w:r>
                </w:p>
              </w:tc>
            </w:tr>
          </w:tbl>
          <w:p>
            <w:pPr>
              <w:autoSpaceDE w:val="0"/>
              <w:autoSpaceDN w:val="0"/>
              <w:adjustRightInd w:val="0"/>
              <w:snapToGrid w:val="0"/>
              <w:spacing w:line="360" w:lineRule="auto"/>
              <w:ind w:firstLine="482"/>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由上表可得，本项目在生产过程中产生的危险废物主要有废滤芯（危废编号为</w:t>
            </w:r>
            <w:r>
              <w:rPr>
                <w:rFonts w:ascii="Times New Roman" w:hAnsi="Times New Roman"/>
                <w:color w:val="000000" w:themeColor="text1"/>
                <w:sz w:val="24"/>
                <w:szCs w:val="21"/>
                <w14:textFill>
                  <w14:solidFill>
                    <w14:schemeClr w14:val="tx1"/>
                  </w14:solidFill>
                </w14:textFill>
              </w:rPr>
              <w:t>HW49-900-041-49</w:t>
            </w:r>
            <w:r>
              <w:rPr>
                <w:rFonts w:ascii="Times New Roman" w:hAnsi="Times New Roman"/>
                <w:color w:val="000000" w:themeColor="text1"/>
                <w:sz w:val="24"/>
                <w14:textFill>
                  <w14:solidFill>
                    <w14:schemeClr w14:val="tx1"/>
                  </w14:solidFill>
                </w14:textFill>
              </w:rPr>
              <w:t>）、废树脂（危废编号为HW49-900-041-49）。危险废物的储存和运输应严格按照《危险废物贮存污染控制标准》(GB18597-2001)和《危险废物污染防治技术政策》的要求进行，具体如下：</w:t>
            </w:r>
          </w:p>
          <w:p>
            <w:pPr>
              <w:autoSpaceDE w:val="0"/>
              <w:autoSpaceDN w:val="0"/>
              <w:adjustRightInd w:val="0"/>
              <w:snapToGrid w:val="0"/>
              <w:spacing w:line="360" w:lineRule="auto"/>
              <w:ind w:firstLine="482"/>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收集与贮存：各类危险固废应分别放置在专门的收集容器和储存设施内，有危险废物识别标志、标明具体物质名称，并设置危险废物警示标志，分类堆存于危险废物仓库中。危险固废暂存区按照《危险废物贮存污染控制标准》（GB 18597-2001）及其2013年修改单要求设计、建设、运行和管理；</w:t>
            </w:r>
          </w:p>
          <w:p>
            <w:pPr>
              <w:autoSpaceDE w:val="0"/>
              <w:autoSpaceDN w:val="0"/>
              <w:adjustRightInd w:val="0"/>
              <w:snapToGrid w:val="0"/>
              <w:spacing w:line="360" w:lineRule="auto"/>
              <w:ind w:firstLine="482"/>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运输：按照《危险废物收集贮存运输技术规范》（HJ2025）的要求进行，如下：a.危险废物运输应由持有危险废物经营许可证的单位按照其许可证的经营范围组织实施，承担危废运输的单位应获得交通运输部门颁发的危险货物运输资质；b.废弃化学品的运输应执行《危险化学品安全管理条例》有关运输规定；c.运输单位承运危险废物时，应在危险废物包装上按照GB18597附录A设置标志以及运输车辆应按GB13392设置车辆标志；d.运输时的中转、装卸过程应遵循规定的相应技术要求等；</w:t>
            </w:r>
          </w:p>
          <w:p>
            <w:pPr>
              <w:autoSpaceDE w:val="0"/>
              <w:autoSpaceDN w:val="0"/>
              <w:adjustRightInd w:val="0"/>
              <w:snapToGrid w:val="0"/>
              <w:spacing w:line="360" w:lineRule="auto"/>
              <w:ind w:firstLine="482"/>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处置：距离本项目相对较近的具有危险废物经营许可的单位有惠州东江威立雅环境服务公司，位于惠州市惠东县梁化镇石屋寮林场。本评价建议可委托惠州东江威立雅环境服务公司对本项目产生的危险废物进行回收处置。</w:t>
            </w:r>
          </w:p>
          <w:p>
            <w:pPr>
              <w:snapToGrid w:val="0"/>
              <w:spacing w:line="360" w:lineRule="auto"/>
              <w:ind w:firstLine="472" w:firstLineChars="197"/>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由于项目运营期产生的工业固废均能得到合理处置，做到资源化、无害化，不随意对外排放，因此对当地环境并无危害。</w:t>
            </w:r>
          </w:p>
          <w:p>
            <w:pPr>
              <w:snapToGrid w:val="0"/>
              <w:spacing w:line="360" w:lineRule="auto"/>
              <w:ind w:firstLine="475" w:firstLineChars="197"/>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5、地下水、土壤</w:t>
            </w:r>
          </w:p>
          <w:p>
            <w:pPr>
              <w:snapToGrid w:val="0"/>
              <w:spacing w:line="360" w:lineRule="auto"/>
              <w:ind w:firstLine="472" w:firstLineChars="197"/>
              <w:rPr>
                <w:rFonts w:ascii="Times New Roman" w:hAnsi="Times New Roman"/>
                <w:color w:val="000000" w:themeColor="text1"/>
                <w:sz w:val="24"/>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根据导则</w:t>
            </w:r>
            <w:r>
              <w:rPr>
                <w:rFonts w:hint="eastAsia" w:ascii="Times New Roman" w:hAnsi="Times New Roman" w:eastAsia="宋体"/>
                <w:color w:val="000000" w:themeColor="text1"/>
                <w:sz w:val="24"/>
                <w14:textFill>
                  <w14:solidFill>
                    <w14:schemeClr w14:val="tx1"/>
                  </w14:solidFill>
                </w14:textFill>
              </w:rPr>
              <w:t>，本项目</w:t>
            </w:r>
            <w:r>
              <w:rPr>
                <w:rFonts w:ascii="Times New Roman" w:hAnsi="Times New Roman"/>
                <w:color w:val="000000" w:themeColor="text1"/>
                <w:sz w:val="24"/>
                <w14:textFill>
                  <w14:solidFill>
                    <w14:schemeClr w14:val="tx1"/>
                  </w14:solidFill>
                </w14:textFill>
              </w:rPr>
              <w:t>无需开展</w:t>
            </w:r>
            <w:r>
              <w:rPr>
                <w:rFonts w:hint="eastAsia" w:ascii="Times New Roman" w:hAnsi="Times New Roman"/>
                <w:color w:val="000000" w:themeColor="text1"/>
                <w:sz w:val="24"/>
                <w14:textFill>
                  <w14:solidFill>
                    <w14:schemeClr w14:val="tx1"/>
                  </w14:solidFill>
                </w14:textFill>
              </w:rPr>
              <w:t>地下水、</w:t>
            </w:r>
            <w:r>
              <w:rPr>
                <w:rFonts w:ascii="Times New Roman" w:hAnsi="Times New Roman"/>
                <w:color w:val="000000" w:themeColor="text1"/>
                <w:sz w:val="24"/>
                <w14:textFill>
                  <w14:solidFill>
                    <w14:schemeClr w14:val="tx1"/>
                  </w14:solidFill>
                </w14:textFill>
              </w:rPr>
              <w:t>土壤环境影响评价工作。但本项目运营期需做好储罐区、生产车间、污水处理站等重点区域的防渗防漏工程措施，用水泥硬化，四周壁用砖砌再用水泥硬化防渗，涂防腐防渗材料。厂房和固废区、危废间地面采取粘土铺底，再在上层铺设10~15cm 的水泥进行硬化，并铺环氧树脂防渗；通过上述措施可使重点污染区各单元防渗层渗透系数≤10</w:t>
            </w:r>
            <w:r>
              <w:rPr>
                <w:rFonts w:ascii="Times New Roman" w:hAnsi="Times New Roman"/>
                <w:color w:val="000000" w:themeColor="text1"/>
                <w:sz w:val="24"/>
                <w:vertAlign w:val="superscript"/>
                <w14:textFill>
                  <w14:solidFill>
                    <w14:schemeClr w14:val="tx1"/>
                  </w14:solidFill>
                </w14:textFill>
              </w:rPr>
              <w:t>-10</w:t>
            </w:r>
            <w:r>
              <w:rPr>
                <w:rFonts w:ascii="Times New Roman" w:hAnsi="Times New Roman"/>
                <w:color w:val="000000" w:themeColor="text1"/>
                <w:sz w:val="24"/>
                <w14:textFill>
                  <w14:solidFill>
                    <w14:schemeClr w14:val="tx1"/>
                  </w14:solidFill>
                </w14:textFill>
              </w:rPr>
              <w:t>cm/s。经以上措施后，项目生产对地下水、土壤环境影响较小。</w:t>
            </w:r>
          </w:p>
          <w:p>
            <w:pPr>
              <w:snapToGrid w:val="0"/>
              <w:spacing w:line="360" w:lineRule="auto"/>
              <w:ind w:firstLine="475" w:firstLineChars="197"/>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6、生态</w:t>
            </w:r>
          </w:p>
          <w:p>
            <w:pPr>
              <w:spacing w:line="360" w:lineRule="auto"/>
              <w:ind w:firstLine="480"/>
              <w:rPr>
                <w:rFonts w:ascii="Times New Roman" w:hAnsi="Times New Roman"/>
                <w:snapToGrid w:val="0"/>
                <w:color w:val="000000" w:themeColor="text1"/>
                <w:kern w:val="0"/>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本项目占地</w:t>
            </w:r>
            <w:r>
              <w:rPr>
                <w:rFonts w:hint="eastAsia" w:ascii="Times New Roman" w:hAnsi="Times New Roman"/>
                <w:color w:val="000000" w:themeColor="text1"/>
                <w:sz w:val="24"/>
                <w14:textFill>
                  <w14:solidFill>
                    <w14:schemeClr w14:val="tx1"/>
                  </w14:solidFill>
                </w14:textFill>
              </w:rPr>
              <w:t>中1224m</w:t>
            </w:r>
            <w:r>
              <w:rPr>
                <w:rFonts w:hint="eastAsia" w:ascii="Times New Roman" w:hAnsi="Times New Roman"/>
                <w:color w:val="000000" w:themeColor="text1"/>
                <w:sz w:val="24"/>
                <w:vertAlign w:val="superscript"/>
                <w14:textFill>
                  <w14:solidFill>
                    <w14:schemeClr w14:val="tx1"/>
                  </w14:solidFill>
                </w14:textFill>
              </w:rPr>
              <w:t>2</w:t>
            </w:r>
            <w:r>
              <w:rPr>
                <w:rFonts w:hint="eastAsia" w:ascii="Times New Roman" w:hAnsi="Times New Roman"/>
                <w:color w:val="000000" w:themeColor="text1"/>
                <w:sz w:val="24"/>
                <w14:textFill>
                  <w14:solidFill>
                    <w14:schemeClr w14:val="tx1"/>
                  </w14:solidFill>
                </w14:textFill>
              </w:rPr>
              <w:t>（生产车间大部分占地、办公楼、保卫室等）位于陆河县产业转移工业园区红线范围内，其余占地876 m</w:t>
            </w:r>
            <w:r>
              <w:rPr>
                <w:rFonts w:hint="eastAsia" w:ascii="Times New Roman" w:hAnsi="Times New Roman"/>
                <w:color w:val="000000" w:themeColor="text1"/>
                <w:sz w:val="24"/>
                <w:vertAlign w:val="superscript"/>
                <w14:textFill>
                  <w14:solidFill>
                    <w14:schemeClr w14:val="tx1"/>
                  </w14:solidFill>
                </w14:textFill>
              </w:rPr>
              <w:t>2</w:t>
            </w:r>
            <w:r>
              <w:rPr>
                <w:rFonts w:hint="eastAsia" w:ascii="Times New Roman" w:hAnsi="Times New Roman"/>
                <w:color w:val="000000" w:themeColor="text1"/>
                <w:sz w:val="24"/>
                <w14:textFill>
                  <w14:solidFill>
                    <w14:schemeClr w14:val="tx1"/>
                  </w14:solidFill>
                </w14:textFill>
              </w:rPr>
              <w:t>（生产车间小部分占地、锅炉房、污水站、酒精储罐区等）位于陆河县产业转移工业园区红线范围外，具体位置详见附图6。</w:t>
            </w:r>
          </w:p>
          <w:p>
            <w:pPr>
              <w:snapToGrid w:val="0"/>
              <w:spacing w:line="360" w:lineRule="auto"/>
              <w:ind w:firstLine="472" w:firstLineChars="197"/>
              <w:rPr>
                <w:rFonts w:ascii="Times New Roman" w:hAnsi="Times New Roman"/>
                <w:color w:val="000000" w:themeColor="text1"/>
                <w:sz w:val="24"/>
                <w14:textFill>
                  <w14:solidFill>
                    <w14:schemeClr w14:val="tx1"/>
                  </w14:solidFill>
                </w14:textFill>
              </w:rPr>
            </w:pPr>
            <w:r>
              <w:rPr>
                <w:rFonts w:hint="eastAsia" w:ascii="Times New Roman" w:hAnsi="Times New Roman"/>
                <w:color w:val="000000" w:themeColor="text1"/>
                <w:sz w:val="24"/>
                <w14:textFill>
                  <w14:solidFill>
                    <w14:schemeClr w14:val="tx1"/>
                  </w14:solidFill>
                </w14:textFill>
              </w:rPr>
              <w:t>本项目用地属于工业用地，用地范围内不涉及风景名胜区、自然保护区等生态环境保护目标，</w:t>
            </w:r>
            <w:r>
              <w:rPr>
                <w:rFonts w:ascii="Times New Roman" w:hAnsi="Times New Roman"/>
                <w:color w:val="000000" w:themeColor="text1"/>
                <w:sz w:val="24"/>
                <w14:textFill>
                  <w14:solidFill>
                    <w14:schemeClr w14:val="tx1"/>
                  </w14:solidFill>
                </w14:textFill>
              </w:rPr>
              <w:t>不会对周边生态环境造成明显影响。</w:t>
            </w:r>
          </w:p>
          <w:p>
            <w:pPr>
              <w:snapToGrid w:val="0"/>
              <w:spacing w:line="360" w:lineRule="auto"/>
              <w:ind w:firstLine="475" w:firstLineChars="197"/>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7、</w:t>
            </w:r>
            <w:r>
              <w:rPr>
                <w:rFonts w:hint="eastAsia" w:ascii="Times New Roman" w:hAnsi="Times New Roman"/>
                <w:b/>
                <w:color w:val="000000" w:themeColor="text1"/>
                <w:sz w:val="24"/>
                <w14:textFill>
                  <w14:solidFill>
                    <w14:schemeClr w14:val="tx1"/>
                  </w14:solidFill>
                </w14:textFill>
              </w:rPr>
              <w:t>环境风险</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w:t>
            </w:r>
            <w:r>
              <w:rPr>
                <w:color w:val="000000" w:themeColor="text1"/>
                <w:sz w:val="24"/>
                <w:lang w:val="zh-CN"/>
                <w14:textFill>
                  <w14:solidFill>
                    <w14:schemeClr w14:val="tx1"/>
                  </w14:solidFill>
                </w14:textFill>
              </w:rPr>
              <w:t>评价依据</w:t>
            </w:r>
          </w:p>
          <w:p>
            <w:pPr>
              <w:adjustRightInd w:val="0"/>
              <w:snapToGrid w:val="0"/>
              <w:spacing w:line="360" w:lineRule="auto"/>
              <w:ind w:firstLine="480" w:firstLineChars="200"/>
              <w:rPr>
                <w:color w:val="000000" w:themeColor="text1"/>
                <w:sz w:val="24"/>
                <w:lang w:val="zh-CN"/>
                <w14:textFill>
                  <w14:solidFill>
                    <w14:schemeClr w14:val="tx1"/>
                  </w14:solidFill>
                </w14:textFill>
              </w:rPr>
            </w:pPr>
            <w:r>
              <w:rPr>
                <w:color w:val="000000" w:themeColor="text1"/>
                <w:sz w:val="24"/>
                <w:lang w:val="zh-CN"/>
                <w14:textFill>
                  <w14:solidFill>
                    <w14:schemeClr w14:val="tx1"/>
                  </w14:solidFill>
                </w14:textFill>
              </w:rPr>
              <w:t>1）危险物质及工艺系统危险性（P）的分级</w:t>
            </w:r>
          </w:p>
          <w:p>
            <w:pPr>
              <w:spacing w:line="360" w:lineRule="auto"/>
              <w:ind w:firstLine="482"/>
              <w:rPr>
                <w:color w:val="000000" w:themeColor="text1"/>
                <w:kern w:val="0"/>
                <w:sz w:val="24"/>
                <w:lang w:val="zh-CN" w:bidi="en-US"/>
                <w14:textFill>
                  <w14:solidFill>
                    <w14:schemeClr w14:val="tx1"/>
                  </w14:solidFill>
                </w14:textFill>
              </w:rPr>
            </w:pPr>
            <w:r>
              <w:rPr>
                <w:color w:val="000000" w:themeColor="text1"/>
                <w:kern w:val="0"/>
                <w:sz w:val="24"/>
                <w:lang w:val="zh-CN" w:bidi="en-US"/>
                <w14:textFill>
                  <w14:solidFill>
                    <w14:schemeClr w14:val="tx1"/>
                  </w14:solidFill>
                </w14:textFill>
              </w:rPr>
              <w:t>通过查询各原辅材料和产品理化性质和危险特性，根据《建设项目环境风险评价技术导则》（HJ169-2018）、《化学品分类和标签规范 第18部分：急性毒性》（GB30000.18-2013），本项目属于重点关注的危险物质主要</w:t>
            </w:r>
            <w:r>
              <w:rPr>
                <w:rFonts w:hint="eastAsia"/>
                <w:color w:val="000000" w:themeColor="text1"/>
                <w:kern w:val="0"/>
                <w:sz w:val="24"/>
                <w:lang w:val="zh-CN" w:bidi="en-US"/>
                <w14:textFill>
                  <w14:solidFill>
                    <w14:schemeClr w14:val="tx1"/>
                  </w14:solidFill>
                </w14:textFill>
              </w:rPr>
              <w:t>为天然气、95%乙醇及危险废物。根据《建设项目环境风险评价技术导则》（HJ169-2018）附录B：</w:t>
            </w:r>
            <w:r>
              <w:rPr>
                <w:color w:val="000000" w:themeColor="text1"/>
                <w:kern w:val="0"/>
                <w:sz w:val="24"/>
                <w:lang w:val="zh-CN" w:bidi="en-US"/>
                <w14:textFill>
                  <w14:solidFill>
                    <w14:schemeClr w14:val="tx1"/>
                  </w14:solidFill>
                </w14:textFill>
              </w:rPr>
              <w:t xml:space="preserve"> </w:t>
            </w:r>
          </w:p>
          <w:p>
            <w:pPr>
              <w:spacing w:line="360" w:lineRule="auto"/>
              <w:ind w:firstLine="482"/>
              <w:rPr>
                <w:color w:val="000000" w:themeColor="text1"/>
                <w:kern w:val="0"/>
                <w:sz w:val="24"/>
                <w:lang w:val="zh-CN" w:bidi="en-US"/>
                <w14:textFill>
                  <w14:solidFill>
                    <w14:schemeClr w14:val="tx1"/>
                  </w14:solidFill>
                </w14:textFill>
              </w:rPr>
            </w:pPr>
            <w:r>
              <w:rPr>
                <w:rFonts w:hint="eastAsia" w:ascii="宋体" w:hAnsi="宋体" w:eastAsia="宋体" w:cs="宋体"/>
                <w:color w:val="000000" w:themeColor="text1"/>
                <w:kern w:val="0"/>
                <w:sz w:val="24"/>
                <w:lang w:val="zh-CN" w:bidi="en-US"/>
                <w14:textFill>
                  <w14:solidFill>
                    <w14:schemeClr w14:val="tx1"/>
                  </w14:solidFill>
                </w14:textFill>
              </w:rPr>
              <w:t>①</w:t>
            </w:r>
            <w:r>
              <w:rPr>
                <w:rFonts w:ascii="Times New Roman" w:hAnsi="Times New Roman"/>
                <w:color w:val="000000" w:themeColor="text1"/>
                <w:kern w:val="0"/>
                <w:sz w:val="24"/>
                <w:lang w:val="zh-CN" w:bidi="en-US"/>
                <w14:textFill>
                  <w14:solidFill>
                    <w14:schemeClr w14:val="tx1"/>
                  </w14:solidFill>
                </w14:textFill>
              </w:rPr>
              <w:t>本项目使用的天然气主要由园区管道统一输送提供，</w:t>
            </w:r>
            <w:r>
              <w:rPr>
                <w:rFonts w:hint="eastAsia" w:ascii="Times New Roman" w:hAnsi="Times New Roman"/>
                <w:color w:val="000000" w:themeColor="text1"/>
                <w:kern w:val="0"/>
                <w:sz w:val="24"/>
                <w:lang w:val="zh-CN" w:bidi="en-US"/>
                <w14:textFill>
                  <w14:solidFill>
                    <w14:schemeClr w14:val="tx1"/>
                  </w14:solidFill>
                </w14:textFill>
              </w:rPr>
              <w:t>本次评价使用天然气最大储存量按1天生产使用量约1420</w:t>
            </w:r>
            <w:r>
              <w:rPr>
                <w:rFonts w:ascii="Times New Roman" w:hAnsi="Times New Roman"/>
                <w:color w:val="000000" w:themeColor="text1"/>
                <w:kern w:val="0"/>
                <w:sz w:val="24"/>
                <w:lang w:val="zh-CN" w:bidi="en-US"/>
                <w14:textFill>
                  <w14:solidFill>
                    <w14:schemeClr w14:val="tx1"/>
                  </w14:solidFill>
                </w14:textFill>
              </w:rPr>
              <w:t>m</w:t>
            </w:r>
            <w:r>
              <w:rPr>
                <w:rFonts w:ascii="Times New Roman" w:hAnsi="Times New Roman"/>
                <w:color w:val="000000" w:themeColor="text1"/>
                <w:kern w:val="0"/>
                <w:sz w:val="24"/>
                <w:vertAlign w:val="superscript"/>
                <w:lang w:val="zh-CN" w:bidi="en-US"/>
                <w14:textFill>
                  <w14:solidFill>
                    <w14:schemeClr w14:val="tx1"/>
                  </w14:solidFill>
                </w14:textFill>
              </w:rPr>
              <w:t>3</w:t>
            </w:r>
            <w:r>
              <w:rPr>
                <w:rFonts w:hint="eastAsia" w:ascii="Times New Roman" w:hAnsi="Times New Roman"/>
                <w:color w:val="000000" w:themeColor="text1"/>
                <w:kern w:val="0"/>
                <w:sz w:val="24"/>
                <w:lang w:val="zh-CN" w:bidi="en-US"/>
                <w14:textFill>
                  <w14:solidFill>
                    <w14:schemeClr w14:val="tx1"/>
                  </w14:solidFill>
                </w14:textFill>
              </w:rPr>
              <w:t>计</w:t>
            </w:r>
            <w:r>
              <w:rPr>
                <w:rFonts w:ascii="Times New Roman" w:hAnsi="Times New Roman"/>
                <w:color w:val="000000" w:themeColor="text1"/>
                <w:kern w:val="0"/>
                <w:sz w:val="24"/>
                <w:lang w:val="zh-CN" w:bidi="en-US"/>
                <w14:textFill>
                  <w14:solidFill>
                    <w14:schemeClr w14:val="tx1"/>
                  </w14:solidFill>
                </w14:textFill>
              </w:rPr>
              <w:t>，根据天然气密度为0.8kg/m</w:t>
            </w:r>
            <w:r>
              <w:rPr>
                <w:rFonts w:ascii="Times New Roman" w:hAnsi="Times New Roman"/>
                <w:color w:val="000000" w:themeColor="text1"/>
                <w:kern w:val="0"/>
                <w:sz w:val="24"/>
                <w:vertAlign w:val="superscript"/>
                <w:lang w:val="zh-CN" w:bidi="en-US"/>
                <w14:textFill>
                  <w14:solidFill>
                    <w14:schemeClr w14:val="tx1"/>
                  </w14:solidFill>
                </w14:textFill>
              </w:rPr>
              <w:t>3</w:t>
            </w:r>
            <w:r>
              <w:rPr>
                <w:rFonts w:ascii="Times New Roman" w:hAnsi="Times New Roman"/>
                <w:color w:val="000000" w:themeColor="text1"/>
                <w:kern w:val="0"/>
                <w:sz w:val="24"/>
                <w:lang w:val="zh-CN" w:bidi="en-US"/>
                <w14:textFill>
                  <w14:solidFill>
                    <w14:schemeClr w14:val="tx1"/>
                  </w14:solidFill>
                </w14:textFill>
              </w:rPr>
              <w:t>，可核算出天然气</w:t>
            </w:r>
            <w:r>
              <w:rPr>
                <w:rFonts w:hint="eastAsia" w:ascii="Times New Roman" w:hAnsi="Times New Roman"/>
                <w:color w:val="000000" w:themeColor="text1"/>
                <w:kern w:val="0"/>
                <w:sz w:val="24"/>
                <w:lang w:val="zh-CN" w:bidi="en-US"/>
                <w14:textFill>
                  <w14:solidFill>
                    <w14:schemeClr w14:val="tx1"/>
                  </w14:solidFill>
                </w14:textFill>
              </w:rPr>
              <w:t>最大</w:t>
            </w:r>
            <w:r>
              <w:rPr>
                <w:rFonts w:ascii="Times New Roman" w:hAnsi="Times New Roman"/>
                <w:color w:val="000000" w:themeColor="text1"/>
                <w:kern w:val="0"/>
                <w:sz w:val="24"/>
                <w:lang w:val="zh-CN" w:bidi="en-US"/>
                <w14:textFill>
                  <w14:solidFill>
                    <w14:schemeClr w14:val="tx1"/>
                  </w14:solidFill>
                </w14:textFill>
              </w:rPr>
              <w:t>存量</w:t>
            </w:r>
            <w:r>
              <w:rPr>
                <w:rFonts w:hint="eastAsia"/>
                <w:color w:val="000000" w:themeColor="text1"/>
                <w:kern w:val="0"/>
                <w:sz w:val="24"/>
                <w:lang w:val="zh-CN" w:bidi="en-US"/>
                <w14:textFill>
                  <w14:solidFill>
                    <w14:schemeClr w14:val="tx1"/>
                  </w14:solidFill>
                </w14:textFill>
              </w:rPr>
              <w:t>为1.136t，临界量参照石油气推荐临界量10t。</w:t>
            </w:r>
          </w:p>
          <w:p>
            <w:pPr>
              <w:spacing w:line="360" w:lineRule="auto"/>
              <w:ind w:firstLine="482"/>
              <w:rPr>
                <w:color w:val="000000" w:themeColor="text1"/>
                <w:kern w:val="0"/>
                <w:sz w:val="24"/>
                <w:lang w:val="zh-CN" w:bidi="en-US"/>
                <w14:textFill>
                  <w14:solidFill>
                    <w14:schemeClr w14:val="tx1"/>
                  </w14:solidFill>
                </w14:textFill>
              </w:rPr>
            </w:pPr>
            <w:r>
              <w:rPr>
                <w:rFonts w:hint="eastAsia"/>
                <w:color w:val="000000" w:themeColor="text1"/>
                <w:kern w:val="0"/>
                <w:sz w:val="24"/>
                <w:lang w:val="zh-CN" w:bidi="en-US"/>
                <w14:textFill>
                  <w14:solidFill>
                    <w14:schemeClr w14:val="tx1"/>
                  </w14:solidFill>
                </w14:textFill>
              </w:rPr>
              <w:t>②95%乙醇最大存量为20t（酒精储罐区9t、生产厂房11t），临界量为500t。</w:t>
            </w:r>
          </w:p>
          <w:p>
            <w:pPr>
              <w:spacing w:line="360" w:lineRule="auto"/>
              <w:ind w:firstLine="482"/>
              <w:rPr>
                <w:color w:val="000000" w:themeColor="text1"/>
                <w:kern w:val="0"/>
                <w:sz w:val="24"/>
                <w:lang w:val="zh-CN" w:bidi="en-US"/>
                <w14:textFill>
                  <w14:solidFill>
                    <w14:schemeClr w14:val="tx1"/>
                  </w14:solidFill>
                </w14:textFill>
              </w:rPr>
            </w:pPr>
            <w:r>
              <w:rPr>
                <w:rFonts w:hint="eastAsia"/>
                <w:color w:val="000000" w:themeColor="text1"/>
                <w:kern w:val="0"/>
                <w:sz w:val="24"/>
                <w:lang w:val="zh-CN" w:bidi="en-US"/>
                <w14:textFill>
                  <w14:solidFill>
                    <w14:schemeClr w14:val="tx1"/>
                  </w14:solidFill>
                </w14:textFill>
              </w:rPr>
              <w:t>③</w:t>
            </w:r>
            <w:r>
              <w:rPr>
                <w:color w:val="000000" w:themeColor="text1"/>
                <w:kern w:val="0"/>
                <w:sz w:val="24"/>
                <w:lang w:val="zh-CN" w:bidi="en-US"/>
                <w14:textFill>
                  <w14:solidFill>
                    <w14:schemeClr w14:val="tx1"/>
                  </w14:solidFill>
                </w14:textFill>
              </w:rPr>
              <w:t>危险废物</w:t>
            </w:r>
            <w:r>
              <w:rPr>
                <w:rFonts w:hint="eastAsia"/>
                <w:color w:val="000000" w:themeColor="text1"/>
                <w:kern w:val="0"/>
                <w:sz w:val="24"/>
                <w:lang w:val="zh-CN" w:bidi="en-US"/>
                <w14:textFill>
                  <w14:solidFill>
                    <w14:schemeClr w14:val="tx1"/>
                  </w14:solidFill>
                </w14:textFill>
              </w:rPr>
              <w:t>废滤芯、废树脂最大存量为0.52</w:t>
            </w:r>
            <w:r>
              <w:rPr>
                <w:color w:val="000000" w:themeColor="text1"/>
                <w:kern w:val="0"/>
                <w:sz w:val="24"/>
                <w:lang w:val="zh-CN" w:bidi="en-US"/>
                <w14:textFill>
                  <w14:solidFill>
                    <w14:schemeClr w14:val="tx1"/>
                  </w14:solidFill>
                </w14:textFill>
              </w:rPr>
              <w:t>，</w:t>
            </w:r>
            <w:r>
              <w:rPr>
                <w:rFonts w:hint="eastAsia"/>
                <w:color w:val="000000" w:themeColor="text1"/>
                <w:kern w:val="0"/>
                <w:sz w:val="24"/>
                <w:lang w:val="zh-CN" w:bidi="en-US"/>
                <w14:textFill>
                  <w14:solidFill>
                    <w14:schemeClr w14:val="tx1"/>
                  </w14:solidFill>
                </w14:textFill>
              </w:rPr>
              <w:t>根据其危险特性，具有毒性，</w:t>
            </w:r>
            <w:r>
              <w:rPr>
                <w:color w:val="000000" w:themeColor="text1"/>
                <w:kern w:val="0"/>
                <w:sz w:val="24"/>
                <w:lang w:val="zh-CN" w:bidi="en-US"/>
                <w14:textFill>
                  <w14:solidFill>
                    <w14:schemeClr w14:val="tx1"/>
                  </w14:solidFill>
                </w14:textFill>
              </w:rPr>
              <w:t>临界量参照健康危害急性毒性物质（类别2、类别3）推荐临界量50t。</w:t>
            </w:r>
          </w:p>
          <w:p>
            <w:pPr>
              <w:pStyle w:val="76"/>
              <w:numPr>
                <w:ilvl w:val="0"/>
                <w:numId w:val="10"/>
              </w:numPr>
              <w:ind w:left="0" w:firstLine="480"/>
              <w:rPr>
                <w:color w:val="000000" w:themeColor="text1"/>
                <w14:textFill>
                  <w14:solidFill>
                    <w14:schemeClr w14:val="tx1"/>
                  </w14:solidFill>
                </w14:textFill>
              </w:rPr>
            </w:pPr>
            <w:r>
              <w:rPr>
                <w:color w:val="000000" w:themeColor="text1"/>
                <w14:textFill>
                  <w14:solidFill>
                    <w14:schemeClr w14:val="tx1"/>
                  </w14:solidFill>
                </w14:textFill>
              </w:rPr>
              <w:t>本项目Q值确定</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83"/>
              <w:gridCol w:w="2639"/>
              <w:gridCol w:w="1787"/>
              <w:gridCol w:w="2302"/>
              <w:gridCol w:w="2793"/>
              <w:gridCol w:w="31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0" w:hRule="atLeast"/>
                <w:jc w:val="center"/>
              </w:trPr>
              <w:tc>
                <w:tcPr>
                  <w:tcW w:w="256"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988"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危险物质名称</w:t>
                  </w:r>
                </w:p>
              </w:tc>
              <w:tc>
                <w:tcPr>
                  <w:tcW w:w="669"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CAS号</w:t>
                  </w:r>
                </w:p>
              </w:tc>
              <w:tc>
                <w:tcPr>
                  <w:tcW w:w="862"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最大存在总量q</w:t>
                  </w:r>
                  <w:r>
                    <w:rPr>
                      <w:color w:val="000000" w:themeColor="text1"/>
                      <w:vertAlign w:val="subscript"/>
                      <w14:textFill>
                        <w14:solidFill>
                          <w14:schemeClr w14:val="tx1"/>
                        </w14:solidFill>
                      </w14:textFill>
                    </w:rPr>
                    <w:t>n</w:t>
                  </w:r>
                  <w:r>
                    <w:rPr>
                      <w:color w:val="000000" w:themeColor="text1"/>
                      <w14:textFill>
                        <w14:solidFill>
                          <w14:schemeClr w14:val="tx1"/>
                        </w14:solidFill>
                      </w14:textFill>
                    </w:rPr>
                    <w:t>（t）</w:t>
                  </w:r>
                </w:p>
              </w:tc>
              <w:tc>
                <w:tcPr>
                  <w:tcW w:w="1045"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临界量Q</w:t>
                  </w:r>
                  <w:r>
                    <w:rPr>
                      <w:color w:val="000000" w:themeColor="text1"/>
                      <w:vertAlign w:val="subscript"/>
                      <w14:textFill>
                        <w14:solidFill>
                          <w14:schemeClr w14:val="tx1"/>
                        </w14:solidFill>
                      </w14:textFill>
                    </w:rPr>
                    <w:t>n</w:t>
                  </w:r>
                  <w:r>
                    <w:rPr>
                      <w:color w:val="000000" w:themeColor="text1"/>
                      <w14:textFill>
                        <w14:solidFill>
                          <w14:schemeClr w14:val="tx1"/>
                        </w14:solidFill>
                      </w14:textFill>
                    </w:rPr>
                    <w:t>（t）</w:t>
                  </w:r>
                </w:p>
              </w:tc>
              <w:tc>
                <w:tcPr>
                  <w:tcW w:w="1179" w:type="pct"/>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该种危险物质Q值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5" w:hRule="atLeast"/>
                <w:jc w:val="center"/>
              </w:trPr>
              <w:tc>
                <w:tcPr>
                  <w:tcW w:w="256" w:type="pct"/>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988" w:type="pct"/>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天然气</w:t>
                  </w:r>
                </w:p>
              </w:tc>
              <w:tc>
                <w:tcPr>
                  <w:tcW w:w="669" w:type="pct"/>
                  <w:vAlign w:val="center"/>
                </w:tcPr>
                <w:p>
                  <w:pPr>
                    <w:pStyle w:val="55"/>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62" w:type="pct"/>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1.136</w:t>
                  </w:r>
                </w:p>
              </w:tc>
              <w:tc>
                <w:tcPr>
                  <w:tcW w:w="1045" w:type="pct"/>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179" w:type="pct"/>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0.1136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65" w:hRule="atLeast"/>
                <w:jc w:val="center"/>
              </w:trPr>
              <w:tc>
                <w:tcPr>
                  <w:tcW w:w="256" w:type="pct"/>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988" w:type="pct"/>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乙醇</w:t>
                  </w:r>
                </w:p>
              </w:tc>
              <w:tc>
                <w:tcPr>
                  <w:tcW w:w="669" w:type="pct"/>
                  <w:vAlign w:val="center"/>
                </w:tcPr>
                <w:p>
                  <w:pPr>
                    <w:pStyle w:val="55"/>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64-17-5</w:t>
                  </w:r>
                </w:p>
              </w:tc>
              <w:tc>
                <w:tcPr>
                  <w:tcW w:w="862" w:type="pct"/>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1045" w:type="pct"/>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500</w:t>
                  </w:r>
                </w:p>
              </w:tc>
              <w:tc>
                <w:tcPr>
                  <w:tcW w:w="1179" w:type="pct"/>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0" w:hRule="atLeast"/>
                <w:jc w:val="center"/>
              </w:trPr>
              <w:tc>
                <w:tcPr>
                  <w:tcW w:w="256" w:type="pct"/>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988" w:type="pct"/>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废滤芯、废树脂</w:t>
                  </w:r>
                </w:p>
              </w:tc>
              <w:tc>
                <w:tcPr>
                  <w:tcW w:w="669" w:type="pct"/>
                  <w:vAlign w:val="center"/>
                </w:tcPr>
                <w:p>
                  <w:pPr>
                    <w:pStyle w:val="55"/>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862" w:type="pct"/>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0.52</w:t>
                  </w:r>
                </w:p>
              </w:tc>
              <w:tc>
                <w:tcPr>
                  <w:tcW w:w="1045" w:type="pct"/>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1179" w:type="pct"/>
                  <w:vAlign w:val="center"/>
                </w:tcPr>
                <w:p>
                  <w:pPr>
                    <w:pStyle w:val="66"/>
                    <w:rPr>
                      <w:color w:val="000000" w:themeColor="text1"/>
                      <w14:textFill>
                        <w14:solidFill>
                          <w14:schemeClr w14:val="tx1"/>
                        </w14:solidFill>
                      </w14:textFill>
                    </w:rPr>
                  </w:pPr>
                  <w:r>
                    <w:rPr>
                      <w:rFonts w:hint="eastAsia"/>
                      <w:color w:val="000000" w:themeColor="text1"/>
                      <w14:textFill>
                        <w14:solidFill>
                          <w14:schemeClr w14:val="tx1"/>
                        </w14:solidFill>
                      </w14:textFill>
                    </w:rPr>
                    <w:t>0.0104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0" w:hRule="atLeast"/>
                <w:jc w:val="center"/>
              </w:trPr>
              <w:tc>
                <w:tcPr>
                  <w:tcW w:w="3821" w:type="pct"/>
                  <w:gridSpan w:val="5"/>
                  <w:vAlign w:val="center"/>
                </w:tcPr>
                <w:p>
                  <w:pPr>
                    <w:pStyle w:val="66"/>
                    <w:rPr>
                      <w:color w:val="000000" w:themeColor="text1"/>
                      <w14:textFill>
                        <w14:solidFill>
                          <w14:schemeClr w14:val="tx1"/>
                        </w14:solidFill>
                      </w14:textFill>
                    </w:rPr>
                  </w:pPr>
                  <w:r>
                    <w:rPr>
                      <w:color w:val="000000" w:themeColor="text1"/>
                      <w14:textFill>
                        <w14:solidFill>
                          <w14:schemeClr w14:val="tx1"/>
                        </w14:solidFill>
                      </w14:textFill>
                    </w:rPr>
                    <w:t>项目Q值∑</w:t>
                  </w:r>
                </w:p>
              </w:tc>
              <w:tc>
                <w:tcPr>
                  <w:tcW w:w="1179"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0.164</w:t>
                  </w:r>
                </w:p>
              </w:tc>
            </w:tr>
          </w:tbl>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根据《建设项目环境风险评价技术导则》（HJ169-2018）附录C，本项目属于Q＜1，项目环境风险潜势可直接判定为</w:t>
            </w:r>
            <w:r>
              <w:rPr>
                <w:rFonts w:hint="eastAsia"/>
                <w:color w:val="000000" w:themeColor="text1"/>
                <w:sz w:val="24"/>
                <w14:textFill>
                  <w14:solidFill>
                    <w14:schemeClr w14:val="tx1"/>
                  </w14:solidFill>
                </w14:textFill>
              </w:rPr>
              <w:t>Ⅰ</w:t>
            </w:r>
            <w:r>
              <w:rPr>
                <w:color w:val="000000" w:themeColor="text1"/>
                <w:sz w:val="24"/>
                <w14:textFill>
                  <w14:solidFill>
                    <w14:schemeClr w14:val="tx1"/>
                  </w14:solidFill>
                </w14:textFill>
              </w:rPr>
              <w:t>。</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3）项目环境风险评价工作等级</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本项目环境风险评价工作等级为简单分析。</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（2）环境敏感目标</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color w:val="000000" w:themeColor="text1"/>
                <w:sz w:val="24"/>
                <w14:textFill>
                  <w14:solidFill>
                    <w14:schemeClr w14:val="tx1"/>
                  </w14:solidFill>
                </w14:textFill>
              </w:rPr>
              <w:t>本项目周边主要环境敏感目标分布具体见</w:t>
            </w:r>
            <w:r>
              <w:rPr>
                <w:rFonts w:ascii="Times New Roman" w:hAnsi="Times New Roman"/>
                <w:color w:val="000000" w:themeColor="text1"/>
                <w:sz w:val="24"/>
                <w14:textFill>
                  <w14:solidFill>
                    <w14:schemeClr w14:val="tx1"/>
                  </w14:solidFill>
                </w14:textFill>
              </w:rPr>
              <w:t>表3-7。</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3</w:t>
            </w:r>
            <w:r>
              <w:rPr>
                <w:rFonts w:ascii="Times New Roman" w:hAnsi="Times New Roman"/>
                <w:color w:val="000000" w:themeColor="text1"/>
                <w:sz w:val="24"/>
                <w14:textFill>
                  <w14:solidFill>
                    <w14:schemeClr w14:val="tx1"/>
                  </w14:solidFill>
                </w14:textFill>
              </w:rPr>
              <w:t>）环境风险识别</w:t>
            </w:r>
          </w:p>
          <w:p>
            <w:pPr>
              <w:adjustRightInd w:val="0"/>
              <w:snapToGrid w:val="0"/>
              <w:spacing w:line="360" w:lineRule="auto"/>
              <w:ind w:firstLine="480" w:firstLineChars="20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根据建设项目的原辅材料、主要生产物质、环境影响途径等，</w:t>
            </w:r>
            <w:r>
              <w:rPr>
                <w:rFonts w:hint="eastAsia" w:ascii="Times New Roman" w:hAnsi="Times New Roman"/>
                <w:color w:val="000000" w:themeColor="text1"/>
                <w:kern w:val="0"/>
                <w:sz w:val="24"/>
                <w14:textFill>
                  <w14:solidFill>
                    <w14:schemeClr w14:val="tx1"/>
                  </w14:solidFill>
                </w14:textFill>
              </w:rPr>
              <w:t>乙醇属于易燃液体</w:t>
            </w:r>
            <w:r>
              <w:rPr>
                <w:rFonts w:ascii="Times New Roman" w:hAnsi="Times New Roman"/>
                <w:color w:val="000000" w:themeColor="text1"/>
                <w:kern w:val="0"/>
                <w:sz w:val="24"/>
                <w14:textFill>
                  <w14:solidFill>
                    <w14:schemeClr w14:val="tx1"/>
                  </w14:solidFill>
                </w14:textFill>
              </w:rPr>
              <w:t>，因此确定本项目环境风险类型见下表。</w:t>
            </w:r>
          </w:p>
          <w:p>
            <w:pPr>
              <w:pStyle w:val="76"/>
              <w:numPr>
                <w:ilvl w:val="0"/>
                <w:numId w:val="10"/>
              </w:numPr>
              <w:ind w:left="0" w:firstLine="0"/>
              <w:rPr>
                <w:color w:val="000000" w:themeColor="text1"/>
                <w14:textFill>
                  <w14:solidFill>
                    <w14:schemeClr w14:val="tx1"/>
                  </w14:solidFill>
                </w14:textFill>
              </w:rPr>
            </w:pPr>
            <w:r>
              <w:rPr>
                <w:color w:val="000000" w:themeColor="text1"/>
                <w14:textFill>
                  <w14:solidFill>
                    <w14:schemeClr w14:val="tx1"/>
                  </w14:solidFill>
                </w14:textFill>
              </w:rPr>
              <w:t>建设项目环境风险识别表</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9"/>
              <w:gridCol w:w="1298"/>
              <w:gridCol w:w="1562"/>
              <w:gridCol w:w="2692"/>
              <w:gridCol w:w="1560"/>
              <w:gridCol w:w="1872"/>
              <w:gridCol w:w="2238"/>
              <w:gridCol w:w="12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33" w:type="pct"/>
                  <w:shd w:val="clear" w:color="auto" w:fill="auto"/>
                  <w:vAlign w:val="center"/>
                </w:tcPr>
                <w:p>
                  <w:pPr>
                    <w:autoSpaceDE w:val="0"/>
                    <w:autoSpaceDN w:val="0"/>
                    <w:adjustRightInd w:val="0"/>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序号</w:t>
                  </w:r>
                </w:p>
              </w:tc>
              <w:tc>
                <w:tcPr>
                  <w:tcW w:w="486" w:type="pct"/>
                  <w:shd w:val="clear" w:color="auto" w:fill="auto"/>
                  <w:vAlign w:val="center"/>
                </w:tcPr>
                <w:p>
                  <w:pPr>
                    <w:autoSpaceDE w:val="0"/>
                    <w:autoSpaceDN w:val="0"/>
                    <w:adjustRightInd w:val="0"/>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危险单元</w:t>
                  </w:r>
                </w:p>
              </w:tc>
              <w:tc>
                <w:tcPr>
                  <w:tcW w:w="585" w:type="pct"/>
                  <w:shd w:val="clear" w:color="auto" w:fill="auto"/>
                  <w:vAlign w:val="center"/>
                </w:tcPr>
                <w:p>
                  <w:pPr>
                    <w:autoSpaceDE w:val="0"/>
                    <w:autoSpaceDN w:val="0"/>
                    <w:adjustRightInd w:val="0"/>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风险源</w:t>
                  </w:r>
                </w:p>
              </w:tc>
              <w:tc>
                <w:tcPr>
                  <w:tcW w:w="1008" w:type="pct"/>
                  <w:shd w:val="clear" w:color="auto" w:fill="auto"/>
                  <w:vAlign w:val="center"/>
                </w:tcPr>
                <w:p>
                  <w:pPr>
                    <w:autoSpaceDE w:val="0"/>
                    <w:autoSpaceDN w:val="0"/>
                    <w:adjustRightInd w:val="0"/>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主要危险物质</w:t>
                  </w:r>
                </w:p>
              </w:tc>
              <w:tc>
                <w:tcPr>
                  <w:tcW w:w="584" w:type="pct"/>
                  <w:shd w:val="clear" w:color="auto" w:fill="auto"/>
                  <w:vAlign w:val="center"/>
                </w:tcPr>
                <w:p>
                  <w:pPr>
                    <w:autoSpaceDE w:val="0"/>
                    <w:autoSpaceDN w:val="0"/>
                    <w:adjustRightInd w:val="0"/>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环境风险类型</w:t>
                  </w:r>
                </w:p>
              </w:tc>
              <w:tc>
                <w:tcPr>
                  <w:tcW w:w="701" w:type="pct"/>
                  <w:shd w:val="clear" w:color="auto" w:fill="auto"/>
                  <w:vAlign w:val="center"/>
                </w:tcPr>
                <w:p>
                  <w:pPr>
                    <w:autoSpaceDE w:val="0"/>
                    <w:autoSpaceDN w:val="0"/>
                    <w:adjustRightInd w:val="0"/>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环境影响途径</w:t>
                  </w:r>
                </w:p>
              </w:tc>
              <w:tc>
                <w:tcPr>
                  <w:tcW w:w="838" w:type="pct"/>
                  <w:shd w:val="clear" w:color="auto" w:fill="auto"/>
                  <w:vAlign w:val="center"/>
                </w:tcPr>
                <w:p>
                  <w:pPr>
                    <w:autoSpaceDE w:val="0"/>
                    <w:autoSpaceDN w:val="0"/>
                    <w:adjustRightInd w:val="0"/>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可能受影响的环境敏感目标</w:t>
                  </w:r>
                </w:p>
              </w:tc>
              <w:tc>
                <w:tcPr>
                  <w:tcW w:w="465" w:type="pct"/>
                  <w:shd w:val="clear" w:color="auto" w:fill="auto"/>
                  <w:vAlign w:val="center"/>
                </w:tcPr>
                <w:p>
                  <w:pPr>
                    <w:autoSpaceDE w:val="0"/>
                    <w:autoSpaceDN w:val="0"/>
                    <w:adjustRightInd w:val="0"/>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33"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1</w:t>
                  </w:r>
                </w:p>
              </w:tc>
              <w:tc>
                <w:tcPr>
                  <w:tcW w:w="486" w:type="pct"/>
                  <w:vMerge w:val="restar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生产车间</w:t>
                  </w:r>
                </w:p>
              </w:tc>
              <w:tc>
                <w:tcPr>
                  <w:tcW w:w="585"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电线老化</w:t>
                  </w:r>
                </w:p>
              </w:tc>
              <w:tc>
                <w:tcPr>
                  <w:tcW w:w="1008"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原料、成品、天然气</w:t>
                  </w:r>
                  <w:r>
                    <w:rPr>
                      <w:rFonts w:hint="eastAsia" w:ascii="Times New Roman" w:hAnsi="Times New Roman"/>
                      <w:color w:val="000000" w:themeColor="text1"/>
                      <w:kern w:val="0"/>
                      <w:szCs w:val="21"/>
                      <w14:textFill>
                        <w14:solidFill>
                          <w14:schemeClr w14:val="tx1"/>
                        </w14:solidFill>
                      </w14:textFill>
                    </w:rPr>
                    <w:t>、95%乙醇</w:t>
                  </w:r>
                </w:p>
              </w:tc>
              <w:tc>
                <w:tcPr>
                  <w:tcW w:w="584"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火灾、爆炸</w:t>
                  </w:r>
                </w:p>
              </w:tc>
              <w:tc>
                <w:tcPr>
                  <w:tcW w:w="701" w:type="pct"/>
                  <w:shd w:val="clear" w:color="auto" w:fill="auto"/>
                  <w:vAlign w:val="center"/>
                </w:tcPr>
                <w:p>
                  <w:pPr>
                    <w:autoSpaceDE w:val="0"/>
                    <w:autoSpaceDN w:val="0"/>
                    <w:adjustRightInd w:val="0"/>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火灾、爆炸</w:t>
                  </w:r>
                </w:p>
              </w:tc>
              <w:tc>
                <w:tcPr>
                  <w:tcW w:w="838" w:type="pct"/>
                  <w:shd w:val="clear" w:color="auto" w:fill="auto"/>
                  <w:vAlign w:val="center"/>
                </w:tcPr>
                <w:p>
                  <w:pPr>
                    <w:autoSpaceDE w:val="0"/>
                    <w:autoSpaceDN w:val="0"/>
                    <w:adjustRightInd w:val="0"/>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水体污染、大气污染</w:t>
                  </w:r>
                </w:p>
              </w:tc>
              <w:tc>
                <w:tcPr>
                  <w:tcW w:w="465"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33"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2</w:t>
                  </w:r>
                </w:p>
              </w:tc>
              <w:tc>
                <w:tcPr>
                  <w:tcW w:w="486" w:type="pct"/>
                  <w:vMerge w:val="continue"/>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p>
              </w:tc>
              <w:tc>
                <w:tcPr>
                  <w:tcW w:w="585"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袋式除尘器</w:t>
                  </w:r>
                </w:p>
              </w:tc>
              <w:tc>
                <w:tcPr>
                  <w:tcW w:w="1008"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粉尘颗粒物</w:t>
                  </w:r>
                </w:p>
              </w:tc>
              <w:tc>
                <w:tcPr>
                  <w:tcW w:w="584"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事故排放</w:t>
                  </w:r>
                </w:p>
              </w:tc>
              <w:tc>
                <w:tcPr>
                  <w:tcW w:w="701" w:type="pct"/>
                  <w:shd w:val="clear" w:color="auto" w:fill="auto"/>
                  <w:vAlign w:val="center"/>
                </w:tcPr>
                <w:p>
                  <w:pPr>
                    <w:autoSpaceDE w:val="0"/>
                    <w:autoSpaceDN w:val="0"/>
                    <w:adjustRightInd w:val="0"/>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非正常运行/停用</w:t>
                  </w:r>
                </w:p>
              </w:tc>
              <w:tc>
                <w:tcPr>
                  <w:tcW w:w="838" w:type="pct"/>
                  <w:shd w:val="clear" w:color="auto" w:fill="auto"/>
                  <w:vAlign w:val="center"/>
                </w:tcPr>
                <w:p>
                  <w:pPr>
                    <w:autoSpaceDE w:val="0"/>
                    <w:autoSpaceDN w:val="0"/>
                    <w:adjustRightInd w:val="0"/>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大气污染</w:t>
                  </w:r>
                </w:p>
              </w:tc>
              <w:tc>
                <w:tcPr>
                  <w:tcW w:w="465"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33"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3</w:t>
                  </w:r>
                </w:p>
              </w:tc>
              <w:tc>
                <w:tcPr>
                  <w:tcW w:w="486"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储罐区</w:t>
                  </w:r>
                </w:p>
              </w:tc>
              <w:tc>
                <w:tcPr>
                  <w:tcW w:w="585"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乙醇储罐</w:t>
                  </w:r>
                </w:p>
              </w:tc>
              <w:tc>
                <w:tcPr>
                  <w:tcW w:w="1008"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95%乙醇</w:t>
                  </w:r>
                </w:p>
              </w:tc>
              <w:tc>
                <w:tcPr>
                  <w:tcW w:w="584"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火灾、爆炸</w:t>
                  </w:r>
                </w:p>
              </w:tc>
              <w:tc>
                <w:tcPr>
                  <w:tcW w:w="701" w:type="pct"/>
                  <w:shd w:val="clear" w:color="auto" w:fill="auto"/>
                  <w:vAlign w:val="center"/>
                </w:tcPr>
                <w:p>
                  <w:pPr>
                    <w:autoSpaceDE w:val="0"/>
                    <w:autoSpaceDN w:val="0"/>
                    <w:adjustRightInd w:val="0"/>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火灾、爆炸</w:t>
                  </w:r>
                </w:p>
              </w:tc>
              <w:tc>
                <w:tcPr>
                  <w:tcW w:w="838" w:type="pct"/>
                  <w:shd w:val="clear" w:color="auto" w:fill="auto"/>
                  <w:vAlign w:val="center"/>
                </w:tcPr>
                <w:p>
                  <w:pPr>
                    <w:autoSpaceDE w:val="0"/>
                    <w:autoSpaceDN w:val="0"/>
                    <w:adjustRightInd w:val="0"/>
                    <w:jc w:val="left"/>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水体污染、大气污染</w:t>
                  </w:r>
                </w:p>
              </w:tc>
              <w:tc>
                <w:tcPr>
                  <w:tcW w:w="465"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 w:hRule="atLeast"/>
                <w:jc w:val="center"/>
              </w:trPr>
              <w:tc>
                <w:tcPr>
                  <w:tcW w:w="333"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4</w:t>
                  </w:r>
                </w:p>
              </w:tc>
              <w:tc>
                <w:tcPr>
                  <w:tcW w:w="486"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污水处理站</w:t>
                  </w:r>
                </w:p>
              </w:tc>
              <w:tc>
                <w:tcPr>
                  <w:tcW w:w="585"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污水处理设施</w:t>
                  </w:r>
                </w:p>
              </w:tc>
              <w:tc>
                <w:tcPr>
                  <w:tcW w:w="1008"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生产废水</w:t>
                  </w:r>
                </w:p>
              </w:tc>
              <w:tc>
                <w:tcPr>
                  <w:tcW w:w="584"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事故排放</w:t>
                  </w:r>
                </w:p>
              </w:tc>
              <w:tc>
                <w:tcPr>
                  <w:tcW w:w="701" w:type="pct"/>
                  <w:shd w:val="clear" w:color="auto" w:fill="auto"/>
                  <w:vAlign w:val="center"/>
                </w:tcPr>
                <w:p>
                  <w:pPr>
                    <w:autoSpaceDE w:val="0"/>
                    <w:autoSpaceDN w:val="0"/>
                    <w:adjustRightInd w:val="0"/>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非正常运行/停用</w:t>
                  </w:r>
                </w:p>
              </w:tc>
              <w:tc>
                <w:tcPr>
                  <w:tcW w:w="838" w:type="pct"/>
                  <w:shd w:val="clear" w:color="auto" w:fill="auto"/>
                  <w:vAlign w:val="center"/>
                </w:tcPr>
                <w:p>
                  <w:pPr>
                    <w:autoSpaceDE w:val="0"/>
                    <w:autoSpaceDN w:val="0"/>
                    <w:adjustRightInd w:val="0"/>
                    <w:jc w:val="left"/>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水体污染、土壤污染</w:t>
                  </w:r>
                </w:p>
              </w:tc>
              <w:tc>
                <w:tcPr>
                  <w:tcW w:w="465"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333"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hint="eastAsia" w:ascii="Times New Roman" w:hAnsi="Times New Roman"/>
                      <w:color w:val="000000" w:themeColor="text1"/>
                      <w:kern w:val="0"/>
                      <w:szCs w:val="21"/>
                      <w14:textFill>
                        <w14:solidFill>
                          <w14:schemeClr w14:val="tx1"/>
                        </w14:solidFill>
                      </w14:textFill>
                    </w:rPr>
                    <w:t>5</w:t>
                  </w:r>
                </w:p>
              </w:tc>
              <w:tc>
                <w:tcPr>
                  <w:tcW w:w="486"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hint="eastAsia" w:ascii="Times New Roman" w:hAnsi="Times New Roman"/>
                      <w:color w:val="000000" w:themeColor="text1"/>
                      <w:kern w:val="0"/>
                      <w:szCs w:val="21"/>
                      <w14:textFill>
                        <w14:solidFill>
                          <w14:schemeClr w14:val="tx1"/>
                        </w14:solidFill>
                      </w14:textFill>
                    </w:rPr>
                    <w:t>危废暂存区</w:t>
                  </w:r>
                </w:p>
              </w:tc>
              <w:tc>
                <w:tcPr>
                  <w:tcW w:w="585"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color w:val="000000" w:themeColor="text1"/>
                      <w14:textFill>
                        <w14:solidFill>
                          <w14:schemeClr w14:val="tx1"/>
                        </w14:solidFill>
                      </w14:textFill>
                    </w:rPr>
                    <w:t>危废桶</w:t>
                  </w:r>
                </w:p>
              </w:tc>
              <w:tc>
                <w:tcPr>
                  <w:tcW w:w="1008"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hint="eastAsia" w:ascii="Times New Roman" w:hAnsi="Times New Roman"/>
                      <w:color w:val="000000" w:themeColor="text1"/>
                      <w:kern w:val="0"/>
                      <w:szCs w:val="21"/>
                      <w14:textFill>
                        <w14:solidFill>
                          <w14:schemeClr w14:val="tx1"/>
                        </w14:solidFill>
                      </w14:textFill>
                    </w:rPr>
                    <w:t>废树脂、废滤芯</w:t>
                  </w:r>
                </w:p>
              </w:tc>
              <w:tc>
                <w:tcPr>
                  <w:tcW w:w="584"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color w:val="000000" w:themeColor="text1"/>
                      <w14:textFill>
                        <w14:solidFill>
                          <w14:schemeClr w14:val="tx1"/>
                        </w14:solidFill>
                      </w14:textFill>
                    </w:rPr>
                    <w:t>危废泄露</w:t>
                  </w:r>
                </w:p>
              </w:tc>
              <w:tc>
                <w:tcPr>
                  <w:tcW w:w="701" w:type="pct"/>
                  <w:shd w:val="clear" w:color="auto" w:fill="auto"/>
                  <w:vAlign w:val="center"/>
                </w:tcPr>
                <w:p>
                  <w:pPr>
                    <w:autoSpaceDE w:val="0"/>
                    <w:autoSpaceDN w:val="0"/>
                    <w:adjustRightInd w:val="0"/>
                    <w:rPr>
                      <w:rFonts w:ascii="Times New Roman" w:hAnsi="Times New Roman"/>
                      <w:color w:val="000000" w:themeColor="text1"/>
                      <w:kern w:val="0"/>
                      <w:szCs w:val="21"/>
                      <w14:textFill>
                        <w14:solidFill>
                          <w14:schemeClr w14:val="tx1"/>
                        </w14:solidFill>
                      </w14:textFill>
                    </w:rPr>
                  </w:pPr>
                  <w:r>
                    <w:rPr>
                      <w:color w:val="000000" w:themeColor="text1"/>
                      <w14:textFill>
                        <w14:solidFill>
                          <w14:schemeClr w14:val="tx1"/>
                        </w14:solidFill>
                      </w14:textFill>
                    </w:rPr>
                    <w:t>雨水径流或泄露</w:t>
                  </w:r>
                </w:p>
              </w:tc>
              <w:tc>
                <w:tcPr>
                  <w:tcW w:w="838" w:type="pct"/>
                  <w:shd w:val="clear" w:color="auto" w:fill="auto"/>
                  <w:vAlign w:val="center"/>
                </w:tcPr>
                <w:p>
                  <w:pPr>
                    <w:autoSpaceDE w:val="0"/>
                    <w:autoSpaceDN w:val="0"/>
                    <w:adjustRightInd w:val="0"/>
                    <w:jc w:val="left"/>
                    <w:rPr>
                      <w:rFonts w:ascii="Times New Roman" w:hAnsi="Times New Roman"/>
                      <w:color w:val="000000" w:themeColor="text1"/>
                      <w:kern w:val="0"/>
                      <w:szCs w:val="21"/>
                      <w14:textFill>
                        <w14:solidFill>
                          <w14:schemeClr w14:val="tx1"/>
                        </w14:solidFill>
                      </w14:textFill>
                    </w:rPr>
                  </w:pPr>
                  <w:r>
                    <w:rPr>
                      <w:color w:val="000000" w:themeColor="text1"/>
                      <w14:textFill>
                        <w14:solidFill>
                          <w14:schemeClr w14:val="tx1"/>
                        </w14:solidFill>
                      </w14:textFill>
                    </w:rPr>
                    <w:t>水体污染、土壤污染</w:t>
                  </w:r>
                </w:p>
              </w:tc>
              <w:tc>
                <w:tcPr>
                  <w:tcW w:w="465" w:type="pct"/>
                  <w:shd w:val="clear" w:color="auto" w:fill="auto"/>
                  <w:vAlign w:val="center"/>
                </w:tcPr>
                <w:p>
                  <w:pPr>
                    <w:autoSpaceDE w:val="0"/>
                    <w:autoSpaceDN w:val="0"/>
                    <w:adjustRightInd w:val="0"/>
                    <w:jc w:val="center"/>
                    <w:rPr>
                      <w:rFonts w:ascii="Times New Roman" w:hAnsi="Times New Roman"/>
                      <w:color w:val="000000" w:themeColor="text1"/>
                      <w:kern w:val="0"/>
                      <w:szCs w:val="21"/>
                      <w14:textFill>
                        <w14:solidFill>
                          <w14:schemeClr w14:val="tx1"/>
                        </w14:solidFill>
                      </w14:textFill>
                    </w:rPr>
                  </w:pPr>
                  <w:r>
                    <w:rPr>
                      <w:rFonts w:hint="eastAsia" w:ascii="Times New Roman" w:hAnsi="Times New Roman"/>
                      <w:color w:val="000000" w:themeColor="text1"/>
                      <w:kern w:val="0"/>
                      <w:szCs w:val="21"/>
                      <w14:textFill>
                        <w14:solidFill>
                          <w14:schemeClr w14:val="tx1"/>
                        </w14:solidFill>
                      </w14:textFill>
                    </w:rPr>
                    <w:t>/</w:t>
                  </w:r>
                </w:p>
              </w:tc>
            </w:tr>
          </w:tbl>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4</w:t>
            </w:r>
            <w:r>
              <w:rPr>
                <w:rFonts w:ascii="Times New Roman" w:hAnsi="Times New Roman"/>
                <w:color w:val="000000" w:themeColor="text1"/>
                <w:sz w:val="24"/>
                <w14:textFill>
                  <w14:solidFill>
                    <w14:schemeClr w14:val="tx1"/>
                  </w14:solidFill>
                </w14:textFill>
              </w:rPr>
              <w:t>）环境风险分析</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①</w:t>
            </w:r>
            <w:r>
              <w:rPr>
                <w:rFonts w:hint="eastAsia" w:ascii="Times New Roman" w:hAnsi="Times New Roman"/>
                <w:color w:val="000000" w:themeColor="text1"/>
                <w:sz w:val="24"/>
                <w14:textFill>
                  <w14:solidFill>
                    <w14:schemeClr w14:val="tx1"/>
                  </w14:solidFill>
                </w14:textFill>
              </w:rPr>
              <w:t>乙醇储罐泄露事故风险</w:t>
            </w:r>
          </w:p>
          <w:p>
            <w:pPr>
              <w:adjustRightInd w:val="0"/>
              <w:snapToGrid w:val="0"/>
              <w:spacing w:line="360" w:lineRule="auto"/>
              <w:ind w:firstLine="480" w:firstLineChars="200"/>
              <w:rPr>
                <w:rFonts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乙醇储罐可能由于自然或人为的原因发生泄漏，常温下易挥发扩散。</w:t>
            </w:r>
            <w:r>
              <w:rPr>
                <w:color w:val="000000" w:themeColor="text1"/>
                <w:sz w:val="24"/>
                <w14:textFill>
                  <w14:solidFill>
                    <w14:schemeClr w14:val="tx1"/>
                  </w14:solidFill>
                </w14:textFill>
              </w:rPr>
              <w:t>大量乙醇泄漏后的蒸发可能会对环境空气造成影响。在气温较高时，泄漏区附近酒精浓度较大，</w:t>
            </w:r>
            <w:r>
              <w:rPr>
                <w:rFonts w:hint="eastAsia"/>
                <w:color w:val="000000" w:themeColor="text1"/>
                <w:sz w:val="24"/>
                <w14:textFill>
                  <w14:solidFill>
                    <w14:schemeClr w14:val="tx1"/>
                  </w14:solidFill>
                </w14:textFill>
              </w:rPr>
              <w:t>如应急不当，蒸汽浓度达到一定范围时，存在发生火灾爆炸事故的潜在风险。</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hint="eastAsia" w:ascii="Times New Roman" w:hAnsi="Times New Roman"/>
                <w:color w:val="000000" w:themeColor="text1"/>
                <w:sz w:val="24"/>
                <w14:textFill>
                  <w14:solidFill>
                    <w14:schemeClr w14:val="tx1"/>
                  </w14:solidFill>
                </w14:textFill>
              </w:rPr>
              <w:t>②</w:t>
            </w:r>
            <w:r>
              <w:rPr>
                <w:rFonts w:ascii="Times New Roman" w:hAnsi="Times New Roman"/>
                <w:color w:val="000000" w:themeColor="text1"/>
                <w:sz w:val="24"/>
                <w14:textFill>
                  <w14:solidFill>
                    <w14:schemeClr w14:val="tx1"/>
                  </w14:solidFill>
                </w14:textFill>
              </w:rPr>
              <w:t>火灾</w:t>
            </w:r>
            <w:r>
              <w:rPr>
                <w:rFonts w:hint="eastAsia" w:ascii="Times New Roman" w:hAnsi="Times New Roman"/>
                <w:color w:val="000000" w:themeColor="text1"/>
                <w:sz w:val="24"/>
                <w14:textFill>
                  <w14:solidFill>
                    <w14:schemeClr w14:val="tx1"/>
                  </w14:solidFill>
                </w14:textFill>
              </w:rPr>
              <w:t>事故</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hint="eastAsia" w:ascii="Times New Roman" w:hAnsi="Times New Roman"/>
                <w:color w:val="000000" w:themeColor="text1"/>
                <w:sz w:val="24"/>
                <w14:textFill>
                  <w14:solidFill>
                    <w14:schemeClr w14:val="tx1"/>
                  </w14:solidFill>
                </w14:textFill>
              </w:rPr>
              <w:t>乙醇在泄漏过程中若遇到明火或乙醇储罐由于高温造成内部压力过大，都会引起爆炸，而一个乙醇储罐的爆炸可能会引起邻近构筑物的火灾，飞溅的液体及燃烧的酒精会引起火灾事故的发生，给厂区及周围工厂等造成生命财产的损失。</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hint="eastAsia" w:ascii="Times New Roman" w:hAnsi="Times New Roman"/>
                <w:color w:val="000000" w:themeColor="text1"/>
                <w:sz w:val="24"/>
                <w14:textFill>
                  <w14:solidFill>
                    <w14:schemeClr w14:val="tx1"/>
                  </w14:solidFill>
                </w14:textFill>
              </w:rPr>
              <w:t>乙醇储罐或者生产厂房发生火灾、爆炸后，将会产生大量的 CO、CO</w:t>
            </w:r>
            <w:r>
              <w:rPr>
                <w:rFonts w:hint="eastAsia" w:ascii="Times New Roman" w:hAnsi="Times New Roman"/>
                <w:color w:val="000000" w:themeColor="text1"/>
                <w:sz w:val="24"/>
                <w:vertAlign w:val="subscript"/>
                <w14:textFill>
                  <w14:solidFill>
                    <w14:schemeClr w14:val="tx1"/>
                  </w14:solidFill>
                </w14:textFill>
              </w:rPr>
              <w:t>2</w:t>
            </w:r>
            <w:r>
              <w:rPr>
                <w:rFonts w:hint="eastAsia" w:ascii="Times New Roman" w:hAnsi="Times New Roman"/>
                <w:color w:val="000000" w:themeColor="text1"/>
                <w:sz w:val="24"/>
                <w14:textFill>
                  <w14:solidFill>
                    <w14:schemeClr w14:val="tx1"/>
                  </w14:solidFill>
                </w14:textFill>
              </w:rPr>
              <w:t xml:space="preserve"> 等污染物，对周围大气环境产生影响。乙醇或者生产车间物料急剧燃烧时，在供氧量不足的条件下，</w:t>
            </w:r>
            <w:r>
              <w:rPr>
                <w:rFonts w:ascii="Times New Roman" w:hAnsi="Times New Roman"/>
                <w:color w:val="000000" w:themeColor="text1"/>
                <w:sz w:val="24"/>
                <w14:textFill>
                  <w14:solidFill>
                    <w14:schemeClr w14:val="tx1"/>
                  </w14:solidFill>
                </w14:textFill>
              </w:rPr>
              <w:t>则导致不完全燃烧，伴生的不完全燃烧释放的CO气体，形成污染物扩散，会对大气环境造成不利影响，产生的消防废水会对地表水环境造成不利影响。</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②</w:t>
            </w:r>
            <w:r>
              <w:rPr>
                <w:rFonts w:ascii="Times New Roman" w:hAnsi="Times New Roman"/>
                <w:color w:val="000000" w:themeColor="text1"/>
                <w:sz w:val="24"/>
                <w14:textFill>
                  <w14:solidFill>
                    <w14:schemeClr w14:val="tx1"/>
                  </w14:solidFill>
                </w14:textFill>
              </w:rPr>
              <w:t>废气处理设施故障</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废气处理设施发生故障时，废气非正常排放，袋式除尘器、水封池废气处理系统故障，此时事故排放量为颗粒物0.343 kg/h 、VOCs 0.461kg/h。</w:t>
            </w:r>
          </w:p>
          <w:p>
            <w:pPr>
              <w:tabs>
                <w:tab w:val="left" w:pos="457"/>
              </w:tabs>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5</w:t>
            </w:r>
            <w:r>
              <w:rPr>
                <w:rFonts w:ascii="Times New Roman" w:hAnsi="Times New Roman"/>
                <w:color w:val="000000" w:themeColor="text1"/>
                <w:sz w:val="24"/>
                <w14:textFill>
                  <w14:solidFill>
                    <w14:schemeClr w14:val="tx1"/>
                  </w14:solidFill>
                </w14:textFill>
              </w:rPr>
              <w:t>）环境风险防范措施及应急要求</w:t>
            </w:r>
          </w:p>
          <w:p>
            <w:pPr>
              <w:tabs>
                <w:tab w:val="left" w:pos="457"/>
              </w:tabs>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建设项目应主动配合安监部门的监督管理，认真贯彻“安全第一、预防为主”的方针，执行劳动保护“三同时”原则，严格遵守《建设设计防火规范》（GB50016-2014）及其修订稿和《爆炸和火灾危险环境电力装置设计防火规范》（GB50058-2014）等有关劳动安全卫生规范和规定，认真贯彻各项对策措施，对可能发生的各种危险、危害因素采取完善、可靠、有效的劳动安全卫生防范措施，防治和减少各类事故的发生，以确保生产和人体安全。</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1）原辅材料存储风险防范</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项目使用的原辅料，须存放于专门的仓库内，密封搬运，专人管理，负责看管保存及清点易燃物质。</w:t>
            </w:r>
          </w:p>
          <w:p>
            <w:pPr>
              <w:adjustRightInd w:val="0"/>
              <w:snapToGrid w:val="0"/>
              <w:spacing w:line="360" w:lineRule="auto"/>
              <w:ind w:firstLine="480" w:firstLineChars="200"/>
              <w:rPr>
                <w:rFonts w:ascii="宋体" w:hAnsi="宋体" w:eastAsia="宋体" w:cs="宋体"/>
                <w:color w:val="000000" w:themeColor="text1"/>
                <w:sz w:val="24"/>
                <w14:textFill>
                  <w14:solidFill>
                    <w14:schemeClr w14:val="tx1"/>
                  </w14:solidFill>
                </w14:textFill>
              </w:rPr>
            </w:pPr>
            <w:r>
              <w:rPr>
                <w:color w:val="000000" w:themeColor="text1"/>
                <w:sz w:val="24"/>
                <w14:textFill>
                  <w14:solidFill>
                    <w14:schemeClr w14:val="tx1"/>
                  </w14:solidFill>
                </w14:textFill>
              </w:rPr>
              <w:t>本项目</w:t>
            </w:r>
            <w:r>
              <w:rPr>
                <w:rFonts w:hint="eastAsia" w:ascii="Times New Roman"/>
                <w:color w:val="000000" w:themeColor="text1"/>
                <w:sz w:val="24"/>
                <w14:textFill>
                  <w14:solidFill>
                    <w14:schemeClr w14:val="tx1"/>
                  </w14:solidFill>
                </w14:textFill>
              </w:rPr>
              <w:t>1</w:t>
            </w:r>
            <w:r>
              <w:rPr>
                <w:color w:val="000000" w:themeColor="text1"/>
                <w:sz w:val="24"/>
                <w14:textFill>
                  <w14:solidFill>
                    <w14:schemeClr w14:val="tx1"/>
                  </w14:solidFill>
                </w14:textFill>
              </w:rPr>
              <w:t>个</w:t>
            </w:r>
            <w:r>
              <w:rPr>
                <w:rFonts w:hint="eastAsia" w:ascii="Times New Roman"/>
                <w:color w:val="000000" w:themeColor="text1"/>
                <w:sz w:val="24"/>
                <w14:textFill>
                  <w14:solidFill>
                    <w14:schemeClr w14:val="tx1"/>
                  </w14:solidFill>
                </w14:textFill>
              </w:rPr>
              <w:t>1</w:t>
            </w:r>
            <w:r>
              <w:rPr>
                <w:rFonts w:ascii="Times New Roman" w:eastAsia="Times New Roman"/>
                <w:color w:val="000000" w:themeColor="text1"/>
                <w:sz w:val="24"/>
                <w14:textFill>
                  <w14:solidFill>
                    <w14:schemeClr w14:val="tx1"/>
                  </w14:solidFill>
                </w14:textFill>
              </w:rPr>
              <w:t>0m</w:t>
            </w:r>
            <w:r>
              <w:rPr>
                <w:rFonts w:ascii="Times New Roman" w:eastAsia="Times New Roman"/>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的乙醇储罐布置在地下</w:t>
            </w:r>
            <w:r>
              <w:rPr>
                <w:rFonts w:hint="eastAsia"/>
                <w:color w:val="000000" w:themeColor="text1"/>
                <w:sz w:val="24"/>
                <w14:textFill>
                  <w14:solidFill>
                    <w14:schemeClr w14:val="tx1"/>
                  </w14:solidFill>
                </w14:textFill>
              </w:rPr>
              <w:t>酒精</w:t>
            </w:r>
            <w:r>
              <w:rPr>
                <w:color w:val="000000" w:themeColor="text1"/>
                <w:sz w:val="24"/>
                <w14:textFill>
                  <w14:solidFill>
                    <w14:schemeClr w14:val="tx1"/>
                  </w14:solidFill>
                </w14:textFill>
              </w:rPr>
              <w:t>储罐区，为了防范乙醇泄漏后对周围地下水、地表水造成环境污染，地下储罐区四周墙壁及底部均应做好硬底化防渗措施，且地下储罐区</w:t>
            </w:r>
            <w:r>
              <w:rPr>
                <w:rFonts w:ascii="Times New Roman" w:hAnsi="Times New Roman"/>
                <w:color w:val="000000" w:themeColor="text1"/>
                <w:sz w:val="24"/>
                <w14:textFill>
                  <w14:solidFill>
                    <w14:schemeClr w14:val="tx1"/>
                  </w14:solidFill>
                </w14:textFill>
              </w:rPr>
              <w:t>建有有效容积≥10m</w:t>
            </w:r>
            <w:r>
              <w:rPr>
                <w:rFonts w:ascii="Times New Roman" w:hAnsi="Times New Roman"/>
                <w:color w:val="000000" w:themeColor="text1"/>
                <w:sz w:val="24"/>
                <w:vertAlign w:val="superscript"/>
                <w14:textFill>
                  <w14:solidFill>
                    <w14:schemeClr w14:val="tx1"/>
                  </w14:solidFill>
                </w14:textFill>
              </w:rPr>
              <w:t>3</w:t>
            </w:r>
            <w:r>
              <w:rPr>
                <w:rFonts w:ascii="Times New Roman" w:hAnsi="Times New Roman"/>
                <w:color w:val="000000" w:themeColor="text1"/>
                <w:sz w:val="24"/>
                <w14:textFill>
                  <w14:solidFill>
                    <w14:schemeClr w14:val="tx1"/>
                  </w14:solidFill>
                </w14:textFill>
              </w:rPr>
              <w:t>的容积的围堤</w:t>
            </w:r>
            <w:r>
              <w:rPr>
                <w:color w:val="000000" w:themeColor="text1"/>
                <w:sz w:val="24"/>
                <w14:textFill>
                  <w14:solidFill>
                    <w14:schemeClr w14:val="tx1"/>
                  </w14:solidFill>
                </w14:textFill>
              </w:rPr>
              <w:t>，泄漏的乙醇可完全控制在地下储罐区内，不会直接进入周围地下水、地表水从而造成环境污染。</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2）危险废物风险防范</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本项目在生产过程中产生的危险废物主要为废滤芯、废树脂，一旦危险废物处置不当直接进入周边环境，将对项目所在区域水环境、土壤环境造成极大影响。项目营运期间，应对危险废物设置专用的存储设施，使用符合标准的容器盛装危险废物，装载危险废物的容器及材质要满足相应的强度要求，危险废物贮存设施地面要用坚固、防渗的材料建造。设施内要有安全照明设施和观察窗口；须做好危险废物情况的记录以及对危险废物包装容器及储存设施进行检查。项目运营期间，应确保收集所有的危险废物，并委托具有相应资质的危险废物处理单位对各种危废进行收集，确保危险废物得到妥善处置。</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3）废气处理系统风险防范</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项目废气污染物潜在的风险主要为粉尘颗粒物、VOCs，废气收集系统发生故障使废气不经处理直接排放等废气污染事故。</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本项目的用电由市政集中供给，因此，废气的最大可信事故为由于设施发生故障而使废气不经处理直接排放，项目应定期检查废气处理系统的运转情况，避免废气对周边大气环境产生较大的影响。一旦发现废气处理系统发生故障，操作人员立即采取处理措施，停产检修。</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4）废水处理系统风险防范</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建设单位应设定三级防范应急措施，避免发生事故时事故废水直接排放至污水处理厂。</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①</w:t>
            </w:r>
            <w:r>
              <w:rPr>
                <w:rFonts w:ascii="Times New Roman" w:hAnsi="Times New Roman"/>
                <w:color w:val="000000" w:themeColor="text1"/>
                <w:sz w:val="24"/>
                <w14:textFill>
                  <w14:solidFill>
                    <w14:schemeClr w14:val="tx1"/>
                  </w14:solidFill>
                </w14:textFill>
              </w:rPr>
              <w:t>定期对污水处理站进行日常维护和检修，保障污水处理站日常处理达标稳定；</w:t>
            </w:r>
            <w:r>
              <w:rPr>
                <w:rFonts w:hint="eastAsia" w:ascii="宋体" w:hAnsi="宋体" w:eastAsia="宋体" w:cs="宋体"/>
                <w:color w:val="000000" w:themeColor="text1"/>
                <w:sz w:val="24"/>
                <w14:textFill>
                  <w14:solidFill>
                    <w14:schemeClr w14:val="tx1"/>
                  </w14:solidFill>
                </w14:textFill>
              </w:rPr>
              <w:t>②</w:t>
            </w:r>
            <w:r>
              <w:rPr>
                <w:rFonts w:ascii="Times New Roman" w:hAnsi="Times New Roman"/>
                <w:color w:val="000000" w:themeColor="text1"/>
                <w:sz w:val="24"/>
                <w14:textFill>
                  <w14:solidFill>
                    <w14:schemeClr w14:val="tx1"/>
                  </w14:solidFill>
                </w14:textFill>
              </w:rPr>
              <w:t>污水处理站总出水口处设有自动监控仪表，当自控仪表监测到出水的水质未达要求时，废水将被送回污水处理站重新处理；若遇事故排放，则所有排放口将会关停，并且车间也得到响应停止生产运行，同时事故性废水将被引至污水站附设的事故应急池。</w:t>
            </w:r>
            <w:r>
              <w:rPr>
                <w:rFonts w:hint="eastAsia" w:ascii="宋体" w:hAnsi="宋体" w:eastAsia="宋体" w:cs="宋体"/>
                <w:color w:val="000000" w:themeColor="text1"/>
                <w:sz w:val="24"/>
                <w14:textFill>
                  <w14:solidFill>
                    <w14:schemeClr w14:val="tx1"/>
                  </w14:solidFill>
                </w14:textFill>
              </w:rPr>
              <w:t>③</w:t>
            </w:r>
            <w:r>
              <w:rPr>
                <w:rFonts w:ascii="Times New Roman" w:hAnsi="Times New Roman"/>
                <w:color w:val="000000" w:themeColor="text1"/>
                <w:sz w:val="24"/>
                <w14:textFill>
                  <w14:solidFill>
                    <w14:schemeClr w14:val="tx1"/>
                  </w14:solidFill>
                </w14:textFill>
              </w:rPr>
              <w:t>厂区污水处理站附近设有事故应急池，用于临时储存事故性排水，避免废水外排影响污水处理厂的正常运行。当污水处理系统恢复正常后，再将事故池中积存的废水以较小流量引回到污水处理系统中。事故池平时必须保持空池状态。</w:t>
            </w:r>
          </w:p>
          <w:p>
            <w:pPr>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5）事故应急</w:t>
            </w:r>
          </w:p>
          <w:p>
            <w:pPr>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根据《水体污染防控紧急措施设计导则》（中国石化建标[2006]43号）中对事故应急池大小的规定：</w:t>
            </w:r>
          </w:p>
          <w:p>
            <w:pPr>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V总=（V1＋V2－V3）max+V4+V5</w:t>
            </w:r>
          </w:p>
          <w:p>
            <w:pPr>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注：（V1＋V2－V3）max 是指对收集系统范围内不同罐组或装置分别计算V1＋V2－V3，取其中最大值。</w:t>
            </w:r>
          </w:p>
          <w:p>
            <w:pPr>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V1——收集系统范围内发生事故的一个罐组或一套装置的物料量。本项目储罐区设置围堰，储罐泄漏可以在围堰内收集，则V1取0。</w:t>
            </w:r>
          </w:p>
          <w:p>
            <w:pPr>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V2——发生事故的储罐或装置的消防水量，m</w:t>
            </w:r>
            <w:r>
              <w:rPr>
                <w:rFonts w:ascii="Times New Roman" w:hAnsi="Times New Roman"/>
                <w:color w:val="000000" w:themeColor="text1"/>
                <w:sz w:val="24"/>
                <w:vertAlign w:val="superscript"/>
                <w14:textFill>
                  <w14:solidFill>
                    <w14:schemeClr w14:val="tx1"/>
                  </w14:solidFill>
                </w14:textFill>
              </w:rPr>
              <w:t>3</w:t>
            </w:r>
            <w:r>
              <w:rPr>
                <w:rFonts w:ascii="Times New Roman" w:hAnsi="Times New Roman"/>
                <w:color w:val="000000" w:themeColor="text1"/>
                <w:sz w:val="24"/>
                <w14:textFill>
                  <w14:solidFill>
                    <w14:schemeClr w14:val="tx1"/>
                  </w14:solidFill>
                </w14:textFill>
              </w:rPr>
              <w:t>。依据《消防给水及消火栓系统技术规范》（GB50974-2014）规定计算同一时间火灾次数按最大的一座建筑物计算，以生产车间计，一次室内消防用水量20L/s，灭火时间2.0h。则消防水量＝20L/s×2×3600s＝144m</w:t>
            </w:r>
            <w:r>
              <w:rPr>
                <w:rFonts w:ascii="Times New Roman" w:hAnsi="Times New Roman"/>
                <w:color w:val="000000" w:themeColor="text1"/>
                <w:sz w:val="24"/>
                <w:vertAlign w:val="superscript"/>
                <w14:textFill>
                  <w14:solidFill>
                    <w14:schemeClr w14:val="tx1"/>
                  </w14:solidFill>
                </w14:textFill>
              </w:rPr>
              <w:t>3</w:t>
            </w:r>
            <w:r>
              <w:rPr>
                <w:rFonts w:ascii="Times New Roman" w:hAnsi="Times New Roman"/>
                <w:color w:val="000000" w:themeColor="text1"/>
                <w:sz w:val="24"/>
                <w14:textFill>
                  <w14:solidFill>
                    <w14:schemeClr w14:val="tx1"/>
                  </w14:solidFill>
                </w14:textFill>
              </w:rPr>
              <w:t>，即V2=144m</w:t>
            </w:r>
            <w:r>
              <w:rPr>
                <w:rFonts w:ascii="Times New Roman" w:hAnsi="Times New Roman"/>
                <w:color w:val="000000" w:themeColor="text1"/>
                <w:sz w:val="24"/>
                <w:vertAlign w:val="superscript"/>
                <w14:textFill>
                  <w14:solidFill>
                    <w14:schemeClr w14:val="tx1"/>
                  </w14:solidFill>
                </w14:textFill>
              </w:rPr>
              <w:t>3</w:t>
            </w:r>
            <w:r>
              <w:rPr>
                <w:rFonts w:ascii="Times New Roman" w:hAnsi="Times New Roman"/>
                <w:color w:val="000000" w:themeColor="text1"/>
                <w:sz w:val="24"/>
                <w14:textFill>
                  <w14:solidFill>
                    <w14:schemeClr w14:val="tx1"/>
                  </w14:solidFill>
                </w14:textFill>
              </w:rPr>
              <w:t>。</w:t>
            </w:r>
          </w:p>
          <w:p>
            <w:pPr>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V3——发生事故时可以转输到其他储存或处理设施的物料量，m</w:t>
            </w:r>
            <w:r>
              <w:rPr>
                <w:rFonts w:ascii="Times New Roman" w:hAnsi="Times New Roman"/>
                <w:color w:val="000000" w:themeColor="text1"/>
                <w:sz w:val="24"/>
                <w:vertAlign w:val="superscript"/>
                <w14:textFill>
                  <w14:solidFill>
                    <w14:schemeClr w14:val="tx1"/>
                  </w14:solidFill>
                </w14:textFill>
              </w:rPr>
              <w:t>3</w:t>
            </w:r>
            <w:r>
              <w:rPr>
                <w:rFonts w:ascii="Times New Roman" w:hAnsi="Times New Roman"/>
                <w:color w:val="000000" w:themeColor="text1"/>
                <w:sz w:val="24"/>
                <w14:textFill>
                  <w14:solidFill>
                    <w14:schemeClr w14:val="tx1"/>
                  </w14:solidFill>
                </w14:textFill>
              </w:rPr>
              <w:t>。</w:t>
            </w:r>
          </w:p>
          <w:p>
            <w:pPr>
              <w:spacing w:line="360" w:lineRule="auto"/>
              <w:ind w:firstLine="480"/>
              <w:rPr>
                <w:rFonts w:ascii="Times New Roman" w:hAnsi="Times New Roman"/>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①</w:t>
            </w:r>
            <w:r>
              <w:rPr>
                <w:rFonts w:ascii="Times New Roman" w:hAnsi="Times New Roman"/>
                <w:color w:val="000000" w:themeColor="text1"/>
                <w:sz w:val="24"/>
                <w14:textFill>
                  <w14:solidFill>
                    <w14:schemeClr w14:val="tx1"/>
                  </w14:solidFill>
                </w14:textFill>
              </w:rPr>
              <w:t>本项目药渣池与污水池在日常运行中空置容量约30m</w:t>
            </w:r>
            <w:r>
              <w:rPr>
                <w:rFonts w:ascii="Times New Roman" w:hAnsi="Times New Roman"/>
                <w:color w:val="000000" w:themeColor="text1"/>
                <w:sz w:val="24"/>
                <w:vertAlign w:val="superscript"/>
                <w14:textFill>
                  <w14:solidFill>
                    <w14:schemeClr w14:val="tx1"/>
                  </w14:solidFill>
                </w14:textFill>
              </w:rPr>
              <w:t>3</w:t>
            </w:r>
            <w:r>
              <w:rPr>
                <w:rFonts w:ascii="Times New Roman" w:hAnsi="Times New Roman"/>
                <w:color w:val="000000" w:themeColor="text1"/>
                <w:sz w:val="24"/>
                <w14:textFill>
                  <w14:solidFill>
                    <w14:schemeClr w14:val="tx1"/>
                  </w14:solidFill>
                </w14:textFill>
              </w:rPr>
              <w:t>；</w:t>
            </w:r>
          </w:p>
          <w:p>
            <w:pPr>
              <w:spacing w:line="360" w:lineRule="auto"/>
              <w:ind w:firstLine="480"/>
              <w:rPr>
                <w:rFonts w:ascii="Times New Roman" w:hAnsi="Times New Roman"/>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②</w:t>
            </w:r>
            <w:r>
              <w:rPr>
                <w:rFonts w:ascii="Times New Roman" w:hAnsi="Times New Roman"/>
                <w:color w:val="000000" w:themeColor="text1"/>
                <w:sz w:val="24"/>
                <w14:textFill>
                  <w14:solidFill>
                    <w14:schemeClr w14:val="tx1"/>
                  </w14:solidFill>
                </w14:textFill>
              </w:rPr>
              <w:t>厂区内雨水收集系统管道容量（雨水管与雨水井）约为420m*0.5m*0.4m+5*0.3 m *0.3 m *3.14 m *3m =88m</w:t>
            </w:r>
            <w:r>
              <w:rPr>
                <w:rFonts w:ascii="Times New Roman" w:hAnsi="Times New Roman"/>
                <w:color w:val="000000" w:themeColor="text1"/>
                <w:sz w:val="24"/>
                <w:vertAlign w:val="superscript"/>
                <w14:textFill>
                  <w14:solidFill>
                    <w14:schemeClr w14:val="tx1"/>
                  </w14:solidFill>
                </w14:textFill>
              </w:rPr>
              <w:t>3</w:t>
            </w:r>
            <w:r>
              <w:rPr>
                <w:rFonts w:ascii="Times New Roman" w:hAnsi="Times New Roman"/>
                <w:color w:val="000000" w:themeColor="text1"/>
                <w:sz w:val="24"/>
                <w14:textFill>
                  <w14:solidFill>
                    <w14:schemeClr w14:val="tx1"/>
                  </w14:solidFill>
                </w14:textFill>
              </w:rPr>
              <w:t>；故可计算得V3=88m</w:t>
            </w:r>
            <w:r>
              <w:rPr>
                <w:rFonts w:ascii="Times New Roman" w:hAnsi="Times New Roman"/>
                <w:color w:val="000000" w:themeColor="text1"/>
                <w:sz w:val="24"/>
                <w:vertAlign w:val="superscript"/>
                <w14:textFill>
                  <w14:solidFill>
                    <w14:schemeClr w14:val="tx1"/>
                  </w14:solidFill>
                </w14:textFill>
              </w:rPr>
              <w:t>3</w:t>
            </w:r>
            <w:r>
              <w:rPr>
                <w:rFonts w:ascii="Times New Roman" w:hAnsi="Times New Roman"/>
                <w:color w:val="000000" w:themeColor="text1"/>
                <w:sz w:val="24"/>
                <w14:textFill>
                  <w14:solidFill>
                    <w14:schemeClr w14:val="tx1"/>
                  </w14:solidFill>
                </w14:textFill>
              </w:rPr>
              <w:t>；</w:t>
            </w:r>
          </w:p>
          <w:p>
            <w:pPr>
              <w:pStyle w:val="59"/>
              <w:numPr>
                <w:ilvl w:val="0"/>
                <w:numId w:val="13"/>
              </w:numPr>
              <w:spacing w:line="360" w:lineRule="auto"/>
              <w:ind w:firstLineChars="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根据企业的情况，本项目仓库设置缓坡。占地面积为350m</w:t>
            </w:r>
            <w:r>
              <w:rPr>
                <w:color w:val="000000" w:themeColor="text1"/>
                <w:sz w:val="24"/>
                <w:szCs w:val="24"/>
                <w:vertAlign w:val="superscript"/>
                <w14:textFill>
                  <w14:solidFill>
                    <w14:schemeClr w14:val="tx1"/>
                  </w14:solidFill>
                </w14:textFill>
              </w:rPr>
              <w:t>2</w:t>
            </w:r>
            <w:r>
              <w:rPr>
                <w:color w:val="000000" w:themeColor="text1"/>
                <w:sz w:val="24"/>
                <w:szCs w:val="24"/>
                <w14:textFill>
                  <w14:solidFill>
                    <w14:schemeClr w14:val="tx1"/>
                  </w14:solidFill>
                </w14:textFill>
              </w:rPr>
              <w:t>，原料仓库围堰高0.3m，事故时可储存的废水量为V3=105m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w:t>
            </w:r>
          </w:p>
          <w:p>
            <w:pPr>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V4——发生事故时仍必须进入该收集系统的生产废水量，m</w:t>
            </w:r>
            <w:r>
              <w:rPr>
                <w:rFonts w:ascii="Times New Roman" w:hAnsi="Times New Roman"/>
                <w:color w:val="000000" w:themeColor="text1"/>
                <w:sz w:val="24"/>
                <w:vertAlign w:val="superscript"/>
                <w14:textFill>
                  <w14:solidFill>
                    <w14:schemeClr w14:val="tx1"/>
                  </w14:solidFill>
                </w14:textFill>
              </w:rPr>
              <w:t>3</w:t>
            </w:r>
            <w:r>
              <w:rPr>
                <w:rFonts w:ascii="Times New Roman" w:hAnsi="Times New Roman"/>
                <w:color w:val="000000" w:themeColor="text1"/>
                <w:sz w:val="24"/>
                <w14:textFill>
                  <w14:solidFill>
                    <w14:schemeClr w14:val="tx1"/>
                  </w14:solidFill>
                </w14:textFill>
              </w:rPr>
              <w:t>。取V4=0。</w:t>
            </w:r>
          </w:p>
          <w:p>
            <w:pPr>
              <w:spacing w:line="360" w:lineRule="auto"/>
              <w:ind w:firstLine="360" w:firstLineChars="15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 xml:space="preserve"> V5——发生事故时可能进入该收集系统的降雨量。</w:t>
            </w:r>
          </w:p>
          <w:p>
            <w:pPr>
              <w:spacing w:line="360" w:lineRule="auto"/>
              <w:ind w:firstLine="480"/>
              <w:jc w:val="center"/>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V5</w:t>
            </w:r>
            <w:r>
              <w:rPr>
                <w:rFonts w:ascii="Times New Roman" w:hAnsi="Times New Roman"/>
                <w:color w:val="000000" w:themeColor="text1"/>
                <w:kern w:val="0"/>
                <w:sz w:val="24"/>
                <w14:textFill>
                  <w14:solidFill>
                    <w14:schemeClr w14:val="tx1"/>
                  </w14:solidFill>
                </w14:textFill>
              </w:rPr>
              <w:t>=10q*F</w:t>
            </w:r>
          </w:p>
          <w:p>
            <w:pPr>
              <w:spacing w:line="360" w:lineRule="auto"/>
              <w:ind w:firstLine="48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q——降雨强度，mm；按平均日降雨量，q=qa/n；</w:t>
            </w:r>
          </w:p>
          <w:p>
            <w:pPr>
              <w:spacing w:line="360" w:lineRule="auto"/>
              <w:ind w:firstLine="48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qa——年平均降雨量，mm；取qa=1685.8mm；</w:t>
            </w:r>
          </w:p>
          <w:p>
            <w:pPr>
              <w:spacing w:line="360" w:lineRule="auto"/>
              <w:ind w:firstLine="48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n——年平均降雨日数。n取100天；</w:t>
            </w:r>
          </w:p>
          <w:p>
            <w:pPr>
              <w:spacing w:line="360" w:lineRule="auto"/>
              <w:ind w:firstLine="48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kern w:val="0"/>
                <w:sz w:val="24"/>
                <w14:textFill>
                  <w14:solidFill>
                    <w14:schemeClr w14:val="tx1"/>
                  </w14:solidFill>
                </w14:textFill>
              </w:rPr>
              <w:t>F——必须进入事故废水收集系统的雨水汇水面积，ha；取项目生产区域面积，约0.055ha。</w:t>
            </w:r>
          </w:p>
          <w:p>
            <w:pPr>
              <w:spacing w:line="360" w:lineRule="auto"/>
              <w:ind w:firstLine="480"/>
              <w:rPr>
                <w:rFonts w:ascii="Times New Roman" w:hAnsi="Times New Roman"/>
                <w:color w:val="000000" w:themeColor="text1"/>
                <w:kern w:val="0"/>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则V5</w:t>
            </w:r>
            <w:r>
              <w:rPr>
                <w:rFonts w:ascii="Times New Roman" w:hAnsi="Times New Roman"/>
                <w:color w:val="000000" w:themeColor="text1"/>
                <w:kern w:val="0"/>
                <w:sz w:val="24"/>
                <w14:textFill>
                  <w14:solidFill>
                    <w14:schemeClr w14:val="tx1"/>
                  </w14:solidFill>
                </w14:textFill>
              </w:rPr>
              <w:t>≈93m</w:t>
            </w:r>
            <w:r>
              <w:rPr>
                <w:rFonts w:ascii="Times New Roman" w:hAnsi="Times New Roman"/>
                <w:color w:val="000000" w:themeColor="text1"/>
                <w:kern w:val="0"/>
                <w:sz w:val="24"/>
                <w:vertAlign w:val="superscript"/>
                <w14:textFill>
                  <w14:solidFill>
                    <w14:schemeClr w14:val="tx1"/>
                  </w14:solidFill>
                </w14:textFill>
              </w:rPr>
              <w:t>3</w:t>
            </w:r>
          </w:p>
          <w:p>
            <w:pPr>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经计算事故储存设施需要的总有效容积：</w:t>
            </w:r>
          </w:p>
          <w:p>
            <w:pPr>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V总=（0+144-30-88-105）+0+93=14m</w:t>
            </w:r>
            <w:r>
              <w:rPr>
                <w:rFonts w:ascii="Times New Roman" w:hAnsi="Times New Roman"/>
                <w:color w:val="000000" w:themeColor="text1"/>
                <w:sz w:val="24"/>
                <w:vertAlign w:val="superscript"/>
                <w14:textFill>
                  <w14:solidFill>
                    <w14:schemeClr w14:val="tx1"/>
                  </w14:solidFill>
                </w14:textFill>
              </w:rPr>
              <w:t>3</w:t>
            </w:r>
            <w:r>
              <w:rPr>
                <w:rFonts w:ascii="Times New Roman" w:hAnsi="Times New Roman"/>
                <w:color w:val="000000" w:themeColor="text1"/>
                <w:sz w:val="24"/>
                <w14:textFill>
                  <w14:solidFill>
                    <w14:schemeClr w14:val="tx1"/>
                  </w14:solidFill>
                </w14:textFill>
              </w:rPr>
              <w:t>。</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本项目拟</w:t>
            </w:r>
            <w:r>
              <w:rPr>
                <w:rFonts w:hint="eastAsia" w:ascii="Times New Roman" w:hAnsi="Times New Roman"/>
                <w:color w:val="000000" w:themeColor="text1"/>
                <w:sz w:val="24"/>
                <w14:textFill>
                  <w14:solidFill>
                    <w14:schemeClr w14:val="tx1"/>
                  </w14:solidFill>
                </w14:textFill>
              </w:rPr>
              <w:t>设计</w:t>
            </w:r>
            <w:r>
              <w:rPr>
                <w:rFonts w:ascii="Times New Roman" w:hAnsi="Times New Roman"/>
                <w:color w:val="000000" w:themeColor="text1"/>
                <w:sz w:val="24"/>
                <w14:textFill>
                  <w14:solidFill>
                    <w14:schemeClr w14:val="tx1"/>
                  </w14:solidFill>
                </w14:textFill>
              </w:rPr>
              <w:t>1</w:t>
            </w:r>
            <w:r>
              <w:rPr>
                <w:rFonts w:hint="eastAsia" w:ascii="Times New Roman" w:hAnsi="Times New Roman"/>
                <w:color w:val="000000" w:themeColor="text1"/>
                <w:sz w:val="24"/>
                <w14:textFill>
                  <w14:solidFill>
                    <w14:schemeClr w14:val="tx1"/>
                  </w14:solidFill>
                </w14:textFill>
              </w:rPr>
              <w:t>4</w:t>
            </w:r>
            <w:r>
              <w:rPr>
                <w:rFonts w:ascii="Times New Roman" w:hAnsi="Times New Roman"/>
                <w:color w:val="000000" w:themeColor="text1"/>
                <w:sz w:val="24"/>
                <w14:textFill>
                  <w14:solidFill>
                    <w14:schemeClr w14:val="tx1"/>
                  </w14:solidFill>
                </w14:textFill>
              </w:rPr>
              <w:t>m</w:t>
            </w:r>
            <w:r>
              <w:rPr>
                <w:rFonts w:ascii="Times New Roman" w:hAnsi="Times New Roman"/>
                <w:color w:val="000000" w:themeColor="text1"/>
                <w:sz w:val="24"/>
                <w:vertAlign w:val="superscript"/>
                <w14:textFill>
                  <w14:solidFill>
                    <w14:schemeClr w14:val="tx1"/>
                  </w14:solidFill>
                </w14:textFill>
              </w:rPr>
              <w:t>3</w:t>
            </w:r>
            <w:r>
              <w:rPr>
                <w:rFonts w:hint="eastAsia" w:ascii="Times New Roman" w:hAnsi="Times New Roman"/>
                <w:color w:val="000000" w:themeColor="text1"/>
                <w:sz w:val="24"/>
                <w14:textFill>
                  <w14:solidFill>
                    <w14:schemeClr w14:val="tx1"/>
                  </w14:solidFill>
                </w14:textFill>
              </w:rPr>
              <w:t>应急池</w:t>
            </w:r>
            <w:r>
              <w:rPr>
                <w:rFonts w:ascii="Times New Roman" w:hAnsi="Times New Roman"/>
                <w:color w:val="000000" w:themeColor="text1"/>
                <w:sz w:val="24"/>
                <w14:textFill>
                  <w14:solidFill>
                    <w14:schemeClr w14:val="tx1"/>
                  </w14:solidFill>
                </w14:textFill>
              </w:rPr>
              <w:t>，因此事故应急池能满足对事故污水应急收集的需要。事故池必须防渗、防漏、防腐蚀。</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14:textFill>
                  <w14:solidFill>
                    <w14:schemeClr w14:val="tx1"/>
                  </w14:solidFill>
                </w14:textFill>
              </w:rPr>
              <w:t>6</w:t>
            </w:r>
            <w:r>
              <w:rPr>
                <w:rFonts w:ascii="Times New Roman" w:hAnsi="Times New Roman"/>
                <w:color w:val="000000" w:themeColor="text1"/>
                <w:sz w:val="24"/>
                <w:szCs w:val="22"/>
                <w14:textFill>
                  <w14:solidFill>
                    <w14:schemeClr w14:val="tx1"/>
                  </w14:solidFill>
                </w14:textFill>
              </w:rPr>
              <w:t>）评价结论与建议</w:t>
            </w:r>
          </w:p>
          <w:p>
            <w:pPr>
              <w:adjustRightInd w:val="0"/>
              <w:snapToGrid w:val="0"/>
              <w:spacing w:line="360" w:lineRule="auto"/>
              <w:ind w:firstLine="480" w:firstLineChars="2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一般突发性事故发生的风险概率极小，但对环境造成的危害却是十分严重的，因此本项目投入运行后建设单位应组建安全环保管理机构，配备管理人员，通过技能培训，承担该公司运行中的环保安全工作，并结合具体情况，制定企业的各项安全生产管理制度、严格的生产操作规则和完善的事故应急计划及相应的应急处理手段和设施，同时加强安全教育，以提高职工的安全意识和安全防范能力。</w:t>
            </w:r>
          </w:p>
          <w:p>
            <w:pPr>
              <w:spacing w:line="360" w:lineRule="auto"/>
              <w:ind w:firstLine="480" w:firstLineChars="200"/>
              <w:rPr>
                <w:rFonts w:ascii="Times New Roman" w:hAnsi="Times New Roman"/>
                <w:bCs/>
                <w:color w:val="000000" w:themeColor="text1"/>
                <w:kern w:val="21"/>
                <w:szCs w:val="21"/>
                <w14:textFill>
                  <w14:solidFill>
                    <w14:schemeClr w14:val="tx1"/>
                  </w14:solidFill>
                </w14:textFill>
              </w:rPr>
            </w:pPr>
            <w:r>
              <w:rPr>
                <w:rFonts w:ascii="Times New Roman" w:hAnsi="Times New Roman"/>
                <w:bCs/>
                <w:color w:val="000000" w:themeColor="text1"/>
                <w:sz w:val="24"/>
                <w14:textFill>
                  <w14:solidFill>
                    <w14:schemeClr w14:val="tx1"/>
                  </w14:solidFill>
                </w14:textFill>
              </w:rPr>
              <w:t>故项目应主动配合安监部门的监督管理，做好安全生产工作，</w:t>
            </w:r>
            <w:r>
              <w:rPr>
                <w:rFonts w:ascii="Times New Roman" w:hAnsi="Times New Roman"/>
                <w:color w:val="000000" w:themeColor="text1"/>
                <w:sz w:val="24"/>
                <w14:textFill>
                  <w14:solidFill>
                    <w14:schemeClr w14:val="tx1"/>
                  </w14:solidFill>
                </w14:textFill>
              </w:rPr>
              <w:t>可有效降低本项目的环境风险发生概率。</w:t>
            </w:r>
          </w:p>
        </w:tc>
      </w:tr>
    </w:tbl>
    <w:p>
      <w:pPr>
        <w:adjustRightInd w:val="0"/>
        <w:snapToGrid w:val="0"/>
        <w:spacing w:line="360" w:lineRule="auto"/>
        <w:rPr>
          <w:rFonts w:ascii="Times New Roman" w:hAnsi="Times New Roman"/>
          <w:b/>
          <w:color w:val="000000" w:themeColor="text1"/>
          <w:kern w:val="21"/>
          <w:sz w:val="28"/>
          <w:szCs w:val="28"/>
          <w14:textFill>
            <w14:solidFill>
              <w14:schemeClr w14:val="tx1"/>
            </w14:solidFill>
          </w14:textFill>
        </w:rPr>
        <w:sectPr>
          <w:pgSz w:w="16840" w:h="11907" w:orient="landscape"/>
          <w:pgMar w:top="1418" w:right="1418" w:bottom="1418" w:left="1418" w:header="851" w:footer="851" w:gutter="0"/>
          <w:cols w:space="720" w:num="1"/>
          <w:docGrid w:linePitch="312" w:charSpace="0"/>
        </w:sectPr>
      </w:pPr>
    </w:p>
    <w:p>
      <w:pPr>
        <w:pStyle w:val="16"/>
        <w:jc w:val="center"/>
        <w:outlineLvl w:val="0"/>
        <w:rPr>
          <w:rFonts w:ascii="Times New Roman" w:hAnsi="Times New Roman"/>
          <w:snapToGrid w:val="0"/>
          <w:color w:val="000000" w:themeColor="text1"/>
          <w:kern w:val="21"/>
          <w:sz w:val="30"/>
          <w:szCs w:val="30"/>
          <w14:textFill>
            <w14:solidFill>
              <w14:schemeClr w14:val="tx1"/>
            </w14:solidFill>
          </w14:textFill>
        </w:rPr>
      </w:pPr>
      <w:r>
        <w:rPr>
          <w:rFonts w:ascii="Times New Roman" w:hAnsi="Times New Roman"/>
          <w:snapToGrid w:val="0"/>
          <w:color w:val="000000" w:themeColor="text1"/>
          <w:kern w:val="21"/>
          <w:sz w:val="30"/>
          <w:szCs w:val="30"/>
          <w14:textFill>
            <w14:solidFill>
              <w14:schemeClr w14:val="tx1"/>
            </w14:solidFill>
          </w14:textFill>
        </w:rPr>
        <w:t>五、环境保护措施监督检查清单</w:t>
      </w:r>
    </w:p>
    <w:tbl>
      <w:tblPr>
        <w:tblStyle w:val="1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761"/>
        <w:gridCol w:w="543"/>
        <w:gridCol w:w="284"/>
        <w:gridCol w:w="1134"/>
        <w:gridCol w:w="1233"/>
        <w:gridCol w:w="1522"/>
        <w:gridCol w:w="364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761" w:type="dxa"/>
            <w:tcBorders>
              <w:tl2br w:val="single" w:color="auto" w:sz="4" w:space="0"/>
            </w:tcBorders>
          </w:tcPr>
          <w:p>
            <w:pPr>
              <w:adjustRightInd w:val="0"/>
              <w:snapToGrid w:val="0"/>
              <w:jc w:val="right"/>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内容</w:t>
            </w:r>
          </w:p>
          <w:p>
            <w:pPr>
              <w:adjustRightInd w:val="0"/>
              <w:snapToGrid w:val="0"/>
              <w:jc w:val="left"/>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要素</w:t>
            </w:r>
          </w:p>
        </w:tc>
        <w:tc>
          <w:tcPr>
            <w:tcW w:w="1961" w:type="dxa"/>
            <w:gridSpan w:val="3"/>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排放口(编号、名称)/污染源</w:t>
            </w:r>
          </w:p>
        </w:tc>
        <w:tc>
          <w:tcPr>
            <w:tcW w:w="1233" w:type="dxa"/>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污染物项目</w:t>
            </w:r>
          </w:p>
        </w:tc>
        <w:tc>
          <w:tcPr>
            <w:tcW w:w="1522" w:type="dxa"/>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环境保护措施</w:t>
            </w:r>
          </w:p>
        </w:tc>
        <w:tc>
          <w:tcPr>
            <w:tcW w:w="3649" w:type="dxa"/>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856" w:hRule="atLeast"/>
          <w:jc w:val="center"/>
        </w:trPr>
        <w:tc>
          <w:tcPr>
            <w:tcW w:w="761" w:type="dxa"/>
            <w:vMerge w:val="restart"/>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大气环境</w:t>
            </w:r>
          </w:p>
        </w:tc>
        <w:tc>
          <w:tcPr>
            <w:tcW w:w="543" w:type="dxa"/>
            <w:tcBorders>
              <w:bottom w:val="single" w:color="auto" w:sz="4" w:space="0"/>
            </w:tcBorders>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有组织</w:t>
            </w:r>
          </w:p>
        </w:tc>
        <w:tc>
          <w:tcPr>
            <w:tcW w:w="1418" w:type="dxa"/>
            <w:gridSpan w:val="2"/>
            <w:tcBorders>
              <w:bottom w:val="single" w:color="auto" w:sz="4" w:space="0"/>
            </w:tcBorders>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P1排气筒</w:t>
            </w:r>
          </w:p>
        </w:tc>
        <w:tc>
          <w:tcPr>
            <w:tcW w:w="1233" w:type="dxa"/>
            <w:vAlign w:val="center"/>
          </w:tcPr>
          <w:p>
            <w:pPr>
              <w:pStyle w:val="52"/>
              <w:spacing w:before="0" w:after="0" w:line="240" w:lineRule="auto"/>
              <w:ind w:firstLine="0" w:firstLineChars="0"/>
              <w:jc w:val="center"/>
              <w:rPr>
                <w:color w:val="000000" w:themeColor="text1"/>
                <w:kern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颗粒物、</w:t>
            </w:r>
            <w:r>
              <w:rPr>
                <w:bCs/>
                <w:color w:val="000000" w:themeColor="text1"/>
                <w:sz w:val="21"/>
                <w:szCs w:val="21"/>
                <w14:textFill>
                  <w14:solidFill>
                    <w14:schemeClr w14:val="tx1"/>
                  </w14:solidFill>
                </w14:textFill>
              </w:rPr>
              <w:t>SO</w:t>
            </w:r>
            <w:r>
              <w:rPr>
                <w:bCs/>
                <w:color w:val="000000" w:themeColor="text1"/>
                <w:sz w:val="21"/>
                <w:szCs w:val="21"/>
                <w:vertAlign w:val="subscript"/>
                <w14:textFill>
                  <w14:solidFill>
                    <w14:schemeClr w14:val="tx1"/>
                  </w14:solidFill>
                </w14:textFill>
              </w:rPr>
              <w:t>2</w:t>
            </w:r>
            <w:r>
              <w:rPr>
                <w:bCs/>
                <w:color w:val="000000" w:themeColor="text1"/>
                <w:sz w:val="21"/>
                <w:szCs w:val="21"/>
                <w14:textFill>
                  <w14:solidFill>
                    <w14:schemeClr w14:val="tx1"/>
                  </w14:solidFill>
                </w14:textFill>
              </w:rPr>
              <w:t>、NOx</w:t>
            </w:r>
          </w:p>
        </w:tc>
        <w:tc>
          <w:tcPr>
            <w:tcW w:w="1522" w:type="dxa"/>
            <w:tcBorders>
              <w:bottom w:val="single" w:color="auto" w:sz="4" w:space="0"/>
            </w:tcBorders>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低氮燃烧+15m排气筒</w:t>
            </w:r>
          </w:p>
        </w:tc>
        <w:tc>
          <w:tcPr>
            <w:tcW w:w="3649" w:type="dxa"/>
            <w:tcBorders>
              <w:bottom w:val="single" w:color="auto" w:sz="4" w:space="0"/>
            </w:tcBorders>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广东省《锅炉大气污染物排放标准》（DB44/765-2019）</w:t>
            </w:r>
            <w:r>
              <w:rPr>
                <w:rFonts w:ascii="Times New Roman" w:hAnsi="Times New Roman"/>
                <w:color w:val="000000" w:themeColor="text1"/>
                <w14:textFill>
                  <w14:solidFill>
                    <w14:schemeClr w14:val="tx1"/>
                  </w14:solidFill>
                </w14:textFill>
              </w:rPr>
              <w:t>表2排放浓度限值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18" w:hRule="atLeast"/>
          <w:jc w:val="center"/>
        </w:trPr>
        <w:tc>
          <w:tcPr>
            <w:tcW w:w="761" w:type="dxa"/>
            <w:vMerge w:val="continue"/>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p>
        </w:tc>
        <w:tc>
          <w:tcPr>
            <w:tcW w:w="543" w:type="dxa"/>
            <w:vMerge w:val="restart"/>
            <w:tcBorders>
              <w:top w:val="single" w:color="auto" w:sz="4" w:space="0"/>
            </w:tcBorders>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无组织</w:t>
            </w:r>
          </w:p>
        </w:tc>
        <w:tc>
          <w:tcPr>
            <w:tcW w:w="284" w:type="dxa"/>
            <w:vMerge w:val="restart"/>
            <w:tcBorders>
              <w:top w:val="single" w:color="auto" w:sz="4" w:space="0"/>
            </w:tcBorders>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生产车间</w:t>
            </w:r>
          </w:p>
        </w:tc>
        <w:tc>
          <w:tcPr>
            <w:tcW w:w="1134" w:type="dxa"/>
            <w:tcBorders>
              <w:top w:val="single" w:color="auto" w:sz="4" w:space="0"/>
              <w:bottom w:val="single" w:color="auto" w:sz="4" w:space="0"/>
            </w:tcBorders>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粉尘</w:t>
            </w:r>
          </w:p>
        </w:tc>
        <w:tc>
          <w:tcPr>
            <w:tcW w:w="1233" w:type="dxa"/>
            <w:tcBorders>
              <w:bottom w:val="single" w:color="auto" w:sz="4" w:space="0"/>
            </w:tcBorders>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14:textFill>
                  <w14:solidFill>
                    <w14:schemeClr w14:val="tx1"/>
                  </w14:solidFill>
                </w14:textFill>
              </w:rPr>
              <w:t>颗粒物</w:t>
            </w:r>
          </w:p>
        </w:tc>
        <w:tc>
          <w:tcPr>
            <w:tcW w:w="1522" w:type="dxa"/>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袋式除尘器</w:t>
            </w:r>
          </w:p>
        </w:tc>
        <w:tc>
          <w:tcPr>
            <w:tcW w:w="3649" w:type="dxa"/>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广东省《大气污染物排放限值》（DB44/27-2001）中第二时段无组织排放点监控浓度限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18" w:hRule="atLeast"/>
          <w:jc w:val="center"/>
        </w:trPr>
        <w:tc>
          <w:tcPr>
            <w:tcW w:w="761" w:type="dxa"/>
            <w:vMerge w:val="continue"/>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p>
        </w:tc>
        <w:tc>
          <w:tcPr>
            <w:tcW w:w="543" w:type="dxa"/>
            <w:vMerge w:val="continue"/>
            <w:tcBorders>
              <w:top w:val="single" w:color="auto" w:sz="4" w:space="0"/>
            </w:tcBorders>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p>
        </w:tc>
        <w:tc>
          <w:tcPr>
            <w:tcW w:w="284" w:type="dxa"/>
            <w:vMerge w:val="continue"/>
            <w:tcBorders>
              <w:top w:val="single" w:color="auto" w:sz="4" w:space="0"/>
            </w:tcBorders>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p>
        </w:tc>
        <w:tc>
          <w:tcPr>
            <w:tcW w:w="1134" w:type="dxa"/>
            <w:tcBorders>
              <w:top w:val="single" w:color="auto" w:sz="4" w:space="0"/>
              <w:bottom w:val="single" w:color="auto" w:sz="4" w:space="0"/>
            </w:tcBorders>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不凝气</w:t>
            </w:r>
          </w:p>
        </w:tc>
        <w:tc>
          <w:tcPr>
            <w:tcW w:w="1233" w:type="dxa"/>
            <w:tcBorders>
              <w:bottom w:val="single" w:color="auto" w:sz="4" w:space="0"/>
            </w:tcBorders>
            <w:vAlign w:val="center"/>
          </w:tcPr>
          <w:p>
            <w:pPr>
              <w:adjustRightInd w:val="0"/>
              <w:snapToGrid w:val="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VOCs</w:t>
            </w:r>
          </w:p>
        </w:tc>
        <w:tc>
          <w:tcPr>
            <w:tcW w:w="1522" w:type="dxa"/>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水封池吸收</w:t>
            </w:r>
          </w:p>
        </w:tc>
        <w:tc>
          <w:tcPr>
            <w:tcW w:w="3649" w:type="dxa"/>
            <w:vMerge w:val="restart"/>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VOCs排放达到《制药工业大气污染物排放标准》（GB37823-2019）厂区内VOCs无组织</w:t>
            </w:r>
            <w:r>
              <w:rPr>
                <w:rFonts w:hint="eastAsia" w:ascii="Times New Roman" w:hAnsi="Times New Roman"/>
                <w:color w:val="000000" w:themeColor="text1"/>
                <w:kern w:val="21"/>
                <w:szCs w:val="21"/>
                <w14:textFill>
                  <w14:solidFill>
                    <w14:schemeClr w14:val="tx1"/>
                  </w14:solidFill>
                </w14:textFill>
              </w:rPr>
              <w:t>特别</w:t>
            </w:r>
            <w:r>
              <w:rPr>
                <w:rFonts w:ascii="Times New Roman" w:hAnsi="Times New Roman"/>
                <w:color w:val="000000" w:themeColor="text1"/>
                <w:kern w:val="21"/>
                <w:szCs w:val="21"/>
                <w14:textFill>
                  <w14:solidFill>
                    <w14:schemeClr w14:val="tx1"/>
                  </w14:solidFill>
                </w14:textFill>
              </w:rPr>
              <w:t>排放限值；</w:t>
            </w:r>
            <w:r>
              <w:rPr>
                <w:rFonts w:ascii="Times New Roman" w:hAnsi="Times New Roman"/>
                <w:color w:val="000000" w:themeColor="text1"/>
                <w14:textFill>
                  <w14:solidFill>
                    <w14:schemeClr w14:val="tx1"/>
                  </w14:solidFill>
                </w14:textFill>
              </w:rPr>
              <w:t>臭气浓度达到《恶臭污染物排放标准》(GB14554-93)中表1厂界二级标准值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18" w:hRule="atLeast"/>
          <w:jc w:val="center"/>
        </w:trPr>
        <w:tc>
          <w:tcPr>
            <w:tcW w:w="761" w:type="dxa"/>
            <w:vMerge w:val="continue"/>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p>
        </w:tc>
        <w:tc>
          <w:tcPr>
            <w:tcW w:w="543" w:type="dxa"/>
            <w:vMerge w:val="continue"/>
            <w:tcBorders>
              <w:top w:val="single" w:color="auto" w:sz="4" w:space="0"/>
            </w:tcBorders>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p>
        </w:tc>
        <w:tc>
          <w:tcPr>
            <w:tcW w:w="284" w:type="dxa"/>
            <w:vMerge w:val="continue"/>
            <w:tcBorders>
              <w:top w:val="single" w:color="auto" w:sz="4" w:space="0"/>
              <w:bottom w:val="single" w:color="auto" w:sz="4" w:space="0"/>
            </w:tcBorders>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p>
        </w:tc>
        <w:tc>
          <w:tcPr>
            <w:tcW w:w="1134" w:type="dxa"/>
            <w:tcBorders>
              <w:top w:val="single" w:color="auto" w:sz="4" w:space="0"/>
              <w:bottom w:val="single" w:color="auto" w:sz="4" w:space="0"/>
            </w:tcBorders>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药渣挥发废气、呼吸损耗废气</w:t>
            </w:r>
          </w:p>
        </w:tc>
        <w:tc>
          <w:tcPr>
            <w:tcW w:w="1233" w:type="dxa"/>
            <w:tcBorders>
              <w:bottom w:val="single" w:color="auto" w:sz="4" w:space="0"/>
            </w:tcBorders>
            <w:vAlign w:val="center"/>
          </w:tcPr>
          <w:p>
            <w:pPr>
              <w:adjustRightInd w:val="0"/>
              <w:snapToGrid w:val="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VOCs、臭气浓度</w:t>
            </w:r>
          </w:p>
        </w:tc>
        <w:tc>
          <w:tcPr>
            <w:tcW w:w="1522" w:type="dxa"/>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加强通风</w:t>
            </w:r>
          </w:p>
        </w:tc>
        <w:tc>
          <w:tcPr>
            <w:tcW w:w="3649" w:type="dxa"/>
            <w:vMerge w:val="continue"/>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85" w:hRule="atLeast"/>
          <w:jc w:val="center"/>
        </w:trPr>
        <w:tc>
          <w:tcPr>
            <w:tcW w:w="761" w:type="dxa"/>
            <w:vMerge w:val="continue"/>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p>
        </w:tc>
        <w:tc>
          <w:tcPr>
            <w:tcW w:w="543" w:type="dxa"/>
            <w:vMerge w:val="continue"/>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p>
        </w:tc>
        <w:tc>
          <w:tcPr>
            <w:tcW w:w="1418" w:type="dxa"/>
            <w:gridSpan w:val="2"/>
            <w:tcBorders>
              <w:top w:val="single" w:color="auto" w:sz="4" w:space="0"/>
            </w:tcBorders>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污水处理站</w:t>
            </w:r>
          </w:p>
        </w:tc>
        <w:tc>
          <w:tcPr>
            <w:tcW w:w="1233" w:type="dxa"/>
            <w:tcBorders>
              <w:top w:val="single" w:color="auto" w:sz="4" w:space="0"/>
            </w:tcBorders>
            <w:vAlign w:val="center"/>
          </w:tcPr>
          <w:p>
            <w:pPr>
              <w:adjustRightInd w:val="0"/>
              <w:snapToGrid w:val="0"/>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臭气浓度</w:t>
            </w:r>
          </w:p>
        </w:tc>
        <w:tc>
          <w:tcPr>
            <w:tcW w:w="1522" w:type="dxa"/>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绿化、除臭剂</w:t>
            </w:r>
          </w:p>
        </w:tc>
        <w:tc>
          <w:tcPr>
            <w:tcW w:w="3649" w:type="dxa"/>
            <w:vMerge w:val="continue"/>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5" w:hRule="atLeast"/>
          <w:jc w:val="center"/>
        </w:trPr>
        <w:tc>
          <w:tcPr>
            <w:tcW w:w="761" w:type="dxa"/>
            <w:vMerge w:val="restart"/>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地表水环境</w:t>
            </w:r>
          </w:p>
        </w:tc>
        <w:tc>
          <w:tcPr>
            <w:tcW w:w="1961" w:type="dxa"/>
            <w:gridSpan w:val="3"/>
            <w:vAlign w:val="center"/>
          </w:tcPr>
          <w:p>
            <w:pPr>
              <w:jc w:val="center"/>
              <w:rPr>
                <w:rFonts w:ascii="Times New Roman" w:hAnsi="Times New Roman"/>
                <w:snapToGrid w:val="0"/>
                <w:color w:val="000000" w:themeColor="text1"/>
                <w:szCs w:val="21"/>
                <w14:textFill>
                  <w14:solidFill>
                    <w14:schemeClr w14:val="tx1"/>
                  </w14:solidFill>
                </w14:textFill>
              </w:rPr>
            </w:pPr>
            <w:r>
              <w:rPr>
                <w:rFonts w:ascii="Times New Roman" w:hAnsi="Times New Roman"/>
                <w:snapToGrid w:val="0"/>
                <w:color w:val="000000" w:themeColor="text1"/>
                <w:szCs w:val="21"/>
                <w14:textFill>
                  <w14:solidFill>
                    <w14:schemeClr w14:val="tx1"/>
                  </w14:solidFill>
                </w14:textFill>
              </w:rPr>
              <w:t>生产废水</w:t>
            </w:r>
          </w:p>
        </w:tc>
        <w:tc>
          <w:tcPr>
            <w:tcW w:w="1233" w:type="dxa"/>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COD</w:t>
            </w:r>
            <w:r>
              <w:rPr>
                <w:rFonts w:ascii="Times New Roman" w:hAnsi="Times New Roman"/>
                <w:color w:val="000000" w:themeColor="text1"/>
                <w:szCs w:val="21"/>
                <w:vertAlign w:val="subscript"/>
                <w14:textFill>
                  <w14:solidFill>
                    <w14:schemeClr w14:val="tx1"/>
                  </w14:solidFill>
                </w14:textFill>
              </w:rPr>
              <w:t>Cr</w:t>
            </w:r>
            <w:r>
              <w:rPr>
                <w:rFonts w:ascii="Times New Roman" w:hAnsi="Times New Roman"/>
                <w:color w:val="000000" w:themeColor="text1"/>
                <w:szCs w:val="21"/>
                <w14:textFill>
                  <w14:solidFill>
                    <w14:schemeClr w14:val="tx1"/>
                  </w14:solidFill>
                </w14:textFill>
              </w:rPr>
              <w:t>、BOD</w:t>
            </w:r>
            <w:r>
              <w:rPr>
                <w:rFonts w:ascii="Times New Roman" w:hAnsi="Times New Roman"/>
                <w:color w:val="000000" w:themeColor="text1"/>
                <w:szCs w:val="21"/>
                <w:vertAlign w:val="subscript"/>
                <w14:textFill>
                  <w14:solidFill>
                    <w14:schemeClr w14:val="tx1"/>
                  </w14:solidFill>
                </w14:textFill>
              </w:rPr>
              <w:t>5</w:t>
            </w:r>
            <w:r>
              <w:rPr>
                <w:rFonts w:ascii="Times New Roman" w:hAnsi="Times New Roman"/>
                <w:color w:val="000000" w:themeColor="text1"/>
                <w:szCs w:val="21"/>
                <w14:textFill>
                  <w14:solidFill>
                    <w14:schemeClr w14:val="tx1"/>
                  </w14:solidFill>
                </w14:textFill>
              </w:rPr>
              <w:t>、SS、NH</w:t>
            </w:r>
            <w:r>
              <w:rPr>
                <w:rFonts w:ascii="Times New Roman" w:hAnsi="Times New Roman"/>
                <w:color w:val="000000" w:themeColor="text1"/>
                <w:szCs w:val="21"/>
                <w:vertAlign w:val="subscript"/>
                <w14:textFill>
                  <w14:solidFill>
                    <w14:schemeClr w14:val="tx1"/>
                  </w14:solidFill>
                </w14:textFill>
              </w:rPr>
              <w:t>3</w:t>
            </w:r>
            <w:r>
              <w:rPr>
                <w:rFonts w:ascii="Times New Roman" w:hAnsi="Times New Roman"/>
                <w:color w:val="000000" w:themeColor="text1"/>
                <w:szCs w:val="21"/>
                <w14:textFill>
                  <w14:solidFill>
                    <w14:schemeClr w14:val="tx1"/>
                  </w14:solidFill>
                </w14:textFill>
              </w:rPr>
              <w:t>-N</w:t>
            </w:r>
          </w:p>
        </w:tc>
        <w:tc>
          <w:tcPr>
            <w:tcW w:w="1522" w:type="dxa"/>
            <w:vAlign w:val="center"/>
          </w:tcPr>
          <w:p>
            <w:pPr>
              <w:pStyle w:val="8"/>
              <w:adjustRightInd w:val="0"/>
              <w:spacing w:before="0" w:after="0" w:line="240" w:lineRule="auto"/>
              <w:ind w:right="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自建污水处理站+园区工业污水处理厂</w:t>
            </w:r>
          </w:p>
        </w:tc>
        <w:tc>
          <w:tcPr>
            <w:tcW w:w="3649" w:type="dxa"/>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自建污水处理站处理达到广东省《水污染物排放限值》（DB44/26-2001）第二时段三级标准、工业污水处理厂进水水质要求及《中药类制药工业水污染物排放标准》（GB21906-2008）表2的较严值后进入园区工业污水处理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5" w:hRule="atLeast"/>
          <w:jc w:val="center"/>
        </w:trPr>
        <w:tc>
          <w:tcPr>
            <w:tcW w:w="761" w:type="dxa"/>
            <w:vMerge w:val="continue"/>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p>
        </w:tc>
        <w:tc>
          <w:tcPr>
            <w:tcW w:w="1961" w:type="dxa"/>
            <w:gridSpan w:val="3"/>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snapToGrid w:val="0"/>
                <w:color w:val="000000" w:themeColor="text1"/>
                <w:szCs w:val="21"/>
                <w14:textFill>
                  <w14:solidFill>
                    <w14:schemeClr w14:val="tx1"/>
                  </w14:solidFill>
                </w14:textFill>
              </w:rPr>
              <w:t>生活污水</w:t>
            </w:r>
          </w:p>
        </w:tc>
        <w:tc>
          <w:tcPr>
            <w:tcW w:w="1233" w:type="dxa"/>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COD</w:t>
            </w:r>
            <w:r>
              <w:rPr>
                <w:rFonts w:ascii="Times New Roman" w:hAnsi="Times New Roman"/>
                <w:color w:val="000000" w:themeColor="text1"/>
                <w:szCs w:val="21"/>
                <w:vertAlign w:val="subscript"/>
                <w14:textFill>
                  <w14:solidFill>
                    <w14:schemeClr w14:val="tx1"/>
                  </w14:solidFill>
                </w14:textFill>
              </w:rPr>
              <w:t>Cr</w:t>
            </w:r>
            <w:r>
              <w:rPr>
                <w:rFonts w:ascii="Times New Roman" w:hAnsi="Times New Roman"/>
                <w:color w:val="000000" w:themeColor="text1"/>
                <w:szCs w:val="21"/>
                <w14:textFill>
                  <w14:solidFill>
                    <w14:schemeClr w14:val="tx1"/>
                  </w14:solidFill>
                </w14:textFill>
              </w:rPr>
              <w:t>、BOD</w:t>
            </w:r>
            <w:r>
              <w:rPr>
                <w:rFonts w:ascii="Times New Roman" w:hAnsi="Times New Roman"/>
                <w:color w:val="000000" w:themeColor="text1"/>
                <w:szCs w:val="21"/>
                <w:vertAlign w:val="subscript"/>
                <w14:textFill>
                  <w14:solidFill>
                    <w14:schemeClr w14:val="tx1"/>
                  </w14:solidFill>
                </w14:textFill>
              </w:rPr>
              <w:t>5</w:t>
            </w:r>
            <w:r>
              <w:rPr>
                <w:rFonts w:ascii="Times New Roman" w:hAnsi="Times New Roman"/>
                <w:color w:val="000000" w:themeColor="text1"/>
                <w:szCs w:val="21"/>
                <w14:textFill>
                  <w14:solidFill>
                    <w14:schemeClr w14:val="tx1"/>
                  </w14:solidFill>
                </w14:textFill>
              </w:rPr>
              <w:t>、SS、NH</w:t>
            </w:r>
            <w:r>
              <w:rPr>
                <w:rFonts w:ascii="Times New Roman" w:hAnsi="Times New Roman"/>
                <w:color w:val="000000" w:themeColor="text1"/>
                <w:szCs w:val="21"/>
                <w:vertAlign w:val="subscript"/>
                <w14:textFill>
                  <w14:solidFill>
                    <w14:schemeClr w14:val="tx1"/>
                  </w14:solidFill>
                </w14:textFill>
              </w:rPr>
              <w:t>3</w:t>
            </w:r>
            <w:r>
              <w:rPr>
                <w:rFonts w:ascii="Times New Roman" w:hAnsi="Times New Roman"/>
                <w:color w:val="000000" w:themeColor="text1"/>
                <w:szCs w:val="21"/>
                <w14:textFill>
                  <w14:solidFill>
                    <w14:schemeClr w14:val="tx1"/>
                  </w14:solidFill>
                </w14:textFill>
              </w:rPr>
              <w:t>-N</w:t>
            </w:r>
          </w:p>
        </w:tc>
        <w:tc>
          <w:tcPr>
            <w:tcW w:w="1522" w:type="dxa"/>
            <w:vAlign w:val="center"/>
          </w:tcPr>
          <w:p>
            <w:pPr>
              <w:pStyle w:val="8"/>
              <w:adjustRightInd w:val="0"/>
              <w:spacing w:before="0" w:after="0" w:line="240" w:lineRule="auto"/>
              <w:ind w:right="0"/>
              <w:jc w:val="center"/>
              <w:rPr>
                <w:rFonts w:ascii="Times New Roman" w:hAnsi="Times New Roman"/>
                <w:color w:val="000000" w:themeColor="text1"/>
                <w:kern w:val="2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化粪池+河口镇污水处理厂</w:t>
            </w:r>
          </w:p>
        </w:tc>
        <w:tc>
          <w:tcPr>
            <w:tcW w:w="3649" w:type="dxa"/>
            <w:vAlign w:val="center"/>
          </w:tcPr>
          <w:p>
            <w:pPr>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经化粪池预处理达到广东省《水污染物排放限值》（DB44/26-2001）第二时段三级标准后排至河口镇污水处理厂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761" w:type="dxa"/>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声环境</w:t>
            </w:r>
          </w:p>
        </w:tc>
        <w:tc>
          <w:tcPr>
            <w:tcW w:w="1961" w:type="dxa"/>
            <w:gridSpan w:val="3"/>
            <w:vAlign w:val="center"/>
          </w:tcPr>
          <w:p>
            <w:pPr>
              <w:spacing w:before="60" w:after="60" w:line="280" w:lineRule="exact"/>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生产车间</w:t>
            </w:r>
          </w:p>
        </w:tc>
        <w:tc>
          <w:tcPr>
            <w:tcW w:w="1233" w:type="dxa"/>
            <w:vAlign w:val="center"/>
          </w:tcPr>
          <w:p>
            <w:pPr>
              <w:spacing w:before="60" w:after="60" w:line="280" w:lineRule="exact"/>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设备噪声</w:t>
            </w:r>
          </w:p>
        </w:tc>
        <w:tc>
          <w:tcPr>
            <w:tcW w:w="1522" w:type="dxa"/>
            <w:vAlign w:val="center"/>
          </w:tcPr>
          <w:p>
            <w:pPr>
              <w:spacing w:before="60" w:after="60" w:line="280" w:lineRule="exact"/>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减震、厂房隔声、吸声</w:t>
            </w:r>
          </w:p>
        </w:tc>
        <w:tc>
          <w:tcPr>
            <w:tcW w:w="3649" w:type="dxa"/>
            <w:vAlign w:val="center"/>
          </w:tcPr>
          <w:p>
            <w:pPr>
              <w:spacing w:before="60" w:after="60" w:line="280" w:lineRule="exact"/>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满足《工业企业厂界环境噪声排放标准》（GB12348-2008）中的3类标准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761" w:type="dxa"/>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固体废物</w:t>
            </w:r>
          </w:p>
        </w:tc>
        <w:tc>
          <w:tcPr>
            <w:tcW w:w="8365" w:type="dxa"/>
            <w:gridSpan w:val="6"/>
            <w:vAlign w:val="center"/>
          </w:tcPr>
          <w:p>
            <w:pPr>
              <w:adjustRightInd w:val="0"/>
              <w:snapToGrid w:val="0"/>
              <w:jc w:val="left"/>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固体废物的产生及处置去向如下：</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4"/>
              <w:gridCol w:w="1271"/>
              <w:gridCol w:w="1286"/>
              <w:gridCol w:w="2770"/>
              <w:gridCol w:w="16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pct"/>
                  <w:shd w:val="clear" w:color="auto" w:fill="auto"/>
                  <w:vAlign w:val="center"/>
                </w:tcPr>
                <w:p>
                  <w:pPr>
                    <w:widowControl/>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来源</w:t>
                  </w:r>
                </w:p>
              </w:tc>
              <w:tc>
                <w:tcPr>
                  <w:tcW w:w="766" w:type="pct"/>
                  <w:shd w:val="clear" w:color="auto" w:fill="auto"/>
                  <w:vAlign w:val="center"/>
                </w:tcPr>
                <w:p>
                  <w:pPr>
                    <w:widowControl/>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名称</w:t>
                  </w:r>
                </w:p>
              </w:tc>
              <w:tc>
                <w:tcPr>
                  <w:tcW w:w="775" w:type="pct"/>
                  <w:vAlign w:val="center"/>
                </w:tcPr>
                <w:p>
                  <w:pPr>
                    <w:widowControl/>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属性</w:t>
                  </w:r>
                </w:p>
              </w:tc>
              <w:tc>
                <w:tcPr>
                  <w:tcW w:w="1669" w:type="pct"/>
                  <w:shd w:val="clear" w:color="auto" w:fill="auto"/>
                  <w:vAlign w:val="center"/>
                </w:tcPr>
                <w:p>
                  <w:pPr>
                    <w:widowControl/>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处理措施</w:t>
                  </w:r>
                </w:p>
              </w:tc>
              <w:tc>
                <w:tcPr>
                  <w:tcW w:w="974" w:type="pct"/>
                  <w:shd w:val="clear" w:color="auto" w:fill="auto"/>
                  <w:vAlign w:val="center"/>
                </w:tcPr>
                <w:p>
                  <w:pPr>
                    <w:widowControl/>
                    <w:jc w:val="center"/>
                    <w:rPr>
                      <w:rFonts w:ascii="Times New Roman" w:hAnsi="Times New Roman"/>
                      <w:b/>
                      <w:bCs/>
                      <w:color w:val="000000" w:themeColor="text1"/>
                      <w:kern w:val="0"/>
                      <w:szCs w:val="21"/>
                      <w14:textFill>
                        <w14:solidFill>
                          <w14:schemeClr w14:val="tx1"/>
                        </w14:solidFill>
                      </w14:textFill>
                    </w:rPr>
                  </w:pPr>
                  <w:r>
                    <w:rPr>
                      <w:rFonts w:ascii="Times New Roman" w:hAnsi="Times New Roman"/>
                      <w:b/>
                      <w:bCs/>
                      <w:color w:val="000000" w:themeColor="text1"/>
                      <w:kern w:val="0"/>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pct"/>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过滤工序</w:t>
                  </w:r>
                </w:p>
              </w:tc>
              <w:tc>
                <w:tcPr>
                  <w:tcW w:w="766"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药渣、滤渣</w:t>
                  </w:r>
                </w:p>
              </w:tc>
              <w:tc>
                <w:tcPr>
                  <w:tcW w:w="775" w:type="pct"/>
                  <w:vMerge w:val="restart"/>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一般固废</w:t>
                  </w:r>
                </w:p>
              </w:tc>
              <w:tc>
                <w:tcPr>
                  <w:tcW w:w="1669"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交由有机肥厂家综合利用</w:t>
                  </w:r>
                  <w:r>
                    <w:rPr>
                      <w:rFonts w:ascii="Times New Roman" w:hAnsi="Times New Roman"/>
                      <w:color w:val="000000" w:themeColor="text1"/>
                      <w:kern w:val="0"/>
                      <w:szCs w:val="21"/>
                      <w14:textFill>
                        <w14:solidFill>
                          <w14:schemeClr w14:val="tx1"/>
                        </w14:solidFill>
                      </w14:textFill>
                    </w:rPr>
                    <w:t>（358.386t/a）</w:t>
                  </w:r>
                </w:p>
              </w:tc>
              <w:tc>
                <w:tcPr>
                  <w:tcW w:w="974"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pct"/>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袋式除尘器</w:t>
                  </w:r>
                </w:p>
              </w:tc>
              <w:tc>
                <w:tcPr>
                  <w:tcW w:w="766"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收集粉尘</w:t>
                  </w:r>
                </w:p>
              </w:tc>
              <w:tc>
                <w:tcPr>
                  <w:tcW w:w="775" w:type="pct"/>
                  <w:vMerge w:val="continue"/>
                  <w:vAlign w:val="center"/>
                </w:tcPr>
                <w:p>
                  <w:pPr>
                    <w:jc w:val="center"/>
                    <w:rPr>
                      <w:rFonts w:ascii="Times New Roman" w:hAnsi="Times New Roman"/>
                      <w:color w:val="000000" w:themeColor="text1"/>
                      <w:kern w:val="0"/>
                      <w:szCs w:val="21"/>
                      <w14:textFill>
                        <w14:solidFill>
                          <w14:schemeClr w14:val="tx1"/>
                        </w14:solidFill>
                      </w14:textFill>
                    </w:rPr>
                  </w:pPr>
                </w:p>
              </w:tc>
              <w:tc>
                <w:tcPr>
                  <w:tcW w:w="1669"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974" w:type="pct"/>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pct"/>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包装工序</w:t>
                  </w:r>
                </w:p>
              </w:tc>
              <w:tc>
                <w:tcPr>
                  <w:tcW w:w="766"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包装废物</w:t>
                  </w:r>
                </w:p>
              </w:tc>
              <w:tc>
                <w:tcPr>
                  <w:tcW w:w="775" w:type="pct"/>
                  <w:vMerge w:val="continue"/>
                  <w:vAlign w:val="center"/>
                </w:tcPr>
                <w:p>
                  <w:pPr>
                    <w:widowControl/>
                    <w:jc w:val="center"/>
                    <w:rPr>
                      <w:rFonts w:ascii="Times New Roman" w:hAnsi="Times New Roman"/>
                      <w:color w:val="000000" w:themeColor="text1"/>
                      <w:kern w:val="0"/>
                      <w:szCs w:val="21"/>
                      <w14:textFill>
                        <w14:solidFill>
                          <w14:schemeClr w14:val="tx1"/>
                        </w14:solidFill>
                      </w14:textFill>
                    </w:rPr>
                  </w:pPr>
                </w:p>
              </w:tc>
              <w:tc>
                <w:tcPr>
                  <w:tcW w:w="1669" w:type="pct"/>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由</w:t>
                  </w:r>
                  <w:r>
                    <w:rPr>
                      <w:rFonts w:ascii="Times New Roman" w:hAnsi="Times New Roman"/>
                      <w:color w:val="000000" w:themeColor="text1"/>
                      <w:spacing w:val="-1"/>
                      <w:position w:val="-1"/>
                      <w:szCs w:val="21"/>
                      <w14:textFill>
                        <w14:solidFill>
                          <w14:schemeClr w14:val="tx1"/>
                        </w14:solidFill>
                      </w14:textFill>
                    </w:rPr>
                    <w:t>专业回收公司回收</w:t>
                  </w:r>
                  <w:r>
                    <w:rPr>
                      <w:rFonts w:ascii="Times New Roman" w:hAnsi="Times New Roman"/>
                      <w:color w:val="000000" w:themeColor="text1"/>
                      <w:szCs w:val="21"/>
                      <w14:textFill>
                        <w14:solidFill>
                          <w14:schemeClr w14:val="tx1"/>
                        </w14:solidFill>
                      </w14:textFill>
                    </w:rPr>
                    <w:t>利用</w:t>
                  </w:r>
                  <w:r>
                    <w:rPr>
                      <w:rFonts w:ascii="Times New Roman" w:hAnsi="Times New Roman"/>
                      <w:color w:val="000000" w:themeColor="text1"/>
                      <w:kern w:val="0"/>
                      <w:szCs w:val="21"/>
                      <w14:textFill>
                        <w14:solidFill>
                          <w14:schemeClr w14:val="tx1"/>
                        </w14:solidFill>
                      </w14:textFill>
                    </w:rPr>
                    <w:t>（0.1t/a）</w:t>
                  </w:r>
                </w:p>
              </w:tc>
              <w:tc>
                <w:tcPr>
                  <w:tcW w:w="974"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pct"/>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挑选工序</w:t>
                  </w:r>
                </w:p>
              </w:tc>
              <w:tc>
                <w:tcPr>
                  <w:tcW w:w="766"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药材杂质</w:t>
                  </w:r>
                </w:p>
              </w:tc>
              <w:tc>
                <w:tcPr>
                  <w:tcW w:w="775" w:type="pct"/>
                  <w:vMerge w:val="continue"/>
                  <w:vAlign w:val="center"/>
                </w:tcPr>
                <w:p>
                  <w:pPr>
                    <w:widowControl/>
                    <w:jc w:val="center"/>
                    <w:rPr>
                      <w:rFonts w:ascii="Times New Roman" w:hAnsi="Times New Roman"/>
                      <w:color w:val="000000" w:themeColor="text1"/>
                      <w:kern w:val="0"/>
                      <w:szCs w:val="21"/>
                      <w14:textFill>
                        <w14:solidFill>
                          <w14:schemeClr w14:val="tx1"/>
                        </w14:solidFill>
                      </w14:textFill>
                    </w:rPr>
                  </w:pPr>
                </w:p>
              </w:tc>
              <w:tc>
                <w:tcPr>
                  <w:tcW w:w="1669" w:type="pct"/>
                  <w:vMerge w:val="restart"/>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由环卫部门统一处理</w:t>
                  </w:r>
                  <w:r>
                    <w:rPr>
                      <w:rFonts w:ascii="Times New Roman" w:hAnsi="Times New Roman"/>
                      <w:color w:val="000000" w:themeColor="text1"/>
                      <w:kern w:val="0"/>
                      <w:szCs w:val="21"/>
                      <w14:textFill>
                        <w14:solidFill>
                          <w14:schemeClr w14:val="tx1"/>
                        </w14:solidFill>
                      </w14:textFill>
                    </w:rPr>
                    <w:t>（</w:t>
                  </w:r>
                  <w:r>
                    <w:rPr>
                      <w:rFonts w:hint="eastAsia" w:ascii="Times New Roman" w:hAnsi="Times New Roman"/>
                      <w:color w:val="000000" w:themeColor="text1"/>
                      <w:kern w:val="0"/>
                      <w:szCs w:val="21"/>
                      <w14:textFill>
                        <w14:solidFill>
                          <w14:schemeClr w14:val="tx1"/>
                        </w14:solidFill>
                      </w14:textFill>
                    </w:rPr>
                    <w:t>9.097</w:t>
                  </w:r>
                  <w:r>
                    <w:rPr>
                      <w:rFonts w:ascii="Times New Roman" w:hAnsi="Times New Roman"/>
                      <w:color w:val="000000" w:themeColor="text1"/>
                      <w:kern w:val="0"/>
                      <w:szCs w:val="21"/>
                      <w14:textFill>
                        <w14:solidFill>
                          <w14:schemeClr w14:val="tx1"/>
                        </w14:solidFill>
                      </w14:textFill>
                    </w:rPr>
                    <w:t>t/a）</w:t>
                  </w:r>
                </w:p>
              </w:tc>
              <w:tc>
                <w:tcPr>
                  <w:tcW w:w="974"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pct"/>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污水处理</w:t>
                  </w:r>
                </w:p>
              </w:tc>
              <w:tc>
                <w:tcPr>
                  <w:tcW w:w="766"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污泥</w:t>
                  </w:r>
                </w:p>
              </w:tc>
              <w:tc>
                <w:tcPr>
                  <w:tcW w:w="775" w:type="pct"/>
                  <w:vMerge w:val="continue"/>
                  <w:vAlign w:val="center"/>
                </w:tcPr>
                <w:p>
                  <w:pPr>
                    <w:widowControl/>
                    <w:jc w:val="center"/>
                    <w:rPr>
                      <w:rFonts w:ascii="Times New Roman" w:hAnsi="Times New Roman"/>
                      <w:color w:val="000000" w:themeColor="text1"/>
                      <w:kern w:val="0"/>
                      <w:szCs w:val="21"/>
                      <w14:textFill>
                        <w14:solidFill>
                          <w14:schemeClr w14:val="tx1"/>
                        </w14:solidFill>
                      </w14:textFill>
                    </w:rPr>
                  </w:pPr>
                </w:p>
              </w:tc>
              <w:tc>
                <w:tcPr>
                  <w:tcW w:w="1669" w:type="pct"/>
                  <w:vMerge w:val="continue"/>
                  <w:vAlign w:val="center"/>
                </w:tcPr>
                <w:p>
                  <w:pPr>
                    <w:jc w:val="center"/>
                    <w:rPr>
                      <w:rFonts w:ascii="Times New Roman" w:hAnsi="Times New Roman"/>
                      <w:color w:val="000000" w:themeColor="text1"/>
                      <w:szCs w:val="21"/>
                      <w14:textFill>
                        <w14:solidFill>
                          <w14:schemeClr w14:val="tx1"/>
                        </w14:solidFill>
                      </w14:textFill>
                    </w:rPr>
                  </w:pPr>
                </w:p>
              </w:tc>
              <w:tc>
                <w:tcPr>
                  <w:tcW w:w="974"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pct"/>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员工生活</w:t>
                  </w:r>
                </w:p>
              </w:tc>
              <w:tc>
                <w:tcPr>
                  <w:tcW w:w="766"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生活垃圾</w:t>
                  </w:r>
                </w:p>
              </w:tc>
              <w:tc>
                <w:tcPr>
                  <w:tcW w:w="775" w:type="pct"/>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生活垃圾</w:t>
                  </w:r>
                </w:p>
              </w:tc>
              <w:tc>
                <w:tcPr>
                  <w:tcW w:w="1669" w:type="pct"/>
                  <w:vMerge w:val="continue"/>
                  <w:vAlign w:val="center"/>
                </w:tcPr>
                <w:p>
                  <w:pPr>
                    <w:jc w:val="center"/>
                    <w:rPr>
                      <w:rFonts w:ascii="Times New Roman" w:hAnsi="Times New Roman"/>
                      <w:color w:val="000000" w:themeColor="text1"/>
                      <w:kern w:val="0"/>
                      <w:szCs w:val="21"/>
                      <w14:textFill>
                        <w14:solidFill>
                          <w14:schemeClr w14:val="tx1"/>
                        </w14:solidFill>
                      </w14:textFill>
                    </w:rPr>
                  </w:pPr>
                </w:p>
              </w:tc>
              <w:tc>
                <w:tcPr>
                  <w:tcW w:w="974" w:type="pct"/>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纯水制备</w:t>
                  </w:r>
                </w:p>
              </w:tc>
              <w:tc>
                <w:tcPr>
                  <w:tcW w:w="766"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废滤芯</w:t>
                  </w:r>
                </w:p>
              </w:tc>
              <w:tc>
                <w:tcPr>
                  <w:tcW w:w="775" w:type="pct"/>
                  <w:vMerge w:val="restart"/>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危险废物</w:t>
                  </w:r>
                </w:p>
              </w:tc>
              <w:tc>
                <w:tcPr>
                  <w:tcW w:w="1669" w:type="pct"/>
                  <w:vMerge w:val="restart"/>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交由具危险废物处理资质单位处置（0.52t/a）</w:t>
                  </w:r>
                </w:p>
              </w:tc>
              <w:tc>
                <w:tcPr>
                  <w:tcW w:w="974" w:type="pct"/>
                  <w:vMerge w:val="restart"/>
                  <w:shd w:val="clear" w:color="auto" w:fill="auto"/>
                  <w:vAlign w:val="center"/>
                </w:tcPr>
                <w:p>
                  <w:pPr>
                    <w:topLinePunct/>
                    <w:adjustRightInd w:val="0"/>
                    <w:snapToGrid w:val="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HW49</w:t>
                  </w:r>
                </w:p>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（900-041-49）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6" w:type="pct"/>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软水制备</w:t>
                  </w:r>
                </w:p>
              </w:tc>
              <w:tc>
                <w:tcPr>
                  <w:tcW w:w="766" w:type="pct"/>
                  <w:shd w:val="clear" w:color="auto" w:fill="auto"/>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废树脂</w:t>
                  </w:r>
                </w:p>
              </w:tc>
              <w:tc>
                <w:tcPr>
                  <w:tcW w:w="775" w:type="pct"/>
                  <w:vMerge w:val="continue"/>
                  <w:vAlign w:val="center"/>
                </w:tcPr>
                <w:p>
                  <w:pPr>
                    <w:widowControl/>
                    <w:jc w:val="center"/>
                    <w:rPr>
                      <w:rFonts w:ascii="Times New Roman" w:hAnsi="Times New Roman"/>
                      <w:color w:val="000000" w:themeColor="text1"/>
                      <w:kern w:val="0"/>
                      <w:szCs w:val="21"/>
                      <w14:textFill>
                        <w14:solidFill>
                          <w14:schemeClr w14:val="tx1"/>
                        </w14:solidFill>
                      </w14:textFill>
                    </w:rPr>
                  </w:pPr>
                </w:p>
              </w:tc>
              <w:tc>
                <w:tcPr>
                  <w:tcW w:w="1669" w:type="pct"/>
                  <w:vMerge w:val="continue"/>
                  <w:shd w:val="clear" w:color="auto" w:fill="auto"/>
                  <w:vAlign w:val="center"/>
                </w:tcPr>
                <w:p>
                  <w:pPr>
                    <w:jc w:val="center"/>
                    <w:rPr>
                      <w:rFonts w:ascii="Times New Roman" w:hAnsi="Times New Roman"/>
                      <w:color w:val="000000" w:themeColor="text1"/>
                      <w:kern w:val="0"/>
                      <w:szCs w:val="21"/>
                      <w14:textFill>
                        <w14:solidFill>
                          <w14:schemeClr w14:val="tx1"/>
                        </w14:solidFill>
                      </w14:textFill>
                    </w:rPr>
                  </w:pPr>
                </w:p>
              </w:tc>
              <w:tc>
                <w:tcPr>
                  <w:tcW w:w="974" w:type="pct"/>
                  <w:vMerge w:val="continue"/>
                  <w:shd w:val="clear" w:color="auto" w:fill="auto"/>
                  <w:vAlign w:val="center"/>
                </w:tcPr>
                <w:p>
                  <w:pPr>
                    <w:topLinePunct/>
                    <w:adjustRightInd w:val="0"/>
                    <w:snapToGrid w:val="0"/>
                    <w:jc w:val="center"/>
                    <w:rPr>
                      <w:rFonts w:ascii="Times New Roman" w:hAnsi="Times New Roman"/>
                      <w:color w:val="000000" w:themeColor="text1"/>
                      <w:szCs w:val="21"/>
                      <w14:textFill>
                        <w14:solidFill>
                          <w14:schemeClr w14:val="tx1"/>
                        </w14:solidFill>
                      </w14:textFill>
                    </w:rPr>
                  </w:pPr>
                </w:p>
              </w:tc>
            </w:tr>
          </w:tbl>
          <w:p>
            <w:pPr>
              <w:adjustRightInd w:val="0"/>
              <w:snapToGrid w:val="0"/>
              <w:jc w:val="left"/>
              <w:rPr>
                <w:rFonts w:ascii="Times New Roman" w:hAnsi="Times New Roman"/>
                <w:color w:val="000000" w:themeColor="text1"/>
                <w:kern w:val="21"/>
                <w:szCs w:val="21"/>
                <w14:textFill>
                  <w14:solidFill>
                    <w14:schemeClr w14:val="tx1"/>
                  </w14:solidFill>
                </w14:textFill>
              </w:rPr>
            </w:pPr>
          </w:p>
          <w:p>
            <w:pPr>
              <w:adjustRightInd w:val="0"/>
              <w:snapToGrid w:val="0"/>
              <w:jc w:val="left"/>
              <w:rPr>
                <w:rFonts w:ascii="Times New Roman" w:hAnsi="Times New Roman"/>
                <w:color w:val="000000" w:themeColor="text1"/>
                <w:kern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761" w:type="dxa"/>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土壤及地下水</w:t>
            </w:r>
          </w:p>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污染防治措施</w:t>
            </w:r>
          </w:p>
        </w:tc>
        <w:tc>
          <w:tcPr>
            <w:tcW w:w="8365" w:type="dxa"/>
            <w:gridSpan w:val="6"/>
            <w:vAlign w:val="center"/>
          </w:tcPr>
          <w:p>
            <w:pPr>
              <w:adjustRightInd w:val="0"/>
              <w:snapToGrid w:val="0"/>
              <w:jc w:val="left"/>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14:textFill>
                  <w14:solidFill>
                    <w14:schemeClr w14:val="tx1"/>
                  </w14:solidFill>
                </w14:textFill>
              </w:rPr>
              <w:t>本项目运营期需做好储罐区、生产车间、污水处理站等重点区域的防渗防漏工程措施，用水泥硬化，四周壁用砖砌再用水泥硬化防渗，涂防腐防渗材料。厂房和固废区、危废间地面采取粘土铺底，再在上层铺设10~15cm 的水泥进行硬化，并铺环氧树脂防渗；通过上述措施可使重点污染区各单元防渗层渗透系数≤10</w:t>
            </w:r>
            <w:r>
              <w:rPr>
                <w:rFonts w:ascii="Times New Roman" w:hAnsi="Times New Roman"/>
                <w:color w:val="000000" w:themeColor="text1"/>
                <w:vertAlign w:val="superscript"/>
                <w14:textFill>
                  <w14:solidFill>
                    <w14:schemeClr w14:val="tx1"/>
                  </w14:solidFill>
                </w14:textFill>
              </w:rPr>
              <w:t>-10</w:t>
            </w:r>
            <w:r>
              <w:rPr>
                <w:rFonts w:ascii="Times New Roman" w:hAnsi="Times New Roman"/>
                <w:color w:val="000000" w:themeColor="text1"/>
                <w14:textFill>
                  <w14:solidFill>
                    <w14:schemeClr w14:val="tx1"/>
                  </w14:solidFill>
                </w14:textFill>
              </w:rPr>
              <w:t>cm/s。</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761" w:type="dxa"/>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生态保护措施</w:t>
            </w:r>
          </w:p>
        </w:tc>
        <w:tc>
          <w:tcPr>
            <w:tcW w:w="8365" w:type="dxa"/>
            <w:gridSpan w:val="6"/>
            <w:vAlign w:val="center"/>
          </w:tcPr>
          <w:p>
            <w:pPr>
              <w:adjustRightInd w:val="0"/>
              <w:snapToGrid w:val="0"/>
              <w:jc w:val="left"/>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761" w:type="dxa"/>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环境风险防范措施</w:t>
            </w:r>
          </w:p>
        </w:tc>
        <w:tc>
          <w:tcPr>
            <w:tcW w:w="8365" w:type="dxa"/>
            <w:gridSpan w:val="6"/>
            <w:vAlign w:val="center"/>
          </w:tcPr>
          <w:p>
            <w:pPr>
              <w:adjustRightInd w:val="0"/>
              <w:snapToGrid w:val="0"/>
              <w:ind w:firstLine="420" w:firstLineChars="200"/>
              <w:jc w:val="left"/>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设置专门仓库存放原辅材料，专人管理；醇储罐区做好对储罐进行防腐、防渗、防漏工程，并建有有效容积≥10m</w:t>
            </w:r>
            <w:r>
              <w:rPr>
                <w:rFonts w:ascii="Times New Roman" w:hAnsi="Times New Roman"/>
                <w:color w:val="000000" w:themeColor="text1"/>
                <w:kern w:val="21"/>
                <w:szCs w:val="21"/>
                <w:vertAlign w:val="superscript"/>
                <w14:textFill>
                  <w14:solidFill>
                    <w14:schemeClr w14:val="tx1"/>
                  </w14:solidFill>
                </w14:textFill>
              </w:rPr>
              <w:t>3</w:t>
            </w:r>
            <w:r>
              <w:rPr>
                <w:rFonts w:ascii="Times New Roman" w:hAnsi="Times New Roman"/>
                <w:color w:val="000000" w:themeColor="text1"/>
                <w:kern w:val="21"/>
                <w:szCs w:val="21"/>
                <w14:textFill>
                  <w14:solidFill>
                    <w14:schemeClr w14:val="tx1"/>
                  </w14:solidFill>
                </w14:textFill>
              </w:rPr>
              <w:t>的容积的围堤；危废按照规范设置专门收集容器和储存场所，储存场所采取地面硬化处理、围堰、防渗漏措施，危废委托有危废资质单位处理；定期对废气处理设施及生产设备进行检修维护，一旦发现废气处理系统发生故障，操作人员立即采取处理措施，停产检修；废水处理设施定期检查、设自动监控仪表；设置事故应急池</w:t>
            </w:r>
            <w:r>
              <w:rPr>
                <w:rFonts w:ascii="Times New Roman" w:hAnsi="Times New Roman"/>
                <w:color w:val="000000" w:themeColor="text1"/>
                <w14:textFill>
                  <w14:solidFill>
                    <w14:schemeClr w14:val="tx1"/>
                  </w14:solidFill>
                </w14:textFill>
              </w:rPr>
              <w:t>14m</w:t>
            </w:r>
            <w:r>
              <w:rPr>
                <w:rFonts w:ascii="Times New Roman" w:hAnsi="Times New Roman"/>
                <w:color w:val="000000" w:themeColor="text1"/>
                <w:vertAlign w:val="superscript"/>
                <w14:textFill>
                  <w14:solidFill>
                    <w14:schemeClr w14:val="tx1"/>
                  </w14:solidFill>
                </w14:textFill>
              </w:rPr>
              <w:t>3</w:t>
            </w:r>
            <w:r>
              <w:rPr>
                <w:rFonts w:ascii="Times New Roman" w:hAnsi="Times New Roman"/>
                <w:color w:val="000000" w:themeColor="text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761" w:type="dxa"/>
            <w:vAlign w:val="center"/>
          </w:tcPr>
          <w:p>
            <w:pPr>
              <w:adjustRightInd w:val="0"/>
              <w:snapToGrid w:val="0"/>
              <w:jc w:val="center"/>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其他环境管理要求</w:t>
            </w:r>
          </w:p>
        </w:tc>
        <w:tc>
          <w:tcPr>
            <w:tcW w:w="8365" w:type="dxa"/>
            <w:gridSpan w:val="6"/>
            <w:vAlign w:val="center"/>
          </w:tcPr>
          <w:p>
            <w:pPr>
              <w:adjustRightInd w:val="0"/>
              <w:snapToGrid w:val="0"/>
              <w:rPr>
                <w:rFonts w:ascii="Times New Roman" w:hAnsi="Times New Roman"/>
                <w:color w:val="000000" w:themeColor="text1"/>
                <w:kern w:val="21"/>
                <w:szCs w:val="21"/>
                <w14:textFill>
                  <w14:solidFill>
                    <w14:schemeClr w14:val="tx1"/>
                  </w14:solidFill>
                </w14:textFill>
              </w:rPr>
            </w:pPr>
            <w:r>
              <w:rPr>
                <w:rFonts w:ascii="Times New Roman" w:hAnsi="Times New Roman"/>
                <w:color w:val="000000" w:themeColor="text1"/>
                <w:kern w:val="21"/>
                <w:szCs w:val="21"/>
                <w14:textFill>
                  <w14:solidFill>
                    <w14:schemeClr w14:val="tx1"/>
                  </w14:solidFill>
                </w14:textFill>
              </w:rPr>
              <w:t>/</w:t>
            </w:r>
          </w:p>
        </w:tc>
      </w:tr>
    </w:tbl>
    <w:p>
      <w:pPr>
        <w:pStyle w:val="16"/>
        <w:adjustRightInd w:val="0"/>
        <w:snapToGrid w:val="0"/>
        <w:jc w:val="center"/>
        <w:outlineLvl w:val="0"/>
        <w:rPr>
          <w:rFonts w:ascii="Times New Roman" w:hAnsi="Times New Roman"/>
          <w:snapToGrid w:val="0"/>
          <w:color w:val="000000" w:themeColor="text1"/>
          <w:kern w:val="21"/>
          <w:sz w:val="30"/>
          <w:szCs w:val="30"/>
          <w14:textFill>
            <w14:solidFill>
              <w14:schemeClr w14:val="tx1"/>
            </w14:solidFill>
          </w14:textFill>
        </w:rPr>
      </w:pPr>
      <w:r>
        <w:rPr>
          <w:rFonts w:ascii="Times New Roman" w:hAnsi="Times New Roman"/>
          <w:snapToGrid w:val="0"/>
          <w:color w:val="000000" w:themeColor="text1"/>
          <w:kern w:val="21"/>
          <w14:textFill>
            <w14:solidFill>
              <w14:schemeClr w14:val="tx1"/>
            </w14:solidFill>
          </w14:textFill>
        </w:rPr>
        <w:br w:type="page"/>
      </w:r>
      <w:r>
        <w:rPr>
          <w:rFonts w:ascii="Times New Roman" w:hAnsi="Times New Roman"/>
          <w:snapToGrid w:val="0"/>
          <w:color w:val="000000" w:themeColor="text1"/>
          <w:kern w:val="21"/>
          <w:sz w:val="30"/>
          <w:szCs w:val="30"/>
          <w14:textFill>
            <w14:solidFill>
              <w14:schemeClr w14:val="tx1"/>
            </w14:solidFill>
          </w14:textFill>
        </w:rPr>
        <w:t>六、结论</w:t>
      </w:r>
    </w:p>
    <w:tbl>
      <w:tblPr>
        <w:tblStyle w:val="1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28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5000" w:type="pct"/>
            <w:vAlign w:val="center"/>
          </w:tcPr>
          <w:p>
            <w:pPr>
              <w:adjustRightInd w:val="0"/>
              <w:snapToGrid w:val="0"/>
              <w:spacing w:line="360" w:lineRule="auto"/>
              <w:ind w:firstLine="480" w:firstLineChars="200"/>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本项目建设符合“三线一单”管理及相关环保规划要求，项目按建设项目“三同时”制度要求，逐一落实本报告提出的污染治理项目，并在运营过程中加强环保设施管理，保证各项污染物达标排放，则项目对周围环境影响不明显。</w:t>
            </w:r>
          </w:p>
          <w:p>
            <w:pPr>
              <w:adjustRightInd w:val="0"/>
              <w:snapToGrid w:val="0"/>
              <w:spacing w:line="360" w:lineRule="auto"/>
              <w:ind w:firstLine="480" w:firstLineChars="200"/>
              <w:rPr>
                <w:rFonts w:ascii="Times New Roman" w:hAnsi="Times New Roman"/>
                <w:color w:val="000000" w:themeColor="text1"/>
                <w:kern w:val="21"/>
                <w:sz w:val="24"/>
                <w14:textFill>
                  <w14:solidFill>
                    <w14:schemeClr w14:val="tx1"/>
                  </w14:solidFill>
                </w14:textFill>
              </w:rPr>
            </w:pPr>
            <w:r>
              <w:rPr>
                <w:rFonts w:ascii="Times New Roman" w:hAnsi="Times New Roman"/>
                <w:color w:val="000000" w:themeColor="text1"/>
                <w:kern w:val="21"/>
                <w:sz w:val="24"/>
                <w14:textFill>
                  <w14:solidFill>
                    <w14:schemeClr w14:val="tx1"/>
                  </w14:solidFill>
                </w14:textFill>
              </w:rPr>
              <w:t>因此，从环境保护角度考虑，本项目的建设是合理、可行的。</w:t>
            </w: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p>
            <w:pPr>
              <w:adjustRightInd w:val="0"/>
              <w:snapToGrid w:val="0"/>
              <w:ind w:firstLine="480" w:firstLineChars="200"/>
              <w:rPr>
                <w:rFonts w:ascii="Times New Roman" w:hAnsi="Times New Roman"/>
                <w:color w:val="000000" w:themeColor="text1"/>
                <w:kern w:val="21"/>
                <w:sz w:val="24"/>
                <w14:textFill>
                  <w14:solidFill>
                    <w14:schemeClr w14:val="tx1"/>
                  </w14:solidFill>
                </w14:textFill>
              </w:rPr>
            </w:pPr>
          </w:p>
        </w:tc>
      </w:tr>
    </w:tbl>
    <w:p>
      <w:pPr>
        <w:rPr>
          <w:rFonts w:ascii="Times New Roman" w:hAnsi="Times New Roman"/>
          <w:color w:val="000000" w:themeColor="text1"/>
          <w:kern w:val="21"/>
          <w14:textFill>
            <w14:solidFill>
              <w14:schemeClr w14:val="tx1"/>
            </w14:solidFill>
          </w14:textFill>
        </w:rPr>
        <w:sectPr>
          <w:pgSz w:w="11906" w:h="16838"/>
          <w:pgMar w:top="1418" w:right="1418" w:bottom="1418" w:left="1418" w:header="851" w:footer="851" w:gutter="0"/>
          <w:cols w:space="720" w:num="1"/>
          <w:docGrid w:linePitch="312" w:charSpace="0"/>
        </w:sectPr>
      </w:pPr>
    </w:p>
    <w:p>
      <w:pPr>
        <w:adjustRightInd w:val="0"/>
        <w:snapToGrid w:val="0"/>
        <w:jc w:val="center"/>
        <w:rPr>
          <w:rFonts w:ascii="Times New Roman" w:hAnsi="Times New Roman"/>
          <w:color w:val="000000" w:themeColor="text1"/>
          <w:sz w:val="24"/>
          <w:szCs w:val="28"/>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8531860" cy="5448300"/>
            <wp:effectExtent l="19050" t="19050" r="21590" b="190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8532000" cy="5448901"/>
                    </a:xfrm>
                    <a:prstGeom prst="rect">
                      <a:avLst/>
                    </a:prstGeom>
                    <a:ln>
                      <a:solidFill>
                        <a:schemeClr val="tx1"/>
                      </a:solidFill>
                    </a:ln>
                  </pic:spPr>
                </pic:pic>
              </a:graphicData>
            </a:graphic>
          </wp:inline>
        </w:drawing>
      </w:r>
    </w:p>
    <w:p>
      <w:pPr>
        <w:pStyle w:val="79"/>
        <w:spacing w:line="240" w:lineRule="auto"/>
        <w:ind w:firstLine="0" w:firstLineChars="0"/>
        <w:jc w:val="center"/>
        <w:outlineLvl w:val="0"/>
        <w:rPr>
          <w:b/>
          <w:color w:val="000000" w:themeColor="text1"/>
          <w:sz w:val="24"/>
          <w14:textFill>
            <w14:solidFill>
              <w14:schemeClr w14:val="tx1"/>
            </w14:solidFill>
          </w14:textFill>
        </w:rPr>
      </w:pPr>
      <w:r>
        <w:rPr>
          <w:b/>
          <w:color w:val="000000" w:themeColor="text1"/>
          <w:sz w:val="24"/>
          <w14:textFill>
            <w14:solidFill>
              <w14:schemeClr w14:val="tx1"/>
            </w14:solidFill>
          </w14:textFill>
        </w:rPr>
        <w:t>附图1 项目地理位置图</w:t>
      </w:r>
    </w:p>
    <w:p>
      <w:pPr>
        <w:adjustRightInd w:val="0"/>
        <w:snapToGrid w:val="0"/>
        <w:jc w:val="center"/>
        <w:rPr>
          <w:rFonts w:ascii="Times New Roman" w:hAnsi="Times New Roman"/>
          <w:color w:val="000000" w:themeColor="text1"/>
          <w:sz w:val="24"/>
          <w:szCs w:val="28"/>
          <w14:textFill>
            <w14:solidFill>
              <w14:schemeClr w14:val="tx1"/>
            </w14:solidFill>
          </w14:textFill>
        </w:rPr>
        <w:sectPr>
          <w:pgSz w:w="16838" w:h="11906" w:orient="landscape"/>
          <w:pgMar w:top="1418" w:right="1418" w:bottom="1418" w:left="1418" w:header="851" w:footer="992" w:gutter="0"/>
          <w:pgBorders w:offsetFrom="page">
            <w:top w:val="none" w:sz="0" w:space="0"/>
            <w:left w:val="none" w:sz="0" w:space="0"/>
            <w:bottom w:val="none" w:sz="0" w:space="0"/>
            <w:right w:val="none" w:sz="0" w:space="0"/>
          </w:pgBorders>
          <w:cols w:space="720" w:num="1"/>
          <w:titlePg/>
          <w:docGrid w:linePitch="312" w:charSpace="0"/>
        </w:sectPr>
      </w:pPr>
    </w:p>
    <w:p>
      <w:pPr>
        <w:jc w:val="center"/>
        <w:rPr>
          <w:rFonts w:ascii="Times New Roman" w:hAnsi="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8272145" cy="5407660"/>
            <wp:effectExtent l="19050" t="19050" r="14605" b="215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6"/>
                    <a:stretch>
                      <a:fillRect/>
                    </a:stretch>
                  </pic:blipFill>
                  <pic:spPr>
                    <a:xfrm>
                      <a:off x="0" y="0"/>
                      <a:ext cx="8262080" cy="5400952"/>
                    </a:xfrm>
                    <a:prstGeom prst="rect">
                      <a:avLst/>
                    </a:prstGeom>
                    <a:ln>
                      <a:solidFill>
                        <a:schemeClr val="tx1"/>
                      </a:solidFill>
                    </a:ln>
                  </pic:spPr>
                </pic:pic>
              </a:graphicData>
            </a:graphic>
          </wp:inline>
        </w:drawing>
      </w:r>
    </w:p>
    <w:p>
      <w:pPr>
        <w:pStyle w:val="79"/>
        <w:spacing w:line="240" w:lineRule="auto"/>
        <w:ind w:firstLine="0" w:firstLineChars="0"/>
        <w:jc w:val="center"/>
        <w:outlineLvl w:val="0"/>
        <w:rPr>
          <w:b/>
          <w:color w:val="000000" w:themeColor="text1"/>
          <w:sz w:val="24"/>
          <w14:textFill>
            <w14:solidFill>
              <w14:schemeClr w14:val="tx1"/>
            </w14:solidFill>
          </w14:textFill>
        </w:rPr>
      </w:pPr>
      <w:r>
        <w:rPr>
          <w:b/>
          <w:color w:val="000000" w:themeColor="text1"/>
          <w:sz w:val="24"/>
          <w14:textFill>
            <w14:solidFill>
              <w14:schemeClr w14:val="tx1"/>
            </w14:solidFill>
          </w14:textFill>
        </w:rPr>
        <w:t>附图2 项目四至情况</w:t>
      </w:r>
      <w:r>
        <w:rPr>
          <w:rFonts w:hint="eastAsia"/>
          <w:b/>
          <w:color w:val="000000" w:themeColor="text1"/>
          <w:sz w:val="24"/>
          <w14:textFill>
            <w14:solidFill>
              <w14:schemeClr w14:val="tx1"/>
            </w14:solidFill>
          </w14:textFill>
        </w:rPr>
        <w:t>图</w:t>
      </w:r>
    </w:p>
    <w:p>
      <w:pPr>
        <w:ind w:firstLine="1155" w:firstLineChars="550"/>
        <w:rPr>
          <w:rFonts w:ascii="Times New Roman" w:hAnsi="Times New Roman"/>
          <w:color w:val="000000" w:themeColor="text1"/>
          <w14:textFill>
            <w14:solidFill>
              <w14:schemeClr w14:val="tx1"/>
            </w14:solidFill>
          </w14:textFill>
        </w:rPr>
        <w:sectPr>
          <w:footerReference r:id="rId6" w:type="default"/>
          <w:pgSz w:w="16838" w:h="11906" w:orient="landscape"/>
          <w:pgMar w:top="1418" w:right="1418" w:bottom="1418" w:left="1418" w:header="992" w:footer="851" w:gutter="0"/>
          <w:pgBorders w:offsetFrom="page">
            <w:top w:val="none" w:sz="0" w:space="0"/>
            <w:left w:val="none" w:sz="0" w:space="0"/>
            <w:bottom w:val="none" w:sz="0" w:space="0"/>
            <w:right w:val="none" w:sz="0" w:space="0"/>
          </w:pgBorders>
          <w:cols w:space="720" w:num="1"/>
          <w:titlePg/>
          <w:docGrid w:linePitch="312" w:charSpace="0"/>
        </w:sectPr>
      </w:pPr>
    </w:p>
    <w:tbl>
      <w:tblPr>
        <w:tblStyle w:val="19"/>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3"/>
        <w:gridCol w:w="46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3" w:type="dxa"/>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2880360" cy="210375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rot="10800000">
                            <a:off x="0" y="0"/>
                            <a:ext cx="2886459" cy="2108200"/>
                          </a:xfrm>
                          <a:prstGeom prst="rect">
                            <a:avLst/>
                          </a:prstGeom>
                        </pic:spPr>
                      </pic:pic>
                    </a:graphicData>
                  </a:graphic>
                </wp:inline>
              </w:drawing>
            </w:r>
          </w:p>
        </w:tc>
        <w:tc>
          <w:tcPr>
            <w:tcW w:w="4644" w:type="dxa"/>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2924810" cy="2101850"/>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rot="10800000">
                            <a:off x="0" y="0"/>
                            <a:ext cx="2934618" cy="21088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3" w:type="dxa"/>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项目东面：</w:t>
            </w:r>
            <w:r>
              <w:rPr>
                <w:rFonts w:hint="eastAsia" w:ascii="Times New Roman" w:hAnsi="Times New Roman"/>
                <w:color w:val="000000" w:themeColor="text1"/>
                <w14:textFill>
                  <w14:solidFill>
                    <w14:schemeClr w14:val="tx1"/>
                  </w14:solidFill>
                </w14:textFill>
              </w:rPr>
              <w:t>扶贫厂房</w:t>
            </w:r>
          </w:p>
        </w:tc>
        <w:tc>
          <w:tcPr>
            <w:tcW w:w="4644" w:type="dxa"/>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项目南面：陆河县中深爱的科技园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3" w:type="dxa"/>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2880360" cy="210375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rot="10800000">
                            <a:off x="0" y="0"/>
                            <a:ext cx="2886459" cy="2108200"/>
                          </a:xfrm>
                          <a:prstGeom prst="rect">
                            <a:avLst/>
                          </a:prstGeom>
                        </pic:spPr>
                      </pic:pic>
                    </a:graphicData>
                  </a:graphic>
                </wp:inline>
              </w:drawing>
            </w:r>
          </w:p>
        </w:tc>
        <w:tc>
          <w:tcPr>
            <w:tcW w:w="4644" w:type="dxa"/>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2924810" cy="2101850"/>
                  <wp:effectExtent l="0" t="0" r="889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rot="10800000">
                            <a:off x="0" y="0"/>
                            <a:ext cx="2934618" cy="21088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3" w:type="dxa"/>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项目西面：山地、空地</w:t>
            </w:r>
          </w:p>
        </w:tc>
        <w:tc>
          <w:tcPr>
            <w:tcW w:w="4644" w:type="dxa"/>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项目北面：标准厂房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3" w:type="dxa"/>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2880360" cy="240601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rot="10800000">
                            <a:off x="0" y="0"/>
                            <a:ext cx="2889596" cy="2413817"/>
                          </a:xfrm>
                          <a:prstGeom prst="rect">
                            <a:avLst/>
                          </a:prstGeom>
                        </pic:spPr>
                      </pic:pic>
                    </a:graphicData>
                  </a:graphic>
                </wp:inline>
              </w:drawing>
            </w:r>
          </w:p>
        </w:tc>
        <w:tc>
          <w:tcPr>
            <w:tcW w:w="4644" w:type="dxa"/>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2979420" cy="2393950"/>
                  <wp:effectExtent l="0" t="0" r="0" b="635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42" cstate="print">
                            <a:extLst>
                              <a:ext uri="{28A0092B-C50C-407E-A947-70E740481C1C}">
                                <a14:useLocalDpi xmlns:a14="http://schemas.microsoft.com/office/drawing/2010/main" val="0"/>
                              </a:ext>
                            </a:extLst>
                          </a:blip>
                          <a:srcRect t="15154" r="3058" b="31051"/>
                          <a:stretch>
                            <a:fillRect/>
                          </a:stretch>
                        </pic:blipFill>
                        <pic:spPr>
                          <a:xfrm>
                            <a:off x="0" y="0"/>
                            <a:ext cx="2999700" cy="2409833"/>
                          </a:xfrm>
                          <a:prstGeom prst="rect">
                            <a:avLst/>
                          </a:prstGeom>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43" w:type="dxa"/>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本项目（一）</w:t>
            </w:r>
          </w:p>
        </w:tc>
        <w:tc>
          <w:tcPr>
            <w:tcW w:w="4644" w:type="dxa"/>
            <w:vAlign w:val="center"/>
          </w:tcPr>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t>本项目（二）</w:t>
            </w:r>
          </w:p>
        </w:tc>
      </w:tr>
    </w:tbl>
    <w:p>
      <w:pPr>
        <w:pStyle w:val="79"/>
        <w:spacing w:line="240" w:lineRule="auto"/>
        <w:ind w:firstLine="0" w:firstLineChars="0"/>
        <w:jc w:val="center"/>
        <w:outlineLvl w:val="0"/>
        <w:rPr>
          <w:b/>
          <w:color w:val="000000" w:themeColor="text1"/>
          <w:sz w:val="24"/>
          <w14:textFill>
            <w14:solidFill>
              <w14:schemeClr w14:val="tx1"/>
            </w14:solidFill>
          </w14:textFill>
        </w:rPr>
        <w:sectPr>
          <w:pgSz w:w="11906" w:h="16838"/>
          <w:pgMar w:top="1418" w:right="1418" w:bottom="1418" w:left="1418" w:header="992" w:footer="851" w:gutter="0"/>
          <w:pgBorders w:offsetFrom="page">
            <w:top w:val="none" w:sz="0" w:space="0"/>
            <w:left w:val="none" w:sz="0" w:space="0"/>
            <w:bottom w:val="none" w:sz="0" w:space="0"/>
            <w:right w:val="none" w:sz="0" w:space="0"/>
          </w:pgBorders>
          <w:cols w:space="720" w:num="1"/>
          <w:titlePg/>
          <w:docGrid w:linePitch="312" w:charSpace="0"/>
        </w:sectPr>
      </w:pPr>
      <w:r>
        <w:rPr>
          <w:b/>
          <w:color w:val="000000" w:themeColor="text1"/>
          <w:sz w:val="24"/>
          <w14:textFill>
            <w14:solidFill>
              <w14:schemeClr w14:val="tx1"/>
            </w14:solidFill>
          </w14:textFill>
        </w:rPr>
        <w:t>附图3 项目周边现场照片</w:t>
      </w:r>
    </w:p>
    <w:p>
      <w:pPr>
        <w:jc w:val="center"/>
        <w:rPr>
          <w:rFonts w:ascii="Times New Roman" w:hAnsi="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8886190" cy="364553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3"/>
                    <a:stretch>
                      <a:fillRect/>
                    </a:stretch>
                  </pic:blipFill>
                  <pic:spPr>
                    <a:xfrm>
                      <a:off x="0" y="0"/>
                      <a:ext cx="8886652" cy="3646026"/>
                    </a:xfrm>
                    <a:prstGeom prst="rect">
                      <a:avLst/>
                    </a:prstGeom>
                  </pic:spPr>
                </pic:pic>
              </a:graphicData>
            </a:graphic>
          </wp:inline>
        </w:drawing>
      </w:r>
    </w:p>
    <w:p>
      <w:pPr>
        <w:pStyle w:val="79"/>
        <w:spacing w:line="240" w:lineRule="auto"/>
        <w:ind w:firstLine="0" w:firstLineChars="0"/>
        <w:jc w:val="center"/>
        <w:outlineLvl w:val="0"/>
        <w:rPr>
          <w:b/>
          <w:color w:val="000000" w:themeColor="text1"/>
          <w:sz w:val="24"/>
          <w14:textFill>
            <w14:solidFill>
              <w14:schemeClr w14:val="tx1"/>
            </w14:solidFill>
          </w14:textFill>
        </w:rPr>
      </w:pPr>
      <w:r>
        <w:rPr>
          <w:b/>
          <w:color w:val="000000" w:themeColor="text1"/>
          <w:sz w:val="24"/>
          <w14:textFill>
            <w14:solidFill>
              <w14:schemeClr w14:val="tx1"/>
            </w14:solidFill>
          </w14:textFill>
        </w:rPr>
        <w:t>附图4-1 项目平面图（厂区整体布局）</w:t>
      </w:r>
    </w:p>
    <w:p>
      <w:pPr>
        <w:jc w:val="center"/>
        <w:rPr>
          <w:rFonts w:ascii="Times New Roman" w:hAnsi="Times New Roman"/>
          <w:color w:val="000000" w:themeColor="text1"/>
          <w14:textFill>
            <w14:solidFill>
              <w14:schemeClr w14:val="tx1"/>
            </w14:solidFill>
          </w14:textFill>
        </w:rPr>
        <w:sectPr>
          <w:pgSz w:w="16838" w:h="11906" w:orient="landscape"/>
          <w:pgMar w:top="1418" w:right="1418" w:bottom="1418" w:left="1418" w:header="992" w:footer="851" w:gutter="0"/>
          <w:pgBorders w:offsetFrom="page">
            <w:top w:val="none" w:sz="0" w:space="0"/>
            <w:left w:val="none" w:sz="0" w:space="0"/>
            <w:bottom w:val="none" w:sz="0" w:space="0"/>
            <w:right w:val="none" w:sz="0" w:space="0"/>
          </w:pgBorders>
          <w:cols w:space="720" w:num="1"/>
          <w:titlePg/>
          <w:docGrid w:linePitch="312" w:charSpace="0"/>
        </w:sectPr>
      </w:pPr>
    </w:p>
    <w:p>
      <w:pPr>
        <w:jc w:val="center"/>
        <w:rPr>
          <w:rFonts w:ascii="Times New Roman" w:hAnsi="Times New Roman"/>
          <w:color w:val="000000" w:themeColor="text1"/>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8891270" cy="3931285"/>
            <wp:effectExtent l="0" t="0" r="5080" b="0"/>
            <wp:docPr id="4257" name="图片 4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 name="图片 4257"/>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8891270" cy="3931285"/>
                    </a:xfrm>
                    <a:prstGeom prst="rect">
                      <a:avLst/>
                    </a:prstGeom>
                  </pic:spPr>
                </pic:pic>
              </a:graphicData>
            </a:graphic>
          </wp:inline>
        </w:drawing>
      </w:r>
    </w:p>
    <w:p>
      <w:pPr>
        <w:jc w:val="center"/>
        <w:rPr>
          <w:rFonts w:ascii="Times New Roman" w:hAnsi="Times New Roman"/>
          <w:color w:val="000000" w:themeColor="text1"/>
          <w14:textFill>
            <w14:solidFill>
              <w14:schemeClr w14:val="tx1"/>
            </w14:solidFill>
          </w14:textFill>
        </w:rPr>
      </w:pPr>
    </w:p>
    <w:p>
      <w:pPr>
        <w:jc w:val="center"/>
        <w:rPr>
          <w:rFonts w:ascii="Times New Roman" w:hAnsi="Times New Roman"/>
          <w:color w:val="000000" w:themeColor="text1"/>
          <w14:textFill>
            <w14:solidFill>
              <w14:schemeClr w14:val="tx1"/>
            </w14:solidFill>
          </w14:textFill>
        </w:rPr>
      </w:pPr>
    </w:p>
    <w:p>
      <w:pPr>
        <w:jc w:val="center"/>
        <w:rPr>
          <w:rFonts w:ascii="Times New Roman" w:hAnsi="Times New Roman"/>
          <w:color w:val="000000" w:themeColor="text1"/>
          <w14:textFill>
            <w14:solidFill>
              <w14:schemeClr w14:val="tx1"/>
            </w14:solidFill>
          </w14:textFill>
        </w:rPr>
      </w:pPr>
    </w:p>
    <w:p>
      <w:pPr>
        <w:jc w:val="center"/>
        <w:rPr>
          <w:rFonts w:ascii="Times New Roman" w:hAnsi="Times New Roman"/>
          <w:color w:val="000000" w:themeColor="text1"/>
          <w14:textFill>
            <w14:solidFill>
              <w14:schemeClr w14:val="tx1"/>
            </w14:solidFill>
          </w14:textFill>
        </w:rPr>
      </w:pPr>
    </w:p>
    <w:p>
      <w:pPr>
        <w:pStyle w:val="79"/>
        <w:spacing w:line="240" w:lineRule="auto"/>
        <w:ind w:firstLine="0" w:firstLineChars="0"/>
        <w:jc w:val="center"/>
        <w:outlineLvl w:val="0"/>
        <w:rPr>
          <w:b/>
          <w:color w:val="000000" w:themeColor="text1"/>
          <w:sz w:val="24"/>
          <w14:textFill>
            <w14:solidFill>
              <w14:schemeClr w14:val="tx1"/>
            </w14:solidFill>
          </w14:textFill>
        </w:rPr>
      </w:pPr>
      <w:r>
        <w:rPr>
          <w:b/>
          <w:color w:val="000000" w:themeColor="text1"/>
          <w:sz w:val="24"/>
          <w14:textFill>
            <w14:solidFill>
              <w14:schemeClr w14:val="tx1"/>
            </w14:solidFill>
          </w14:textFill>
        </w:rPr>
        <w:t>附图4-2 项目平面图（生产车间1F平面布局）</w:t>
      </w:r>
    </w:p>
    <w:p>
      <w:pPr>
        <w:jc w:val="center"/>
        <w:rPr>
          <w:rFonts w:ascii="Times New Roman" w:hAnsi="Times New Roman"/>
          <w:color w:val="000000" w:themeColor="text1"/>
          <w14:textFill>
            <w14:solidFill>
              <w14:schemeClr w14:val="tx1"/>
            </w14:solidFill>
          </w14:textFill>
        </w:rPr>
        <w:sectPr>
          <w:pgSz w:w="16838" w:h="11906" w:orient="landscape"/>
          <w:pgMar w:top="1418" w:right="1418" w:bottom="1418" w:left="1418" w:header="992" w:footer="851" w:gutter="0"/>
          <w:pgBorders w:offsetFrom="page">
            <w:top w:val="none" w:sz="0" w:space="0"/>
            <w:left w:val="none" w:sz="0" w:space="0"/>
            <w:bottom w:val="none" w:sz="0" w:space="0"/>
            <w:right w:val="none" w:sz="0" w:space="0"/>
          </w:pgBorders>
          <w:cols w:space="720" w:num="1"/>
          <w:titlePg/>
          <w:docGrid w:linePitch="312" w:charSpace="0"/>
        </w:sectPr>
      </w:pPr>
    </w:p>
    <w:p>
      <w:pPr>
        <w:jc w:val="center"/>
        <w:rPr>
          <w:rFonts w:ascii="Times New Roman" w:hAnsi="Times New Roman"/>
          <w:b/>
          <w:color w:val="000000" w:themeColor="text1"/>
          <w:sz w:val="24"/>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8891270" cy="4077970"/>
            <wp:effectExtent l="0" t="0" r="5080" b="0"/>
            <wp:docPr id="4258" name="图片 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 name="图片 4258"/>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8891270" cy="4077970"/>
                    </a:xfrm>
                    <a:prstGeom prst="rect">
                      <a:avLst/>
                    </a:prstGeom>
                  </pic:spPr>
                </pic:pic>
              </a:graphicData>
            </a:graphic>
          </wp:inline>
        </w:drawing>
      </w:r>
    </w:p>
    <w:p>
      <w:pPr>
        <w:jc w:val="center"/>
        <w:rPr>
          <w:rFonts w:ascii="Times New Roman" w:hAnsi="Times New Roman"/>
          <w:b/>
          <w:color w:val="000000" w:themeColor="text1"/>
          <w:sz w:val="24"/>
          <w14:textFill>
            <w14:solidFill>
              <w14:schemeClr w14:val="tx1"/>
            </w14:solidFill>
          </w14:textFill>
        </w:rPr>
      </w:pPr>
    </w:p>
    <w:p>
      <w:pPr>
        <w:jc w:val="center"/>
        <w:rPr>
          <w:rFonts w:ascii="Times New Roman" w:hAnsi="Times New Roman"/>
          <w:b/>
          <w:color w:val="000000" w:themeColor="text1"/>
          <w:sz w:val="24"/>
          <w14:textFill>
            <w14:solidFill>
              <w14:schemeClr w14:val="tx1"/>
            </w14:solidFill>
          </w14:textFill>
        </w:rPr>
      </w:pPr>
    </w:p>
    <w:p>
      <w:pPr>
        <w:jc w:val="center"/>
        <w:rPr>
          <w:rFonts w:ascii="Times New Roman" w:hAnsi="Times New Roman"/>
          <w:b/>
          <w:color w:val="000000" w:themeColor="text1"/>
          <w:sz w:val="24"/>
          <w14:textFill>
            <w14:solidFill>
              <w14:schemeClr w14:val="tx1"/>
            </w14:solidFill>
          </w14:textFill>
        </w:rPr>
      </w:pPr>
    </w:p>
    <w:p>
      <w:pPr>
        <w:pStyle w:val="79"/>
        <w:spacing w:line="240" w:lineRule="auto"/>
        <w:ind w:firstLine="0" w:firstLineChars="0"/>
        <w:jc w:val="center"/>
        <w:outlineLvl w:val="0"/>
        <w:rPr>
          <w:b/>
          <w:color w:val="000000" w:themeColor="text1"/>
          <w:sz w:val="24"/>
          <w14:textFill>
            <w14:solidFill>
              <w14:schemeClr w14:val="tx1"/>
            </w14:solidFill>
          </w14:textFill>
        </w:rPr>
      </w:pPr>
      <w:r>
        <w:rPr>
          <w:b/>
          <w:color w:val="000000" w:themeColor="text1"/>
          <w:sz w:val="24"/>
          <w14:textFill>
            <w14:solidFill>
              <w14:schemeClr w14:val="tx1"/>
            </w14:solidFill>
          </w14:textFill>
        </w:rPr>
        <w:t>附图4-3 项目平面图（生产车间2F平面布局）</w:t>
      </w:r>
    </w:p>
    <w:p>
      <w:pPr>
        <w:jc w:val="center"/>
        <w:rPr>
          <w:rFonts w:ascii="Times New Roman" w:hAnsi="Times New Roman"/>
          <w:color w:val="000000" w:themeColor="text1"/>
          <w14:textFill>
            <w14:solidFill>
              <w14:schemeClr w14:val="tx1"/>
            </w14:solidFill>
          </w14:textFill>
        </w:rPr>
        <w:sectPr>
          <w:pgSz w:w="16838" w:h="11906" w:orient="landscape"/>
          <w:pgMar w:top="1418" w:right="1418" w:bottom="1418" w:left="1418" w:header="992" w:footer="851" w:gutter="0"/>
          <w:pgBorders w:offsetFrom="page">
            <w:top w:val="none" w:sz="0" w:space="0"/>
            <w:left w:val="none" w:sz="0" w:space="0"/>
            <w:bottom w:val="none" w:sz="0" w:space="0"/>
            <w:right w:val="none" w:sz="0" w:space="0"/>
          </w:pgBorders>
          <w:cols w:space="720" w:num="1"/>
          <w:titlePg/>
          <w:docGrid w:linePitch="312" w:charSpace="0"/>
        </w:sectPr>
      </w:pPr>
    </w:p>
    <w:p>
      <w:pPr>
        <w:jc w:val="center"/>
        <w:rPr>
          <w:rFonts w:ascii="Times New Roman" w:hAnsi="Times New Roman"/>
          <w:b/>
          <w:color w:val="000000" w:themeColor="text1"/>
          <w:sz w:val="24"/>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0" distR="0">
            <wp:extent cx="8891270" cy="4569460"/>
            <wp:effectExtent l="0" t="0" r="5080" b="2540"/>
            <wp:docPr id="4260" name="图片 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 name="图片 4260"/>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8891270" cy="4569460"/>
                    </a:xfrm>
                    <a:prstGeom prst="rect">
                      <a:avLst/>
                    </a:prstGeom>
                  </pic:spPr>
                </pic:pic>
              </a:graphicData>
            </a:graphic>
          </wp:inline>
        </w:drawing>
      </w:r>
    </w:p>
    <w:p>
      <w:pPr>
        <w:jc w:val="center"/>
        <w:rPr>
          <w:rFonts w:ascii="Times New Roman" w:hAnsi="Times New Roman"/>
          <w:b/>
          <w:color w:val="000000" w:themeColor="text1"/>
          <w:sz w:val="24"/>
          <w14:textFill>
            <w14:solidFill>
              <w14:schemeClr w14:val="tx1"/>
            </w14:solidFill>
          </w14:textFill>
        </w:rPr>
      </w:pPr>
    </w:p>
    <w:p>
      <w:pPr>
        <w:jc w:val="center"/>
        <w:rPr>
          <w:rFonts w:ascii="Times New Roman" w:hAnsi="Times New Roman"/>
          <w:b/>
          <w:color w:val="000000" w:themeColor="text1"/>
          <w:sz w:val="24"/>
          <w14:textFill>
            <w14:solidFill>
              <w14:schemeClr w14:val="tx1"/>
            </w14:solidFill>
          </w14:textFill>
        </w:rPr>
      </w:pPr>
    </w:p>
    <w:p>
      <w:pPr>
        <w:jc w:val="center"/>
        <w:rPr>
          <w:rFonts w:ascii="Times New Roman" w:hAnsi="Times New Roman"/>
          <w:b/>
          <w:color w:val="000000" w:themeColor="text1"/>
          <w:sz w:val="24"/>
          <w14:textFill>
            <w14:solidFill>
              <w14:schemeClr w14:val="tx1"/>
            </w14:solidFill>
          </w14:textFill>
        </w:rPr>
      </w:pPr>
    </w:p>
    <w:p>
      <w:pPr>
        <w:pStyle w:val="79"/>
        <w:spacing w:line="240" w:lineRule="auto"/>
        <w:ind w:firstLine="0" w:firstLineChars="0"/>
        <w:jc w:val="center"/>
        <w:outlineLvl w:val="0"/>
        <w:rPr>
          <w:b/>
          <w:color w:val="000000" w:themeColor="text1"/>
          <w:sz w:val="24"/>
          <w14:textFill>
            <w14:solidFill>
              <w14:schemeClr w14:val="tx1"/>
            </w14:solidFill>
          </w14:textFill>
        </w:rPr>
      </w:pPr>
      <w:r>
        <w:rPr>
          <w:b/>
          <w:color w:val="000000" w:themeColor="text1"/>
          <w:sz w:val="24"/>
          <w14:textFill>
            <w14:solidFill>
              <w14:schemeClr w14:val="tx1"/>
            </w14:solidFill>
          </w14:textFill>
        </w:rPr>
        <w:t>附图4-4 项目平面图（生产车间3F平面布局）</w:t>
      </w:r>
    </w:p>
    <w:p>
      <w:pPr>
        <w:jc w:val="center"/>
        <w:rPr>
          <w:rFonts w:ascii="Times New Roman" w:hAnsi="Times New Roman"/>
          <w:color w:val="000000" w:themeColor="text1"/>
          <w14:textFill>
            <w14:solidFill>
              <w14:schemeClr w14:val="tx1"/>
            </w14:solidFill>
          </w14:textFill>
        </w:rPr>
        <w:sectPr>
          <w:pgSz w:w="16838" w:h="11906" w:orient="landscape"/>
          <w:pgMar w:top="1418" w:right="1418" w:bottom="1418" w:left="1418" w:header="992" w:footer="851" w:gutter="0"/>
          <w:pgBorders w:offsetFrom="page">
            <w:top w:val="none" w:sz="0" w:space="0"/>
            <w:left w:val="none" w:sz="0" w:space="0"/>
            <w:bottom w:val="none" w:sz="0" w:space="0"/>
            <w:right w:val="none" w:sz="0" w:space="0"/>
          </w:pgBorders>
          <w:cols w:space="720" w:num="1"/>
          <w:titlePg/>
          <w:docGrid w:linePitch="312" w:charSpace="0"/>
        </w:sectPr>
      </w:pPr>
    </w:p>
    <w:p>
      <w:pPr>
        <w:pStyle w:val="79"/>
        <w:spacing w:line="240" w:lineRule="auto"/>
        <w:ind w:firstLine="0" w:firstLineChars="0"/>
        <w:jc w:val="center"/>
        <w:rPr>
          <w:b/>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0" distR="0">
            <wp:extent cx="7917180" cy="5410200"/>
            <wp:effectExtent l="19050" t="19050" r="26670" b="190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7"/>
                    <a:stretch>
                      <a:fillRect/>
                    </a:stretch>
                  </pic:blipFill>
                  <pic:spPr>
                    <a:xfrm>
                      <a:off x="0" y="0"/>
                      <a:ext cx="7917366" cy="5410200"/>
                    </a:xfrm>
                    <a:prstGeom prst="rect">
                      <a:avLst/>
                    </a:prstGeom>
                    <a:ln>
                      <a:solidFill>
                        <a:schemeClr val="tx1"/>
                      </a:solidFill>
                    </a:ln>
                  </pic:spPr>
                </pic:pic>
              </a:graphicData>
            </a:graphic>
          </wp:inline>
        </w:drawing>
      </w:r>
    </w:p>
    <w:p>
      <w:pPr>
        <w:pStyle w:val="48"/>
        <w:jc w:val="center"/>
        <w:outlineLvl w:val="0"/>
        <w:rPr>
          <w:rFonts w:ascii="Times New Roman"/>
          <w:snapToGrid w:val="0"/>
          <w:color w:val="000000" w:themeColor="text1"/>
          <w:kern w:val="21"/>
          <w:sz w:val="32"/>
          <w:szCs w:val="32"/>
          <w14:textFill>
            <w14:solidFill>
              <w14:schemeClr w14:val="tx1"/>
            </w14:solidFill>
          </w14:textFill>
        </w:rPr>
        <w:sectPr>
          <w:footerReference r:id="rId7" w:type="default"/>
          <w:pgSz w:w="16838" w:h="11906" w:orient="landscape"/>
          <w:pgMar w:top="1418" w:right="1418" w:bottom="1418" w:left="1418" w:header="851" w:footer="851" w:gutter="0"/>
          <w:cols w:space="720" w:num="1"/>
          <w:docGrid w:linePitch="312" w:charSpace="0"/>
        </w:sectPr>
      </w:pPr>
      <w:r>
        <w:rPr>
          <w:rFonts w:ascii="Times New Roman" w:cs="Times New Roman"/>
          <w:b/>
          <w:color w:val="000000" w:themeColor="text1"/>
          <w14:textFill>
            <w14:solidFill>
              <w14:schemeClr w14:val="tx1"/>
            </w14:solidFill>
          </w14:textFill>
        </w:rPr>
        <w:t>附图5 项目周边敏感</w:t>
      </w:r>
      <w:r>
        <w:rPr>
          <w:rFonts w:hint="eastAsia" w:ascii="Times New Roman" w:cs="Times New Roman"/>
          <w:b/>
          <w:color w:val="000000" w:themeColor="text1"/>
          <w14:textFill>
            <w14:solidFill>
              <w14:schemeClr w14:val="tx1"/>
            </w14:solidFill>
          </w14:textFill>
        </w:rPr>
        <w:t>点</w:t>
      </w:r>
    </w:p>
    <w:p>
      <w:pPr>
        <w:pStyle w:val="79"/>
        <w:spacing w:line="240" w:lineRule="auto"/>
        <w:ind w:firstLine="0" w:firstLineChars="0"/>
        <w:outlineLvl w:val="0"/>
        <w:rPr>
          <w:b/>
          <w:color w:val="000000" w:themeColor="text1"/>
          <w:sz w:val="24"/>
          <w14:textFill>
            <w14:solidFill>
              <w14:schemeClr w14:val="tx1"/>
            </w14:solidFill>
          </w14:textFill>
        </w:rPr>
      </w:pPr>
      <w:r>
        <w:rPr>
          <w:b/>
          <w:color w:val="000000" w:themeColor="text1"/>
          <w:sz w:val="24"/>
          <w14:textFill>
            <w14:solidFill>
              <w14:schemeClr w14:val="tx1"/>
            </w14:solidFill>
          </w14:textFill>
        </w:rPr>
        <w:t>附件1 营业执照</w:t>
      </w:r>
    </w:p>
    <w:p>
      <w:pPr>
        <w:jc w:val="center"/>
        <w:rPr>
          <w:rFonts w:ascii="Times New Roman" w:hAnsi="Times New Roman"/>
          <w:color w:val="000000" w:themeColor="text1"/>
          <w14:textFill>
            <w14:solidFill>
              <w14:schemeClr w14:val="tx1"/>
            </w14:solidFill>
          </w14:textFill>
        </w:rPr>
        <w:sectPr>
          <w:pgSz w:w="11906" w:h="16838"/>
          <w:pgMar w:top="1418" w:right="1418" w:bottom="1418" w:left="1418" w:header="992" w:footer="851" w:gutter="0"/>
          <w:pgBorders w:offsetFrom="page">
            <w:top w:val="none" w:sz="0" w:space="0"/>
            <w:left w:val="none" w:sz="0" w:space="0"/>
            <w:bottom w:val="none" w:sz="0" w:space="0"/>
            <w:right w:val="none" w:sz="0" w:space="0"/>
          </w:pgBorders>
          <w:cols w:space="720" w:num="1"/>
          <w:titlePg/>
          <w:docGrid w:linePitch="312" w:charSpace="0"/>
        </w:sectPr>
      </w:pPr>
      <w:r>
        <w:rPr>
          <w:rFonts w:ascii="Times New Roman" w:hAnsi="Times New Roman"/>
          <w:color w:val="000000" w:themeColor="text1"/>
          <w14:textFill>
            <w14:solidFill>
              <w14:schemeClr w14:val="tx1"/>
            </w14:solidFill>
          </w14:textFill>
        </w:rPr>
        <w:drawing>
          <wp:inline distT="0" distB="0" distL="0" distR="0">
            <wp:extent cx="5381625" cy="7620000"/>
            <wp:effectExtent l="0" t="0" r="9525" b="0"/>
            <wp:docPr id="4270" name="图片 4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 name="图片 4270"/>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5381625" cy="7620000"/>
                    </a:xfrm>
                    <a:prstGeom prst="rect">
                      <a:avLst/>
                    </a:prstGeom>
                  </pic:spPr>
                </pic:pic>
              </a:graphicData>
            </a:graphic>
          </wp:inline>
        </w:drawing>
      </w:r>
    </w:p>
    <w:p>
      <w:pPr>
        <w:pStyle w:val="79"/>
        <w:spacing w:line="240" w:lineRule="auto"/>
        <w:ind w:firstLine="0" w:firstLineChars="0"/>
        <w:outlineLvl w:val="0"/>
        <w:rPr>
          <w:b/>
          <w:color w:val="000000" w:themeColor="text1"/>
          <w:sz w:val="24"/>
          <w14:textFill>
            <w14:solidFill>
              <w14:schemeClr w14:val="tx1"/>
            </w14:solidFill>
          </w14:textFill>
        </w:rPr>
      </w:pPr>
      <w:r>
        <w:rPr>
          <w:b/>
          <w:color w:val="000000" w:themeColor="text1"/>
          <w:sz w:val="24"/>
          <w14:textFill>
            <w14:solidFill>
              <w14:schemeClr w14:val="tx1"/>
            </w14:solidFill>
          </w14:textFill>
        </w:rPr>
        <w:t>附件2</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用地证明</w:t>
      </w:r>
    </w:p>
    <w:p>
      <w:pPr>
        <w:spacing w:line="360" w:lineRule="auto"/>
        <w:jc w:val="center"/>
        <w:rPr>
          <w:rFonts w:ascii="Times New Roman" w:hAnsi="Times New Roman" w:eastAsia="宋体"/>
          <w:b/>
          <w:bCs/>
          <w:color w:val="000000" w:themeColor="text1"/>
          <w:sz w:val="24"/>
          <w14:textFill>
            <w14:solidFill>
              <w14:schemeClr w14:val="tx1"/>
            </w14:solidFill>
          </w14:textFill>
        </w:rPr>
      </w:pPr>
      <w:r>
        <w:rPr>
          <w:rFonts w:ascii="Times New Roman" w:hAnsi="Times New Roman" w:eastAsia="宋体"/>
          <w:b/>
          <w:bCs/>
          <w:color w:val="000000" w:themeColor="text1"/>
          <w:sz w:val="24"/>
          <w14:textFill>
            <w14:solidFill>
              <w14:schemeClr w14:val="tx1"/>
            </w14:solidFill>
          </w14:textFill>
        </w:rPr>
        <w:drawing>
          <wp:inline distT="0" distB="0" distL="0" distR="0">
            <wp:extent cx="5382895" cy="7762875"/>
            <wp:effectExtent l="10160" t="27940" r="18415" b="18415"/>
            <wp:docPr id="4274" name="图片 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 name="图片 4274"/>
                    <pic:cNvPicPr>
                      <a:picLocks noChangeAspect="1"/>
                    </pic:cNvPicPr>
                  </pic:nvPicPr>
                  <pic:blipFill>
                    <a:blip r:embed="rId49">
                      <a:extLst>
                        <a:ext uri="{28A0092B-C50C-407E-A947-70E740481C1C}">
                          <a14:useLocalDpi xmlns:a14="http://schemas.microsoft.com/office/drawing/2010/main" val="0"/>
                        </a:ext>
                      </a:extLst>
                    </a:blip>
                    <a:srcRect t="23137" b="10239"/>
                    <a:stretch>
                      <a:fillRect/>
                    </a:stretch>
                  </pic:blipFill>
                  <pic:spPr>
                    <a:xfrm rot="5400000">
                      <a:off x="0" y="0"/>
                      <a:ext cx="5387377" cy="7768796"/>
                    </a:xfrm>
                    <a:prstGeom prst="rect">
                      <a:avLst/>
                    </a:prstGeom>
                    <a:ln>
                      <a:solidFill>
                        <a:schemeClr val="tx1"/>
                      </a:solidFill>
                    </a:ln>
                  </pic:spPr>
                </pic:pic>
              </a:graphicData>
            </a:graphic>
          </wp:inline>
        </w:drawing>
      </w:r>
      <w:r>
        <w:rPr>
          <w:rFonts w:ascii="Times New Roman" w:hAnsi="Times New Roman" w:eastAsia="宋体"/>
          <w:b/>
          <w:bCs/>
          <w:color w:val="000000" w:themeColor="text1"/>
          <w:sz w:val="24"/>
          <w14:textFill>
            <w14:solidFill>
              <w14:schemeClr w14:val="tx1"/>
            </w14:solidFill>
          </w14:textFill>
        </w:rPr>
        <w:drawing>
          <wp:inline distT="0" distB="0" distL="0" distR="0">
            <wp:extent cx="5615940" cy="7642225"/>
            <wp:effectExtent l="15557" t="22543" r="19368" b="19367"/>
            <wp:docPr id="4275" name="图片 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5" name="图片 4275"/>
                    <pic:cNvPicPr>
                      <a:picLocks noChangeAspect="1"/>
                    </pic:cNvPicPr>
                  </pic:nvPicPr>
                  <pic:blipFill>
                    <a:blip r:embed="rId50">
                      <a:extLst>
                        <a:ext uri="{28A0092B-C50C-407E-A947-70E740481C1C}">
                          <a14:useLocalDpi xmlns:a14="http://schemas.microsoft.com/office/drawing/2010/main" val="0"/>
                        </a:ext>
                      </a:extLst>
                    </a:blip>
                    <a:srcRect t="25814" b="11311"/>
                    <a:stretch>
                      <a:fillRect/>
                    </a:stretch>
                  </pic:blipFill>
                  <pic:spPr>
                    <a:xfrm rot="5400000">
                      <a:off x="0" y="0"/>
                      <a:ext cx="5616000" cy="7642794"/>
                    </a:xfrm>
                    <a:prstGeom prst="rect">
                      <a:avLst/>
                    </a:prstGeom>
                    <a:ln>
                      <a:solidFill>
                        <a:schemeClr val="tx1"/>
                      </a:solidFill>
                    </a:ln>
                  </pic:spPr>
                </pic:pic>
              </a:graphicData>
            </a:graphic>
          </wp:inline>
        </w:drawing>
      </w:r>
      <w:r>
        <w:rPr>
          <w:rFonts w:ascii="Times New Roman" w:hAnsi="Times New Roman" w:eastAsia="宋体"/>
          <w:b/>
          <w:bCs/>
          <w:color w:val="000000" w:themeColor="text1"/>
          <w:sz w:val="24"/>
          <w14:textFill>
            <w14:solidFill>
              <w14:schemeClr w14:val="tx1"/>
            </w14:solidFill>
          </w14:textFill>
        </w:rPr>
        <w:drawing>
          <wp:inline distT="0" distB="0" distL="0" distR="0">
            <wp:extent cx="5615940" cy="8059420"/>
            <wp:effectExtent l="16510" t="21590" r="20320" b="20320"/>
            <wp:docPr id="4276" name="图片 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6" name="图片 4276"/>
                    <pic:cNvPicPr>
                      <a:picLocks noChangeAspect="1"/>
                    </pic:cNvPicPr>
                  </pic:nvPicPr>
                  <pic:blipFill>
                    <a:blip r:embed="rId51">
                      <a:extLst>
                        <a:ext uri="{28A0092B-C50C-407E-A947-70E740481C1C}">
                          <a14:useLocalDpi xmlns:a14="http://schemas.microsoft.com/office/drawing/2010/main" val="0"/>
                        </a:ext>
                      </a:extLst>
                    </a:blip>
                    <a:srcRect t="23886" b="9811"/>
                    <a:stretch>
                      <a:fillRect/>
                    </a:stretch>
                  </pic:blipFill>
                  <pic:spPr>
                    <a:xfrm rot="5400000">
                      <a:off x="0" y="0"/>
                      <a:ext cx="5616000" cy="8059437"/>
                    </a:xfrm>
                    <a:prstGeom prst="rect">
                      <a:avLst/>
                    </a:prstGeom>
                    <a:ln>
                      <a:solidFill>
                        <a:schemeClr val="tx1"/>
                      </a:solidFill>
                    </a:ln>
                  </pic:spPr>
                </pic:pic>
              </a:graphicData>
            </a:graphic>
          </wp:inline>
        </w:drawing>
      </w:r>
      <w:r>
        <w:rPr>
          <w:rFonts w:ascii="Times New Roman" w:hAnsi="Times New Roman" w:eastAsia="宋体"/>
          <w:b/>
          <w:bCs/>
          <w:color w:val="000000" w:themeColor="text1"/>
          <w:sz w:val="24"/>
          <w14:textFill>
            <w14:solidFill>
              <w14:schemeClr w14:val="tx1"/>
            </w14:solidFill>
          </w14:textFill>
        </w:rPr>
        <w:drawing>
          <wp:inline distT="0" distB="0" distL="0" distR="0">
            <wp:extent cx="5615940" cy="7512050"/>
            <wp:effectExtent l="23495" t="14605" r="27305" b="27305"/>
            <wp:docPr id="4277" name="图片 4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7" name="图片 4277"/>
                    <pic:cNvPicPr>
                      <a:picLocks noChangeAspect="1"/>
                    </pic:cNvPicPr>
                  </pic:nvPicPr>
                  <pic:blipFill>
                    <a:blip r:embed="rId52">
                      <a:extLst>
                        <a:ext uri="{28A0092B-C50C-407E-A947-70E740481C1C}">
                          <a14:useLocalDpi xmlns:a14="http://schemas.microsoft.com/office/drawing/2010/main" val="0"/>
                        </a:ext>
                      </a:extLst>
                    </a:blip>
                    <a:srcRect t="21100" b="17096"/>
                    <a:stretch>
                      <a:fillRect/>
                    </a:stretch>
                  </pic:blipFill>
                  <pic:spPr>
                    <a:xfrm rot="5400000">
                      <a:off x="0" y="0"/>
                      <a:ext cx="5616000" cy="7512594"/>
                    </a:xfrm>
                    <a:prstGeom prst="rect">
                      <a:avLst/>
                    </a:prstGeom>
                    <a:ln>
                      <a:solidFill>
                        <a:schemeClr val="tx1"/>
                      </a:solidFill>
                    </a:ln>
                  </pic:spPr>
                </pic:pic>
              </a:graphicData>
            </a:graphic>
          </wp:inline>
        </w:drawing>
      </w:r>
      <w:r>
        <w:rPr>
          <w:rFonts w:ascii="Times New Roman" w:hAnsi="Times New Roman" w:eastAsia="宋体"/>
          <w:b/>
          <w:bCs/>
          <w:color w:val="000000" w:themeColor="text1"/>
          <w:sz w:val="24"/>
          <w14:textFill>
            <w14:solidFill>
              <w14:schemeClr w14:val="tx1"/>
            </w14:solidFill>
          </w14:textFill>
        </w:rPr>
        <w:drawing>
          <wp:inline distT="0" distB="0" distL="0" distR="0">
            <wp:extent cx="5104765" cy="8462010"/>
            <wp:effectExtent l="16828" t="21272" r="17462" b="17463"/>
            <wp:docPr id="4278" name="图片 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8" name="图片 4278"/>
                    <pic:cNvPicPr>
                      <a:picLocks noChangeAspect="1"/>
                    </pic:cNvPicPr>
                  </pic:nvPicPr>
                  <pic:blipFill>
                    <a:blip r:embed="rId53">
                      <a:extLst>
                        <a:ext uri="{28A0092B-C50C-407E-A947-70E740481C1C}">
                          <a14:useLocalDpi xmlns:a14="http://schemas.microsoft.com/office/drawing/2010/main" val="0"/>
                        </a:ext>
                      </a:extLst>
                    </a:blip>
                    <a:srcRect t="19923" b="3492"/>
                    <a:stretch>
                      <a:fillRect/>
                    </a:stretch>
                  </pic:blipFill>
                  <pic:spPr>
                    <a:xfrm rot="5400000">
                      <a:off x="0" y="0"/>
                      <a:ext cx="5114797" cy="8478540"/>
                    </a:xfrm>
                    <a:prstGeom prst="rect">
                      <a:avLst/>
                    </a:prstGeom>
                    <a:ln>
                      <a:solidFill>
                        <a:schemeClr val="tx1"/>
                      </a:solidFill>
                    </a:ln>
                  </pic:spPr>
                </pic:pic>
              </a:graphicData>
            </a:graphic>
          </wp:inline>
        </w:drawing>
      </w:r>
      <w:r>
        <w:rPr>
          <w:rFonts w:ascii="Times New Roman" w:hAnsi="Times New Roman" w:eastAsia="宋体"/>
          <w:b/>
          <w:bCs/>
          <w:color w:val="000000" w:themeColor="text1"/>
          <w:sz w:val="24"/>
          <w14:textFill>
            <w14:solidFill>
              <w14:schemeClr w14:val="tx1"/>
            </w14:solidFill>
          </w14:textFill>
        </w:rPr>
        <w:drawing>
          <wp:inline distT="0" distB="0" distL="0" distR="0">
            <wp:extent cx="5198745" cy="8835390"/>
            <wp:effectExtent l="10478" t="27622" r="12382" b="12383"/>
            <wp:docPr id="4279" name="图片 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9" name="图片 4279"/>
                    <pic:cNvPicPr>
                      <a:picLocks noChangeAspect="1"/>
                    </pic:cNvPicPr>
                  </pic:nvPicPr>
                  <pic:blipFill>
                    <a:blip r:embed="rId54">
                      <a:extLst>
                        <a:ext uri="{28A0092B-C50C-407E-A947-70E740481C1C}">
                          <a14:useLocalDpi xmlns:a14="http://schemas.microsoft.com/office/drawing/2010/main" val="0"/>
                        </a:ext>
                      </a:extLst>
                    </a:blip>
                    <a:srcRect t="14353" b="7134"/>
                    <a:stretch>
                      <a:fillRect/>
                    </a:stretch>
                  </pic:blipFill>
                  <pic:spPr>
                    <a:xfrm rot="5400000">
                      <a:off x="0" y="0"/>
                      <a:ext cx="5209249" cy="8852495"/>
                    </a:xfrm>
                    <a:prstGeom prst="rect">
                      <a:avLst/>
                    </a:prstGeom>
                    <a:ln>
                      <a:solidFill>
                        <a:schemeClr val="tx1"/>
                      </a:solidFill>
                    </a:ln>
                  </pic:spPr>
                </pic:pic>
              </a:graphicData>
            </a:graphic>
          </wp:inline>
        </w:drawing>
      </w:r>
      <w:r>
        <w:rPr>
          <w:rFonts w:ascii="Times New Roman" w:hAnsi="Times New Roman" w:eastAsia="宋体"/>
          <w:b/>
          <w:bCs/>
          <w:color w:val="000000" w:themeColor="text1"/>
          <w:sz w:val="24"/>
          <w14:textFill>
            <w14:solidFill>
              <w14:schemeClr w14:val="tx1"/>
            </w14:solidFill>
          </w14:textFill>
        </w:rPr>
        <w:drawing>
          <wp:inline distT="0" distB="0" distL="0" distR="0">
            <wp:extent cx="4855845" cy="9006840"/>
            <wp:effectExtent l="20003" t="18097" r="21907" b="21908"/>
            <wp:docPr id="4280" name="图片 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 name="图片 4280"/>
                    <pic:cNvPicPr>
                      <a:picLocks noChangeAspect="1"/>
                    </pic:cNvPicPr>
                  </pic:nvPicPr>
                  <pic:blipFill>
                    <a:blip r:embed="rId55">
                      <a:extLst>
                        <a:ext uri="{28A0092B-C50C-407E-A947-70E740481C1C}">
                          <a14:useLocalDpi xmlns:a14="http://schemas.microsoft.com/office/drawing/2010/main" val="0"/>
                        </a:ext>
                      </a:extLst>
                    </a:blip>
                    <a:srcRect t="10711" b="3599"/>
                    <a:stretch>
                      <a:fillRect/>
                    </a:stretch>
                  </pic:blipFill>
                  <pic:spPr>
                    <a:xfrm rot="5400000">
                      <a:off x="0" y="0"/>
                      <a:ext cx="4850379" cy="8996067"/>
                    </a:xfrm>
                    <a:prstGeom prst="rect">
                      <a:avLst/>
                    </a:prstGeom>
                    <a:ln>
                      <a:solidFill>
                        <a:schemeClr val="tx1"/>
                      </a:solidFill>
                    </a:ln>
                  </pic:spPr>
                </pic:pic>
              </a:graphicData>
            </a:graphic>
          </wp:inline>
        </w:drawing>
      </w:r>
    </w:p>
    <w:p>
      <w:pPr>
        <w:pStyle w:val="79"/>
        <w:spacing w:line="240" w:lineRule="auto"/>
        <w:ind w:firstLine="0" w:firstLineChars="0"/>
        <w:jc w:val="center"/>
        <w:rPr>
          <w:b/>
          <w:color w:val="000000" w:themeColor="text1"/>
          <w:sz w:val="24"/>
          <w14:textFill>
            <w14:solidFill>
              <w14:schemeClr w14:val="tx1"/>
            </w14:solidFill>
          </w14:textFill>
        </w:rPr>
        <w:sectPr>
          <w:pgSz w:w="16838" w:h="11906" w:orient="landscape"/>
          <w:pgMar w:top="1418" w:right="1418" w:bottom="1418" w:left="1418" w:header="992" w:footer="851" w:gutter="0"/>
          <w:pgBorders w:offsetFrom="page">
            <w:top w:val="none" w:sz="0" w:space="0"/>
            <w:left w:val="none" w:sz="0" w:space="0"/>
            <w:bottom w:val="none" w:sz="0" w:space="0"/>
            <w:right w:val="none" w:sz="0" w:space="0"/>
          </w:pgBorders>
          <w:cols w:space="720" w:num="1"/>
          <w:titlePg/>
          <w:docGrid w:linePitch="312" w:charSpace="0"/>
        </w:sectPr>
      </w:pPr>
    </w:p>
    <w:p>
      <w:pPr>
        <w:pStyle w:val="79"/>
        <w:spacing w:line="240" w:lineRule="auto"/>
        <w:ind w:firstLine="0" w:firstLineChars="0"/>
        <w:outlineLvl w:val="0"/>
        <w:rPr>
          <w:b/>
          <w:color w:val="000000" w:themeColor="text1"/>
          <w:sz w:val="24"/>
          <w14:textFill>
            <w14:solidFill>
              <w14:schemeClr w14:val="tx1"/>
            </w14:solidFill>
          </w14:textFill>
        </w:rPr>
      </w:pPr>
      <w:r>
        <w:rPr>
          <w:b/>
          <w:color w:val="000000" w:themeColor="text1"/>
          <w:sz w:val="24"/>
          <w14:textFill>
            <w14:solidFill>
              <w14:schemeClr w14:val="tx1"/>
            </w14:solidFill>
          </w14:textFill>
        </w:rPr>
        <w:t>附件</w:t>
      </w:r>
      <w:r>
        <w:rPr>
          <w:rFonts w:hint="eastAsia"/>
          <w:b/>
          <w:color w:val="000000" w:themeColor="text1"/>
          <w:sz w:val="24"/>
          <w14:textFill>
            <w14:solidFill>
              <w14:schemeClr w14:val="tx1"/>
            </w14:solidFill>
          </w14:textFill>
        </w:rPr>
        <w:t>3 监测报告</w:t>
      </w:r>
    </w:p>
    <w:p>
      <w:pPr>
        <w:pStyle w:val="64"/>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759450" cy="8136890"/>
            <wp:effectExtent l="19050" t="19050" r="12700" b="165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59450" cy="8136890"/>
                    </a:xfrm>
                    <a:prstGeom prst="rect">
                      <a:avLst/>
                    </a:prstGeom>
                    <a:ln>
                      <a:solidFill>
                        <a:schemeClr val="tx1"/>
                      </a:solidFill>
                    </a:ln>
                  </pic:spPr>
                </pic:pic>
              </a:graphicData>
            </a:graphic>
          </wp:inline>
        </w:drawing>
      </w:r>
      <w:r>
        <w:rPr>
          <w:color w:val="000000" w:themeColor="text1"/>
          <w14:textFill>
            <w14:solidFill>
              <w14:schemeClr w14:val="tx1"/>
            </w14:solidFill>
          </w14:textFill>
        </w:rPr>
        <w:drawing>
          <wp:inline distT="0" distB="0" distL="0" distR="0">
            <wp:extent cx="5759450" cy="8136890"/>
            <wp:effectExtent l="19050" t="19050" r="12700" b="165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9450" cy="8136890"/>
                    </a:xfrm>
                    <a:prstGeom prst="rect">
                      <a:avLst/>
                    </a:prstGeom>
                    <a:ln>
                      <a:solidFill>
                        <a:schemeClr val="tx1"/>
                      </a:solidFill>
                    </a:ln>
                  </pic:spPr>
                </pic:pic>
              </a:graphicData>
            </a:graphic>
          </wp:inline>
        </w:drawing>
      </w:r>
      <w:r>
        <w:rPr>
          <w:color w:val="000000" w:themeColor="text1"/>
          <w14:textFill>
            <w14:solidFill>
              <w14:schemeClr w14:val="tx1"/>
            </w14:solidFill>
          </w14:textFill>
        </w:rPr>
        <w:drawing>
          <wp:inline distT="0" distB="0" distL="0" distR="0">
            <wp:extent cx="5759450" cy="8136890"/>
            <wp:effectExtent l="19050" t="19050" r="12700" b="165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59450" cy="8136890"/>
                    </a:xfrm>
                    <a:prstGeom prst="rect">
                      <a:avLst/>
                    </a:prstGeom>
                    <a:ln>
                      <a:solidFill>
                        <a:schemeClr val="tx1"/>
                      </a:solidFill>
                    </a:ln>
                  </pic:spPr>
                </pic:pic>
              </a:graphicData>
            </a:graphic>
          </wp:inline>
        </w:drawing>
      </w:r>
      <w:r>
        <w:rPr>
          <w:color w:val="000000" w:themeColor="text1"/>
          <w14:textFill>
            <w14:solidFill>
              <w14:schemeClr w14:val="tx1"/>
            </w14:solidFill>
          </w14:textFill>
        </w:rPr>
        <w:drawing>
          <wp:inline distT="0" distB="0" distL="0" distR="0">
            <wp:extent cx="5759450" cy="8136890"/>
            <wp:effectExtent l="19050" t="19050" r="12700" b="165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59450" cy="8136890"/>
                    </a:xfrm>
                    <a:prstGeom prst="rect">
                      <a:avLst/>
                    </a:prstGeom>
                    <a:ln>
                      <a:solidFill>
                        <a:schemeClr val="tx1"/>
                      </a:solidFill>
                    </a:ln>
                  </pic:spPr>
                </pic:pic>
              </a:graphicData>
            </a:graphic>
          </wp:inline>
        </w:drawing>
      </w:r>
      <w:r>
        <w:rPr>
          <w:color w:val="000000" w:themeColor="text1"/>
          <w14:textFill>
            <w14:solidFill>
              <w14:schemeClr w14:val="tx1"/>
            </w14:solidFill>
          </w14:textFill>
        </w:rPr>
        <w:drawing>
          <wp:inline distT="0" distB="0" distL="0" distR="0">
            <wp:extent cx="5759450" cy="8136890"/>
            <wp:effectExtent l="19050" t="19050" r="12700" b="1651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59450" cy="8136890"/>
                    </a:xfrm>
                    <a:prstGeom prst="rect">
                      <a:avLst/>
                    </a:prstGeom>
                    <a:ln>
                      <a:solidFill>
                        <a:schemeClr val="tx1"/>
                      </a:solidFill>
                    </a:ln>
                  </pic:spPr>
                </pic:pic>
              </a:graphicData>
            </a:graphic>
          </wp:inline>
        </w:drawing>
      </w:r>
      <w:r>
        <w:rPr>
          <w:color w:val="000000" w:themeColor="text1"/>
          <w14:textFill>
            <w14:solidFill>
              <w14:schemeClr w14:val="tx1"/>
            </w14:solidFill>
          </w14:textFill>
        </w:rPr>
        <w:drawing>
          <wp:inline distT="0" distB="0" distL="0" distR="0">
            <wp:extent cx="5759450" cy="8136890"/>
            <wp:effectExtent l="19050" t="19050" r="12700" b="1651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59450" cy="8136890"/>
                    </a:xfrm>
                    <a:prstGeom prst="rect">
                      <a:avLst/>
                    </a:prstGeom>
                    <a:ln>
                      <a:solidFill>
                        <a:schemeClr val="tx1"/>
                      </a:solidFill>
                    </a:ln>
                  </pic:spPr>
                </pic:pic>
              </a:graphicData>
            </a:graphic>
          </wp:inline>
        </w:drawing>
      </w:r>
    </w:p>
    <w:p>
      <w:pPr>
        <w:pStyle w:val="16"/>
        <w:adjustRightInd w:val="0"/>
        <w:snapToGrid w:val="0"/>
        <w:spacing w:before="0" w:beforeAutospacing="0" w:after="0" w:afterAutospacing="0"/>
        <w:outlineLvl w:val="0"/>
        <w:rPr>
          <w:rFonts w:ascii="Times New Roman" w:hAnsi="Times New Roman"/>
          <w:snapToGrid w:val="0"/>
          <w:color w:val="000000" w:themeColor="text1"/>
          <w:kern w:val="21"/>
          <w:sz w:val="32"/>
          <w:szCs w:val="32"/>
          <w14:textFill>
            <w14:solidFill>
              <w14:schemeClr w14:val="tx1"/>
            </w14:solidFill>
          </w14:textFill>
        </w:rPr>
        <w:sectPr>
          <w:pgSz w:w="11906" w:h="16838"/>
          <w:pgMar w:top="1418" w:right="1418" w:bottom="1418" w:left="1418" w:header="851" w:footer="851" w:gutter="0"/>
          <w:cols w:space="720" w:num="1"/>
          <w:docGrid w:linePitch="312" w:charSpace="0"/>
        </w:sectPr>
      </w:pPr>
    </w:p>
    <w:p>
      <w:pPr>
        <w:pStyle w:val="79"/>
        <w:spacing w:line="240" w:lineRule="auto"/>
        <w:ind w:firstLine="0" w:firstLineChars="0"/>
        <w:outlineLvl w:val="0"/>
        <w:rPr>
          <w:b/>
          <w:color w:val="000000" w:themeColor="text1"/>
          <w:sz w:val="24"/>
          <w14:textFill>
            <w14:solidFill>
              <w14:schemeClr w14:val="tx1"/>
            </w14:solidFill>
          </w14:textFill>
        </w:rPr>
      </w:pPr>
      <w:r>
        <w:rPr>
          <w:b/>
          <w:color w:val="000000" w:themeColor="text1"/>
          <w:sz w:val="24"/>
          <w14:textFill>
            <w14:solidFill>
              <w14:schemeClr w14:val="tx1"/>
            </w14:solidFill>
          </w14:textFill>
        </w:rPr>
        <w:t>附件</w:t>
      </w:r>
      <w:r>
        <w:rPr>
          <w:rFonts w:hint="eastAsia"/>
          <w:b/>
          <w:color w:val="000000" w:themeColor="text1"/>
          <w:sz w:val="24"/>
          <w14:textFill>
            <w14:solidFill>
              <w14:schemeClr w14:val="tx1"/>
            </w14:solidFill>
          </w14:textFill>
        </w:rPr>
        <w:t>4 排水申请函</w:t>
      </w:r>
    </w:p>
    <w:p>
      <w:pPr>
        <w:pStyle w:val="16"/>
        <w:adjustRightInd w:val="0"/>
        <w:snapToGrid w:val="0"/>
        <w:spacing w:before="0" w:beforeAutospacing="0" w:after="0" w:afterAutospacing="0"/>
        <w:rPr>
          <w:rFonts w:ascii="Times New Roman" w:hAnsi="Times New Roman"/>
          <w:snapToGrid w:val="0"/>
          <w:color w:val="000000" w:themeColor="text1"/>
          <w:kern w:val="21"/>
          <w:sz w:val="32"/>
          <w:szCs w:val="32"/>
          <w14:textFill>
            <w14:solidFill>
              <w14:schemeClr w14:val="tx1"/>
            </w14:solidFill>
          </w14:textFill>
        </w:rPr>
        <w:sectPr>
          <w:pgSz w:w="11906" w:h="16838"/>
          <w:pgMar w:top="1418" w:right="1418" w:bottom="1418" w:left="1418" w:header="851" w:footer="851" w:gutter="0"/>
          <w:cols w:space="720" w:num="1"/>
          <w:docGrid w:linePitch="312" w:charSpace="0"/>
        </w:sectPr>
      </w:pPr>
      <w:r>
        <w:rPr>
          <w:rFonts w:ascii="Times New Roman" w:hAnsi="Times New Roman"/>
          <w:color w:val="000000" w:themeColor="text1"/>
          <w:kern w:val="21"/>
          <w:sz w:val="32"/>
          <w:szCs w:val="32"/>
          <w14:textFill>
            <w14:solidFill>
              <w14:schemeClr w14:val="tx1"/>
            </w14:solidFill>
          </w14:textFill>
        </w:rPr>
        <w:drawing>
          <wp:inline distT="0" distB="0" distL="0" distR="0">
            <wp:extent cx="5759450" cy="8327390"/>
            <wp:effectExtent l="19050" t="19050" r="12700" b="16510"/>
            <wp:docPr id="17" name="图片 17" descr="C:\Users\ADMINI~1\AppData\Local\Temp\WeChat Files\b0cf95a1a208cfeca804f7c7bb36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1\AppData\Local\Temp\WeChat Files\b0cf95a1a208cfeca804f7c7bb3635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759450" cy="8327961"/>
                    </a:xfrm>
                    <a:prstGeom prst="rect">
                      <a:avLst/>
                    </a:prstGeom>
                    <a:noFill/>
                    <a:ln>
                      <a:solidFill>
                        <a:schemeClr val="tx1"/>
                      </a:solidFill>
                    </a:ln>
                  </pic:spPr>
                </pic:pic>
              </a:graphicData>
            </a:graphic>
          </wp:inline>
        </w:drawing>
      </w:r>
    </w:p>
    <w:p>
      <w:pPr>
        <w:pStyle w:val="16"/>
        <w:adjustRightInd w:val="0"/>
        <w:snapToGrid w:val="0"/>
        <w:spacing w:before="0" w:beforeAutospacing="0" w:after="0" w:afterAutospacing="0"/>
        <w:outlineLvl w:val="0"/>
        <w:rPr>
          <w:rFonts w:ascii="Times New Roman" w:hAnsi="Times New Roman"/>
          <w:snapToGrid w:val="0"/>
          <w:color w:val="000000" w:themeColor="text1"/>
          <w:kern w:val="21"/>
          <w:sz w:val="21"/>
          <w:szCs w:val="21"/>
          <w14:textFill>
            <w14:solidFill>
              <w14:schemeClr w14:val="tx1"/>
            </w14:solidFill>
          </w14:textFill>
        </w:rPr>
      </w:pPr>
      <w:r>
        <w:rPr>
          <w:rFonts w:ascii="Times New Roman" w:hAnsi="Times New Roman"/>
          <w:snapToGrid w:val="0"/>
          <w:color w:val="000000" w:themeColor="text1"/>
          <w:kern w:val="21"/>
          <w:sz w:val="32"/>
          <w:szCs w:val="32"/>
          <w14:textFill>
            <w14:solidFill>
              <w14:schemeClr w14:val="tx1"/>
            </w14:solidFill>
          </w14:textFill>
        </w:rPr>
        <w:t>附表</w:t>
      </w:r>
    </w:p>
    <w:p>
      <w:pPr>
        <w:pStyle w:val="16"/>
        <w:adjustRightInd w:val="0"/>
        <w:snapToGrid w:val="0"/>
        <w:spacing w:before="0" w:beforeAutospacing="0" w:after="0" w:afterAutospacing="0" w:line="552" w:lineRule="auto"/>
        <w:jc w:val="center"/>
        <w:outlineLvl w:val="0"/>
        <w:rPr>
          <w:rFonts w:ascii="Times New Roman" w:hAnsi="Times New Roman"/>
          <w:snapToGrid w:val="0"/>
          <w:color w:val="000000" w:themeColor="text1"/>
          <w:kern w:val="21"/>
          <w:sz w:val="38"/>
          <w:szCs w:val="38"/>
          <w14:textFill>
            <w14:solidFill>
              <w14:schemeClr w14:val="tx1"/>
            </w14:solidFill>
          </w14:textFill>
        </w:rPr>
      </w:pPr>
      <w:r>
        <w:rPr>
          <w:rFonts w:ascii="Times New Roman" w:hAnsi="Times New Roman"/>
          <w:snapToGrid w:val="0"/>
          <w:color w:val="000000" w:themeColor="text1"/>
          <w:kern w:val="21"/>
          <w:sz w:val="38"/>
          <w:szCs w:val="38"/>
          <w14:textFill>
            <w14:solidFill>
              <w14:schemeClr w14:val="tx1"/>
            </w14:solidFill>
          </w14:textFill>
        </w:rPr>
        <w:t>建设项目污染物排放量汇总表</w:t>
      </w:r>
    </w:p>
    <w:tbl>
      <w:tblPr>
        <w:tblStyle w:val="19"/>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2127"/>
        <w:gridCol w:w="1417"/>
        <w:gridCol w:w="1276"/>
        <w:gridCol w:w="1701"/>
        <w:gridCol w:w="1559"/>
        <w:gridCol w:w="1559"/>
        <w:gridCol w:w="1701"/>
        <w:gridCol w:w="128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2" w:type="dxa"/>
            <w:tcBorders>
              <w:tl2br w:val="single" w:color="auto" w:sz="4" w:space="0"/>
            </w:tcBorders>
            <w:tcMar>
              <w:left w:w="28" w:type="dxa"/>
              <w:right w:w="28" w:type="dxa"/>
            </w:tcMar>
            <w:vAlign w:val="center"/>
          </w:tcPr>
          <w:p>
            <w:pPr>
              <w:pStyle w:val="38"/>
              <w:spacing w:beforeLines="0" w:afterLines="0" w:line="240" w:lineRule="auto"/>
              <w:jc w:val="right"/>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项目</w:t>
            </w:r>
          </w:p>
          <w:p>
            <w:pPr>
              <w:pStyle w:val="38"/>
              <w:spacing w:beforeLines="0" w:afterLines="0" w:line="240" w:lineRule="auto"/>
              <w:jc w:val="left"/>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分类</w:t>
            </w:r>
          </w:p>
        </w:tc>
        <w:tc>
          <w:tcPr>
            <w:tcW w:w="2127" w:type="dxa"/>
            <w:tcMar>
              <w:left w:w="28" w:type="dxa"/>
              <w:right w:w="28" w:type="dxa"/>
            </w:tcMar>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污染物名称</w:t>
            </w:r>
          </w:p>
        </w:tc>
        <w:tc>
          <w:tcPr>
            <w:tcW w:w="1417" w:type="dxa"/>
            <w:tcMar>
              <w:left w:w="28" w:type="dxa"/>
              <w:right w:w="28" w:type="dxa"/>
            </w:tcMar>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现有工程</w:t>
            </w:r>
          </w:p>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排放量（固体废物产生量）</w:t>
            </w:r>
            <w:r>
              <w:rPr>
                <w:rFonts w:ascii="Times New Roman" w:hAnsi="Times New Roman"/>
                <w:snapToGrid w:val="0"/>
                <w:color w:val="000000" w:themeColor="text1"/>
                <w:kern w:val="21"/>
                <w:szCs w:val="21"/>
                <w14:textFill>
                  <w14:solidFill>
                    <w14:schemeClr w14:val="tx1"/>
                  </w14:solidFill>
                </w14:textFill>
              </w:rPr>
              <w:fldChar w:fldCharType="begin"/>
            </w:r>
            <w:r>
              <w:rPr>
                <w:rFonts w:ascii="Times New Roman" w:hAnsi="Times New Roman"/>
                <w:snapToGrid w:val="0"/>
                <w:color w:val="000000" w:themeColor="text1"/>
                <w:kern w:val="21"/>
                <w:szCs w:val="21"/>
                <w14:textFill>
                  <w14:solidFill>
                    <w14:schemeClr w14:val="tx1"/>
                  </w14:solidFill>
                </w14:textFill>
              </w:rPr>
              <w:instrText xml:space="preserve"> = 1 \* GB3 \* MERGEFORMAT </w:instrText>
            </w:r>
            <w:r>
              <w:rPr>
                <w:rFonts w:ascii="Times New Roman" w:hAnsi="Times New Roman"/>
                <w:snapToGrid w:val="0"/>
                <w:color w:val="000000" w:themeColor="text1"/>
                <w:kern w:val="21"/>
                <w:szCs w:val="21"/>
                <w14:textFill>
                  <w14:solidFill>
                    <w14:schemeClr w14:val="tx1"/>
                  </w14:solidFill>
                </w14:textFill>
              </w:rPr>
              <w:fldChar w:fldCharType="separate"/>
            </w:r>
            <w:r>
              <w:rPr>
                <w:rFonts w:hint="eastAsia" w:hAnsi="宋体" w:eastAsia="宋体" w:cs="宋体"/>
                <w:color w:val="000000" w:themeColor="text1"/>
                <w:kern w:val="21"/>
                <w:szCs w:val="21"/>
                <w14:textFill>
                  <w14:solidFill>
                    <w14:schemeClr w14:val="tx1"/>
                  </w14:solidFill>
                </w14:textFill>
              </w:rPr>
              <w:t>①</w:t>
            </w:r>
            <w:r>
              <w:rPr>
                <w:rFonts w:ascii="Times New Roman" w:hAnsi="Times New Roman"/>
                <w:snapToGrid w:val="0"/>
                <w:color w:val="000000" w:themeColor="text1"/>
                <w:kern w:val="21"/>
                <w:szCs w:val="21"/>
                <w14:textFill>
                  <w14:solidFill>
                    <w14:schemeClr w14:val="tx1"/>
                  </w14:solidFill>
                </w14:textFill>
              </w:rPr>
              <w:fldChar w:fldCharType="end"/>
            </w:r>
          </w:p>
        </w:tc>
        <w:tc>
          <w:tcPr>
            <w:tcW w:w="1276" w:type="dxa"/>
            <w:tcMar>
              <w:left w:w="28" w:type="dxa"/>
              <w:right w:w="28" w:type="dxa"/>
            </w:tcMar>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现有工程</w:t>
            </w:r>
          </w:p>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许可排放量</w:t>
            </w:r>
          </w:p>
          <w:p>
            <w:pPr>
              <w:pStyle w:val="38"/>
              <w:spacing w:beforeLines="0" w:afterLines="0"/>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fldChar w:fldCharType="begin"/>
            </w:r>
            <w:r>
              <w:rPr>
                <w:rFonts w:ascii="Times New Roman" w:hAnsi="Times New Roman"/>
                <w:snapToGrid w:val="0"/>
                <w:color w:val="000000" w:themeColor="text1"/>
                <w:kern w:val="21"/>
                <w:szCs w:val="21"/>
                <w14:textFill>
                  <w14:solidFill>
                    <w14:schemeClr w14:val="tx1"/>
                  </w14:solidFill>
                </w14:textFill>
              </w:rPr>
              <w:instrText xml:space="preserve"> = 2 \* GB3 \* MERGEFORMAT </w:instrText>
            </w:r>
            <w:r>
              <w:rPr>
                <w:rFonts w:ascii="Times New Roman" w:hAnsi="Times New Roman"/>
                <w:snapToGrid w:val="0"/>
                <w:color w:val="000000" w:themeColor="text1"/>
                <w:kern w:val="21"/>
                <w:szCs w:val="21"/>
                <w14:textFill>
                  <w14:solidFill>
                    <w14:schemeClr w14:val="tx1"/>
                  </w14:solidFill>
                </w14:textFill>
              </w:rPr>
              <w:fldChar w:fldCharType="separate"/>
            </w:r>
            <w:r>
              <w:rPr>
                <w:rFonts w:hint="eastAsia" w:hAnsi="宋体" w:eastAsia="宋体" w:cs="宋体"/>
                <w:snapToGrid w:val="0"/>
                <w:color w:val="000000" w:themeColor="text1"/>
                <w:kern w:val="21"/>
                <w:szCs w:val="21"/>
                <w14:textFill>
                  <w14:solidFill>
                    <w14:schemeClr w14:val="tx1"/>
                  </w14:solidFill>
                </w14:textFill>
              </w:rPr>
              <w:t>②</w:t>
            </w:r>
            <w:r>
              <w:rPr>
                <w:rFonts w:ascii="Times New Roman" w:hAnsi="Times New Roman"/>
                <w:snapToGrid w:val="0"/>
                <w:color w:val="000000" w:themeColor="text1"/>
                <w:kern w:val="21"/>
                <w:szCs w:val="21"/>
                <w14:textFill>
                  <w14:solidFill>
                    <w14:schemeClr w14:val="tx1"/>
                  </w14:solidFill>
                </w14:textFill>
              </w:rPr>
              <w:fldChar w:fldCharType="end"/>
            </w:r>
          </w:p>
        </w:tc>
        <w:tc>
          <w:tcPr>
            <w:tcW w:w="1701" w:type="dxa"/>
            <w:tcMar>
              <w:left w:w="28" w:type="dxa"/>
              <w:right w:w="28" w:type="dxa"/>
            </w:tcMar>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在建工程</w:t>
            </w:r>
          </w:p>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排放量（固体废物产生量）</w:t>
            </w:r>
            <w:r>
              <w:rPr>
                <w:rFonts w:ascii="Times New Roman" w:hAnsi="Times New Roman"/>
                <w:snapToGrid w:val="0"/>
                <w:color w:val="000000" w:themeColor="text1"/>
                <w:kern w:val="21"/>
                <w:szCs w:val="21"/>
                <w14:textFill>
                  <w14:solidFill>
                    <w14:schemeClr w14:val="tx1"/>
                  </w14:solidFill>
                </w14:textFill>
              </w:rPr>
              <w:fldChar w:fldCharType="begin"/>
            </w:r>
            <w:r>
              <w:rPr>
                <w:rFonts w:ascii="Times New Roman" w:hAnsi="Times New Roman"/>
                <w:snapToGrid w:val="0"/>
                <w:color w:val="000000" w:themeColor="text1"/>
                <w:kern w:val="21"/>
                <w:szCs w:val="21"/>
                <w14:textFill>
                  <w14:solidFill>
                    <w14:schemeClr w14:val="tx1"/>
                  </w14:solidFill>
                </w14:textFill>
              </w:rPr>
              <w:instrText xml:space="preserve"> = 3 \* GB3 \* MERGEFORMAT </w:instrText>
            </w:r>
            <w:r>
              <w:rPr>
                <w:rFonts w:ascii="Times New Roman" w:hAnsi="Times New Roman"/>
                <w:snapToGrid w:val="0"/>
                <w:color w:val="000000" w:themeColor="text1"/>
                <w:kern w:val="21"/>
                <w:szCs w:val="21"/>
                <w14:textFill>
                  <w14:solidFill>
                    <w14:schemeClr w14:val="tx1"/>
                  </w14:solidFill>
                </w14:textFill>
              </w:rPr>
              <w:fldChar w:fldCharType="separate"/>
            </w:r>
            <w:r>
              <w:rPr>
                <w:rFonts w:hint="eastAsia" w:hAnsi="宋体" w:eastAsia="宋体" w:cs="宋体"/>
                <w:color w:val="000000" w:themeColor="text1"/>
                <w:kern w:val="21"/>
                <w:szCs w:val="21"/>
                <w14:textFill>
                  <w14:solidFill>
                    <w14:schemeClr w14:val="tx1"/>
                  </w14:solidFill>
                </w14:textFill>
              </w:rPr>
              <w:t>③</w:t>
            </w:r>
            <w:r>
              <w:rPr>
                <w:rFonts w:ascii="Times New Roman" w:hAnsi="Times New Roman"/>
                <w:snapToGrid w:val="0"/>
                <w:color w:val="000000" w:themeColor="text1"/>
                <w:kern w:val="21"/>
                <w:szCs w:val="21"/>
                <w14:textFill>
                  <w14:solidFill>
                    <w14:schemeClr w14:val="tx1"/>
                  </w14:solidFill>
                </w14:textFill>
              </w:rPr>
              <w:fldChar w:fldCharType="end"/>
            </w:r>
          </w:p>
        </w:tc>
        <w:tc>
          <w:tcPr>
            <w:tcW w:w="1559" w:type="dxa"/>
            <w:tcMar>
              <w:left w:w="28" w:type="dxa"/>
              <w:right w:w="28" w:type="dxa"/>
            </w:tcMar>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本项目</w:t>
            </w:r>
          </w:p>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排放量（固体废物产生量）</w:t>
            </w:r>
            <w:r>
              <w:rPr>
                <w:rFonts w:ascii="Times New Roman" w:hAnsi="Times New Roman"/>
                <w:snapToGrid w:val="0"/>
                <w:color w:val="000000" w:themeColor="text1"/>
                <w:kern w:val="21"/>
                <w:szCs w:val="21"/>
                <w14:textFill>
                  <w14:solidFill>
                    <w14:schemeClr w14:val="tx1"/>
                  </w14:solidFill>
                </w14:textFill>
              </w:rPr>
              <w:fldChar w:fldCharType="begin"/>
            </w:r>
            <w:r>
              <w:rPr>
                <w:rFonts w:ascii="Times New Roman" w:hAnsi="Times New Roman"/>
                <w:snapToGrid w:val="0"/>
                <w:color w:val="000000" w:themeColor="text1"/>
                <w:kern w:val="21"/>
                <w:szCs w:val="21"/>
                <w14:textFill>
                  <w14:solidFill>
                    <w14:schemeClr w14:val="tx1"/>
                  </w14:solidFill>
                </w14:textFill>
              </w:rPr>
              <w:instrText xml:space="preserve"> = 4 \* GB3 \* MERGEFORMAT </w:instrText>
            </w:r>
            <w:r>
              <w:rPr>
                <w:rFonts w:ascii="Times New Roman" w:hAnsi="Times New Roman"/>
                <w:snapToGrid w:val="0"/>
                <w:color w:val="000000" w:themeColor="text1"/>
                <w:kern w:val="21"/>
                <w:szCs w:val="21"/>
                <w14:textFill>
                  <w14:solidFill>
                    <w14:schemeClr w14:val="tx1"/>
                  </w14:solidFill>
                </w14:textFill>
              </w:rPr>
              <w:fldChar w:fldCharType="separate"/>
            </w:r>
            <w:r>
              <w:rPr>
                <w:rFonts w:hint="eastAsia" w:hAnsi="宋体" w:eastAsia="宋体" w:cs="宋体"/>
                <w:color w:val="000000" w:themeColor="text1"/>
                <w:kern w:val="21"/>
                <w:szCs w:val="21"/>
                <w14:textFill>
                  <w14:solidFill>
                    <w14:schemeClr w14:val="tx1"/>
                  </w14:solidFill>
                </w14:textFill>
              </w:rPr>
              <w:t>④</w:t>
            </w:r>
            <w:r>
              <w:rPr>
                <w:rFonts w:ascii="Times New Roman" w:hAnsi="Times New Roman"/>
                <w:snapToGrid w:val="0"/>
                <w:color w:val="000000" w:themeColor="text1"/>
                <w:kern w:val="21"/>
                <w:szCs w:val="21"/>
                <w14:textFill>
                  <w14:solidFill>
                    <w14:schemeClr w14:val="tx1"/>
                  </w14:solidFill>
                </w14:textFill>
              </w:rPr>
              <w:fldChar w:fldCharType="end"/>
            </w:r>
          </w:p>
        </w:tc>
        <w:tc>
          <w:tcPr>
            <w:tcW w:w="1559" w:type="dxa"/>
            <w:tcMar>
              <w:left w:w="28" w:type="dxa"/>
              <w:right w:w="28" w:type="dxa"/>
            </w:tcMar>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以新带老削减量</w:t>
            </w:r>
          </w:p>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（新建项目不填）</w:t>
            </w:r>
            <w:r>
              <w:rPr>
                <w:rFonts w:ascii="Times New Roman" w:hAnsi="Times New Roman"/>
                <w:snapToGrid w:val="0"/>
                <w:color w:val="000000" w:themeColor="text1"/>
                <w:kern w:val="21"/>
                <w:szCs w:val="21"/>
                <w14:textFill>
                  <w14:solidFill>
                    <w14:schemeClr w14:val="tx1"/>
                  </w14:solidFill>
                </w14:textFill>
              </w:rPr>
              <w:fldChar w:fldCharType="begin"/>
            </w:r>
            <w:r>
              <w:rPr>
                <w:rFonts w:ascii="Times New Roman" w:hAnsi="Times New Roman"/>
                <w:snapToGrid w:val="0"/>
                <w:color w:val="000000" w:themeColor="text1"/>
                <w:kern w:val="21"/>
                <w:szCs w:val="21"/>
                <w14:textFill>
                  <w14:solidFill>
                    <w14:schemeClr w14:val="tx1"/>
                  </w14:solidFill>
                </w14:textFill>
              </w:rPr>
              <w:instrText xml:space="preserve"> = 5 \* GB3 \* MERGEFORMAT </w:instrText>
            </w:r>
            <w:r>
              <w:rPr>
                <w:rFonts w:ascii="Times New Roman" w:hAnsi="Times New Roman"/>
                <w:snapToGrid w:val="0"/>
                <w:color w:val="000000" w:themeColor="text1"/>
                <w:kern w:val="21"/>
                <w:szCs w:val="21"/>
                <w14:textFill>
                  <w14:solidFill>
                    <w14:schemeClr w14:val="tx1"/>
                  </w14:solidFill>
                </w14:textFill>
              </w:rPr>
              <w:fldChar w:fldCharType="separate"/>
            </w:r>
            <w:r>
              <w:rPr>
                <w:rFonts w:hint="eastAsia" w:hAnsi="宋体" w:eastAsia="宋体" w:cs="宋体"/>
                <w:color w:val="000000" w:themeColor="text1"/>
                <w:kern w:val="21"/>
                <w:szCs w:val="21"/>
                <w14:textFill>
                  <w14:solidFill>
                    <w14:schemeClr w14:val="tx1"/>
                  </w14:solidFill>
                </w14:textFill>
              </w:rPr>
              <w:t>⑤</w:t>
            </w:r>
            <w:r>
              <w:rPr>
                <w:rFonts w:ascii="Times New Roman" w:hAnsi="Times New Roman"/>
                <w:snapToGrid w:val="0"/>
                <w:color w:val="000000" w:themeColor="text1"/>
                <w:kern w:val="21"/>
                <w:szCs w:val="21"/>
                <w14:textFill>
                  <w14:solidFill>
                    <w14:schemeClr w14:val="tx1"/>
                  </w14:solidFill>
                </w14:textFill>
              </w:rPr>
              <w:fldChar w:fldCharType="end"/>
            </w:r>
          </w:p>
        </w:tc>
        <w:tc>
          <w:tcPr>
            <w:tcW w:w="1701" w:type="dxa"/>
            <w:tcMar>
              <w:left w:w="28" w:type="dxa"/>
              <w:right w:w="28" w:type="dxa"/>
            </w:tcMar>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本项目建成后</w:t>
            </w:r>
          </w:p>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全厂排放量（固体废物产生量）</w:t>
            </w:r>
            <w:r>
              <w:rPr>
                <w:rFonts w:ascii="Times New Roman" w:hAnsi="Times New Roman"/>
                <w:snapToGrid w:val="0"/>
                <w:color w:val="000000" w:themeColor="text1"/>
                <w:kern w:val="21"/>
                <w:szCs w:val="21"/>
                <w14:textFill>
                  <w14:solidFill>
                    <w14:schemeClr w14:val="tx1"/>
                  </w14:solidFill>
                </w14:textFill>
              </w:rPr>
              <w:fldChar w:fldCharType="begin"/>
            </w:r>
            <w:r>
              <w:rPr>
                <w:rFonts w:ascii="Times New Roman" w:hAnsi="Times New Roman"/>
                <w:snapToGrid w:val="0"/>
                <w:color w:val="000000" w:themeColor="text1"/>
                <w:kern w:val="21"/>
                <w:szCs w:val="21"/>
                <w14:textFill>
                  <w14:solidFill>
                    <w14:schemeClr w14:val="tx1"/>
                  </w14:solidFill>
                </w14:textFill>
              </w:rPr>
              <w:instrText xml:space="preserve"> = 6 \* GB3 \* MERGEFORMAT </w:instrText>
            </w:r>
            <w:r>
              <w:rPr>
                <w:rFonts w:ascii="Times New Roman" w:hAnsi="Times New Roman"/>
                <w:snapToGrid w:val="0"/>
                <w:color w:val="000000" w:themeColor="text1"/>
                <w:kern w:val="21"/>
                <w:szCs w:val="21"/>
                <w14:textFill>
                  <w14:solidFill>
                    <w14:schemeClr w14:val="tx1"/>
                  </w14:solidFill>
                </w14:textFill>
              </w:rPr>
              <w:fldChar w:fldCharType="separate"/>
            </w:r>
            <w:r>
              <w:rPr>
                <w:rFonts w:hint="eastAsia" w:hAnsi="宋体" w:eastAsia="宋体" w:cs="宋体"/>
                <w:color w:val="000000" w:themeColor="text1"/>
                <w:kern w:val="21"/>
                <w:szCs w:val="21"/>
                <w14:textFill>
                  <w14:solidFill>
                    <w14:schemeClr w14:val="tx1"/>
                  </w14:solidFill>
                </w14:textFill>
              </w:rPr>
              <w:t>⑥</w:t>
            </w:r>
            <w:r>
              <w:rPr>
                <w:rFonts w:ascii="Times New Roman" w:hAnsi="Times New Roman"/>
                <w:snapToGrid w:val="0"/>
                <w:color w:val="000000" w:themeColor="text1"/>
                <w:kern w:val="21"/>
                <w:szCs w:val="21"/>
                <w14:textFill>
                  <w14:solidFill>
                    <w14:schemeClr w14:val="tx1"/>
                  </w14:solidFill>
                </w14:textFill>
              </w:rPr>
              <w:fldChar w:fldCharType="end"/>
            </w:r>
          </w:p>
        </w:tc>
        <w:tc>
          <w:tcPr>
            <w:tcW w:w="1286" w:type="dxa"/>
            <w:tcMar>
              <w:left w:w="28" w:type="dxa"/>
              <w:right w:w="28" w:type="dxa"/>
            </w:tcMar>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变化量</w:t>
            </w:r>
          </w:p>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fldChar w:fldCharType="begin"/>
            </w:r>
            <w:r>
              <w:rPr>
                <w:rFonts w:ascii="Times New Roman" w:hAnsi="Times New Roman"/>
                <w:snapToGrid w:val="0"/>
                <w:color w:val="000000" w:themeColor="text1"/>
                <w:kern w:val="21"/>
                <w:szCs w:val="21"/>
                <w14:textFill>
                  <w14:solidFill>
                    <w14:schemeClr w14:val="tx1"/>
                  </w14:solidFill>
                </w14:textFill>
              </w:rPr>
              <w:instrText xml:space="preserve"> = 7 \* GB3 \* MERGEFORMAT </w:instrText>
            </w:r>
            <w:r>
              <w:rPr>
                <w:rFonts w:ascii="Times New Roman" w:hAnsi="Times New Roman"/>
                <w:snapToGrid w:val="0"/>
                <w:color w:val="000000" w:themeColor="text1"/>
                <w:kern w:val="21"/>
                <w:szCs w:val="21"/>
                <w14:textFill>
                  <w14:solidFill>
                    <w14:schemeClr w14:val="tx1"/>
                  </w14:solidFill>
                </w14:textFill>
              </w:rPr>
              <w:fldChar w:fldCharType="separate"/>
            </w:r>
            <w:r>
              <w:rPr>
                <w:rFonts w:hint="eastAsia" w:hAnsi="宋体" w:eastAsia="宋体" w:cs="宋体"/>
                <w:color w:val="000000" w:themeColor="text1"/>
                <w:kern w:val="21"/>
                <w:szCs w:val="21"/>
                <w14:textFill>
                  <w14:solidFill>
                    <w14:schemeClr w14:val="tx1"/>
                  </w14:solidFill>
                </w14:textFill>
              </w:rPr>
              <w:t>⑦</w:t>
            </w:r>
            <w:r>
              <w:rPr>
                <w:rFonts w:ascii="Times New Roman" w:hAnsi="Times New Roman"/>
                <w:snapToGrid w:val="0"/>
                <w:color w:val="000000" w:themeColor="text1"/>
                <w:kern w:val="21"/>
                <w:szCs w:val="21"/>
                <w14:textFill>
                  <w14:solidFill>
                    <w14:schemeClr w14:val="tx1"/>
                  </w14:solidFill>
                </w14:textFill>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162" w:type="dxa"/>
            <w:vMerge w:val="restart"/>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废气</w:t>
            </w:r>
          </w:p>
        </w:tc>
        <w:tc>
          <w:tcPr>
            <w:tcW w:w="2127" w:type="dxa"/>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SO</w:t>
            </w:r>
            <w:r>
              <w:rPr>
                <w:rFonts w:ascii="Times New Roman" w:hAnsi="Times New Roman"/>
                <w:color w:val="000000" w:themeColor="text1"/>
                <w:szCs w:val="21"/>
                <w:vertAlign w:val="subscript"/>
                <w14:textFill>
                  <w14:solidFill>
                    <w14:schemeClr w14:val="tx1"/>
                  </w14:solidFill>
                </w14:textFill>
              </w:rPr>
              <w:t>2</w:t>
            </w:r>
          </w:p>
        </w:tc>
        <w:tc>
          <w:tcPr>
            <w:tcW w:w="1417"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w:t>
            </w:r>
          </w:p>
        </w:tc>
        <w:tc>
          <w:tcPr>
            <w:tcW w:w="1276"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701"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559" w:type="dxa"/>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0.074</w:t>
            </w:r>
          </w:p>
        </w:tc>
        <w:tc>
          <w:tcPr>
            <w:tcW w:w="1559"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1701" w:type="dxa"/>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0.074</w:t>
            </w:r>
          </w:p>
        </w:tc>
        <w:tc>
          <w:tcPr>
            <w:tcW w:w="1286" w:type="dxa"/>
            <w:vAlign w:val="bottom"/>
          </w:tcPr>
          <w:p>
            <w:pPr>
              <w:jc w:val="center"/>
              <w:rPr>
                <w:rFonts w:ascii="Times New Roman" w:hAnsi="Times New Roman" w:eastAsia="宋体"/>
                <w:color w:val="000000" w:themeColor="text1"/>
                <w:szCs w:val="22"/>
                <w14:textFill>
                  <w14:solidFill>
                    <w14:schemeClr w14:val="tx1"/>
                  </w14:solidFill>
                </w14:textFill>
              </w:rPr>
            </w:pPr>
            <w:r>
              <w:rPr>
                <w:rFonts w:hint="eastAsia" w:ascii="Times New Roman" w:hAnsi="Times New Roman"/>
                <w:color w:val="000000" w:themeColor="text1"/>
                <w:szCs w:val="22"/>
                <w14:textFill>
                  <w14:solidFill>
                    <w14:schemeClr w14:val="tx1"/>
                  </w14:solidFill>
                </w14:textFill>
              </w:rPr>
              <w:t>+</w:t>
            </w:r>
            <w:r>
              <w:rPr>
                <w:rFonts w:ascii="Times New Roman" w:hAnsi="Times New Roman"/>
                <w:color w:val="000000" w:themeColor="text1"/>
                <w:szCs w:val="22"/>
                <w14:textFill>
                  <w14:solidFill>
                    <w14:schemeClr w14:val="tx1"/>
                  </w14:solidFill>
                </w14:textFill>
              </w:rPr>
              <w:t>0.074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2" w:type="dxa"/>
            <w:vMerge w:val="continue"/>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2127" w:type="dxa"/>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NO</w:t>
            </w:r>
            <w:r>
              <w:rPr>
                <w:rFonts w:ascii="Times New Roman" w:hAnsi="Times New Roman"/>
                <w:color w:val="000000" w:themeColor="text1"/>
                <w:szCs w:val="21"/>
                <w:vertAlign w:val="subscript"/>
                <w14:textFill>
                  <w14:solidFill>
                    <w14:schemeClr w14:val="tx1"/>
                  </w14:solidFill>
                </w14:textFill>
              </w:rPr>
              <w:t>X</w:t>
            </w:r>
          </w:p>
        </w:tc>
        <w:tc>
          <w:tcPr>
            <w:tcW w:w="1417" w:type="dxa"/>
            <w:vAlign w:val="center"/>
          </w:tcPr>
          <w:p>
            <w:pPr>
              <w:pStyle w:val="38"/>
              <w:spacing w:beforeLines="0" w:afterLines="0"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w:t>
            </w:r>
          </w:p>
        </w:tc>
        <w:tc>
          <w:tcPr>
            <w:tcW w:w="1276"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701"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559" w:type="dxa"/>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0.586</w:t>
            </w:r>
          </w:p>
        </w:tc>
        <w:tc>
          <w:tcPr>
            <w:tcW w:w="1559"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1701" w:type="dxa"/>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0.586</w:t>
            </w:r>
          </w:p>
        </w:tc>
        <w:tc>
          <w:tcPr>
            <w:tcW w:w="1286" w:type="dxa"/>
            <w:vAlign w:val="bottom"/>
          </w:tcPr>
          <w:p>
            <w:pPr>
              <w:jc w:val="center"/>
              <w:rPr>
                <w:rFonts w:ascii="Times New Roman" w:hAnsi="Times New Roman" w:eastAsia="宋体"/>
                <w:color w:val="000000" w:themeColor="text1"/>
                <w:szCs w:val="22"/>
                <w14:textFill>
                  <w14:solidFill>
                    <w14:schemeClr w14:val="tx1"/>
                  </w14:solidFill>
                </w14:textFill>
              </w:rPr>
            </w:pPr>
            <w:r>
              <w:rPr>
                <w:rFonts w:hint="eastAsia" w:ascii="Times New Roman" w:hAnsi="Times New Roman"/>
                <w:color w:val="000000" w:themeColor="text1"/>
                <w:szCs w:val="22"/>
                <w14:textFill>
                  <w14:solidFill>
                    <w14:schemeClr w14:val="tx1"/>
                  </w14:solidFill>
                </w14:textFill>
              </w:rPr>
              <w:t>+</w:t>
            </w:r>
            <w:r>
              <w:rPr>
                <w:rFonts w:ascii="Times New Roman" w:hAnsi="Times New Roman"/>
                <w:color w:val="000000" w:themeColor="text1"/>
                <w:szCs w:val="22"/>
                <w14:textFill>
                  <w14:solidFill>
                    <w14:schemeClr w14:val="tx1"/>
                  </w14:solidFill>
                </w14:textFill>
              </w:rPr>
              <w:t>0.586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 w:hRule="atLeast"/>
        </w:trPr>
        <w:tc>
          <w:tcPr>
            <w:tcW w:w="1162" w:type="dxa"/>
            <w:vMerge w:val="continue"/>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2127" w:type="dxa"/>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颗粒物</w:t>
            </w:r>
          </w:p>
        </w:tc>
        <w:tc>
          <w:tcPr>
            <w:tcW w:w="1417" w:type="dxa"/>
            <w:vAlign w:val="center"/>
          </w:tcPr>
          <w:p>
            <w:pPr>
              <w:pStyle w:val="38"/>
              <w:spacing w:beforeLines="0" w:afterLines="0"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w:t>
            </w:r>
          </w:p>
        </w:tc>
        <w:tc>
          <w:tcPr>
            <w:tcW w:w="1276"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701"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559" w:type="dxa"/>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0.146</w:t>
            </w:r>
          </w:p>
        </w:tc>
        <w:tc>
          <w:tcPr>
            <w:tcW w:w="1559"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1701" w:type="dxa"/>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0.146</w:t>
            </w:r>
          </w:p>
        </w:tc>
        <w:tc>
          <w:tcPr>
            <w:tcW w:w="1286" w:type="dxa"/>
            <w:vAlign w:val="bottom"/>
          </w:tcPr>
          <w:p>
            <w:pPr>
              <w:jc w:val="center"/>
              <w:rPr>
                <w:rFonts w:ascii="Times New Roman" w:hAnsi="Times New Roman" w:eastAsia="宋体"/>
                <w:color w:val="000000" w:themeColor="text1"/>
                <w:szCs w:val="22"/>
                <w14:textFill>
                  <w14:solidFill>
                    <w14:schemeClr w14:val="tx1"/>
                  </w14:solidFill>
                </w14:textFill>
              </w:rPr>
            </w:pPr>
            <w:r>
              <w:rPr>
                <w:rFonts w:hint="eastAsia" w:ascii="Times New Roman" w:hAnsi="Times New Roman"/>
                <w:color w:val="000000" w:themeColor="text1"/>
                <w:szCs w:val="22"/>
                <w14:textFill>
                  <w14:solidFill>
                    <w14:schemeClr w14:val="tx1"/>
                  </w14:solidFill>
                </w14:textFill>
              </w:rPr>
              <w:t>+</w:t>
            </w:r>
            <w:r>
              <w:rPr>
                <w:rFonts w:ascii="Times New Roman" w:hAnsi="Times New Roman"/>
                <w:color w:val="000000" w:themeColor="text1"/>
                <w:szCs w:val="22"/>
                <w14:textFill>
                  <w14:solidFill>
                    <w14:schemeClr w14:val="tx1"/>
                  </w14:solidFill>
                </w14:textFill>
              </w:rPr>
              <w:t>0.146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2" w:type="dxa"/>
            <w:vMerge w:val="continue"/>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2127" w:type="dxa"/>
            <w:vAlign w:val="center"/>
          </w:tcPr>
          <w:p>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VOCs</w:t>
            </w:r>
          </w:p>
        </w:tc>
        <w:tc>
          <w:tcPr>
            <w:tcW w:w="1417" w:type="dxa"/>
            <w:vAlign w:val="center"/>
          </w:tcPr>
          <w:p>
            <w:pPr>
              <w:pStyle w:val="38"/>
              <w:spacing w:beforeLines="0" w:afterLines="0"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0</w:t>
            </w:r>
          </w:p>
        </w:tc>
        <w:tc>
          <w:tcPr>
            <w:tcW w:w="1276"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701"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559" w:type="dxa"/>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0.117</w:t>
            </w:r>
          </w:p>
        </w:tc>
        <w:tc>
          <w:tcPr>
            <w:tcW w:w="1559"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1701" w:type="dxa"/>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0.117</w:t>
            </w:r>
          </w:p>
        </w:tc>
        <w:tc>
          <w:tcPr>
            <w:tcW w:w="1286" w:type="dxa"/>
            <w:vAlign w:val="bottom"/>
          </w:tcPr>
          <w:p>
            <w:pPr>
              <w:jc w:val="center"/>
              <w:rPr>
                <w:rFonts w:ascii="Times New Roman" w:hAnsi="Times New Roman" w:eastAsia="宋体"/>
                <w:color w:val="000000" w:themeColor="text1"/>
                <w:szCs w:val="22"/>
                <w14:textFill>
                  <w14:solidFill>
                    <w14:schemeClr w14:val="tx1"/>
                  </w14:solidFill>
                </w14:textFill>
              </w:rPr>
            </w:pPr>
            <w:r>
              <w:rPr>
                <w:rFonts w:ascii="Times New Roman" w:hAnsi="Times New Roman"/>
                <w:color w:val="000000" w:themeColor="text1"/>
                <w:szCs w:val="22"/>
                <w14:textFill>
                  <w14:solidFill>
                    <w14:schemeClr w14:val="tx1"/>
                  </w14:solidFill>
                </w14:textFill>
              </w:rPr>
              <w:t>+0.117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2" w:type="dxa"/>
            <w:vMerge w:val="restart"/>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废水</w:t>
            </w:r>
          </w:p>
        </w:tc>
        <w:tc>
          <w:tcPr>
            <w:tcW w:w="2127"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废水量</w:t>
            </w:r>
          </w:p>
        </w:tc>
        <w:tc>
          <w:tcPr>
            <w:tcW w:w="1417"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276"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701"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559" w:type="dxa"/>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4254.298</w:t>
            </w:r>
          </w:p>
        </w:tc>
        <w:tc>
          <w:tcPr>
            <w:tcW w:w="1559"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1701" w:type="dxa"/>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4254.298</w:t>
            </w:r>
          </w:p>
        </w:tc>
        <w:tc>
          <w:tcPr>
            <w:tcW w:w="1286" w:type="dxa"/>
            <w:vAlign w:val="center"/>
          </w:tcPr>
          <w:p>
            <w:pPr>
              <w:jc w:val="center"/>
              <w:rPr>
                <w:rFonts w:ascii="Times New Roman" w:hAnsi="Times New Roman"/>
                <w:color w:val="000000" w:themeColor="text1"/>
                <w:kern w:val="0"/>
                <w:szCs w:val="21"/>
                <w14:textFill>
                  <w14:solidFill>
                    <w14:schemeClr w14:val="tx1"/>
                  </w14:solidFill>
                </w14:textFill>
              </w:rPr>
            </w:pPr>
            <w:r>
              <w:rPr>
                <w:rFonts w:ascii="Times New Roman" w:hAnsi="Times New Roman"/>
                <w:bCs/>
                <w:color w:val="000000" w:themeColor="text1"/>
                <w:szCs w:val="21"/>
                <w14:textFill>
                  <w14:solidFill>
                    <w14:schemeClr w14:val="tx1"/>
                  </w14:solidFill>
                </w14:textFill>
              </w:rPr>
              <w:t>+4254.298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 w:hRule="exact"/>
        </w:trPr>
        <w:tc>
          <w:tcPr>
            <w:tcW w:w="1162" w:type="dxa"/>
            <w:vMerge w:val="continue"/>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2127" w:type="dxa"/>
            <w:vAlign w:val="center"/>
          </w:tcPr>
          <w:p>
            <w:pPr>
              <w:pStyle w:val="38"/>
              <w:spacing w:beforeLines="0" w:afterLines="0" w:line="240" w:lineRule="auto"/>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COD</w:t>
            </w:r>
            <w:r>
              <w:rPr>
                <w:rFonts w:ascii="Times New Roman" w:hAnsi="Times New Roman"/>
                <w:color w:val="000000" w:themeColor="text1"/>
                <w:szCs w:val="21"/>
                <w:vertAlign w:val="subscript"/>
                <w14:textFill>
                  <w14:solidFill>
                    <w14:schemeClr w14:val="tx1"/>
                  </w14:solidFill>
                </w14:textFill>
              </w:rPr>
              <w:t>Cr</w:t>
            </w:r>
          </w:p>
        </w:tc>
        <w:tc>
          <w:tcPr>
            <w:tcW w:w="1417"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276"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701"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559" w:type="dxa"/>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0.128</w:t>
            </w:r>
          </w:p>
        </w:tc>
        <w:tc>
          <w:tcPr>
            <w:tcW w:w="1559"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1701" w:type="dxa"/>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0.128</w:t>
            </w:r>
          </w:p>
        </w:tc>
        <w:tc>
          <w:tcPr>
            <w:tcW w:w="1286" w:type="dxa"/>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+0.128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2" w:type="dxa"/>
            <w:vMerge w:val="continue"/>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2127"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NH</w:t>
            </w:r>
            <w:r>
              <w:rPr>
                <w:rFonts w:ascii="Times New Roman" w:hAnsi="Times New Roman"/>
                <w:color w:val="000000" w:themeColor="text1"/>
                <w:szCs w:val="21"/>
                <w:vertAlign w:val="subscript"/>
                <w14:textFill>
                  <w14:solidFill>
                    <w14:schemeClr w14:val="tx1"/>
                  </w14:solidFill>
                </w14:textFill>
              </w:rPr>
              <w:t>3</w:t>
            </w:r>
            <w:r>
              <w:rPr>
                <w:rFonts w:ascii="Times New Roman" w:hAnsi="Times New Roman"/>
                <w:color w:val="000000" w:themeColor="text1"/>
                <w:szCs w:val="21"/>
                <w14:textFill>
                  <w14:solidFill>
                    <w14:schemeClr w14:val="tx1"/>
                  </w14:solidFill>
                </w14:textFill>
              </w:rPr>
              <w:t>-N</w:t>
            </w:r>
          </w:p>
        </w:tc>
        <w:tc>
          <w:tcPr>
            <w:tcW w:w="1417"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276"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701"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559" w:type="dxa"/>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0.00</w:t>
            </w:r>
            <w:r>
              <w:rPr>
                <w:rFonts w:hint="eastAsia"/>
                <w:color w:val="000000" w:themeColor="text1"/>
                <w:szCs w:val="21"/>
                <w14:textFill>
                  <w14:solidFill>
                    <w14:schemeClr w14:val="tx1"/>
                  </w14:solidFill>
                </w14:textFill>
              </w:rPr>
              <w:t>62</w:t>
            </w:r>
          </w:p>
        </w:tc>
        <w:tc>
          <w:tcPr>
            <w:tcW w:w="1559"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1701" w:type="dxa"/>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0.00</w:t>
            </w:r>
            <w:r>
              <w:rPr>
                <w:rFonts w:hint="eastAsia"/>
                <w:color w:val="000000" w:themeColor="text1"/>
                <w:szCs w:val="21"/>
                <w14:textFill>
                  <w14:solidFill>
                    <w14:schemeClr w14:val="tx1"/>
                  </w14:solidFill>
                </w14:textFill>
              </w:rPr>
              <w:t>6</w:t>
            </w:r>
            <w:r>
              <w:rPr>
                <w:color w:val="000000" w:themeColor="text1"/>
                <w:szCs w:val="21"/>
                <w14:textFill>
                  <w14:solidFill>
                    <w14:schemeClr w14:val="tx1"/>
                  </w14:solidFill>
                </w14:textFill>
              </w:rPr>
              <w:t>2</w:t>
            </w:r>
          </w:p>
        </w:tc>
        <w:tc>
          <w:tcPr>
            <w:tcW w:w="1286" w:type="dxa"/>
            <w:vAlign w:val="center"/>
          </w:tcPr>
          <w:p>
            <w:pPr>
              <w:pStyle w:val="66"/>
              <w:rPr>
                <w:color w:val="000000" w:themeColor="text1"/>
                <w:szCs w:val="21"/>
                <w14:textFill>
                  <w14:solidFill>
                    <w14:schemeClr w14:val="tx1"/>
                  </w14:solidFill>
                </w14:textFill>
              </w:rPr>
            </w:pPr>
            <w:r>
              <w:rPr>
                <w:color w:val="000000" w:themeColor="text1"/>
                <w:szCs w:val="21"/>
                <w14:textFill>
                  <w14:solidFill>
                    <w14:schemeClr w14:val="tx1"/>
                  </w14:solidFill>
                </w14:textFill>
              </w:rPr>
              <w:t>+0.00</w:t>
            </w:r>
            <w:r>
              <w:rPr>
                <w:rFonts w:hint="eastAsia"/>
                <w:color w:val="000000" w:themeColor="text1"/>
                <w:szCs w:val="21"/>
                <w14:textFill>
                  <w14:solidFill>
                    <w14:schemeClr w14:val="tx1"/>
                  </w14:solidFill>
                </w14:textFill>
              </w:rPr>
              <w:t>6</w:t>
            </w:r>
            <w:r>
              <w:rPr>
                <w:color w:val="000000" w:themeColor="text1"/>
                <w:szCs w:val="21"/>
                <w14:textFill>
                  <w14:solidFill>
                    <w14:schemeClr w14:val="tx1"/>
                  </w14:solidFill>
                </w14:textFill>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7" w:hRule="atLeast"/>
        </w:trPr>
        <w:tc>
          <w:tcPr>
            <w:tcW w:w="1162" w:type="dxa"/>
            <w:vMerge w:val="restart"/>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一般工业</w:t>
            </w:r>
          </w:p>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固体废物</w:t>
            </w:r>
          </w:p>
        </w:tc>
        <w:tc>
          <w:tcPr>
            <w:tcW w:w="2127"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药渣、滤渣</w:t>
            </w:r>
          </w:p>
        </w:tc>
        <w:tc>
          <w:tcPr>
            <w:tcW w:w="1417"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276"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701"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559"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358.046</w:t>
            </w:r>
          </w:p>
        </w:tc>
        <w:tc>
          <w:tcPr>
            <w:tcW w:w="1559"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1701"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358.046</w:t>
            </w:r>
          </w:p>
        </w:tc>
        <w:tc>
          <w:tcPr>
            <w:tcW w:w="1286"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+358.046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7" w:hRule="atLeast"/>
        </w:trPr>
        <w:tc>
          <w:tcPr>
            <w:tcW w:w="1162" w:type="dxa"/>
            <w:vMerge w:val="continue"/>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2127"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收集粉尘</w:t>
            </w:r>
          </w:p>
        </w:tc>
        <w:tc>
          <w:tcPr>
            <w:tcW w:w="1417"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276"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701"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559"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0.340</w:t>
            </w:r>
          </w:p>
        </w:tc>
        <w:tc>
          <w:tcPr>
            <w:tcW w:w="1559"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1701"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0.340</w:t>
            </w:r>
          </w:p>
        </w:tc>
        <w:tc>
          <w:tcPr>
            <w:tcW w:w="1286"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+0.340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7" w:hRule="atLeast"/>
        </w:trPr>
        <w:tc>
          <w:tcPr>
            <w:tcW w:w="1162" w:type="dxa"/>
            <w:vMerge w:val="continue"/>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2127"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包装废物</w:t>
            </w:r>
          </w:p>
        </w:tc>
        <w:tc>
          <w:tcPr>
            <w:tcW w:w="1417"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276"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701"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559"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0.1</w:t>
            </w:r>
          </w:p>
        </w:tc>
        <w:tc>
          <w:tcPr>
            <w:tcW w:w="1559"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1701"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0.1</w:t>
            </w:r>
          </w:p>
        </w:tc>
        <w:tc>
          <w:tcPr>
            <w:tcW w:w="1286"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7" w:hRule="atLeast"/>
        </w:trPr>
        <w:tc>
          <w:tcPr>
            <w:tcW w:w="1162" w:type="dxa"/>
            <w:vMerge w:val="continue"/>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2127"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药材杂质</w:t>
            </w:r>
          </w:p>
        </w:tc>
        <w:tc>
          <w:tcPr>
            <w:tcW w:w="1417"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276"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701"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559"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1.497</w:t>
            </w:r>
          </w:p>
        </w:tc>
        <w:tc>
          <w:tcPr>
            <w:tcW w:w="1559"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1701"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1.497</w:t>
            </w:r>
          </w:p>
        </w:tc>
        <w:tc>
          <w:tcPr>
            <w:tcW w:w="1286"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+1.497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162" w:type="dxa"/>
            <w:vMerge w:val="continue"/>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2127"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污泥</w:t>
            </w:r>
          </w:p>
        </w:tc>
        <w:tc>
          <w:tcPr>
            <w:tcW w:w="1417"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276"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701"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559"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hint="eastAsia" w:ascii="Times New Roman" w:hAnsi="Times New Roman"/>
                <w:color w:val="000000" w:themeColor="text1"/>
                <w:kern w:val="0"/>
                <w:szCs w:val="21"/>
                <w14:textFill>
                  <w14:solidFill>
                    <w14:schemeClr w14:val="tx1"/>
                  </w14:solidFill>
                </w14:textFill>
              </w:rPr>
              <w:t>5.52</w:t>
            </w:r>
          </w:p>
        </w:tc>
        <w:tc>
          <w:tcPr>
            <w:tcW w:w="1559"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1701"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hint="eastAsia" w:ascii="Times New Roman" w:hAnsi="Times New Roman"/>
                <w:color w:val="000000" w:themeColor="text1"/>
                <w:kern w:val="0"/>
                <w:szCs w:val="21"/>
                <w14:textFill>
                  <w14:solidFill>
                    <w14:schemeClr w14:val="tx1"/>
                  </w14:solidFill>
                </w14:textFill>
              </w:rPr>
              <w:t>5.52</w:t>
            </w:r>
          </w:p>
        </w:tc>
        <w:tc>
          <w:tcPr>
            <w:tcW w:w="1286"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w:t>
            </w:r>
            <w:r>
              <w:rPr>
                <w:rFonts w:hint="eastAsia" w:ascii="Times New Roman" w:hAnsi="Times New Roman"/>
                <w:color w:val="000000" w:themeColor="text1"/>
                <w:kern w:val="0"/>
                <w:szCs w:val="21"/>
                <w14:textFill>
                  <w14:solidFill>
                    <w14:schemeClr w14:val="tx1"/>
                  </w14:solidFill>
                </w14:textFill>
              </w:rPr>
              <w:t>5.52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1162" w:type="dxa"/>
            <w:vMerge w:val="restart"/>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危险废物</w:t>
            </w:r>
          </w:p>
        </w:tc>
        <w:tc>
          <w:tcPr>
            <w:tcW w:w="2127"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废滤芯</w:t>
            </w:r>
          </w:p>
        </w:tc>
        <w:tc>
          <w:tcPr>
            <w:tcW w:w="1417"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276"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701"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559"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0.5</w:t>
            </w:r>
          </w:p>
        </w:tc>
        <w:tc>
          <w:tcPr>
            <w:tcW w:w="1559"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1701"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0.5</w:t>
            </w:r>
          </w:p>
        </w:tc>
        <w:tc>
          <w:tcPr>
            <w:tcW w:w="1286"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1162" w:type="dxa"/>
            <w:vMerge w:val="continue"/>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2127"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废树脂</w:t>
            </w:r>
          </w:p>
        </w:tc>
        <w:tc>
          <w:tcPr>
            <w:tcW w:w="1417"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276"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701"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0</w:t>
            </w:r>
          </w:p>
        </w:tc>
        <w:tc>
          <w:tcPr>
            <w:tcW w:w="1559"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0.02</w:t>
            </w:r>
          </w:p>
        </w:tc>
        <w:tc>
          <w:tcPr>
            <w:tcW w:w="1559" w:type="dxa"/>
            <w:vAlign w:val="center"/>
          </w:tcPr>
          <w:p>
            <w:pPr>
              <w:pStyle w:val="38"/>
              <w:spacing w:beforeLines="0" w:afterLines="0" w:line="240" w:lineRule="auto"/>
              <w:rPr>
                <w:rFonts w:ascii="Times New Roman" w:hAnsi="Times New Roman"/>
                <w:snapToGrid w:val="0"/>
                <w:color w:val="000000" w:themeColor="text1"/>
                <w:kern w:val="21"/>
                <w:szCs w:val="21"/>
                <w14:textFill>
                  <w14:solidFill>
                    <w14:schemeClr w14:val="tx1"/>
                  </w14:solidFill>
                </w14:textFill>
              </w:rPr>
            </w:pPr>
          </w:p>
        </w:tc>
        <w:tc>
          <w:tcPr>
            <w:tcW w:w="1701"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0.02</w:t>
            </w:r>
          </w:p>
        </w:tc>
        <w:tc>
          <w:tcPr>
            <w:tcW w:w="1286" w:type="dxa"/>
            <w:vAlign w:val="center"/>
          </w:tcPr>
          <w:p>
            <w:pPr>
              <w:widowControl/>
              <w:jc w:val="center"/>
              <w:rPr>
                <w:rFonts w:ascii="Times New Roman" w:hAnsi="Times New Roman"/>
                <w:color w:val="000000" w:themeColor="text1"/>
                <w:kern w:val="0"/>
                <w:szCs w:val="21"/>
                <w14:textFill>
                  <w14:solidFill>
                    <w14:schemeClr w14:val="tx1"/>
                  </w14:solidFill>
                </w14:textFill>
              </w:rPr>
            </w:pPr>
            <w:r>
              <w:rPr>
                <w:rFonts w:ascii="Times New Roman" w:hAnsi="Times New Roman"/>
                <w:color w:val="000000" w:themeColor="text1"/>
                <w:kern w:val="0"/>
                <w:szCs w:val="21"/>
                <w14:textFill>
                  <w14:solidFill>
                    <w14:schemeClr w14:val="tx1"/>
                  </w14:solidFill>
                </w14:textFill>
              </w:rPr>
              <w:t>+0.02</w:t>
            </w:r>
          </w:p>
        </w:tc>
      </w:tr>
    </w:tbl>
    <w:p>
      <w:pPr>
        <w:pStyle w:val="38"/>
        <w:spacing w:before="192" w:beforeLines="80" w:after="24"/>
        <w:jc w:val="left"/>
        <w:rPr>
          <w:rFonts w:ascii="Times New Roman" w:hAnsi="Times New Roman"/>
          <w:snapToGrid w:val="0"/>
          <w:color w:val="000000" w:themeColor="text1"/>
          <w:kern w:val="21"/>
          <w:szCs w:val="21"/>
          <w14:textFill>
            <w14:solidFill>
              <w14:schemeClr w14:val="tx1"/>
            </w14:solidFill>
          </w14:textFill>
        </w:rPr>
      </w:pPr>
      <w:r>
        <w:rPr>
          <w:rFonts w:ascii="Times New Roman" w:hAnsi="Times New Roman"/>
          <w:snapToGrid w:val="0"/>
          <w:color w:val="000000" w:themeColor="text1"/>
          <w:kern w:val="21"/>
          <w:szCs w:val="21"/>
          <w14:textFill>
            <w14:solidFill>
              <w14:schemeClr w14:val="tx1"/>
            </w14:solidFill>
          </w14:textFill>
        </w:rPr>
        <w:t>注：</w:t>
      </w:r>
      <w:r>
        <w:rPr>
          <w:rFonts w:ascii="Times New Roman" w:hAnsi="Times New Roman"/>
          <w:snapToGrid w:val="0"/>
          <w:color w:val="000000" w:themeColor="text1"/>
          <w:kern w:val="21"/>
          <w:szCs w:val="21"/>
          <w14:textFill>
            <w14:solidFill>
              <w14:schemeClr w14:val="tx1"/>
            </w14:solidFill>
          </w14:textFill>
        </w:rPr>
        <w:fldChar w:fldCharType="begin"/>
      </w:r>
      <w:r>
        <w:rPr>
          <w:rFonts w:ascii="Times New Roman" w:hAnsi="Times New Roman"/>
          <w:snapToGrid w:val="0"/>
          <w:color w:val="000000" w:themeColor="text1"/>
          <w:kern w:val="21"/>
          <w:szCs w:val="21"/>
          <w14:textFill>
            <w14:solidFill>
              <w14:schemeClr w14:val="tx1"/>
            </w14:solidFill>
          </w14:textFill>
        </w:rPr>
        <w:instrText xml:space="preserve"> = 6 \* GB3 \* MERGEFORMAT </w:instrText>
      </w:r>
      <w:r>
        <w:rPr>
          <w:rFonts w:ascii="Times New Roman" w:hAnsi="Times New Roman"/>
          <w:snapToGrid w:val="0"/>
          <w:color w:val="000000" w:themeColor="text1"/>
          <w:kern w:val="21"/>
          <w:szCs w:val="21"/>
          <w14:textFill>
            <w14:solidFill>
              <w14:schemeClr w14:val="tx1"/>
            </w14:solidFill>
          </w14:textFill>
        </w:rPr>
        <w:fldChar w:fldCharType="separate"/>
      </w:r>
      <w:r>
        <w:rPr>
          <w:rFonts w:hint="eastAsia" w:hAnsi="宋体" w:eastAsia="宋体" w:cs="宋体"/>
          <w:color w:val="000000" w:themeColor="text1"/>
          <w:kern w:val="21"/>
          <w:szCs w:val="21"/>
          <w14:textFill>
            <w14:solidFill>
              <w14:schemeClr w14:val="tx1"/>
            </w14:solidFill>
          </w14:textFill>
        </w:rPr>
        <w:t>⑥</w:t>
      </w:r>
      <w:r>
        <w:rPr>
          <w:rFonts w:ascii="Times New Roman" w:hAnsi="Times New Roman"/>
          <w:snapToGrid w:val="0"/>
          <w:color w:val="000000" w:themeColor="text1"/>
          <w:kern w:val="21"/>
          <w:szCs w:val="21"/>
          <w14:textFill>
            <w14:solidFill>
              <w14:schemeClr w14:val="tx1"/>
            </w14:solidFill>
          </w14:textFill>
        </w:rPr>
        <w:fldChar w:fldCharType="end"/>
      </w:r>
      <w:r>
        <w:rPr>
          <w:rFonts w:ascii="Times New Roman" w:hAnsi="Times New Roman"/>
          <w:snapToGrid w:val="0"/>
          <w:color w:val="000000" w:themeColor="text1"/>
          <w:kern w:val="21"/>
          <w:szCs w:val="21"/>
          <w14:textFill>
            <w14:solidFill>
              <w14:schemeClr w14:val="tx1"/>
            </w14:solidFill>
          </w14:textFill>
        </w:rPr>
        <w:t>=</w:t>
      </w:r>
      <w:r>
        <w:rPr>
          <w:rFonts w:ascii="Times New Roman" w:hAnsi="Times New Roman"/>
          <w:snapToGrid w:val="0"/>
          <w:color w:val="000000" w:themeColor="text1"/>
          <w:kern w:val="21"/>
          <w:szCs w:val="21"/>
          <w14:textFill>
            <w14:solidFill>
              <w14:schemeClr w14:val="tx1"/>
            </w14:solidFill>
          </w14:textFill>
        </w:rPr>
        <w:fldChar w:fldCharType="begin"/>
      </w:r>
      <w:r>
        <w:rPr>
          <w:rFonts w:ascii="Times New Roman" w:hAnsi="Times New Roman"/>
          <w:snapToGrid w:val="0"/>
          <w:color w:val="000000" w:themeColor="text1"/>
          <w:kern w:val="21"/>
          <w:szCs w:val="21"/>
          <w14:textFill>
            <w14:solidFill>
              <w14:schemeClr w14:val="tx1"/>
            </w14:solidFill>
          </w14:textFill>
        </w:rPr>
        <w:instrText xml:space="preserve"> = 1 \* GB3 \* MERGEFORMAT </w:instrText>
      </w:r>
      <w:r>
        <w:rPr>
          <w:rFonts w:ascii="Times New Roman" w:hAnsi="Times New Roman"/>
          <w:snapToGrid w:val="0"/>
          <w:color w:val="000000" w:themeColor="text1"/>
          <w:kern w:val="21"/>
          <w:szCs w:val="21"/>
          <w14:textFill>
            <w14:solidFill>
              <w14:schemeClr w14:val="tx1"/>
            </w14:solidFill>
          </w14:textFill>
        </w:rPr>
        <w:fldChar w:fldCharType="separate"/>
      </w:r>
      <w:r>
        <w:rPr>
          <w:rFonts w:hint="eastAsia" w:hAnsi="宋体" w:eastAsia="宋体" w:cs="宋体"/>
          <w:color w:val="000000" w:themeColor="text1"/>
          <w:kern w:val="21"/>
          <w:szCs w:val="21"/>
          <w14:textFill>
            <w14:solidFill>
              <w14:schemeClr w14:val="tx1"/>
            </w14:solidFill>
          </w14:textFill>
        </w:rPr>
        <w:t>①</w:t>
      </w:r>
      <w:r>
        <w:rPr>
          <w:rFonts w:ascii="Times New Roman" w:hAnsi="Times New Roman"/>
          <w:snapToGrid w:val="0"/>
          <w:color w:val="000000" w:themeColor="text1"/>
          <w:kern w:val="21"/>
          <w:szCs w:val="21"/>
          <w14:textFill>
            <w14:solidFill>
              <w14:schemeClr w14:val="tx1"/>
            </w14:solidFill>
          </w14:textFill>
        </w:rPr>
        <w:fldChar w:fldCharType="end"/>
      </w:r>
      <w:r>
        <w:rPr>
          <w:rFonts w:ascii="Times New Roman" w:hAnsi="Times New Roman"/>
          <w:snapToGrid w:val="0"/>
          <w:color w:val="000000" w:themeColor="text1"/>
          <w:kern w:val="21"/>
          <w:szCs w:val="21"/>
          <w14:textFill>
            <w14:solidFill>
              <w14:schemeClr w14:val="tx1"/>
            </w14:solidFill>
          </w14:textFill>
        </w:rPr>
        <w:t>+</w:t>
      </w:r>
      <w:r>
        <w:rPr>
          <w:rFonts w:ascii="Times New Roman" w:hAnsi="Times New Roman"/>
          <w:snapToGrid w:val="0"/>
          <w:color w:val="000000" w:themeColor="text1"/>
          <w:kern w:val="21"/>
          <w:szCs w:val="21"/>
          <w14:textFill>
            <w14:solidFill>
              <w14:schemeClr w14:val="tx1"/>
            </w14:solidFill>
          </w14:textFill>
        </w:rPr>
        <w:fldChar w:fldCharType="begin"/>
      </w:r>
      <w:r>
        <w:rPr>
          <w:rFonts w:ascii="Times New Roman" w:hAnsi="Times New Roman"/>
          <w:snapToGrid w:val="0"/>
          <w:color w:val="000000" w:themeColor="text1"/>
          <w:kern w:val="21"/>
          <w:szCs w:val="21"/>
          <w14:textFill>
            <w14:solidFill>
              <w14:schemeClr w14:val="tx1"/>
            </w14:solidFill>
          </w14:textFill>
        </w:rPr>
        <w:instrText xml:space="preserve"> = 3 \* GB3 \* MERGEFORMAT </w:instrText>
      </w:r>
      <w:r>
        <w:rPr>
          <w:rFonts w:ascii="Times New Roman" w:hAnsi="Times New Roman"/>
          <w:snapToGrid w:val="0"/>
          <w:color w:val="000000" w:themeColor="text1"/>
          <w:kern w:val="21"/>
          <w:szCs w:val="21"/>
          <w14:textFill>
            <w14:solidFill>
              <w14:schemeClr w14:val="tx1"/>
            </w14:solidFill>
          </w14:textFill>
        </w:rPr>
        <w:fldChar w:fldCharType="separate"/>
      </w:r>
      <w:r>
        <w:rPr>
          <w:rFonts w:hint="eastAsia" w:hAnsi="宋体" w:eastAsia="宋体" w:cs="宋体"/>
          <w:color w:val="000000" w:themeColor="text1"/>
          <w:kern w:val="21"/>
          <w:szCs w:val="21"/>
          <w14:textFill>
            <w14:solidFill>
              <w14:schemeClr w14:val="tx1"/>
            </w14:solidFill>
          </w14:textFill>
        </w:rPr>
        <w:t>③</w:t>
      </w:r>
      <w:r>
        <w:rPr>
          <w:rFonts w:ascii="Times New Roman" w:hAnsi="Times New Roman"/>
          <w:snapToGrid w:val="0"/>
          <w:color w:val="000000" w:themeColor="text1"/>
          <w:kern w:val="21"/>
          <w:szCs w:val="21"/>
          <w14:textFill>
            <w14:solidFill>
              <w14:schemeClr w14:val="tx1"/>
            </w14:solidFill>
          </w14:textFill>
        </w:rPr>
        <w:fldChar w:fldCharType="end"/>
      </w:r>
      <w:r>
        <w:rPr>
          <w:rFonts w:ascii="Times New Roman" w:hAnsi="Times New Roman"/>
          <w:snapToGrid w:val="0"/>
          <w:color w:val="000000" w:themeColor="text1"/>
          <w:kern w:val="21"/>
          <w:szCs w:val="21"/>
          <w14:textFill>
            <w14:solidFill>
              <w14:schemeClr w14:val="tx1"/>
            </w14:solidFill>
          </w14:textFill>
        </w:rPr>
        <w:t>+</w:t>
      </w:r>
      <w:r>
        <w:rPr>
          <w:rFonts w:ascii="Times New Roman" w:hAnsi="Times New Roman"/>
          <w:snapToGrid w:val="0"/>
          <w:color w:val="000000" w:themeColor="text1"/>
          <w:kern w:val="21"/>
          <w:szCs w:val="21"/>
          <w14:textFill>
            <w14:solidFill>
              <w14:schemeClr w14:val="tx1"/>
            </w14:solidFill>
          </w14:textFill>
        </w:rPr>
        <w:fldChar w:fldCharType="begin"/>
      </w:r>
      <w:r>
        <w:rPr>
          <w:rFonts w:ascii="Times New Roman" w:hAnsi="Times New Roman"/>
          <w:snapToGrid w:val="0"/>
          <w:color w:val="000000" w:themeColor="text1"/>
          <w:kern w:val="21"/>
          <w:szCs w:val="21"/>
          <w14:textFill>
            <w14:solidFill>
              <w14:schemeClr w14:val="tx1"/>
            </w14:solidFill>
          </w14:textFill>
        </w:rPr>
        <w:instrText xml:space="preserve"> = 4 \* GB3 \* MERGEFORMAT </w:instrText>
      </w:r>
      <w:r>
        <w:rPr>
          <w:rFonts w:ascii="Times New Roman" w:hAnsi="Times New Roman"/>
          <w:snapToGrid w:val="0"/>
          <w:color w:val="000000" w:themeColor="text1"/>
          <w:kern w:val="21"/>
          <w:szCs w:val="21"/>
          <w14:textFill>
            <w14:solidFill>
              <w14:schemeClr w14:val="tx1"/>
            </w14:solidFill>
          </w14:textFill>
        </w:rPr>
        <w:fldChar w:fldCharType="separate"/>
      </w:r>
      <w:r>
        <w:rPr>
          <w:rFonts w:hint="eastAsia" w:hAnsi="宋体" w:eastAsia="宋体" w:cs="宋体"/>
          <w:color w:val="000000" w:themeColor="text1"/>
          <w:kern w:val="21"/>
          <w:szCs w:val="21"/>
          <w14:textFill>
            <w14:solidFill>
              <w14:schemeClr w14:val="tx1"/>
            </w14:solidFill>
          </w14:textFill>
        </w:rPr>
        <w:t>④</w:t>
      </w:r>
      <w:r>
        <w:rPr>
          <w:rFonts w:ascii="Times New Roman" w:hAnsi="Times New Roman"/>
          <w:snapToGrid w:val="0"/>
          <w:color w:val="000000" w:themeColor="text1"/>
          <w:kern w:val="21"/>
          <w:szCs w:val="21"/>
          <w14:textFill>
            <w14:solidFill>
              <w14:schemeClr w14:val="tx1"/>
            </w14:solidFill>
          </w14:textFill>
        </w:rPr>
        <w:fldChar w:fldCharType="end"/>
      </w:r>
      <w:r>
        <w:rPr>
          <w:rFonts w:ascii="Times New Roman" w:hAnsi="Times New Roman"/>
          <w:snapToGrid w:val="0"/>
          <w:color w:val="000000" w:themeColor="text1"/>
          <w:kern w:val="21"/>
          <w:szCs w:val="21"/>
          <w14:textFill>
            <w14:solidFill>
              <w14:schemeClr w14:val="tx1"/>
            </w14:solidFill>
          </w14:textFill>
        </w:rPr>
        <w:t>-</w:t>
      </w:r>
      <w:r>
        <w:rPr>
          <w:rFonts w:ascii="Times New Roman" w:hAnsi="Times New Roman"/>
          <w:snapToGrid w:val="0"/>
          <w:color w:val="000000" w:themeColor="text1"/>
          <w:kern w:val="21"/>
          <w:szCs w:val="21"/>
          <w14:textFill>
            <w14:solidFill>
              <w14:schemeClr w14:val="tx1"/>
            </w14:solidFill>
          </w14:textFill>
        </w:rPr>
        <w:fldChar w:fldCharType="begin"/>
      </w:r>
      <w:r>
        <w:rPr>
          <w:rFonts w:ascii="Times New Roman" w:hAnsi="Times New Roman"/>
          <w:snapToGrid w:val="0"/>
          <w:color w:val="000000" w:themeColor="text1"/>
          <w:kern w:val="21"/>
          <w:szCs w:val="21"/>
          <w14:textFill>
            <w14:solidFill>
              <w14:schemeClr w14:val="tx1"/>
            </w14:solidFill>
          </w14:textFill>
        </w:rPr>
        <w:instrText xml:space="preserve"> = 5 \* GB3 \* MERGEFORMAT </w:instrText>
      </w:r>
      <w:r>
        <w:rPr>
          <w:rFonts w:ascii="Times New Roman" w:hAnsi="Times New Roman"/>
          <w:snapToGrid w:val="0"/>
          <w:color w:val="000000" w:themeColor="text1"/>
          <w:kern w:val="21"/>
          <w:szCs w:val="21"/>
          <w14:textFill>
            <w14:solidFill>
              <w14:schemeClr w14:val="tx1"/>
            </w14:solidFill>
          </w14:textFill>
        </w:rPr>
        <w:fldChar w:fldCharType="separate"/>
      </w:r>
      <w:r>
        <w:rPr>
          <w:rFonts w:hint="eastAsia" w:hAnsi="宋体" w:eastAsia="宋体" w:cs="宋体"/>
          <w:color w:val="000000" w:themeColor="text1"/>
          <w:kern w:val="21"/>
          <w:szCs w:val="21"/>
          <w14:textFill>
            <w14:solidFill>
              <w14:schemeClr w14:val="tx1"/>
            </w14:solidFill>
          </w14:textFill>
        </w:rPr>
        <w:t>⑤</w:t>
      </w:r>
      <w:r>
        <w:rPr>
          <w:rFonts w:ascii="Times New Roman" w:hAnsi="Times New Roman"/>
          <w:snapToGrid w:val="0"/>
          <w:color w:val="000000" w:themeColor="text1"/>
          <w:kern w:val="21"/>
          <w:szCs w:val="21"/>
          <w14:textFill>
            <w14:solidFill>
              <w14:schemeClr w14:val="tx1"/>
            </w14:solidFill>
          </w14:textFill>
        </w:rPr>
        <w:fldChar w:fldCharType="end"/>
      </w:r>
      <w:r>
        <w:rPr>
          <w:rFonts w:ascii="Times New Roman" w:hAnsi="Times New Roman"/>
          <w:snapToGrid w:val="0"/>
          <w:color w:val="000000" w:themeColor="text1"/>
          <w:kern w:val="21"/>
          <w:szCs w:val="21"/>
          <w14:textFill>
            <w14:solidFill>
              <w14:schemeClr w14:val="tx1"/>
            </w14:solidFill>
          </w14:textFill>
        </w:rPr>
        <w:t>；</w:t>
      </w:r>
      <w:r>
        <w:rPr>
          <w:rFonts w:ascii="Times New Roman" w:hAnsi="Times New Roman"/>
          <w:snapToGrid w:val="0"/>
          <w:color w:val="000000" w:themeColor="text1"/>
          <w:kern w:val="21"/>
          <w:szCs w:val="21"/>
          <w14:textFill>
            <w14:solidFill>
              <w14:schemeClr w14:val="tx1"/>
            </w14:solidFill>
          </w14:textFill>
        </w:rPr>
        <w:fldChar w:fldCharType="begin"/>
      </w:r>
      <w:r>
        <w:rPr>
          <w:rFonts w:ascii="Times New Roman" w:hAnsi="Times New Roman"/>
          <w:snapToGrid w:val="0"/>
          <w:color w:val="000000" w:themeColor="text1"/>
          <w:kern w:val="21"/>
          <w:szCs w:val="21"/>
          <w14:textFill>
            <w14:solidFill>
              <w14:schemeClr w14:val="tx1"/>
            </w14:solidFill>
          </w14:textFill>
        </w:rPr>
        <w:instrText xml:space="preserve"> = 7 \* GB3 \* MERGEFORMAT </w:instrText>
      </w:r>
      <w:r>
        <w:rPr>
          <w:rFonts w:ascii="Times New Roman" w:hAnsi="Times New Roman"/>
          <w:snapToGrid w:val="0"/>
          <w:color w:val="000000" w:themeColor="text1"/>
          <w:kern w:val="21"/>
          <w:szCs w:val="21"/>
          <w14:textFill>
            <w14:solidFill>
              <w14:schemeClr w14:val="tx1"/>
            </w14:solidFill>
          </w14:textFill>
        </w:rPr>
        <w:fldChar w:fldCharType="separate"/>
      </w:r>
      <w:r>
        <w:rPr>
          <w:rFonts w:hint="eastAsia" w:hAnsi="宋体" w:eastAsia="宋体" w:cs="宋体"/>
          <w:color w:val="000000" w:themeColor="text1"/>
          <w:kern w:val="21"/>
          <w:szCs w:val="21"/>
          <w14:textFill>
            <w14:solidFill>
              <w14:schemeClr w14:val="tx1"/>
            </w14:solidFill>
          </w14:textFill>
        </w:rPr>
        <w:t>⑦</w:t>
      </w:r>
      <w:r>
        <w:rPr>
          <w:rFonts w:ascii="Times New Roman" w:hAnsi="Times New Roman"/>
          <w:snapToGrid w:val="0"/>
          <w:color w:val="000000" w:themeColor="text1"/>
          <w:kern w:val="21"/>
          <w:szCs w:val="21"/>
          <w14:textFill>
            <w14:solidFill>
              <w14:schemeClr w14:val="tx1"/>
            </w14:solidFill>
          </w14:textFill>
        </w:rPr>
        <w:fldChar w:fldCharType="end"/>
      </w:r>
      <w:r>
        <w:rPr>
          <w:rFonts w:ascii="Times New Roman" w:hAnsi="Times New Roman"/>
          <w:snapToGrid w:val="0"/>
          <w:color w:val="000000" w:themeColor="text1"/>
          <w:kern w:val="21"/>
          <w:szCs w:val="21"/>
          <w14:textFill>
            <w14:solidFill>
              <w14:schemeClr w14:val="tx1"/>
            </w14:solidFill>
          </w14:textFill>
        </w:rPr>
        <w:t>=</w:t>
      </w:r>
      <w:r>
        <w:rPr>
          <w:rFonts w:ascii="Times New Roman" w:hAnsi="Times New Roman"/>
          <w:snapToGrid w:val="0"/>
          <w:color w:val="000000" w:themeColor="text1"/>
          <w:kern w:val="21"/>
          <w:szCs w:val="21"/>
          <w14:textFill>
            <w14:solidFill>
              <w14:schemeClr w14:val="tx1"/>
            </w14:solidFill>
          </w14:textFill>
        </w:rPr>
        <w:fldChar w:fldCharType="begin"/>
      </w:r>
      <w:r>
        <w:rPr>
          <w:rFonts w:ascii="Times New Roman" w:hAnsi="Times New Roman"/>
          <w:snapToGrid w:val="0"/>
          <w:color w:val="000000" w:themeColor="text1"/>
          <w:kern w:val="21"/>
          <w:szCs w:val="21"/>
          <w14:textFill>
            <w14:solidFill>
              <w14:schemeClr w14:val="tx1"/>
            </w14:solidFill>
          </w14:textFill>
        </w:rPr>
        <w:instrText xml:space="preserve"> = 6 \* GB3 \* MERGEFORMAT </w:instrText>
      </w:r>
      <w:r>
        <w:rPr>
          <w:rFonts w:ascii="Times New Roman" w:hAnsi="Times New Roman"/>
          <w:snapToGrid w:val="0"/>
          <w:color w:val="000000" w:themeColor="text1"/>
          <w:kern w:val="21"/>
          <w:szCs w:val="21"/>
          <w14:textFill>
            <w14:solidFill>
              <w14:schemeClr w14:val="tx1"/>
            </w14:solidFill>
          </w14:textFill>
        </w:rPr>
        <w:fldChar w:fldCharType="separate"/>
      </w:r>
      <w:r>
        <w:rPr>
          <w:rFonts w:hint="eastAsia" w:hAnsi="宋体" w:eastAsia="宋体" w:cs="宋体"/>
          <w:color w:val="000000" w:themeColor="text1"/>
          <w:kern w:val="21"/>
          <w:szCs w:val="21"/>
          <w14:textFill>
            <w14:solidFill>
              <w14:schemeClr w14:val="tx1"/>
            </w14:solidFill>
          </w14:textFill>
        </w:rPr>
        <w:t>⑥</w:t>
      </w:r>
      <w:r>
        <w:rPr>
          <w:rFonts w:ascii="Times New Roman" w:hAnsi="Times New Roman"/>
          <w:snapToGrid w:val="0"/>
          <w:color w:val="000000" w:themeColor="text1"/>
          <w:kern w:val="21"/>
          <w:szCs w:val="21"/>
          <w14:textFill>
            <w14:solidFill>
              <w14:schemeClr w14:val="tx1"/>
            </w14:solidFill>
          </w14:textFill>
        </w:rPr>
        <w:fldChar w:fldCharType="end"/>
      </w:r>
      <w:r>
        <w:rPr>
          <w:rFonts w:ascii="Times New Roman" w:hAnsi="Times New Roman"/>
          <w:snapToGrid w:val="0"/>
          <w:color w:val="000000" w:themeColor="text1"/>
          <w:kern w:val="21"/>
          <w:szCs w:val="21"/>
          <w14:textFill>
            <w14:solidFill>
              <w14:schemeClr w14:val="tx1"/>
            </w14:solidFill>
          </w14:textFill>
        </w:rPr>
        <w:t>-</w:t>
      </w:r>
      <w:r>
        <w:rPr>
          <w:rFonts w:ascii="Times New Roman" w:hAnsi="Times New Roman"/>
          <w:snapToGrid w:val="0"/>
          <w:color w:val="000000" w:themeColor="text1"/>
          <w:kern w:val="21"/>
          <w:szCs w:val="21"/>
          <w14:textFill>
            <w14:solidFill>
              <w14:schemeClr w14:val="tx1"/>
            </w14:solidFill>
          </w14:textFill>
        </w:rPr>
        <w:fldChar w:fldCharType="begin"/>
      </w:r>
      <w:r>
        <w:rPr>
          <w:rFonts w:ascii="Times New Roman" w:hAnsi="Times New Roman"/>
          <w:snapToGrid w:val="0"/>
          <w:color w:val="000000" w:themeColor="text1"/>
          <w:kern w:val="21"/>
          <w:szCs w:val="21"/>
          <w14:textFill>
            <w14:solidFill>
              <w14:schemeClr w14:val="tx1"/>
            </w14:solidFill>
          </w14:textFill>
        </w:rPr>
        <w:instrText xml:space="preserve"> = 1 \* GB3 \* MERGEFORMAT </w:instrText>
      </w:r>
      <w:r>
        <w:rPr>
          <w:rFonts w:ascii="Times New Roman" w:hAnsi="Times New Roman"/>
          <w:snapToGrid w:val="0"/>
          <w:color w:val="000000" w:themeColor="text1"/>
          <w:kern w:val="21"/>
          <w:szCs w:val="21"/>
          <w14:textFill>
            <w14:solidFill>
              <w14:schemeClr w14:val="tx1"/>
            </w14:solidFill>
          </w14:textFill>
        </w:rPr>
        <w:fldChar w:fldCharType="separate"/>
      </w:r>
      <w:r>
        <w:rPr>
          <w:rFonts w:hint="eastAsia" w:hAnsi="宋体" w:eastAsia="宋体" w:cs="宋体"/>
          <w:color w:val="000000" w:themeColor="text1"/>
          <w:kern w:val="21"/>
          <w:szCs w:val="21"/>
          <w14:textFill>
            <w14:solidFill>
              <w14:schemeClr w14:val="tx1"/>
            </w14:solidFill>
          </w14:textFill>
        </w:rPr>
        <w:t>①</w:t>
      </w:r>
      <w:r>
        <w:rPr>
          <w:rFonts w:ascii="Times New Roman" w:hAnsi="Times New Roman"/>
          <w:snapToGrid w:val="0"/>
          <w:color w:val="000000" w:themeColor="text1"/>
          <w:kern w:val="21"/>
          <w:szCs w:val="21"/>
          <w14:textFill>
            <w14:solidFill>
              <w14:schemeClr w14:val="tx1"/>
            </w14:solidFill>
          </w14:textFill>
        </w:rPr>
        <w:fldChar w:fldCharType="end"/>
      </w:r>
    </w:p>
    <w:p>
      <w:pPr>
        <w:pStyle w:val="16"/>
        <w:adjustRightInd w:val="0"/>
        <w:snapToGrid w:val="0"/>
        <w:spacing w:before="0" w:beforeAutospacing="0" w:after="0" w:afterAutospacing="0"/>
        <w:jc w:val="center"/>
        <w:rPr>
          <w:rFonts w:ascii="Times New Roman" w:hAnsi="Times New Roman"/>
          <w:color w:val="000000" w:themeColor="text1"/>
          <w:kern w:val="21"/>
          <w14:textFill>
            <w14:solidFill>
              <w14:schemeClr w14:val="tx1"/>
            </w14:solidFill>
          </w14:textFill>
        </w:rPr>
      </w:pPr>
    </w:p>
    <w:sectPr>
      <w:pgSz w:w="16838" w:h="11906" w:orient="landscape"/>
      <w:pgMar w:top="1418" w:right="1418" w:bottom="1418" w:left="1418"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体">
    <w:altName w:val="宋体"/>
    <w:panose1 w:val="00000000000000000000"/>
    <w:charset w:val="86"/>
    <w:family w:val="roman"/>
    <w:pitch w:val="default"/>
    <w:sig w:usb0="00000000" w:usb1="00000000" w:usb2="00000010" w:usb3="00000000" w:csb0="00040000" w:csb1="00000000"/>
  </w:font>
  <w:font w:name="Roman">
    <w:altName w:val="Times New Roman"/>
    <w:panose1 w:val="00000000000000000000"/>
    <w:charset w:val="00"/>
    <w:family w:val="roman"/>
    <w:pitch w:val="default"/>
    <w:sig w:usb0="00000000" w:usb1="00000000" w:usb2="00000000" w:usb3="00000000" w:csb0="00000000" w:csb1="00000000"/>
  </w:font>
  <w:font w:name="仿宋_GB2312">
    <w:panose1 w:val="02010609030101010101"/>
    <w:charset w:val="86"/>
    <w:family w:val="auto"/>
    <w:pitch w:val="default"/>
    <w:sig w:usb0="00000001" w:usb1="080E0000" w:usb2="00000000" w:usb3="00000000" w:csb0="00040000" w:csb1="00000000"/>
  </w:font>
  <w:font w:name="Cambria Math">
    <w:panose1 w:val="02040503050406030204"/>
    <w:charset w:val="00"/>
    <w:family w:val="roman"/>
    <w:pitch w:val="default"/>
    <w:sig w:usb0="E00002FF" w:usb1="42002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framePr w:wrap="around" w:vAnchor="text" w:hAnchor="margin" w:xAlign="center" w:y="1"/>
      <w:rPr>
        <w:rStyle w:val="23"/>
      </w:rPr>
    </w:pPr>
    <w:r>
      <w:fldChar w:fldCharType="begin"/>
    </w:r>
    <w:r>
      <w:rPr>
        <w:rStyle w:val="23"/>
      </w:rPr>
      <w:instrText xml:space="preserve">PAGE  </w:instrText>
    </w:r>
    <w:r>
      <w:fldChar w:fldCharType="end"/>
    </w:r>
  </w:p>
  <w:p>
    <w:pPr>
      <w:pStyle w:val="13"/>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framePr w:wrap="around" w:vAnchor="text" w:hAnchor="margin" w:xAlign="outside" w:y="1"/>
      <w:jc w:val="center"/>
      <w:rPr>
        <w:rStyle w:val="23"/>
        <w:rFonts w:ascii="宋体" w:hAnsi="宋体"/>
        <w:sz w:val="28"/>
        <w:szCs w:val="28"/>
      </w:rPr>
    </w:pPr>
    <w:r>
      <w:rPr>
        <w:rStyle w:val="23"/>
        <w:rFonts w:hint="eastAsia" w:ascii="宋体" w:hAnsi="宋体"/>
        <w:sz w:val="28"/>
        <w:szCs w:val="28"/>
      </w:rPr>
      <w:t>—</w:t>
    </w:r>
    <w:r>
      <w:rPr>
        <w:rStyle w:val="23"/>
        <w:rFonts w:ascii="宋体" w:hAnsi="宋体"/>
        <w:sz w:val="20"/>
      </w:rPr>
      <w:t xml:space="preserve">  </w:t>
    </w:r>
    <w:r>
      <w:rPr>
        <w:rFonts w:ascii="宋体" w:hAnsi="宋体"/>
        <w:sz w:val="26"/>
        <w:szCs w:val="26"/>
      </w:rPr>
      <w:fldChar w:fldCharType="begin"/>
    </w:r>
    <w:r>
      <w:rPr>
        <w:rStyle w:val="23"/>
        <w:rFonts w:ascii="宋体" w:hAnsi="宋体"/>
        <w:sz w:val="26"/>
        <w:szCs w:val="26"/>
      </w:rPr>
      <w:instrText xml:space="preserve">PAGE  </w:instrText>
    </w:r>
    <w:r>
      <w:rPr>
        <w:rFonts w:ascii="宋体" w:hAnsi="宋体"/>
        <w:sz w:val="26"/>
        <w:szCs w:val="26"/>
      </w:rPr>
      <w:fldChar w:fldCharType="separate"/>
    </w:r>
    <w:r>
      <w:rPr>
        <w:rStyle w:val="23"/>
        <w:rFonts w:ascii="宋体" w:hAnsi="宋体"/>
        <w:sz w:val="26"/>
        <w:szCs w:val="26"/>
      </w:rPr>
      <w:t>48</w:t>
    </w:r>
    <w:r>
      <w:rPr>
        <w:rFonts w:ascii="宋体" w:hAnsi="宋体"/>
        <w:sz w:val="26"/>
        <w:szCs w:val="26"/>
      </w:rPr>
      <w:fldChar w:fldCharType="end"/>
    </w:r>
    <w:r>
      <w:rPr>
        <w:rStyle w:val="23"/>
        <w:rFonts w:ascii="宋体" w:hAnsi="宋体"/>
        <w:sz w:val="20"/>
      </w:rPr>
      <w:t xml:space="preserve">  </w:t>
    </w:r>
    <w:r>
      <w:rPr>
        <w:rStyle w:val="23"/>
        <w:rFonts w:hint="eastAsia" w:ascii="宋体" w:hAnsi="宋体"/>
        <w:sz w:val="28"/>
        <w:szCs w:val="28"/>
      </w:rPr>
      <w:t>—</w:t>
    </w:r>
  </w:p>
  <w:p>
    <w:pPr>
      <w:pStyle w:val="13"/>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67640" cy="131445"/>
              <wp:effectExtent l="0" t="0" r="0" b="0"/>
              <wp:wrapNone/>
              <wp:docPr id="2" name="文本框 32"/>
              <wp:cNvGraphicFramePr/>
              <a:graphic xmlns:a="http://schemas.openxmlformats.org/drawingml/2006/main">
                <a:graphicData uri="http://schemas.microsoft.com/office/word/2010/wordprocessingShape">
                  <wps:wsp>
                    <wps:cNvSpPr txBox="1">
                      <a:spLocks noChangeArrowheads="1"/>
                    </wps:cNvSpPr>
                    <wps:spPr bwMode="auto">
                      <a:xfrm>
                        <a:off x="0" y="0"/>
                        <a:ext cx="167640" cy="131445"/>
                      </a:xfrm>
                      <a:prstGeom prst="rect">
                        <a:avLst/>
                      </a:prstGeom>
                      <a:noFill/>
                      <a:ln>
                        <a:noFill/>
                      </a:ln>
                    </wps:spPr>
                    <wps:txbx>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74</w:t>
                          </w:r>
                          <w:r>
                            <w:rPr>
                              <w:rFonts w:hint="eastAsia"/>
                              <w:sz w:val="18"/>
                            </w:rPr>
                            <w:fldChar w:fldCharType="end"/>
                          </w:r>
                        </w:p>
                      </w:txbxContent>
                    </wps:txbx>
                    <wps:bodyPr rot="0" vert="horz" wrap="none" lIns="0" tIns="0" rIns="0" bIns="0" anchor="t" anchorCtr="0" upright="1">
                      <a:spAutoFit/>
                    </wps:bodyPr>
                  </wps:wsp>
                </a:graphicData>
              </a:graphic>
            </wp:anchor>
          </w:drawing>
        </mc:Choice>
        <mc:Fallback>
          <w:pict>
            <v:shape id="文本框 32" o:spid="_x0000_s1026" o:spt="202" type="#_x0000_t202" style="position:absolute;left:0pt;margin-top:0pt;height:10.35pt;width:13.2pt;mso-position-horizontal:center;mso-position-horizontal-relative:margin;mso-wrap-style:none;z-index:251659264;mso-width-relative:page;mso-height-relative:page;" filled="f" stroked="f" coordsize="21600,21600" o:gfxdata="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jRio69EAAAADAQAADwAAAAAAAAABACAAAAAiAAAAZHJz&#10;L2Rvd25yZXYueG1sUEsBAhQAFAAAAAgAh07iQB9Os1ILAgAAAwQAAA4AAAAAAAAAAQAgAAAAIAEA&#10;AGRycy9lMm9Eb2MueG1sUEsFBgAAAAAGAAYAWQEAAJ0FAAAAAA==&#10;">
              <v:fill on="f" focussize="0,0"/>
              <v:stroke on="f"/>
              <v:imagedata o:title=""/>
              <o:lock v:ext="edit" aspectratio="f"/>
              <v:textbox inset="0mm,0mm,0mm,0mm" style="mso-fit-shape-to-text:t;">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74</w:t>
                    </w:r>
                    <w:r>
                      <w:rPr>
                        <w:rFonts w:hint="eastAsia"/>
                        <w:sz w:val="18"/>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framePr w:wrap="around" w:vAnchor="text" w:hAnchor="margin" w:xAlign="outside" w:y="1"/>
      <w:rPr>
        <w:rStyle w:val="23"/>
        <w:rFonts w:ascii="宋体" w:hAnsi="宋体"/>
        <w:sz w:val="28"/>
        <w:szCs w:val="28"/>
      </w:rPr>
    </w:pPr>
    <w:r>
      <w:rPr>
        <w:rStyle w:val="23"/>
        <w:rFonts w:hint="eastAsia" w:ascii="宋体" w:hAnsi="宋体"/>
        <w:sz w:val="28"/>
        <w:szCs w:val="28"/>
      </w:rPr>
      <w:t>—</w:t>
    </w:r>
    <w:r>
      <w:rPr>
        <w:rStyle w:val="23"/>
        <w:rFonts w:ascii="宋体" w:hAnsi="宋体"/>
        <w:sz w:val="20"/>
      </w:rPr>
      <w:t xml:space="preserve">  </w:t>
    </w:r>
    <w:r>
      <w:rPr>
        <w:rFonts w:ascii="宋体" w:hAnsi="宋体"/>
        <w:sz w:val="26"/>
        <w:szCs w:val="26"/>
      </w:rPr>
      <w:fldChar w:fldCharType="begin"/>
    </w:r>
    <w:r>
      <w:rPr>
        <w:rStyle w:val="23"/>
        <w:rFonts w:ascii="宋体" w:hAnsi="宋体"/>
        <w:sz w:val="26"/>
        <w:szCs w:val="26"/>
      </w:rPr>
      <w:instrText xml:space="preserve">PAGE  </w:instrText>
    </w:r>
    <w:r>
      <w:rPr>
        <w:rFonts w:ascii="宋体" w:hAnsi="宋体"/>
        <w:sz w:val="26"/>
        <w:szCs w:val="26"/>
      </w:rPr>
      <w:fldChar w:fldCharType="separate"/>
    </w:r>
    <w:r>
      <w:rPr>
        <w:rStyle w:val="23"/>
        <w:rFonts w:ascii="宋体" w:hAnsi="宋体"/>
        <w:sz w:val="26"/>
        <w:szCs w:val="26"/>
      </w:rPr>
      <w:t>100</w:t>
    </w:r>
    <w:r>
      <w:rPr>
        <w:rFonts w:ascii="宋体" w:hAnsi="宋体"/>
        <w:sz w:val="26"/>
        <w:szCs w:val="26"/>
      </w:rPr>
      <w:fldChar w:fldCharType="end"/>
    </w:r>
    <w:r>
      <w:rPr>
        <w:rStyle w:val="23"/>
        <w:rFonts w:ascii="宋体" w:hAnsi="宋体"/>
        <w:sz w:val="20"/>
      </w:rPr>
      <w:t xml:space="preserve">  </w:t>
    </w:r>
    <w:r>
      <w:rPr>
        <w:rStyle w:val="23"/>
        <w:rFonts w:hint="eastAsia" w:ascii="宋体" w:hAnsi="宋体"/>
        <w:sz w:val="28"/>
        <w:szCs w:val="28"/>
      </w:rPr>
      <w:t>—</w:t>
    </w:r>
  </w:p>
  <w:p>
    <w:pPr>
      <w:pStyle w:val="13"/>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6D25324"/>
    <w:multiLevelType w:val="multilevel"/>
    <w:tmpl w:val="06D25324"/>
    <w:lvl w:ilvl="0" w:tentative="0">
      <w:start w:val="1"/>
      <w:numFmt w:val="decimal"/>
      <w:lvlText w:val="表1-%1 "/>
      <w:lvlJc w:val="left"/>
      <w:pPr>
        <w:ind w:left="420" w:hanging="420"/>
      </w:pPr>
      <w:rPr>
        <w:rFonts w:hint="default" w:ascii="Times New Roman" w:hAnsi="Times New Roman" w:eastAsia="宋体"/>
        <w:b/>
        <w:color w:val="auto"/>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1D9B7EFA"/>
    <w:multiLevelType w:val="multilevel"/>
    <w:tmpl w:val="1D9B7EFA"/>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202A18D7"/>
    <w:multiLevelType w:val="multilevel"/>
    <w:tmpl w:val="202A18D7"/>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264B4EC5"/>
    <w:multiLevelType w:val="multilevel"/>
    <w:tmpl w:val="264B4EC5"/>
    <w:lvl w:ilvl="0" w:tentative="0">
      <w:start w:val="1"/>
      <w:numFmt w:val="decimal"/>
      <w:lvlText w:val="表4-%1 "/>
      <w:lvlJc w:val="left"/>
      <w:pPr>
        <w:ind w:left="4106" w:hanging="420"/>
      </w:pPr>
      <w:rPr>
        <w:rFonts w:hint="default" w:ascii="Times New Roman" w:hAnsi="Times New Roman" w:eastAsia="宋体"/>
        <w:b/>
        <w:color w:val="auto"/>
        <w:sz w:val="24"/>
        <w:lang w:val="en-US"/>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
    <w:nsid w:val="340434A4"/>
    <w:multiLevelType w:val="multilevel"/>
    <w:tmpl w:val="340434A4"/>
    <w:lvl w:ilvl="0" w:tentative="0">
      <w:start w:val="1"/>
      <w:numFmt w:val="decimal"/>
      <w:pStyle w:val="76"/>
      <w:lvlText w:val="表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395D6305"/>
    <w:multiLevelType w:val="multilevel"/>
    <w:tmpl w:val="395D6305"/>
    <w:lvl w:ilvl="0" w:tentative="0">
      <w:start w:val="1"/>
      <w:numFmt w:val="decimal"/>
      <w:lvlText w:val="图3-%1"/>
      <w:lvlJc w:val="center"/>
      <w:pPr>
        <w:ind w:left="4106" w:hanging="420"/>
      </w:pPr>
      <w:rPr>
        <w:rFonts w:hint="default" w:ascii="Times New Roman" w:hAnsi="Times New Roman" w:eastAsia="宋体"/>
        <w:b/>
        <w:color w:val="auto"/>
        <w:sz w:val="24"/>
        <w:lang w:val="en-US"/>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
    <w:nsid w:val="57B61D90"/>
    <w:multiLevelType w:val="multilevel"/>
    <w:tmpl w:val="57B61D90"/>
    <w:lvl w:ilvl="0" w:tentative="0">
      <w:start w:val="1"/>
      <w:numFmt w:val="decimal"/>
      <w:lvlText w:val="表2-%1 "/>
      <w:lvlJc w:val="left"/>
      <w:pPr>
        <w:ind w:left="4106" w:hanging="420"/>
      </w:pPr>
      <w:rPr>
        <w:rFonts w:hint="default" w:ascii="Times New Roman" w:hAnsi="Times New Roman" w:eastAsia="宋体"/>
        <w:b/>
        <w:color w:val="auto"/>
        <w:sz w:val="24"/>
        <w:lang w:val="en-US"/>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7">
    <w:nsid w:val="609F6DED"/>
    <w:multiLevelType w:val="multilevel"/>
    <w:tmpl w:val="609F6DED"/>
    <w:lvl w:ilvl="0" w:tentative="0">
      <w:start w:val="1"/>
      <w:numFmt w:val="decimal"/>
      <w:lvlText w:val="图4-%1"/>
      <w:lvlJc w:val="center"/>
      <w:pPr>
        <w:ind w:left="1271" w:hanging="420"/>
      </w:pPr>
      <w:rPr>
        <w:rFonts w:hint="default" w:ascii="Times New Roman" w:hAnsi="Times New Roman" w:eastAsia="宋体"/>
        <w:b/>
        <w:sz w:val="24"/>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678E0322"/>
    <w:multiLevelType w:val="multilevel"/>
    <w:tmpl w:val="678E0322"/>
    <w:lvl w:ilvl="0" w:tentative="0">
      <w:start w:val="1"/>
      <w:numFmt w:val="decimal"/>
      <w:lvlText w:val="图4-%1"/>
      <w:lvlJc w:val="center"/>
      <w:pPr>
        <w:ind w:left="1271" w:hanging="420"/>
      </w:pPr>
      <w:rPr>
        <w:rFonts w:hint="default" w:ascii="Times New Roman" w:hAnsi="Times New Roman" w:eastAsia="宋体"/>
        <w:b/>
        <w:sz w:val="24"/>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6F794E79"/>
    <w:multiLevelType w:val="multilevel"/>
    <w:tmpl w:val="6F794E79"/>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791D1F62"/>
    <w:multiLevelType w:val="multilevel"/>
    <w:tmpl w:val="791D1F62"/>
    <w:lvl w:ilvl="0" w:tentative="0">
      <w:start w:val="1"/>
      <w:numFmt w:val="decimal"/>
      <w:lvlText w:val="图2-%1 "/>
      <w:lvlJc w:val="center"/>
      <w:pPr>
        <w:ind w:left="842" w:hanging="420"/>
      </w:pPr>
      <w:rPr>
        <w:rFonts w:hint="eastAsia"/>
        <w:b/>
        <w:sz w:val="24"/>
      </w:rPr>
    </w:lvl>
    <w:lvl w:ilvl="1" w:tentative="0">
      <w:start w:val="1"/>
      <w:numFmt w:val="lowerLetter"/>
      <w:lvlText w:val="%2)"/>
      <w:lvlJc w:val="left"/>
      <w:pPr>
        <w:ind w:left="1262" w:hanging="420"/>
      </w:pPr>
    </w:lvl>
    <w:lvl w:ilvl="2" w:tentative="0">
      <w:start w:val="1"/>
      <w:numFmt w:val="lowerRoman"/>
      <w:lvlText w:val="%3."/>
      <w:lvlJc w:val="right"/>
      <w:pPr>
        <w:ind w:left="1682" w:hanging="420"/>
      </w:pPr>
    </w:lvl>
    <w:lvl w:ilvl="3" w:tentative="0">
      <w:start w:val="1"/>
      <w:numFmt w:val="decimal"/>
      <w:lvlText w:val="%4."/>
      <w:lvlJc w:val="left"/>
      <w:pPr>
        <w:ind w:left="2102" w:hanging="420"/>
      </w:pPr>
    </w:lvl>
    <w:lvl w:ilvl="4" w:tentative="0">
      <w:start w:val="1"/>
      <w:numFmt w:val="lowerLetter"/>
      <w:lvlText w:val="%5)"/>
      <w:lvlJc w:val="left"/>
      <w:pPr>
        <w:ind w:left="2522" w:hanging="420"/>
      </w:pPr>
    </w:lvl>
    <w:lvl w:ilvl="5" w:tentative="0">
      <w:start w:val="1"/>
      <w:numFmt w:val="lowerRoman"/>
      <w:lvlText w:val="%6."/>
      <w:lvlJc w:val="right"/>
      <w:pPr>
        <w:ind w:left="2942" w:hanging="420"/>
      </w:pPr>
    </w:lvl>
    <w:lvl w:ilvl="6" w:tentative="0">
      <w:start w:val="1"/>
      <w:numFmt w:val="decimal"/>
      <w:lvlText w:val="%7."/>
      <w:lvlJc w:val="left"/>
      <w:pPr>
        <w:ind w:left="3362" w:hanging="420"/>
      </w:pPr>
    </w:lvl>
    <w:lvl w:ilvl="7" w:tentative="0">
      <w:start w:val="1"/>
      <w:numFmt w:val="lowerLetter"/>
      <w:lvlText w:val="%8)"/>
      <w:lvlJc w:val="left"/>
      <w:pPr>
        <w:ind w:left="3782" w:hanging="420"/>
      </w:pPr>
    </w:lvl>
    <w:lvl w:ilvl="8" w:tentative="0">
      <w:start w:val="1"/>
      <w:numFmt w:val="lowerRoman"/>
      <w:lvlText w:val="%9."/>
      <w:lvlJc w:val="right"/>
      <w:pPr>
        <w:ind w:left="4202" w:hanging="420"/>
      </w:pPr>
    </w:lvl>
  </w:abstractNum>
  <w:abstractNum w:abstractNumId="11">
    <w:nsid w:val="7A305C04"/>
    <w:multiLevelType w:val="multilevel"/>
    <w:tmpl w:val="7A305C04"/>
    <w:lvl w:ilvl="0" w:tentative="0">
      <w:start w:val="1"/>
      <w:numFmt w:val="decimal"/>
      <w:pStyle w:val="6"/>
      <w:lvlText w:val="表%1 "/>
      <w:lvlJc w:val="left"/>
      <w:pPr>
        <w:ind w:left="902" w:hanging="420"/>
      </w:pPr>
      <w:rPr>
        <w:rFonts w:hint="default" w:ascii="Times New Roman" w:hAnsi="Times New Roman" w:cs="Times New Roman" w:eastAsiaTheme="minorEastAsia"/>
        <w:b/>
        <w:sz w:val="24"/>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12">
    <w:nsid w:val="7DBA141B"/>
    <w:multiLevelType w:val="multilevel"/>
    <w:tmpl w:val="7DBA141B"/>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1"/>
  </w:num>
  <w:num w:numId="2">
    <w:abstractNumId w:val="4"/>
  </w:num>
  <w:num w:numId="3">
    <w:abstractNumId w:val="0"/>
  </w:num>
  <w:num w:numId="4">
    <w:abstractNumId w:val="6"/>
  </w:num>
  <w:num w:numId="5">
    <w:abstractNumId w:val="12"/>
  </w:num>
  <w:num w:numId="6">
    <w:abstractNumId w:val="1"/>
  </w:num>
  <w:num w:numId="7">
    <w:abstractNumId w:val="10"/>
  </w:num>
  <w:num w:numId="8">
    <w:abstractNumId w:val="5"/>
  </w:num>
  <w:num w:numId="9">
    <w:abstractNumId w:val="7"/>
  </w:num>
  <w:num w:numId="10">
    <w:abstractNumId w:val="3"/>
  </w:num>
  <w:num w:numId="11">
    <w:abstractNumId w:val="8"/>
  </w:num>
  <w:num w:numId="12">
    <w:abstractNumId w:val="9"/>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0"/>
  <w:displayVerticalDrawingGridEvery w:val="2"/>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ZhZThjNmY2YzJjZWMyMGY3Y2JiNWI5OGEzYmZhM2EifQ=="/>
  </w:docVars>
  <w:rsids>
    <w:rsidRoot w:val="00A14947"/>
    <w:rsid w:val="000060B3"/>
    <w:rsid w:val="00006C6A"/>
    <w:rsid w:val="0001760C"/>
    <w:rsid w:val="00021280"/>
    <w:rsid w:val="000226A4"/>
    <w:rsid w:val="00023495"/>
    <w:rsid w:val="0002633D"/>
    <w:rsid w:val="00030A33"/>
    <w:rsid w:val="00030E06"/>
    <w:rsid w:val="0003572B"/>
    <w:rsid w:val="0004364B"/>
    <w:rsid w:val="00047A34"/>
    <w:rsid w:val="00061B1F"/>
    <w:rsid w:val="00067BF7"/>
    <w:rsid w:val="000733C4"/>
    <w:rsid w:val="0007377E"/>
    <w:rsid w:val="00074783"/>
    <w:rsid w:val="0008070B"/>
    <w:rsid w:val="000810AC"/>
    <w:rsid w:val="00081A02"/>
    <w:rsid w:val="00082231"/>
    <w:rsid w:val="000866DC"/>
    <w:rsid w:val="00091523"/>
    <w:rsid w:val="0009178E"/>
    <w:rsid w:val="00092D38"/>
    <w:rsid w:val="000931B7"/>
    <w:rsid w:val="0009377B"/>
    <w:rsid w:val="0009475C"/>
    <w:rsid w:val="0009787C"/>
    <w:rsid w:val="000A0821"/>
    <w:rsid w:val="000A20C9"/>
    <w:rsid w:val="000B058F"/>
    <w:rsid w:val="000B3C14"/>
    <w:rsid w:val="000B4467"/>
    <w:rsid w:val="000B4DB9"/>
    <w:rsid w:val="000C09AC"/>
    <w:rsid w:val="000C28F1"/>
    <w:rsid w:val="000C2A33"/>
    <w:rsid w:val="000C3A6C"/>
    <w:rsid w:val="000C3DBD"/>
    <w:rsid w:val="000C767F"/>
    <w:rsid w:val="000D0337"/>
    <w:rsid w:val="000D3BFA"/>
    <w:rsid w:val="000D4F06"/>
    <w:rsid w:val="000D5A44"/>
    <w:rsid w:val="000D6142"/>
    <w:rsid w:val="000E1100"/>
    <w:rsid w:val="000E1F4C"/>
    <w:rsid w:val="000E3DA5"/>
    <w:rsid w:val="000E3ED2"/>
    <w:rsid w:val="000E5494"/>
    <w:rsid w:val="000E5D06"/>
    <w:rsid w:val="000E7027"/>
    <w:rsid w:val="000E7335"/>
    <w:rsid w:val="000E7A51"/>
    <w:rsid w:val="000F0303"/>
    <w:rsid w:val="000F06E9"/>
    <w:rsid w:val="000F653C"/>
    <w:rsid w:val="000F77A4"/>
    <w:rsid w:val="0010062F"/>
    <w:rsid w:val="00100858"/>
    <w:rsid w:val="00104E56"/>
    <w:rsid w:val="00114B7D"/>
    <w:rsid w:val="001172A0"/>
    <w:rsid w:val="00117338"/>
    <w:rsid w:val="001200AD"/>
    <w:rsid w:val="00120C70"/>
    <w:rsid w:val="001220EA"/>
    <w:rsid w:val="00124967"/>
    <w:rsid w:val="00130E21"/>
    <w:rsid w:val="00131F42"/>
    <w:rsid w:val="001357D4"/>
    <w:rsid w:val="001357F1"/>
    <w:rsid w:val="00136222"/>
    <w:rsid w:val="00137581"/>
    <w:rsid w:val="0014082B"/>
    <w:rsid w:val="00140FA8"/>
    <w:rsid w:val="00141F31"/>
    <w:rsid w:val="00142FEB"/>
    <w:rsid w:val="0014348C"/>
    <w:rsid w:val="00143A2D"/>
    <w:rsid w:val="00145A41"/>
    <w:rsid w:val="00145D7B"/>
    <w:rsid w:val="00151593"/>
    <w:rsid w:val="00151675"/>
    <w:rsid w:val="00157435"/>
    <w:rsid w:val="00157577"/>
    <w:rsid w:val="00160F7D"/>
    <w:rsid w:val="001617FA"/>
    <w:rsid w:val="00162ABF"/>
    <w:rsid w:val="00162B87"/>
    <w:rsid w:val="0016378D"/>
    <w:rsid w:val="00170356"/>
    <w:rsid w:val="0017504D"/>
    <w:rsid w:val="00175C4C"/>
    <w:rsid w:val="0017671A"/>
    <w:rsid w:val="00176DA4"/>
    <w:rsid w:val="00177422"/>
    <w:rsid w:val="00184590"/>
    <w:rsid w:val="001870D1"/>
    <w:rsid w:val="0018781E"/>
    <w:rsid w:val="0019006C"/>
    <w:rsid w:val="0019262D"/>
    <w:rsid w:val="00193BF8"/>
    <w:rsid w:val="00195BA3"/>
    <w:rsid w:val="0019652F"/>
    <w:rsid w:val="00197475"/>
    <w:rsid w:val="001978EE"/>
    <w:rsid w:val="001A0259"/>
    <w:rsid w:val="001A0D74"/>
    <w:rsid w:val="001A1B35"/>
    <w:rsid w:val="001A48A2"/>
    <w:rsid w:val="001A5AFA"/>
    <w:rsid w:val="001A60C9"/>
    <w:rsid w:val="001A6DCF"/>
    <w:rsid w:val="001A6F61"/>
    <w:rsid w:val="001B2E72"/>
    <w:rsid w:val="001B3DDA"/>
    <w:rsid w:val="001B72B8"/>
    <w:rsid w:val="001C55F7"/>
    <w:rsid w:val="001C69B3"/>
    <w:rsid w:val="001C6C90"/>
    <w:rsid w:val="001D0DDC"/>
    <w:rsid w:val="001D5595"/>
    <w:rsid w:val="001D7874"/>
    <w:rsid w:val="001D7F22"/>
    <w:rsid w:val="001F0F17"/>
    <w:rsid w:val="001F3347"/>
    <w:rsid w:val="001F36D3"/>
    <w:rsid w:val="001F62F3"/>
    <w:rsid w:val="001F69E4"/>
    <w:rsid w:val="00202867"/>
    <w:rsid w:val="00203F14"/>
    <w:rsid w:val="0020462C"/>
    <w:rsid w:val="00204CC3"/>
    <w:rsid w:val="002125B4"/>
    <w:rsid w:val="0021550D"/>
    <w:rsid w:val="002155B8"/>
    <w:rsid w:val="00216C8F"/>
    <w:rsid w:val="00221D79"/>
    <w:rsid w:val="00224839"/>
    <w:rsid w:val="002248B8"/>
    <w:rsid w:val="002249B2"/>
    <w:rsid w:val="00226574"/>
    <w:rsid w:val="002278EC"/>
    <w:rsid w:val="0023261C"/>
    <w:rsid w:val="0023280E"/>
    <w:rsid w:val="002377D1"/>
    <w:rsid w:val="00242133"/>
    <w:rsid w:val="00247FF9"/>
    <w:rsid w:val="002506BC"/>
    <w:rsid w:val="002507A1"/>
    <w:rsid w:val="00252486"/>
    <w:rsid w:val="00254345"/>
    <w:rsid w:val="00254673"/>
    <w:rsid w:val="002570B4"/>
    <w:rsid w:val="0026059A"/>
    <w:rsid w:val="002612CF"/>
    <w:rsid w:val="002620C3"/>
    <w:rsid w:val="0026385B"/>
    <w:rsid w:val="00264557"/>
    <w:rsid w:val="002663C6"/>
    <w:rsid w:val="002749EE"/>
    <w:rsid w:val="002805AB"/>
    <w:rsid w:val="00284204"/>
    <w:rsid w:val="00291773"/>
    <w:rsid w:val="00293BAC"/>
    <w:rsid w:val="002A168C"/>
    <w:rsid w:val="002A314E"/>
    <w:rsid w:val="002A3DC7"/>
    <w:rsid w:val="002A6F27"/>
    <w:rsid w:val="002B27DA"/>
    <w:rsid w:val="002B4532"/>
    <w:rsid w:val="002B49E2"/>
    <w:rsid w:val="002B57E7"/>
    <w:rsid w:val="002B64FE"/>
    <w:rsid w:val="002B7470"/>
    <w:rsid w:val="002B7B00"/>
    <w:rsid w:val="002B7C44"/>
    <w:rsid w:val="002C2B17"/>
    <w:rsid w:val="002C36BA"/>
    <w:rsid w:val="002C5CBC"/>
    <w:rsid w:val="002D1E65"/>
    <w:rsid w:val="002D3CC5"/>
    <w:rsid w:val="002D3DD0"/>
    <w:rsid w:val="002D4FF7"/>
    <w:rsid w:val="002D69F6"/>
    <w:rsid w:val="002E12A4"/>
    <w:rsid w:val="002E1F3A"/>
    <w:rsid w:val="002E298A"/>
    <w:rsid w:val="002E4DC5"/>
    <w:rsid w:val="002F182E"/>
    <w:rsid w:val="002F2427"/>
    <w:rsid w:val="00301259"/>
    <w:rsid w:val="00301978"/>
    <w:rsid w:val="0030332C"/>
    <w:rsid w:val="0030484E"/>
    <w:rsid w:val="003051C2"/>
    <w:rsid w:val="003052F7"/>
    <w:rsid w:val="00307356"/>
    <w:rsid w:val="00312296"/>
    <w:rsid w:val="00314F0E"/>
    <w:rsid w:val="00321D8E"/>
    <w:rsid w:val="003226EC"/>
    <w:rsid w:val="00325928"/>
    <w:rsid w:val="003315F8"/>
    <w:rsid w:val="00332039"/>
    <w:rsid w:val="00332863"/>
    <w:rsid w:val="0033684D"/>
    <w:rsid w:val="00337B42"/>
    <w:rsid w:val="00340A3C"/>
    <w:rsid w:val="00341B42"/>
    <w:rsid w:val="0034348F"/>
    <w:rsid w:val="00346554"/>
    <w:rsid w:val="00347BEA"/>
    <w:rsid w:val="00353D69"/>
    <w:rsid w:val="00356653"/>
    <w:rsid w:val="0035743F"/>
    <w:rsid w:val="00357BE2"/>
    <w:rsid w:val="0036170C"/>
    <w:rsid w:val="00362517"/>
    <w:rsid w:val="00363D3F"/>
    <w:rsid w:val="003662B1"/>
    <w:rsid w:val="00366E0F"/>
    <w:rsid w:val="00372609"/>
    <w:rsid w:val="0037769F"/>
    <w:rsid w:val="00381A72"/>
    <w:rsid w:val="0038275B"/>
    <w:rsid w:val="00383CF0"/>
    <w:rsid w:val="00384676"/>
    <w:rsid w:val="00386D0A"/>
    <w:rsid w:val="00387B51"/>
    <w:rsid w:val="00387C85"/>
    <w:rsid w:val="00390857"/>
    <w:rsid w:val="00390DAF"/>
    <w:rsid w:val="003976BC"/>
    <w:rsid w:val="003A03ED"/>
    <w:rsid w:val="003A4BF3"/>
    <w:rsid w:val="003A6863"/>
    <w:rsid w:val="003A6BB6"/>
    <w:rsid w:val="003B420D"/>
    <w:rsid w:val="003B54EF"/>
    <w:rsid w:val="003B69EE"/>
    <w:rsid w:val="003C0BAD"/>
    <w:rsid w:val="003C55EC"/>
    <w:rsid w:val="003C6037"/>
    <w:rsid w:val="003C6C16"/>
    <w:rsid w:val="003D2F36"/>
    <w:rsid w:val="003D34B0"/>
    <w:rsid w:val="003D4CBB"/>
    <w:rsid w:val="003D5568"/>
    <w:rsid w:val="003D5D1E"/>
    <w:rsid w:val="003D63C7"/>
    <w:rsid w:val="003D794D"/>
    <w:rsid w:val="003E3058"/>
    <w:rsid w:val="003E3215"/>
    <w:rsid w:val="003E49E1"/>
    <w:rsid w:val="003E4CBB"/>
    <w:rsid w:val="003E6871"/>
    <w:rsid w:val="003E76A9"/>
    <w:rsid w:val="003E7A03"/>
    <w:rsid w:val="003F0809"/>
    <w:rsid w:val="003F0A00"/>
    <w:rsid w:val="003F2F26"/>
    <w:rsid w:val="003F5406"/>
    <w:rsid w:val="003F6A8C"/>
    <w:rsid w:val="003F755C"/>
    <w:rsid w:val="00404A2D"/>
    <w:rsid w:val="00406F01"/>
    <w:rsid w:val="00415057"/>
    <w:rsid w:val="004153A3"/>
    <w:rsid w:val="00416D50"/>
    <w:rsid w:val="00416FD5"/>
    <w:rsid w:val="00417772"/>
    <w:rsid w:val="004206A9"/>
    <w:rsid w:val="004207D5"/>
    <w:rsid w:val="00420E6A"/>
    <w:rsid w:val="00421188"/>
    <w:rsid w:val="00421C99"/>
    <w:rsid w:val="00425A9E"/>
    <w:rsid w:val="00426D6B"/>
    <w:rsid w:val="00430B12"/>
    <w:rsid w:val="00431E6C"/>
    <w:rsid w:val="0043327A"/>
    <w:rsid w:val="00433CE7"/>
    <w:rsid w:val="00436C57"/>
    <w:rsid w:val="00445233"/>
    <w:rsid w:val="00445AAD"/>
    <w:rsid w:val="00450A51"/>
    <w:rsid w:val="00452738"/>
    <w:rsid w:val="004542EE"/>
    <w:rsid w:val="00454BEF"/>
    <w:rsid w:val="00456091"/>
    <w:rsid w:val="00456CCE"/>
    <w:rsid w:val="00457717"/>
    <w:rsid w:val="00466321"/>
    <w:rsid w:val="0046725A"/>
    <w:rsid w:val="00471AB4"/>
    <w:rsid w:val="004722A3"/>
    <w:rsid w:val="00472D41"/>
    <w:rsid w:val="00472D82"/>
    <w:rsid w:val="00475582"/>
    <w:rsid w:val="00475BCB"/>
    <w:rsid w:val="00476C0D"/>
    <w:rsid w:val="00477D9F"/>
    <w:rsid w:val="004838F3"/>
    <w:rsid w:val="00484B9B"/>
    <w:rsid w:val="004855F6"/>
    <w:rsid w:val="0048661E"/>
    <w:rsid w:val="00494670"/>
    <w:rsid w:val="00497AB2"/>
    <w:rsid w:val="004A2495"/>
    <w:rsid w:val="004A3823"/>
    <w:rsid w:val="004A694A"/>
    <w:rsid w:val="004A7DAA"/>
    <w:rsid w:val="004B2751"/>
    <w:rsid w:val="004B7462"/>
    <w:rsid w:val="004D29FD"/>
    <w:rsid w:val="004D606F"/>
    <w:rsid w:val="004E480A"/>
    <w:rsid w:val="004E538A"/>
    <w:rsid w:val="004E5419"/>
    <w:rsid w:val="004E6946"/>
    <w:rsid w:val="004E76FD"/>
    <w:rsid w:val="004F1AD8"/>
    <w:rsid w:val="004F2AEB"/>
    <w:rsid w:val="004F69D3"/>
    <w:rsid w:val="005039CB"/>
    <w:rsid w:val="0050558F"/>
    <w:rsid w:val="00506286"/>
    <w:rsid w:val="00507242"/>
    <w:rsid w:val="00510813"/>
    <w:rsid w:val="00511990"/>
    <w:rsid w:val="00511C44"/>
    <w:rsid w:val="00511DE0"/>
    <w:rsid w:val="00513EEA"/>
    <w:rsid w:val="00514870"/>
    <w:rsid w:val="00514B9B"/>
    <w:rsid w:val="0051795F"/>
    <w:rsid w:val="00517A5C"/>
    <w:rsid w:val="00517F02"/>
    <w:rsid w:val="00521B75"/>
    <w:rsid w:val="00522436"/>
    <w:rsid w:val="00524303"/>
    <w:rsid w:val="005258A2"/>
    <w:rsid w:val="0053222F"/>
    <w:rsid w:val="00532A73"/>
    <w:rsid w:val="00534368"/>
    <w:rsid w:val="0053582C"/>
    <w:rsid w:val="005401AE"/>
    <w:rsid w:val="00541921"/>
    <w:rsid w:val="005421DE"/>
    <w:rsid w:val="00542E07"/>
    <w:rsid w:val="00545424"/>
    <w:rsid w:val="00546D95"/>
    <w:rsid w:val="00547512"/>
    <w:rsid w:val="00550DD3"/>
    <w:rsid w:val="00553C89"/>
    <w:rsid w:val="00554999"/>
    <w:rsid w:val="00554A7B"/>
    <w:rsid w:val="0055572C"/>
    <w:rsid w:val="00555F47"/>
    <w:rsid w:val="0056106A"/>
    <w:rsid w:val="005636D5"/>
    <w:rsid w:val="005647EB"/>
    <w:rsid w:val="005650A5"/>
    <w:rsid w:val="00570A87"/>
    <w:rsid w:val="005720AE"/>
    <w:rsid w:val="00572BA9"/>
    <w:rsid w:val="00574000"/>
    <w:rsid w:val="005748E9"/>
    <w:rsid w:val="00581D6F"/>
    <w:rsid w:val="005828DF"/>
    <w:rsid w:val="00584151"/>
    <w:rsid w:val="00584D1C"/>
    <w:rsid w:val="005905A4"/>
    <w:rsid w:val="00593D34"/>
    <w:rsid w:val="0059475F"/>
    <w:rsid w:val="00594D77"/>
    <w:rsid w:val="0059502B"/>
    <w:rsid w:val="00595A25"/>
    <w:rsid w:val="005969E4"/>
    <w:rsid w:val="00597F57"/>
    <w:rsid w:val="005A05D0"/>
    <w:rsid w:val="005A06B7"/>
    <w:rsid w:val="005A1759"/>
    <w:rsid w:val="005A59A6"/>
    <w:rsid w:val="005A68A7"/>
    <w:rsid w:val="005A6E6E"/>
    <w:rsid w:val="005A7281"/>
    <w:rsid w:val="005B1EE7"/>
    <w:rsid w:val="005B2709"/>
    <w:rsid w:val="005B35FD"/>
    <w:rsid w:val="005B4F80"/>
    <w:rsid w:val="005D36AB"/>
    <w:rsid w:val="005D5DC9"/>
    <w:rsid w:val="005D62B8"/>
    <w:rsid w:val="005D6C89"/>
    <w:rsid w:val="005E003F"/>
    <w:rsid w:val="005E095A"/>
    <w:rsid w:val="005E2504"/>
    <w:rsid w:val="005E403B"/>
    <w:rsid w:val="005F185C"/>
    <w:rsid w:val="0060045A"/>
    <w:rsid w:val="00602A51"/>
    <w:rsid w:val="006045D2"/>
    <w:rsid w:val="00607E63"/>
    <w:rsid w:val="00610D97"/>
    <w:rsid w:val="00616516"/>
    <w:rsid w:val="00617CC3"/>
    <w:rsid w:val="00627531"/>
    <w:rsid w:val="006372B3"/>
    <w:rsid w:val="006377A6"/>
    <w:rsid w:val="00637A3D"/>
    <w:rsid w:val="0064041F"/>
    <w:rsid w:val="006411EF"/>
    <w:rsid w:val="00644295"/>
    <w:rsid w:val="00650211"/>
    <w:rsid w:val="00652E0E"/>
    <w:rsid w:val="00657263"/>
    <w:rsid w:val="006610A4"/>
    <w:rsid w:val="006629E0"/>
    <w:rsid w:val="006700CB"/>
    <w:rsid w:val="00670D40"/>
    <w:rsid w:val="006734AC"/>
    <w:rsid w:val="00673F2D"/>
    <w:rsid w:val="006748B8"/>
    <w:rsid w:val="006775C3"/>
    <w:rsid w:val="00680230"/>
    <w:rsid w:val="0069290A"/>
    <w:rsid w:val="0069775A"/>
    <w:rsid w:val="00697813"/>
    <w:rsid w:val="006A0532"/>
    <w:rsid w:val="006A119A"/>
    <w:rsid w:val="006A3EE8"/>
    <w:rsid w:val="006A59BD"/>
    <w:rsid w:val="006A6557"/>
    <w:rsid w:val="006A72BF"/>
    <w:rsid w:val="006A74C0"/>
    <w:rsid w:val="006A7C4E"/>
    <w:rsid w:val="006B03F2"/>
    <w:rsid w:val="006B290D"/>
    <w:rsid w:val="006B2E43"/>
    <w:rsid w:val="006B37DC"/>
    <w:rsid w:val="006B4F68"/>
    <w:rsid w:val="006B5DA3"/>
    <w:rsid w:val="006B6809"/>
    <w:rsid w:val="006C0592"/>
    <w:rsid w:val="006C272E"/>
    <w:rsid w:val="006C5479"/>
    <w:rsid w:val="006C5BAD"/>
    <w:rsid w:val="006C7390"/>
    <w:rsid w:val="006D13B5"/>
    <w:rsid w:val="006D4689"/>
    <w:rsid w:val="006D5DFB"/>
    <w:rsid w:val="006D75FF"/>
    <w:rsid w:val="006E12FF"/>
    <w:rsid w:val="006E28DC"/>
    <w:rsid w:val="006E587B"/>
    <w:rsid w:val="006E607E"/>
    <w:rsid w:val="006F12E1"/>
    <w:rsid w:val="006F4302"/>
    <w:rsid w:val="006F4613"/>
    <w:rsid w:val="007012CA"/>
    <w:rsid w:val="007048C4"/>
    <w:rsid w:val="00704A36"/>
    <w:rsid w:val="00706C5D"/>
    <w:rsid w:val="00713717"/>
    <w:rsid w:val="00716524"/>
    <w:rsid w:val="00720276"/>
    <w:rsid w:val="00722273"/>
    <w:rsid w:val="0072573B"/>
    <w:rsid w:val="007259E8"/>
    <w:rsid w:val="00726637"/>
    <w:rsid w:val="0072763B"/>
    <w:rsid w:val="007324FC"/>
    <w:rsid w:val="00732922"/>
    <w:rsid w:val="00733B0C"/>
    <w:rsid w:val="00734EE1"/>
    <w:rsid w:val="007368A7"/>
    <w:rsid w:val="007414EA"/>
    <w:rsid w:val="00744413"/>
    <w:rsid w:val="0074554A"/>
    <w:rsid w:val="0075162E"/>
    <w:rsid w:val="00754034"/>
    <w:rsid w:val="00756556"/>
    <w:rsid w:val="0075722B"/>
    <w:rsid w:val="00757440"/>
    <w:rsid w:val="007618C4"/>
    <w:rsid w:val="00765C2F"/>
    <w:rsid w:val="00767980"/>
    <w:rsid w:val="00770B19"/>
    <w:rsid w:val="007736AE"/>
    <w:rsid w:val="0077463F"/>
    <w:rsid w:val="007747B6"/>
    <w:rsid w:val="00775B4D"/>
    <w:rsid w:val="00775F71"/>
    <w:rsid w:val="00776966"/>
    <w:rsid w:val="00780831"/>
    <w:rsid w:val="00782165"/>
    <w:rsid w:val="00782507"/>
    <w:rsid w:val="007836EA"/>
    <w:rsid w:val="00784CDA"/>
    <w:rsid w:val="00790014"/>
    <w:rsid w:val="007906C4"/>
    <w:rsid w:val="00793C87"/>
    <w:rsid w:val="007940EA"/>
    <w:rsid w:val="00794B78"/>
    <w:rsid w:val="007967E8"/>
    <w:rsid w:val="007A15DA"/>
    <w:rsid w:val="007A2170"/>
    <w:rsid w:val="007A22BF"/>
    <w:rsid w:val="007A3323"/>
    <w:rsid w:val="007A7D0D"/>
    <w:rsid w:val="007B72B8"/>
    <w:rsid w:val="007B78A4"/>
    <w:rsid w:val="007B792A"/>
    <w:rsid w:val="007B7A58"/>
    <w:rsid w:val="007C1172"/>
    <w:rsid w:val="007C21B5"/>
    <w:rsid w:val="007C2FBF"/>
    <w:rsid w:val="007C3280"/>
    <w:rsid w:val="007C5A22"/>
    <w:rsid w:val="007D166E"/>
    <w:rsid w:val="007D1F93"/>
    <w:rsid w:val="007D2692"/>
    <w:rsid w:val="007D5918"/>
    <w:rsid w:val="007E4BD2"/>
    <w:rsid w:val="007F1EB4"/>
    <w:rsid w:val="007F2CB1"/>
    <w:rsid w:val="007F317A"/>
    <w:rsid w:val="007F334E"/>
    <w:rsid w:val="007F55EE"/>
    <w:rsid w:val="007F6E1F"/>
    <w:rsid w:val="00801393"/>
    <w:rsid w:val="00802F88"/>
    <w:rsid w:val="008072CE"/>
    <w:rsid w:val="008112FC"/>
    <w:rsid w:val="0081293E"/>
    <w:rsid w:val="00815465"/>
    <w:rsid w:val="008164C0"/>
    <w:rsid w:val="00817E9A"/>
    <w:rsid w:val="00820784"/>
    <w:rsid w:val="00821ACA"/>
    <w:rsid w:val="00822843"/>
    <w:rsid w:val="0082641A"/>
    <w:rsid w:val="00827917"/>
    <w:rsid w:val="008306BD"/>
    <w:rsid w:val="00831A80"/>
    <w:rsid w:val="00831B67"/>
    <w:rsid w:val="00833743"/>
    <w:rsid w:val="008340A4"/>
    <w:rsid w:val="0083769E"/>
    <w:rsid w:val="00840E7B"/>
    <w:rsid w:val="008500B1"/>
    <w:rsid w:val="00850D69"/>
    <w:rsid w:val="008520F5"/>
    <w:rsid w:val="00855EE4"/>
    <w:rsid w:val="00865560"/>
    <w:rsid w:val="00870BB1"/>
    <w:rsid w:val="0087135F"/>
    <w:rsid w:val="00872D94"/>
    <w:rsid w:val="008738D6"/>
    <w:rsid w:val="0087516F"/>
    <w:rsid w:val="00877D82"/>
    <w:rsid w:val="00880364"/>
    <w:rsid w:val="00891592"/>
    <w:rsid w:val="00891E9E"/>
    <w:rsid w:val="008A2F68"/>
    <w:rsid w:val="008B10A6"/>
    <w:rsid w:val="008B2411"/>
    <w:rsid w:val="008B2A11"/>
    <w:rsid w:val="008B4FA6"/>
    <w:rsid w:val="008B5088"/>
    <w:rsid w:val="008B5282"/>
    <w:rsid w:val="008B7029"/>
    <w:rsid w:val="008B74EA"/>
    <w:rsid w:val="008B7C17"/>
    <w:rsid w:val="008C00A2"/>
    <w:rsid w:val="008C1EDC"/>
    <w:rsid w:val="008C2AAA"/>
    <w:rsid w:val="008C2D01"/>
    <w:rsid w:val="008C3054"/>
    <w:rsid w:val="008C3EEE"/>
    <w:rsid w:val="008C40E6"/>
    <w:rsid w:val="008D0E5D"/>
    <w:rsid w:val="008D0F7A"/>
    <w:rsid w:val="008D1C30"/>
    <w:rsid w:val="008D5C1C"/>
    <w:rsid w:val="008D68E4"/>
    <w:rsid w:val="008D7691"/>
    <w:rsid w:val="008E0155"/>
    <w:rsid w:val="008E0506"/>
    <w:rsid w:val="008E0CFF"/>
    <w:rsid w:val="008E1306"/>
    <w:rsid w:val="008E3142"/>
    <w:rsid w:val="008E5D6B"/>
    <w:rsid w:val="008E5DBD"/>
    <w:rsid w:val="008E67E6"/>
    <w:rsid w:val="008E76F0"/>
    <w:rsid w:val="008F15FE"/>
    <w:rsid w:val="008F2974"/>
    <w:rsid w:val="008F2D29"/>
    <w:rsid w:val="008F4891"/>
    <w:rsid w:val="008F5187"/>
    <w:rsid w:val="008F60D8"/>
    <w:rsid w:val="00902727"/>
    <w:rsid w:val="0090312B"/>
    <w:rsid w:val="00905656"/>
    <w:rsid w:val="009103D5"/>
    <w:rsid w:val="00911175"/>
    <w:rsid w:val="009148DD"/>
    <w:rsid w:val="00916506"/>
    <w:rsid w:val="00916605"/>
    <w:rsid w:val="009170E5"/>
    <w:rsid w:val="0091736D"/>
    <w:rsid w:val="00921F92"/>
    <w:rsid w:val="0093037A"/>
    <w:rsid w:val="0093778C"/>
    <w:rsid w:val="0094154D"/>
    <w:rsid w:val="00943138"/>
    <w:rsid w:val="009432C0"/>
    <w:rsid w:val="00944C39"/>
    <w:rsid w:val="009507CB"/>
    <w:rsid w:val="0095155F"/>
    <w:rsid w:val="00952A01"/>
    <w:rsid w:val="00952C85"/>
    <w:rsid w:val="00954429"/>
    <w:rsid w:val="0095496B"/>
    <w:rsid w:val="00954E28"/>
    <w:rsid w:val="009563CE"/>
    <w:rsid w:val="00962CE2"/>
    <w:rsid w:val="00973248"/>
    <w:rsid w:val="00973A7F"/>
    <w:rsid w:val="00976328"/>
    <w:rsid w:val="0097680D"/>
    <w:rsid w:val="00977B57"/>
    <w:rsid w:val="00982438"/>
    <w:rsid w:val="0098255B"/>
    <w:rsid w:val="009832C3"/>
    <w:rsid w:val="009836FF"/>
    <w:rsid w:val="0098404C"/>
    <w:rsid w:val="00985283"/>
    <w:rsid w:val="009854F1"/>
    <w:rsid w:val="00990C2B"/>
    <w:rsid w:val="00993F01"/>
    <w:rsid w:val="00995992"/>
    <w:rsid w:val="0099650A"/>
    <w:rsid w:val="009A03E5"/>
    <w:rsid w:val="009A0F3B"/>
    <w:rsid w:val="009A1BB4"/>
    <w:rsid w:val="009A2628"/>
    <w:rsid w:val="009A3200"/>
    <w:rsid w:val="009A57BD"/>
    <w:rsid w:val="009A5F0C"/>
    <w:rsid w:val="009A5FED"/>
    <w:rsid w:val="009A7133"/>
    <w:rsid w:val="009A723D"/>
    <w:rsid w:val="009B0897"/>
    <w:rsid w:val="009B2671"/>
    <w:rsid w:val="009B479B"/>
    <w:rsid w:val="009B66AB"/>
    <w:rsid w:val="009B7BD9"/>
    <w:rsid w:val="009C4D04"/>
    <w:rsid w:val="009C69E1"/>
    <w:rsid w:val="009C7DD5"/>
    <w:rsid w:val="009D3733"/>
    <w:rsid w:val="009D6221"/>
    <w:rsid w:val="009D7D16"/>
    <w:rsid w:val="009D7D75"/>
    <w:rsid w:val="009E027D"/>
    <w:rsid w:val="009E0D14"/>
    <w:rsid w:val="009E227D"/>
    <w:rsid w:val="009E4567"/>
    <w:rsid w:val="009E5019"/>
    <w:rsid w:val="009E5DB1"/>
    <w:rsid w:val="009F201C"/>
    <w:rsid w:val="009F2880"/>
    <w:rsid w:val="009F3C1C"/>
    <w:rsid w:val="00A04F1B"/>
    <w:rsid w:val="00A0501B"/>
    <w:rsid w:val="00A115A6"/>
    <w:rsid w:val="00A13325"/>
    <w:rsid w:val="00A13E35"/>
    <w:rsid w:val="00A13EEA"/>
    <w:rsid w:val="00A14947"/>
    <w:rsid w:val="00A17991"/>
    <w:rsid w:val="00A2338C"/>
    <w:rsid w:val="00A253F4"/>
    <w:rsid w:val="00A2585A"/>
    <w:rsid w:val="00A2783E"/>
    <w:rsid w:val="00A32A83"/>
    <w:rsid w:val="00A33734"/>
    <w:rsid w:val="00A368DB"/>
    <w:rsid w:val="00A371EC"/>
    <w:rsid w:val="00A423AA"/>
    <w:rsid w:val="00A45D0C"/>
    <w:rsid w:val="00A4797C"/>
    <w:rsid w:val="00A53EC6"/>
    <w:rsid w:val="00A557D1"/>
    <w:rsid w:val="00A55C0F"/>
    <w:rsid w:val="00A56092"/>
    <w:rsid w:val="00A5668F"/>
    <w:rsid w:val="00A612D8"/>
    <w:rsid w:val="00A65E11"/>
    <w:rsid w:val="00A6684F"/>
    <w:rsid w:val="00A66CC4"/>
    <w:rsid w:val="00A747D5"/>
    <w:rsid w:val="00A753F0"/>
    <w:rsid w:val="00A81614"/>
    <w:rsid w:val="00A83C9F"/>
    <w:rsid w:val="00A8713F"/>
    <w:rsid w:val="00A871A1"/>
    <w:rsid w:val="00A87471"/>
    <w:rsid w:val="00A90BA1"/>
    <w:rsid w:val="00A914DE"/>
    <w:rsid w:val="00A9527C"/>
    <w:rsid w:val="00A954F4"/>
    <w:rsid w:val="00A97064"/>
    <w:rsid w:val="00A97A9A"/>
    <w:rsid w:val="00AA0671"/>
    <w:rsid w:val="00AA2531"/>
    <w:rsid w:val="00AA27CF"/>
    <w:rsid w:val="00AA5B32"/>
    <w:rsid w:val="00AA64F4"/>
    <w:rsid w:val="00AA7D18"/>
    <w:rsid w:val="00AB171A"/>
    <w:rsid w:val="00AB1E09"/>
    <w:rsid w:val="00AB29E1"/>
    <w:rsid w:val="00AB4BD4"/>
    <w:rsid w:val="00AB5330"/>
    <w:rsid w:val="00AB76CF"/>
    <w:rsid w:val="00AB7747"/>
    <w:rsid w:val="00AC14CE"/>
    <w:rsid w:val="00AC1C29"/>
    <w:rsid w:val="00AC2062"/>
    <w:rsid w:val="00AC29A6"/>
    <w:rsid w:val="00AC2A56"/>
    <w:rsid w:val="00AD055E"/>
    <w:rsid w:val="00AD11BD"/>
    <w:rsid w:val="00AD3B09"/>
    <w:rsid w:val="00AD47A7"/>
    <w:rsid w:val="00AD523C"/>
    <w:rsid w:val="00AF0CBF"/>
    <w:rsid w:val="00AF257F"/>
    <w:rsid w:val="00AF33CF"/>
    <w:rsid w:val="00AF4D50"/>
    <w:rsid w:val="00AF6179"/>
    <w:rsid w:val="00AF6756"/>
    <w:rsid w:val="00B010B4"/>
    <w:rsid w:val="00B0165F"/>
    <w:rsid w:val="00B016B9"/>
    <w:rsid w:val="00B01F0D"/>
    <w:rsid w:val="00B048C6"/>
    <w:rsid w:val="00B11BA3"/>
    <w:rsid w:val="00B1295A"/>
    <w:rsid w:val="00B20A45"/>
    <w:rsid w:val="00B21DDE"/>
    <w:rsid w:val="00B22C5C"/>
    <w:rsid w:val="00B248FB"/>
    <w:rsid w:val="00B24B75"/>
    <w:rsid w:val="00B24F30"/>
    <w:rsid w:val="00B25FFB"/>
    <w:rsid w:val="00B2748F"/>
    <w:rsid w:val="00B31ABF"/>
    <w:rsid w:val="00B33BE3"/>
    <w:rsid w:val="00B34955"/>
    <w:rsid w:val="00B34DED"/>
    <w:rsid w:val="00B36728"/>
    <w:rsid w:val="00B369FC"/>
    <w:rsid w:val="00B36D41"/>
    <w:rsid w:val="00B4388B"/>
    <w:rsid w:val="00B43906"/>
    <w:rsid w:val="00B441FE"/>
    <w:rsid w:val="00B468E9"/>
    <w:rsid w:val="00B52E0F"/>
    <w:rsid w:val="00B53B5D"/>
    <w:rsid w:val="00B553AA"/>
    <w:rsid w:val="00B6055E"/>
    <w:rsid w:val="00B60E9B"/>
    <w:rsid w:val="00B61C30"/>
    <w:rsid w:val="00B6317D"/>
    <w:rsid w:val="00B7429C"/>
    <w:rsid w:val="00B759DA"/>
    <w:rsid w:val="00B75F89"/>
    <w:rsid w:val="00B7723F"/>
    <w:rsid w:val="00B80534"/>
    <w:rsid w:val="00B83B8C"/>
    <w:rsid w:val="00B8433C"/>
    <w:rsid w:val="00B8463A"/>
    <w:rsid w:val="00B84E1D"/>
    <w:rsid w:val="00B87491"/>
    <w:rsid w:val="00B875E1"/>
    <w:rsid w:val="00B9120C"/>
    <w:rsid w:val="00B91997"/>
    <w:rsid w:val="00B93242"/>
    <w:rsid w:val="00B95285"/>
    <w:rsid w:val="00BA0324"/>
    <w:rsid w:val="00BA066D"/>
    <w:rsid w:val="00BA29E9"/>
    <w:rsid w:val="00BA41FD"/>
    <w:rsid w:val="00BA6529"/>
    <w:rsid w:val="00BA7142"/>
    <w:rsid w:val="00BB237C"/>
    <w:rsid w:val="00BB41A3"/>
    <w:rsid w:val="00BB7CD3"/>
    <w:rsid w:val="00BB7EE5"/>
    <w:rsid w:val="00BC02AB"/>
    <w:rsid w:val="00BC12C8"/>
    <w:rsid w:val="00BC32DC"/>
    <w:rsid w:val="00BC35B6"/>
    <w:rsid w:val="00BD05C5"/>
    <w:rsid w:val="00BD07E2"/>
    <w:rsid w:val="00BD1528"/>
    <w:rsid w:val="00BD1B51"/>
    <w:rsid w:val="00BD3B60"/>
    <w:rsid w:val="00BD4596"/>
    <w:rsid w:val="00BD71BF"/>
    <w:rsid w:val="00BE1405"/>
    <w:rsid w:val="00BE1B3A"/>
    <w:rsid w:val="00BE312D"/>
    <w:rsid w:val="00BE5E84"/>
    <w:rsid w:val="00BF17DC"/>
    <w:rsid w:val="00BF1C20"/>
    <w:rsid w:val="00BF303F"/>
    <w:rsid w:val="00BF3B7E"/>
    <w:rsid w:val="00BF49D4"/>
    <w:rsid w:val="00BF5634"/>
    <w:rsid w:val="00C0134B"/>
    <w:rsid w:val="00C0328B"/>
    <w:rsid w:val="00C0387B"/>
    <w:rsid w:val="00C0606B"/>
    <w:rsid w:val="00C06709"/>
    <w:rsid w:val="00C10578"/>
    <w:rsid w:val="00C135BC"/>
    <w:rsid w:val="00C1430A"/>
    <w:rsid w:val="00C15C95"/>
    <w:rsid w:val="00C15EEB"/>
    <w:rsid w:val="00C16242"/>
    <w:rsid w:val="00C203AD"/>
    <w:rsid w:val="00C2213C"/>
    <w:rsid w:val="00C230B0"/>
    <w:rsid w:val="00C235F3"/>
    <w:rsid w:val="00C24B88"/>
    <w:rsid w:val="00C2596A"/>
    <w:rsid w:val="00C27537"/>
    <w:rsid w:val="00C27B1C"/>
    <w:rsid w:val="00C328FE"/>
    <w:rsid w:val="00C33507"/>
    <w:rsid w:val="00C4239D"/>
    <w:rsid w:val="00C4303F"/>
    <w:rsid w:val="00C4409D"/>
    <w:rsid w:val="00C44E72"/>
    <w:rsid w:val="00C45517"/>
    <w:rsid w:val="00C45A06"/>
    <w:rsid w:val="00C47E5B"/>
    <w:rsid w:val="00C50002"/>
    <w:rsid w:val="00C54BC1"/>
    <w:rsid w:val="00C60CFF"/>
    <w:rsid w:val="00C61E4B"/>
    <w:rsid w:val="00C64BFF"/>
    <w:rsid w:val="00C66DFD"/>
    <w:rsid w:val="00C704E9"/>
    <w:rsid w:val="00C7126B"/>
    <w:rsid w:val="00C72915"/>
    <w:rsid w:val="00C74A0E"/>
    <w:rsid w:val="00C763C9"/>
    <w:rsid w:val="00C80057"/>
    <w:rsid w:val="00C81A69"/>
    <w:rsid w:val="00C82232"/>
    <w:rsid w:val="00C82913"/>
    <w:rsid w:val="00C93D75"/>
    <w:rsid w:val="00C972B1"/>
    <w:rsid w:val="00CA23C5"/>
    <w:rsid w:val="00CA2CCE"/>
    <w:rsid w:val="00CA2D4F"/>
    <w:rsid w:val="00CA43FD"/>
    <w:rsid w:val="00CA7EF8"/>
    <w:rsid w:val="00CB4CA7"/>
    <w:rsid w:val="00CB75CE"/>
    <w:rsid w:val="00CC207E"/>
    <w:rsid w:val="00CC489B"/>
    <w:rsid w:val="00CC759B"/>
    <w:rsid w:val="00CD18E0"/>
    <w:rsid w:val="00CD2BCD"/>
    <w:rsid w:val="00CD3A4C"/>
    <w:rsid w:val="00CD5A83"/>
    <w:rsid w:val="00CD5AB0"/>
    <w:rsid w:val="00CD625B"/>
    <w:rsid w:val="00CD6493"/>
    <w:rsid w:val="00CE10E9"/>
    <w:rsid w:val="00CE2910"/>
    <w:rsid w:val="00CE5393"/>
    <w:rsid w:val="00CE573F"/>
    <w:rsid w:val="00CE6B37"/>
    <w:rsid w:val="00CF2219"/>
    <w:rsid w:val="00CF36BE"/>
    <w:rsid w:val="00CF5892"/>
    <w:rsid w:val="00CF6000"/>
    <w:rsid w:val="00CF6813"/>
    <w:rsid w:val="00CF72BC"/>
    <w:rsid w:val="00D003F3"/>
    <w:rsid w:val="00D028AB"/>
    <w:rsid w:val="00D0364F"/>
    <w:rsid w:val="00D04285"/>
    <w:rsid w:val="00D048F0"/>
    <w:rsid w:val="00D0594A"/>
    <w:rsid w:val="00D05FD1"/>
    <w:rsid w:val="00D06834"/>
    <w:rsid w:val="00D07066"/>
    <w:rsid w:val="00D07DAC"/>
    <w:rsid w:val="00D11CF0"/>
    <w:rsid w:val="00D123DB"/>
    <w:rsid w:val="00D1268D"/>
    <w:rsid w:val="00D14C79"/>
    <w:rsid w:val="00D14C9E"/>
    <w:rsid w:val="00D1714D"/>
    <w:rsid w:val="00D17F97"/>
    <w:rsid w:val="00D20269"/>
    <w:rsid w:val="00D20D4E"/>
    <w:rsid w:val="00D22832"/>
    <w:rsid w:val="00D24FA4"/>
    <w:rsid w:val="00D26566"/>
    <w:rsid w:val="00D30015"/>
    <w:rsid w:val="00D308ED"/>
    <w:rsid w:val="00D36D86"/>
    <w:rsid w:val="00D428AA"/>
    <w:rsid w:val="00D50640"/>
    <w:rsid w:val="00D50A34"/>
    <w:rsid w:val="00D53EFA"/>
    <w:rsid w:val="00D63A2A"/>
    <w:rsid w:val="00D63D3B"/>
    <w:rsid w:val="00D645D9"/>
    <w:rsid w:val="00D704FB"/>
    <w:rsid w:val="00D7320C"/>
    <w:rsid w:val="00D76F29"/>
    <w:rsid w:val="00D76FFE"/>
    <w:rsid w:val="00D77555"/>
    <w:rsid w:val="00D861C9"/>
    <w:rsid w:val="00D91058"/>
    <w:rsid w:val="00D916F3"/>
    <w:rsid w:val="00D94A7C"/>
    <w:rsid w:val="00D94EBE"/>
    <w:rsid w:val="00D9531C"/>
    <w:rsid w:val="00D95896"/>
    <w:rsid w:val="00D970C0"/>
    <w:rsid w:val="00DA143D"/>
    <w:rsid w:val="00DA1DC9"/>
    <w:rsid w:val="00DA34F2"/>
    <w:rsid w:val="00DB000C"/>
    <w:rsid w:val="00DB2983"/>
    <w:rsid w:val="00DB5648"/>
    <w:rsid w:val="00DB6EA6"/>
    <w:rsid w:val="00DB739A"/>
    <w:rsid w:val="00DC0D10"/>
    <w:rsid w:val="00DC1257"/>
    <w:rsid w:val="00DC174E"/>
    <w:rsid w:val="00DC3DC0"/>
    <w:rsid w:val="00DC5B2B"/>
    <w:rsid w:val="00DD2AD6"/>
    <w:rsid w:val="00DD2BAD"/>
    <w:rsid w:val="00DD318D"/>
    <w:rsid w:val="00DD46A7"/>
    <w:rsid w:val="00DD4A0D"/>
    <w:rsid w:val="00DD50B6"/>
    <w:rsid w:val="00DE2208"/>
    <w:rsid w:val="00DE3368"/>
    <w:rsid w:val="00DE5A79"/>
    <w:rsid w:val="00DE634B"/>
    <w:rsid w:val="00DF10E3"/>
    <w:rsid w:val="00DF2E12"/>
    <w:rsid w:val="00DF3D23"/>
    <w:rsid w:val="00DF514A"/>
    <w:rsid w:val="00DF6690"/>
    <w:rsid w:val="00DF6804"/>
    <w:rsid w:val="00E02DF8"/>
    <w:rsid w:val="00E0358D"/>
    <w:rsid w:val="00E04323"/>
    <w:rsid w:val="00E070A2"/>
    <w:rsid w:val="00E12927"/>
    <w:rsid w:val="00E15C21"/>
    <w:rsid w:val="00E20475"/>
    <w:rsid w:val="00E23612"/>
    <w:rsid w:val="00E263E7"/>
    <w:rsid w:val="00E2656A"/>
    <w:rsid w:val="00E311F7"/>
    <w:rsid w:val="00E3365C"/>
    <w:rsid w:val="00E34A22"/>
    <w:rsid w:val="00E412D0"/>
    <w:rsid w:val="00E433D8"/>
    <w:rsid w:val="00E4444B"/>
    <w:rsid w:val="00E462B8"/>
    <w:rsid w:val="00E47193"/>
    <w:rsid w:val="00E5530D"/>
    <w:rsid w:val="00E56322"/>
    <w:rsid w:val="00E565D7"/>
    <w:rsid w:val="00E56A4E"/>
    <w:rsid w:val="00E60982"/>
    <w:rsid w:val="00E62C62"/>
    <w:rsid w:val="00E650C1"/>
    <w:rsid w:val="00E654C1"/>
    <w:rsid w:val="00E65D97"/>
    <w:rsid w:val="00E661DE"/>
    <w:rsid w:val="00E70806"/>
    <w:rsid w:val="00E72A5A"/>
    <w:rsid w:val="00E73354"/>
    <w:rsid w:val="00E75E31"/>
    <w:rsid w:val="00E83CD0"/>
    <w:rsid w:val="00E873D9"/>
    <w:rsid w:val="00E9242D"/>
    <w:rsid w:val="00E92577"/>
    <w:rsid w:val="00E969AE"/>
    <w:rsid w:val="00E96BC4"/>
    <w:rsid w:val="00E97AED"/>
    <w:rsid w:val="00EA0D11"/>
    <w:rsid w:val="00EA4FE5"/>
    <w:rsid w:val="00EB1E21"/>
    <w:rsid w:val="00EB2B9C"/>
    <w:rsid w:val="00EB5255"/>
    <w:rsid w:val="00EB5C47"/>
    <w:rsid w:val="00EC4251"/>
    <w:rsid w:val="00EC5E8E"/>
    <w:rsid w:val="00EC682E"/>
    <w:rsid w:val="00EC789D"/>
    <w:rsid w:val="00ED0639"/>
    <w:rsid w:val="00ED5F3A"/>
    <w:rsid w:val="00ED65D9"/>
    <w:rsid w:val="00EE1307"/>
    <w:rsid w:val="00EE3C87"/>
    <w:rsid w:val="00EF4755"/>
    <w:rsid w:val="00EF7135"/>
    <w:rsid w:val="00F00048"/>
    <w:rsid w:val="00F027DB"/>
    <w:rsid w:val="00F04BB2"/>
    <w:rsid w:val="00F114B0"/>
    <w:rsid w:val="00F14A7A"/>
    <w:rsid w:val="00F15A0D"/>
    <w:rsid w:val="00F22985"/>
    <w:rsid w:val="00F24607"/>
    <w:rsid w:val="00F24D49"/>
    <w:rsid w:val="00F2729D"/>
    <w:rsid w:val="00F27587"/>
    <w:rsid w:val="00F27A0B"/>
    <w:rsid w:val="00F27A93"/>
    <w:rsid w:val="00F30723"/>
    <w:rsid w:val="00F3383E"/>
    <w:rsid w:val="00F343DF"/>
    <w:rsid w:val="00F36F68"/>
    <w:rsid w:val="00F465A7"/>
    <w:rsid w:val="00F5055A"/>
    <w:rsid w:val="00F50B7C"/>
    <w:rsid w:val="00F533EE"/>
    <w:rsid w:val="00F5418D"/>
    <w:rsid w:val="00F543C8"/>
    <w:rsid w:val="00F550E6"/>
    <w:rsid w:val="00F61640"/>
    <w:rsid w:val="00F72573"/>
    <w:rsid w:val="00F72978"/>
    <w:rsid w:val="00F72DF6"/>
    <w:rsid w:val="00F74345"/>
    <w:rsid w:val="00F75170"/>
    <w:rsid w:val="00F75FF8"/>
    <w:rsid w:val="00F80A0A"/>
    <w:rsid w:val="00F80F6F"/>
    <w:rsid w:val="00F82B19"/>
    <w:rsid w:val="00F860A0"/>
    <w:rsid w:val="00F91B11"/>
    <w:rsid w:val="00F9212D"/>
    <w:rsid w:val="00F965DA"/>
    <w:rsid w:val="00FA04E8"/>
    <w:rsid w:val="00FA406A"/>
    <w:rsid w:val="00FA5A94"/>
    <w:rsid w:val="00FA6F20"/>
    <w:rsid w:val="00FB503A"/>
    <w:rsid w:val="00FB516C"/>
    <w:rsid w:val="00FC1C2D"/>
    <w:rsid w:val="00FC42DC"/>
    <w:rsid w:val="00FD0236"/>
    <w:rsid w:val="00FD0F2A"/>
    <w:rsid w:val="00FD18F4"/>
    <w:rsid w:val="00FD54DB"/>
    <w:rsid w:val="00FD5D57"/>
    <w:rsid w:val="00FD619F"/>
    <w:rsid w:val="00FD78AB"/>
    <w:rsid w:val="00FE1BFB"/>
    <w:rsid w:val="00FE614F"/>
    <w:rsid w:val="00FE731B"/>
    <w:rsid w:val="00FF0C5B"/>
    <w:rsid w:val="00FF2EAA"/>
    <w:rsid w:val="00FF416A"/>
    <w:rsid w:val="00FF50C8"/>
    <w:rsid w:val="00FF7423"/>
    <w:rsid w:val="01290F7E"/>
    <w:rsid w:val="012D2A2A"/>
    <w:rsid w:val="0150576A"/>
    <w:rsid w:val="015D1E09"/>
    <w:rsid w:val="02384FA9"/>
    <w:rsid w:val="02697903"/>
    <w:rsid w:val="02F96569"/>
    <w:rsid w:val="03EA7B21"/>
    <w:rsid w:val="05F83EAE"/>
    <w:rsid w:val="063E7D85"/>
    <w:rsid w:val="066500C0"/>
    <w:rsid w:val="07293586"/>
    <w:rsid w:val="07295285"/>
    <w:rsid w:val="07636392"/>
    <w:rsid w:val="07770C56"/>
    <w:rsid w:val="077C3F0F"/>
    <w:rsid w:val="08AC43BD"/>
    <w:rsid w:val="092217DD"/>
    <w:rsid w:val="093A7294"/>
    <w:rsid w:val="0A263993"/>
    <w:rsid w:val="0A2D3AC2"/>
    <w:rsid w:val="0AA755DF"/>
    <w:rsid w:val="0B120D44"/>
    <w:rsid w:val="0BD27BF6"/>
    <w:rsid w:val="0C3B3C7D"/>
    <w:rsid w:val="0CAB2EAE"/>
    <w:rsid w:val="0D621C7D"/>
    <w:rsid w:val="0E4F1A2E"/>
    <w:rsid w:val="0E73034D"/>
    <w:rsid w:val="0F13775A"/>
    <w:rsid w:val="0F225B97"/>
    <w:rsid w:val="0F5F45FE"/>
    <w:rsid w:val="0F95746B"/>
    <w:rsid w:val="0F9A112B"/>
    <w:rsid w:val="106D2F64"/>
    <w:rsid w:val="10AA5FAD"/>
    <w:rsid w:val="10B63710"/>
    <w:rsid w:val="10F10820"/>
    <w:rsid w:val="111C2F7A"/>
    <w:rsid w:val="11665CA1"/>
    <w:rsid w:val="13951726"/>
    <w:rsid w:val="13D4777E"/>
    <w:rsid w:val="14396509"/>
    <w:rsid w:val="14BA600C"/>
    <w:rsid w:val="14DD2C3C"/>
    <w:rsid w:val="15A3233D"/>
    <w:rsid w:val="16087E1D"/>
    <w:rsid w:val="16FA3301"/>
    <w:rsid w:val="17701D14"/>
    <w:rsid w:val="17735226"/>
    <w:rsid w:val="189F624C"/>
    <w:rsid w:val="197A0B22"/>
    <w:rsid w:val="1A1C66C0"/>
    <w:rsid w:val="1A42393B"/>
    <w:rsid w:val="1AAD45DE"/>
    <w:rsid w:val="1B046F80"/>
    <w:rsid w:val="1B1C0922"/>
    <w:rsid w:val="1B3267B5"/>
    <w:rsid w:val="1B40161D"/>
    <w:rsid w:val="1B441859"/>
    <w:rsid w:val="1B6606B1"/>
    <w:rsid w:val="1BA84A19"/>
    <w:rsid w:val="1C5E7925"/>
    <w:rsid w:val="1CFD070F"/>
    <w:rsid w:val="1D0B3101"/>
    <w:rsid w:val="1D5F6196"/>
    <w:rsid w:val="1D6132A5"/>
    <w:rsid w:val="1D8E56D5"/>
    <w:rsid w:val="1DDD7D99"/>
    <w:rsid w:val="1E7A43DA"/>
    <w:rsid w:val="1E900C2C"/>
    <w:rsid w:val="1FE7539E"/>
    <w:rsid w:val="20671BE0"/>
    <w:rsid w:val="20963CB8"/>
    <w:rsid w:val="20A81A1B"/>
    <w:rsid w:val="20B07FB6"/>
    <w:rsid w:val="20B646FB"/>
    <w:rsid w:val="213B74B1"/>
    <w:rsid w:val="215A2310"/>
    <w:rsid w:val="21D27FE9"/>
    <w:rsid w:val="21DE318A"/>
    <w:rsid w:val="21E2551C"/>
    <w:rsid w:val="21E87D78"/>
    <w:rsid w:val="21EF5B80"/>
    <w:rsid w:val="22576990"/>
    <w:rsid w:val="22AC1FCB"/>
    <w:rsid w:val="22F47480"/>
    <w:rsid w:val="23BD5497"/>
    <w:rsid w:val="23DE1C48"/>
    <w:rsid w:val="240210CD"/>
    <w:rsid w:val="24BF09F7"/>
    <w:rsid w:val="252D53FE"/>
    <w:rsid w:val="25E65DF7"/>
    <w:rsid w:val="25EC2D81"/>
    <w:rsid w:val="273C35D0"/>
    <w:rsid w:val="277057A2"/>
    <w:rsid w:val="27FF77CA"/>
    <w:rsid w:val="286B1BB5"/>
    <w:rsid w:val="28BC00F7"/>
    <w:rsid w:val="29206EB8"/>
    <w:rsid w:val="29595666"/>
    <w:rsid w:val="29874881"/>
    <w:rsid w:val="29E325E0"/>
    <w:rsid w:val="2A452503"/>
    <w:rsid w:val="2A45762F"/>
    <w:rsid w:val="2A733F58"/>
    <w:rsid w:val="2BA936A8"/>
    <w:rsid w:val="2C315A5A"/>
    <w:rsid w:val="2C4B1C25"/>
    <w:rsid w:val="2D9E56F5"/>
    <w:rsid w:val="2E667F96"/>
    <w:rsid w:val="2E8226AB"/>
    <w:rsid w:val="2E9848D4"/>
    <w:rsid w:val="2FD065E6"/>
    <w:rsid w:val="2FD96870"/>
    <w:rsid w:val="30165607"/>
    <w:rsid w:val="30580BC9"/>
    <w:rsid w:val="30A423FB"/>
    <w:rsid w:val="311E2ED7"/>
    <w:rsid w:val="315619EE"/>
    <w:rsid w:val="315C449C"/>
    <w:rsid w:val="31B82709"/>
    <w:rsid w:val="31D05482"/>
    <w:rsid w:val="32400B34"/>
    <w:rsid w:val="325A61F4"/>
    <w:rsid w:val="329E6876"/>
    <w:rsid w:val="32F40093"/>
    <w:rsid w:val="333015F2"/>
    <w:rsid w:val="334B6320"/>
    <w:rsid w:val="33D934D4"/>
    <w:rsid w:val="33E81756"/>
    <w:rsid w:val="33FE2F6A"/>
    <w:rsid w:val="340E07E5"/>
    <w:rsid w:val="34235BF7"/>
    <w:rsid w:val="358C5FA8"/>
    <w:rsid w:val="35C15DF1"/>
    <w:rsid w:val="36074A7F"/>
    <w:rsid w:val="36923549"/>
    <w:rsid w:val="36A22DA2"/>
    <w:rsid w:val="36B75FBF"/>
    <w:rsid w:val="36BD0C45"/>
    <w:rsid w:val="37E00298"/>
    <w:rsid w:val="38B302F9"/>
    <w:rsid w:val="38F12CD3"/>
    <w:rsid w:val="38F94775"/>
    <w:rsid w:val="392971ED"/>
    <w:rsid w:val="39325651"/>
    <w:rsid w:val="3A872856"/>
    <w:rsid w:val="3AB75076"/>
    <w:rsid w:val="3B3763D1"/>
    <w:rsid w:val="3B780D0C"/>
    <w:rsid w:val="3C2F6E1E"/>
    <w:rsid w:val="3C4F64BA"/>
    <w:rsid w:val="3C614F2B"/>
    <w:rsid w:val="3CB6466C"/>
    <w:rsid w:val="3CDA245A"/>
    <w:rsid w:val="3D1E06B7"/>
    <w:rsid w:val="3EDA0523"/>
    <w:rsid w:val="407A6407"/>
    <w:rsid w:val="41B9630E"/>
    <w:rsid w:val="4200449D"/>
    <w:rsid w:val="42270CEC"/>
    <w:rsid w:val="423A3BCC"/>
    <w:rsid w:val="424E57D2"/>
    <w:rsid w:val="42B26C49"/>
    <w:rsid w:val="433A6FE6"/>
    <w:rsid w:val="43480868"/>
    <w:rsid w:val="4350713C"/>
    <w:rsid w:val="436653E0"/>
    <w:rsid w:val="43C4431A"/>
    <w:rsid w:val="44B951CC"/>
    <w:rsid w:val="44CD14E0"/>
    <w:rsid w:val="44DB00D0"/>
    <w:rsid w:val="44F20B0B"/>
    <w:rsid w:val="452E5F4C"/>
    <w:rsid w:val="45612018"/>
    <w:rsid w:val="458946E9"/>
    <w:rsid w:val="45A47C0E"/>
    <w:rsid w:val="463921DB"/>
    <w:rsid w:val="46577FD6"/>
    <w:rsid w:val="468238D0"/>
    <w:rsid w:val="46D955A7"/>
    <w:rsid w:val="47133957"/>
    <w:rsid w:val="47A07E0C"/>
    <w:rsid w:val="481C620A"/>
    <w:rsid w:val="4870272E"/>
    <w:rsid w:val="49DC7715"/>
    <w:rsid w:val="4A023139"/>
    <w:rsid w:val="4A520A07"/>
    <w:rsid w:val="4A7B576F"/>
    <w:rsid w:val="4AC60109"/>
    <w:rsid w:val="4AF561A9"/>
    <w:rsid w:val="4B381778"/>
    <w:rsid w:val="4BCB2354"/>
    <w:rsid w:val="4C4A0649"/>
    <w:rsid w:val="4C7E5ECA"/>
    <w:rsid w:val="4C876AA5"/>
    <w:rsid w:val="4D0E00FB"/>
    <w:rsid w:val="4D176606"/>
    <w:rsid w:val="4D59036B"/>
    <w:rsid w:val="4DEC4FB0"/>
    <w:rsid w:val="4E075D8A"/>
    <w:rsid w:val="4EC00FAD"/>
    <w:rsid w:val="4ED12DBF"/>
    <w:rsid w:val="4F9843DC"/>
    <w:rsid w:val="4FC62A8C"/>
    <w:rsid w:val="4FE20F0D"/>
    <w:rsid w:val="4FE51552"/>
    <w:rsid w:val="50504C4B"/>
    <w:rsid w:val="509C6E7C"/>
    <w:rsid w:val="50C76EAB"/>
    <w:rsid w:val="5162104E"/>
    <w:rsid w:val="53A039CC"/>
    <w:rsid w:val="53A1505A"/>
    <w:rsid w:val="54063E08"/>
    <w:rsid w:val="543437E8"/>
    <w:rsid w:val="54A749AC"/>
    <w:rsid w:val="54F73313"/>
    <w:rsid w:val="54F80955"/>
    <w:rsid w:val="555170A7"/>
    <w:rsid w:val="5587536D"/>
    <w:rsid w:val="559B174B"/>
    <w:rsid w:val="55CE0CF4"/>
    <w:rsid w:val="56B22A9C"/>
    <w:rsid w:val="57B72A76"/>
    <w:rsid w:val="57C3426C"/>
    <w:rsid w:val="57CE1F93"/>
    <w:rsid w:val="588743D1"/>
    <w:rsid w:val="5887701A"/>
    <w:rsid w:val="59606111"/>
    <w:rsid w:val="59C0439F"/>
    <w:rsid w:val="5A6D7318"/>
    <w:rsid w:val="5AAF2313"/>
    <w:rsid w:val="5ABE2233"/>
    <w:rsid w:val="5B837D87"/>
    <w:rsid w:val="5BDF5D95"/>
    <w:rsid w:val="5BFE7528"/>
    <w:rsid w:val="5E2467F1"/>
    <w:rsid w:val="5E273154"/>
    <w:rsid w:val="5F1A2B43"/>
    <w:rsid w:val="5F2A2237"/>
    <w:rsid w:val="5FB837BB"/>
    <w:rsid w:val="5FE91459"/>
    <w:rsid w:val="60630DE6"/>
    <w:rsid w:val="60B8658C"/>
    <w:rsid w:val="60CC405A"/>
    <w:rsid w:val="6138446C"/>
    <w:rsid w:val="61E215D8"/>
    <w:rsid w:val="62103C3D"/>
    <w:rsid w:val="621B3775"/>
    <w:rsid w:val="62364782"/>
    <w:rsid w:val="629F6FB6"/>
    <w:rsid w:val="6394356A"/>
    <w:rsid w:val="63C61B2C"/>
    <w:rsid w:val="63D40BE9"/>
    <w:rsid w:val="64102431"/>
    <w:rsid w:val="64A5243A"/>
    <w:rsid w:val="64F531DE"/>
    <w:rsid w:val="650B5EC9"/>
    <w:rsid w:val="65373578"/>
    <w:rsid w:val="65A75ABB"/>
    <w:rsid w:val="6622344A"/>
    <w:rsid w:val="671E51AB"/>
    <w:rsid w:val="671F124A"/>
    <w:rsid w:val="677A33C6"/>
    <w:rsid w:val="681F6961"/>
    <w:rsid w:val="68610A2F"/>
    <w:rsid w:val="68805514"/>
    <w:rsid w:val="68B44968"/>
    <w:rsid w:val="69316E2F"/>
    <w:rsid w:val="694E2071"/>
    <w:rsid w:val="69766163"/>
    <w:rsid w:val="697A3B33"/>
    <w:rsid w:val="69D44760"/>
    <w:rsid w:val="6A520EC7"/>
    <w:rsid w:val="6AF87E20"/>
    <w:rsid w:val="6B322639"/>
    <w:rsid w:val="6BCE2E4D"/>
    <w:rsid w:val="6C636C38"/>
    <w:rsid w:val="6DB34098"/>
    <w:rsid w:val="6DB545B6"/>
    <w:rsid w:val="6DE02FB4"/>
    <w:rsid w:val="6E514CED"/>
    <w:rsid w:val="6EB563D5"/>
    <w:rsid w:val="6EC12E29"/>
    <w:rsid w:val="6ED92677"/>
    <w:rsid w:val="6F225983"/>
    <w:rsid w:val="6FFC5590"/>
    <w:rsid w:val="700953A5"/>
    <w:rsid w:val="705D39B8"/>
    <w:rsid w:val="706D1DD0"/>
    <w:rsid w:val="70856B87"/>
    <w:rsid w:val="70D527EE"/>
    <w:rsid w:val="715B5300"/>
    <w:rsid w:val="71D27F8A"/>
    <w:rsid w:val="72553024"/>
    <w:rsid w:val="73122968"/>
    <w:rsid w:val="731F5D5E"/>
    <w:rsid w:val="73C51AD5"/>
    <w:rsid w:val="741E793C"/>
    <w:rsid w:val="74260993"/>
    <w:rsid w:val="745E3944"/>
    <w:rsid w:val="7635099D"/>
    <w:rsid w:val="766F6BC3"/>
    <w:rsid w:val="77762421"/>
    <w:rsid w:val="77B56B1F"/>
    <w:rsid w:val="780F09F4"/>
    <w:rsid w:val="78997A19"/>
    <w:rsid w:val="78A90480"/>
    <w:rsid w:val="7A364017"/>
    <w:rsid w:val="7A4B1499"/>
    <w:rsid w:val="7A8265E1"/>
    <w:rsid w:val="7B686D42"/>
    <w:rsid w:val="7B841746"/>
    <w:rsid w:val="7BBF4A81"/>
    <w:rsid w:val="7C0E12FE"/>
    <w:rsid w:val="7C6C5AC7"/>
    <w:rsid w:val="7CC6544B"/>
    <w:rsid w:val="7D0239FF"/>
    <w:rsid w:val="7D2F777E"/>
    <w:rsid w:val="7D542B31"/>
    <w:rsid w:val="7D5E40CD"/>
    <w:rsid w:val="7D6E02A7"/>
    <w:rsid w:val="7D9C04D5"/>
    <w:rsid w:val="7DCD56F2"/>
    <w:rsid w:val="7DF617F8"/>
    <w:rsid w:val="7E434D65"/>
    <w:rsid w:val="7F001CE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Theme="minorEastAsia"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9" w:name="heading 6" w:locked="1"/>
    <w:lsdException w:qFormat="1" w:uiPriority="0" w:name="heading 7" w:locked="1"/>
    <w:lsdException w:qFormat="1" w:uiPriority="0" w:name="heading 8" w:locked="1"/>
    <w:lsdException w:qFormat="1" w:uiPriority="0" w:name="heading 9" w:locked="1"/>
    <w:lsdException w:uiPriority="0" w:name="index 1" w:locked="1"/>
    <w:lsdException w:uiPriority="0" w:name="index 2" w:locked="1"/>
    <w:lsdException w:uiPriority="0" w:name="index 3" w:locked="1"/>
    <w:lsdException w:uiPriority="0" w:name="index 4" w:locked="1"/>
    <w:lsdException w:uiPriority="0" w:name="index 5" w:locked="1"/>
    <w:lsdException w:uiPriority="0" w:name="index 6" w:locked="1"/>
    <w:lsdException w:uiPriority="0" w:name="index 7" w:locked="1"/>
    <w:lsdException w:uiPriority="0" w:name="index 8" w:locked="1"/>
    <w:lsdException w:uiPriority="0" w:name="index 9" w:locked="1"/>
    <w:lsdException w:uiPriority="0" w:name="toc 1" w:locked="1"/>
    <w:lsdException w:uiPriority="0" w:name="toc 2" w:locked="1"/>
    <w:lsdException w:uiPriority="0" w:name="toc 3" w:locked="1"/>
    <w:lsdException w:uiPriority="0" w:name="toc 4" w:locked="1"/>
    <w:lsdException w:uiPriority="0" w:name="toc 5" w:locked="1"/>
    <w:lsdException w:uiPriority="0" w:name="toc 6" w:locked="1"/>
    <w:lsdException w:uiPriority="0" w:name="toc 7" w:locked="1"/>
    <w:lsdException w:uiPriority="0" w:name="toc 8" w:locked="1"/>
    <w:lsdException w:qFormat="1" w:unhideWhenUsed="0" w:uiPriority="39" w:semiHidden="0" w:name="toc 9" w:locked="1"/>
    <w:lsdException w:uiPriority="0" w:name="Normal Indent" w:locked="1"/>
    <w:lsdException w:uiPriority="0" w:name="footnote text" w:locked="1"/>
    <w:lsdException w:qFormat="1" w:unhideWhenUsed="0" w:uiPriority="99" w:semiHidden="0" w:name="annotation text"/>
    <w:lsdException w:qFormat="1" w:unhideWhenUsed="0" w:uiPriority="0" w:semiHidden="0" w:name="header"/>
    <w:lsdException w:qFormat="1" w:unhideWhenUsed="0" w:uiPriority="99" w:semiHidden="0" w:name="footer"/>
    <w:lsdException w:uiPriority="0" w:name="index heading" w:locked="1"/>
    <w:lsdException w:qFormat="1" w:uiPriority="0" w:semiHidden="0" w:name="caption" w:locked="1"/>
    <w:lsdException w:uiPriority="0" w:name="table of figures" w:locked="1"/>
    <w:lsdException w:uiPriority="0" w:name="envelope address" w:locked="1"/>
    <w:lsdException w:uiPriority="0" w:name="envelope return" w:locked="1"/>
    <w:lsdException w:uiPriority="0" w:name="footnote reference" w:locked="1"/>
    <w:lsdException w:qFormat="1" w:unhideWhenUsed="0" w:uiPriority="99" w:semiHidden="0" w:name="annotation reference"/>
    <w:lsdException w:uiPriority="0" w:name="line number" w:locked="1"/>
    <w:lsdException w:qFormat="1" w:unhideWhenUsed="0" w:uiPriority="0" w:semiHidden="0" w:name="page number" w:locked="1"/>
    <w:lsdException w:uiPriority="0" w:name="endnote reference" w:locked="1"/>
    <w:lsdException w:uiPriority="0" w:name="endnote text" w:locked="1"/>
    <w:lsdException w:uiPriority="0" w:name="table of authorities" w:locked="1"/>
    <w:lsdException w:uiPriority="0" w:name="macro" w:locked="1"/>
    <w:lsdException w:uiPriority="0" w:name="toa heading" w:locked="1"/>
    <w:lsdException w:uiPriority="0" w:name="List" w:locked="1"/>
    <w:lsdException w:uiPriority="0" w:name="List Bullet" w:locked="1"/>
    <w:lsdException w:unhideWhenUsed="0" w:uiPriority="0" w:semiHidden="0" w:name="List Number" w:locked="1"/>
    <w:lsdException w:uiPriority="0" w:name="List 2" w:locked="1"/>
    <w:lsdException w:qFormat="1" w:unhideWhenUsed="0" w:uiPriority="0" w:semiHidden="0" w:name="List 3" w:locked="1"/>
    <w:lsdException w:unhideWhenUsed="0" w:uiPriority="0" w:semiHidden="0" w:name="List 4" w:locked="1"/>
    <w:lsdException w:unhideWhenUsed="0" w:uiPriority="0" w:semiHidden="0" w:name="List 5" w:locked="1"/>
    <w:lsdException w:uiPriority="0" w:name="List Bullet 2" w:locked="1"/>
    <w:lsdException w:uiPriority="0" w:name="List Bullet 3" w:locked="1"/>
    <w:lsdException w:uiPriority="0" w:name="List Bullet 4" w:locked="1"/>
    <w:lsdException w:uiPriority="0" w:name="List Bullet 5" w:locked="1"/>
    <w:lsdException w:uiPriority="0" w:name="List Number 2" w:locked="1"/>
    <w:lsdException w:uiPriority="0" w:name="List Number 3" w:locked="1"/>
    <w:lsdException w:uiPriority="0" w:name="List Number 4" w:locked="1"/>
    <w:lsdException w:uiPriority="0" w:name="List Number 5" w:locked="1"/>
    <w:lsdException w:qFormat="1" w:unhideWhenUsed="0" w:uiPriority="0" w:semiHidden="0" w:name="Title" w:locked="1"/>
    <w:lsdException w:uiPriority="0" w:name="Closing" w:locked="1"/>
    <w:lsdException w:uiPriority="0" w:name="Signature" w:locked="1"/>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ocked="1"/>
    <w:lsdException w:uiPriority="0" w:name="List Continue 2" w:locked="1"/>
    <w:lsdException w:uiPriority="0" w:name="List Continue 3" w:locked="1"/>
    <w:lsdException w:uiPriority="0" w:name="List Continue 4" w:locked="1"/>
    <w:lsdException w:uiPriority="0" w:name="List Continue 5" w:locked="1"/>
    <w:lsdException w:uiPriority="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unhideWhenUsed="0" w:uiPriority="0" w:semiHidden="0" w:name="Body Text First Indent 2" w:locked="1"/>
    <w:lsdException w:uiPriority="0" w:name="Note Heading" w:locked="1"/>
    <w:lsdException w:uiPriority="0" w:name="Body Text 2" w:locked="1"/>
    <w:lsdException w:uiPriority="0" w:name="Body Text 3" w:locked="1"/>
    <w:lsdException w:qFormat="1" w:uiPriority="0" w:semiHidden="0" w:name="Body Text Indent 2" w:locked="1"/>
    <w:lsdException w:uiPriority="0" w:name="Body Text Indent 3" w:locked="1"/>
    <w:lsdException w:uiPriority="0" w:name="Block Text" w:locked="1"/>
    <w:lsdException w:qFormat="1" w:uiPriority="99" w:semiHidden="0" w:name="Hyperlink" w:locked="1"/>
    <w:lsdException w:uiPriority="0" w:name="FollowedHyperlink" w:locked="1"/>
    <w:lsdException w:qFormat="1" w:unhideWhenUsed="0" w:uiPriority="22" w:semiHidden="0" w:name="Strong" w:locked="1"/>
    <w:lsdException w:qFormat="1" w:unhideWhenUsed="0" w:uiPriority="0" w:semiHidden="0" w:name="Emphasis" w:locked="1"/>
    <w:lsdException w:uiPriority="0" w:name="Document Map" w:locked="1"/>
    <w:lsdException w:uiPriority="0" w:name="Plain Text" w:locked="1"/>
    <w:lsdException w:uiPriority="0" w:name="E-mail Signature" w:locked="1"/>
    <w:lsdException w:qFormat="1" w:unhideWhenUsed="0" w:uiPriority="99" w:semiHidden="0" w:name="Normal (Web)"/>
    <w:lsdException w:uiPriority="0" w:name="HTML Acronym" w:locked="1"/>
    <w:lsdException w:uiPriority="0" w:name="HTML Address" w:locked="1"/>
    <w:lsdException w:uiPriority="0" w:name="HTML Cite" w:locked="1"/>
    <w:lsdException w:uiPriority="0" w:name="HTML Code" w:locked="1"/>
    <w:lsdException w:uiPriority="0" w:name="HTML Definition" w:locked="1"/>
    <w:lsdException w:uiPriority="0" w:name="HTML Keyboard" w:locked="1"/>
    <w:lsdException w:uiPriority="0" w:name="HTML Preformatted" w:locked="1"/>
    <w:lsdException w:uiPriority="0" w:name="HTML Sample" w:locked="1"/>
    <w:lsdException w:uiPriority="0" w:name="HTML Typewriter" w:locked="1"/>
    <w:lsdException w:uiPriority="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59" w:semiHidden="0" w:name="Table Grid"/>
    <w:lsdException w:uiPriority="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cs="Times New Roman" w:eastAsiaTheme="minorEastAsia"/>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87"/>
    <w:semiHidden/>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6"/>
    <w:basedOn w:val="1"/>
    <w:next w:val="1"/>
    <w:link w:val="88"/>
    <w:semiHidden/>
    <w:unhideWhenUsed/>
    <w:qFormat/>
    <w:locked/>
    <w:uiPriority w:val="9"/>
    <w:pPr>
      <w:keepNext/>
      <w:keepLines/>
      <w:spacing w:before="240" w:after="64" w:line="320" w:lineRule="auto"/>
      <w:outlineLvl w:val="5"/>
    </w:pPr>
    <w:rPr>
      <w:rFonts w:asciiTheme="majorHAnsi" w:hAnsiTheme="majorHAnsi" w:eastAsiaTheme="majorEastAsia" w:cstheme="majorBidi"/>
      <w:b/>
      <w:bCs/>
      <w:sz w:val="24"/>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5">
    <w:name w:val="List 3"/>
    <w:basedOn w:val="1"/>
    <w:qFormat/>
    <w:locked/>
    <w:uiPriority w:val="0"/>
    <w:pPr>
      <w:autoSpaceDE w:val="0"/>
      <w:autoSpaceDN w:val="0"/>
      <w:adjustRightInd w:val="0"/>
      <w:jc w:val="center"/>
      <w:textAlignment w:val="baseline"/>
    </w:pPr>
    <w:rPr>
      <w:rFonts w:ascii="Times New Roman" w:hAnsi="Times New Roman" w:eastAsia="宋体"/>
      <w:kern w:val="0"/>
      <w:szCs w:val="20"/>
    </w:rPr>
  </w:style>
  <w:style w:type="paragraph" w:styleId="6">
    <w:name w:val="caption"/>
    <w:basedOn w:val="1"/>
    <w:next w:val="1"/>
    <w:link w:val="47"/>
    <w:unhideWhenUsed/>
    <w:qFormat/>
    <w:locked/>
    <w:uiPriority w:val="0"/>
    <w:pPr>
      <w:numPr>
        <w:ilvl w:val="0"/>
        <w:numId w:val="1"/>
      </w:numPr>
      <w:jc w:val="center"/>
    </w:pPr>
    <w:rPr>
      <w:rFonts w:ascii="Times New Roman" w:hAnsi="Times New Roman" w:eastAsia="宋体"/>
      <w:b/>
      <w:color w:val="000000"/>
      <w:sz w:val="24"/>
    </w:rPr>
  </w:style>
  <w:style w:type="paragraph" w:styleId="7">
    <w:name w:val="annotation text"/>
    <w:basedOn w:val="1"/>
    <w:link w:val="32"/>
    <w:qFormat/>
    <w:uiPriority w:val="99"/>
    <w:pPr>
      <w:jc w:val="left"/>
    </w:pPr>
    <w:rPr>
      <w:kern w:val="0"/>
      <w:sz w:val="24"/>
      <w:szCs w:val="20"/>
    </w:rPr>
  </w:style>
  <w:style w:type="paragraph" w:styleId="8">
    <w:name w:val="Body Text"/>
    <w:basedOn w:val="1"/>
    <w:link w:val="28"/>
    <w:qFormat/>
    <w:uiPriority w:val="0"/>
    <w:pPr>
      <w:widowControl/>
      <w:snapToGrid w:val="0"/>
      <w:spacing w:before="60" w:after="160" w:line="259" w:lineRule="auto"/>
      <w:ind w:right="113"/>
    </w:pPr>
    <w:rPr>
      <w:kern w:val="0"/>
      <w:sz w:val="18"/>
      <w:szCs w:val="20"/>
    </w:rPr>
  </w:style>
  <w:style w:type="paragraph" w:styleId="9">
    <w:name w:val="Body Text Indent"/>
    <w:basedOn w:val="1"/>
    <w:link w:val="29"/>
    <w:qFormat/>
    <w:uiPriority w:val="0"/>
    <w:pPr>
      <w:spacing w:after="120"/>
      <w:ind w:left="420" w:leftChars="200"/>
    </w:pPr>
    <w:rPr>
      <w:kern w:val="0"/>
      <w:sz w:val="24"/>
      <w:szCs w:val="20"/>
    </w:rPr>
  </w:style>
  <w:style w:type="paragraph" w:styleId="10">
    <w:name w:val="Date"/>
    <w:basedOn w:val="1"/>
    <w:next w:val="1"/>
    <w:link w:val="40"/>
    <w:qFormat/>
    <w:uiPriority w:val="0"/>
    <w:pPr>
      <w:ind w:left="100" w:leftChars="2500"/>
    </w:pPr>
    <w:rPr>
      <w:kern w:val="0"/>
      <w:sz w:val="24"/>
      <w:szCs w:val="20"/>
    </w:rPr>
  </w:style>
  <w:style w:type="paragraph" w:styleId="11">
    <w:name w:val="Body Text Indent 2"/>
    <w:basedOn w:val="1"/>
    <w:link w:val="53"/>
    <w:unhideWhenUsed/>
    <w:qFormat/>
    <w:locked/>
    <w:uiPriority w:val="0"/>
    <w:pPr>
      <w:spacing w:after="120" w:line="480" w:lineRule="auto"/>
      <w:ind w:left="420" w:leftChars="200"/>
    </w:pPr>
    <w:rPr>
      <w:rFonts w:ascii="Times New Roman" w:hAnsi="Times New Roman" w:eastAsia="宋体"/>
      <w:sz w:val="20"/>
      <w:szCs w:val="20"/>
    </w:rPr>
  </w:style>
  <w:style w:type="paragraph" w:styleId="12">
    <w:name w:val="Balloon Text"/>
    <w:basedOn w:val="1"/>
    <w:link w:val="30"/>
    <w:semiHidden/>
    <w:qFormat/>
    <w:uiPriority w:val="0"/>
    <w:rPr>
      <w:kern w:val="0"/>
      <w:sz w:val="18"/>
      <w:szCs w:val="20"/>
    </w:rPr>
  </w:style>
  <w:style w:type="paragraph" w:styleId="13">
    <w:name w:val="footer"/>
    <w:basedOn w:val="1"/>
    <w:link w:val="26"/>
    <w:qFormat/>
    <w:uiPriority w:val="99"/>
    <w:pPr>
      <w:tabs>
        <w:tab w:val="center" w:pos="4153"/>
        <w:tab w:val="right" w:pos="8306"/>
      </w:tabs>
      <w:snapToGrid w:val="0"/>
      <w:jc w:val="left"/>
    </w:pPr>
    <w:rPr>
      <w:kern w:val="0"/>
      <w:sz w:val="18"/>
      <w:szCs w:val="20"/>
    </w:rPr>
  </w:style>
  <w:style w:type="paragraph" w:styleId="14">
    <w:name w:val="header"/>
    <w:basedOn w:val="1"/>
    <w:link w:val="35"/>
    <w:qFormat/>
    <w:uiPriority w:val="0"/>
    <w:pPr>
      <w:pBdr>
        <w:bottom w:val="single" w:color="auto" w:sz="6" w:space="1"/>
      </w:pBdr>
      <w:tabs>
        <w:tab w:val="center" w:pos="4153"/>
        <w:tab w:val="right" w:pos="8306"/>
      </w:tabs>
      <w:snapToGrid w:val="0"/>
      <w:jc w:val="center"/>
    </w:pPr>
    <w:rPr>
      <w:kern w:val="0"/>
      <w:sz w:val="18"/>
      <w:szCs w:val="20"/>
    </w:rPr>
  </w:style>
  <w:style w:type="paragraph" w:styleId="15">
    <w:name w:val="toc 9"/>
    <w:basedOn w:val="1"/>
    <w:next w:val="1"/>
    <w:qFormat/>
    <w:locked/>
    <w:uiPriority w:val="39"/>
    <w:pPr>
      <w:spacing w:line="360" w:lineRule="auto"/>
      <w:ind w:left="3360" w:leftChars="1600" w:firstLine="200" w:firstLineChars="200"/>
    </w:pPr>
    <w:rPr>
      <w:rFonts w:eastAsia="宋体"/>
      <w:sz w:val="24"/>
      <w:szCs w:val="22"/>
    </w:rPr>
  </w:style>
  <w:style w:type="paragraph" w:styleId="16">
    <w:name w:val="Normal (Web)"/>
    <w:basedOn w:val="1"/>
    <w:link w:val="31"/>
    <w:qFormat/>
    <w:uiPriority w:val="99"/>
    <w:pPr>
      <w:widowControl/>
      <w:spacing w:before="100" w:beforeAutospacing="1" w:after="100" w:afterAutospacing="1"/>
      <w:jc w:val="left"/>
    </w:pPr>
    <w:rPr>
      <w:rFonts w:ascii="宋体" w:hAnsi="宋体"/>
      <w:kern w:val="0"/>
      <w:sz w:val="24"/>
      <w:szCs w:val="20"/>
    </w:rPr>
  </w:style>
  <w:style w:type="paragraph" w:styleId="17">
    <w:name w:val="annotation subject"/>
    <w:basedOn w:val="7"/>
    <w:next w:val="7"/>
    <w:link w:val="27"/>
    <w:semiHidden/>
    <w:qFormat/>
    <w:uiPriority w:val="0"/>
    <w:rPr>
      <w:b/>
    </w:rPr>
  </w:style>
  <w:style w:type="paragraph" w:styleId="18">
    <w:name w:val="Body Text First Indent 2"/>
    <w:basedOn w:val="9"/>
    <w:link w:val="74"/>
    <w:locked/>
    <w:uiPriority w:val="0"/>
    <w:pPr>
      <w:ind w:firstLine="420" w:firstLineChars="200"/>
    </w:pPr>
    <w:rPr>
      <w:kern w:val="2"/>
      <w:sz w:val="21"/>
      <w:szCs w:val="24"/>
    </w:rPr>
  </w:style>
  <w:style w:type="table" w:styleId="20">
    <w:name w:val="Table Grid"/>
    <w:basedOn w:val="1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2">
    <w:name w:val="Strong"/>
    <w:basedOn w:val="21"/>
    <w:qFormat/>
    <w:locked/>
    <w:uiPriority w:val="22"/>
    <w:rPr>
      <w:rFonts w:cs="Times New Roman"/>
      <w:b/>
    </w:rPr>
  </w:style>
  <w:style w:type="character" w:styleId="23">
    <w:name w:val="page number"/>
    <w:basedOn w:val="21"/>
    <w:qFormat/>
    <w:locked/>
    <w:uiPriority w:val="0"/>
  </w:style>
  <w:style w:type="character" w:styleId="24">
    <w:name w:val="Hyperlink"/>
    <w:basedOn w:val="21"/>
    <w:unhideWhenUsed/>
    <w:qFormat/>
    <w:locked/>
    <w:uiPriority w:val="99"/>
    <w:rPr>
      <w:color w:val="0000FF"/>
      <w:u w:val="single"/>
    </w:rPr>
  </w:style>
  <w:style w:type="character" w:styleId="25">
    <w:name w:val="annotation reference"/>
    <w:qFormat/>
    <w:uiPriority w:val="99"/>
    <w:rPr>
      <w:sz w:val="21"/>
    </w:rPr>
  </w:style>
  <w:style w:type="character" w:customStyle="1" w:styleId="26">
    <w:name w:val="页脚 Char"/>
    <w:link w:val="13"/>
    <w:qFormat/>
    <w:locked/>
    <w:uiPriority w:val="99"/>
    <w:rPr>
      <w:sz w:val="18"/>
    </w:rPr>
  </w:style>
  <w:style w:type="character" w:customStyle="1" w:styleId="27">
    <w:name w:val="批注主题 Char"/>
    <w:link w:val="17"/>
    <w:semiHidden/>
    <w:qFormat/>
    <w:locked/>
    <w:uiPriority w:val="0"/>
    <w:rPr>
      <w:rFonts w:ascii="Times New Roman" w:hAnsi="Times New Roman" w:eastAsia="宋体"/>
      <w:b/>
      <w:kern w:val="2"/>
      <w:sz w:val="24"/>
    </w:rPr>
  </w:style>
  <w:style w:type="character" w:customStyle="1" w:styleId="28">
    <w:name w:val="正文文本 Char"/>
    <w:link w:val="8"/>
    <w:qFormat/>
    <w:locked/>
    <w:uiPriority w:val="0"/>
    <w:rPr>
      <w:sz w:val="18"/>
    </w:rPr>
  </w:style>
  <w:style w:type="character" w:customStyle="1" w:styleId="29">
    <w:name w:val="正文文本缩进 Char"/>
    <w:link w:val="9"/>
    <w:semiHidden/>
    <w:qFormat/>
    <w:locked/>
    <w:uiPriority w:val="0"/>
    <w:rPr>
      <w:rFonts w:ascii="Times New Roman" w:hAnsi="Times New Roman" w:eastAsia="宋体"/>
      <w:sz w:val="24"/>
    </w:rPr>
  </w:style>
  <w:style w:type="character" w:customStyle="1" w:styleId="30">
    <w:name w:val="批注框文本 Char"/>
    <w:link w:val="12"/>
    <w:semiHidden/>
    <w:qFormat/>
    <w:locked/>
    <w:uiPriority w:val="0"/>
    <w:rPr>
      <w:rFonts w:ascii="Times New Roman" w:hAnsi="Times New Roman" w:eastAsia="宋体"/>
      <w:sz w:val="18"/>
    </w:rPr>
  </w:style>
  <w:style w:type="character" w:customStyle="1" w:styleId="31">
    <w:name w:val="普通(网站) Char"/>
    <w:link w:val="16"/>
    <w:qFormat/>
    <w:locked/>
    <w:uiPriority w:val="0"/>
    <w:rPr>
      <w:rFonts w:ascii="宋体" w:hAnsi="宋体" w:eastAsia="宋体"/>
      <w:sz w:val="24"/>
    </w:rPr>
  </w:style>
  <w:style w:type="character" w:customStyle="1" w:styleId="32">
    <w:name w:val="批注文字 Char"/>
    <w:link w:val="7"/>
    <w:qFormat/>
    <w:locked/>
    <w:uiPriority w:val="99"/>
    <w:rPr>
      <w:rFonts w:ascii="Times New Roman" w:hAnsi="Times New Roman" w:eastAsia="宋体"/>
      <w:sz w:val="24"/>
    </w:rPr>
  </w:style>
  <w:style w:type="character" w:customStyle="1" w:styleId="33">
    <w:name w:val="批注文字 字符1"/>
    <w:semiHidden/>
    <w:qFormat/>
    <w:uiPriority w:val="0"/>
    <w:rPr>
      <w:rFonts w:ascii="Times New Roman" w:hAnsi="Times New Roman" w:eastAsia="宋体"/>
      <w:sz w:val="24"/>
    </w:rPr>
  </w:style>
  <w:style w:type="character" w:customStyle="1" w:styleId="34">
    <w:name w:val="页脚 字符"/>
    <w:basedOn w:val="21"/>
    <w:qFormat/>
    <w:uiPriority w:val="99"/>
  </w:style>
  <w:style w:type="character" w:customStyle="1" w:styleId="35">
    <w:name w:val="页眉 Char"/>
    <w:link w:val="14"/>
    <w:qFormat/>
    <w:locked/>
    <w:uiPriority w:val="0"/>
    <w:rPr>
      <w:sz w:val="18"/>
    </w:rPr>
  </w:style>
  <w:style w:type="character" w:customStyle="1" w:styleId="36">
    <w:name w:val="正文文本 字符1"/>
    <w:semiHidden/>
    <w:qFormat/>
    <w:uiPriority w:val="0"/>
    <w:rPr>
      <w:rFonts w:ascii="Times New Roman" w:hAnsi="Times New Roman" w:eastAsia="宋体"/>
      <w:sz w:val="24"/>
    </w:rPr>
  </w:style>
  <w:style w:type="character" w:customStyle="1" w:styleId="37">
    <w:name w:val="表格 Char"/>
    <w:link w:val="38"/>
    <w:qFormat/>
    <w:locked/>
    <w:uiPriority w:val="0"/>
    <w:rPr>
      <w:rFonts w:ascii="宋体"/>
      <w:sz w:val="21"/>
    </w:rPr>
  </w:style>
  <w:style w:type="paragraph" w:customStyle="1" w:styleId="38">
    <w:name w:val="表格"/>
    <w:basedOn w:val="1"/>
    <w:next w:val="1"/>
    <w:link w:val="37"/>
    <w:qFormat/>
    <w:uiPriority w:val="0"/>
    <w:pPr>
      <w:adjustRightInd w:val="0"/>
      <w:snapToGrid w:val="0"/>
      <w:spacing w:beforeLines="10" w:afterLines="10" w:line="259" w:lineRule="auto"/>
      <w:jc w:val="center"/>
    </w:pPr>
    <w:rPr>
      <w:rFonts w:ascii="宋体"/>
      <w:kern w:val="0"/>
      <w:szCs w:val="20"/>
    </w:rPr>
  </w:style>
  <w:style w:type="character" w:customStyle="1" w:styleId="39">
    <w:name w:val="日期 字符"/>
    <w:semiHidden/>
    <w:qFormat/>
    <w:uiPriority w:val="0"/>
    <w:rPr>
      <w:rFonts w:ascii="Times New Roman" w:hAnsi="Times New Roman" w:eastAsia="宋体"/>
      <w:sz w:val="24"/>
    </w:rPr>
  </w:style>
  <w:style w:type="character" w:customStyle="1" w:styleId="40">
    <w:name w:val="日期 Char"/>
    <w:link w:val="10"/>
    <w:qFormat/>
    <w:locked/>
    <w:uiPriority w:val="0"/>
    <w:rPr>
      <w:rFonts w:ascii="Times New Roman" w:hAnsi="Times New Roman" w:eastAsia="宋体"/>
      <w:sz w:val="24"/>
    </w:rPr>
  </w:style>
  <w:style w:type="paragraph" w:customStyle="1" w:styleId="41">
    <w:name w:val="正文_10"/>
    <w:qFormat/>
    <w:uiPriority w:val="0"/>
    <w:pPr>
      <w:widowControl w:val="0"/>
      <w:jc w:val="both"/>
    </w:pPr>
    <w:rPr>
      <w:rFonts w:ascii="Calibri" w:hAnsi="Calibri" w:cs="Times New Roman" w:eastAsiaTheme="minorEastAsia"/>
      <w:kern w:val="2"/>
      <w:sz w:val="21"/>
      <w:szCs w:val="22"/>
      <w:lang w:val="en-US" w:eastAsia="zh-CN" w:bidi="ar-SA"/>
    </w:rPr>
  </w:style>
  <w:style w:type="paragraph" w:customStyle="1" w:styleId="42">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43">
    <w:name w:val="表格文字 Char"/>
    <w:link w:val="44"/>
    <w:qFormat/>
    <w:uiPriority w:val="0"/>
    <w:rPr>
      <w:kern w:val="2"/>
      <w:position w:val="-10"/>
      <w:sz w:val="21"/>
    </w:rPr>
  </w:style>
  <w:style w:type="paragraph" w:customStyle="1" w:styleId="44">
    <w:name w:val="表格文字"/>
    <w:basedOn w:val="1"/>
    <w:link w:val="43"/>
    <w:qFormat/>
    <w:uiPriority w:val="0"/>
    <w:pPr>
      <w:tabs>
        <w:tab w:val="left" w:pos="-2848"/>
      </w:tabs>
      <w:jc w:val="center"/>
    </w:pPr>
    <w:rPr>
      <w:position w:val="-10"/>
      <w:szCs w:val="20"/>
    </w:rPr>
  </w:style>
  <w:style w:type="paragraph" w:customStyle="1" w:styleId="45">
    <w:name w:val="报告表小段"/>
    <w:basedOn w:val="1"/>
    <w:link w:val="46"/>
    <w:qFormat/>
    <w:uiPriority w:val="0"/>
    <w:pPr>
      <w:snapToGrid w:val="0"/>
      <w:spacing w:before="120" w:line="360" w:lineRule="auto"/>
      <w:ind w:firstLine="470" w:firstLineChars="196"/>
    </w:pPr>
    <w:rPr>
      <w:rFonts w:ascii="宋体" w:hAnsi="Times New Roman" w:eastAsia="宋体"/>
      <w:bCs/>
      <w:sz w:val="24"/>
      <w:szCs w:val="20"/>
      <w:lang w:val="zh-CN"/>
    </w:rPr>
  </w:style>
  <w:style w:type="character" w:customStyle="1" w:styleId="46">
    <w:name w:val="报告表小段 Char"/>
    <w:link w:val="45"/>
    <w:qFormat/>
    <w:uiPriority w:val="0"/>
    <w:rPr>
      <w:rFonts w:ascii="宋体" w:hAnsi="Times New Roman" w:eastAsia="宋体"/>
      <w:bCs/>
      <w:kern w:val="2"/>
      <w:sz w:val="24"/>
      <w:lang w:val="zh-CN" w:eastAsia="zh-CN"/>
    </w:rPr>
  </w:style>
  <w:style w:type="character" w:customStyle="1" w:styleId="47">
    <w:name w:val="题注 Char"/>
    <w:link w:val="6"/>
    <w:qFormat/>
    <w:uiPriority w:val="0"/>
    <w:rPr>
      <w:rFonts w:ascii="Times New Roman" w:hAnsi="Times New Roman" w:eastAsia="宋体"/>
      <w:b/>
      <w:color w:val="000000"/>
      <w:kern w:val="2"/>
      <w:sz w:val="24"/>
      <w:szCs w:val="24"/>
    </w:rPr>
  </w:style>
  <w:style w:type="paragraph" w:customStyle="1" w:styleId="48">
    <w:name w:val="Default"/>
    <w:qFormat/>
    <w:uiPriority w:val="0"/>
    <w:pPr>
      <w:widowControl w:val="0"/>
      <w:autoSpaceDE w:val="0"/>
      <w:autoSpaceDN w:val="0"/>
      <w:adjustRightInd w:val="0"/>
    </w:pPr>
    <w:rPr>
      <w:rFonts w:ascii="宋体" w:hAnsi="Times New Roman" w:eastAsia="宋体" w:cs="宋体"/>
      <w:color w:val="000000"/>
      <w:kern w:val="2"/>
      <w:sz w:val="24"/>
      <w:szCs w:val="24"/>
      <w:lang w:val="en-US" w:eastAsia="zh-CN" w:bidi="ar-SA"/>
    </w:rPr>
  </w:style>
  <w:style w:type="paragraph" w:customStyle="1" w:styleId="49">
    <w:name w:val="表格格式"/>
    <w:basedOn w:val="1"/>
    <w:qFormat/>
    <w:uiPriority w:val="99"/>
    <w:pPr>
      <w:jc w:val="center"/>
    </w:pPr>
    <w:rPr>
      <w:rFonts w:ascii="宋体" w:hAnsi="宋体" w:eastAsia="宋体" w:cs="Calibri"/>
      <w:sz w:val="20"/>
      <w:szCs w:val="20"/>
    </w:rPr>
  </w:style>
  <w:style w:type="character" w:customStyle="1" w:styleId="50">
    <w:name w:val="无间隔 Char"/>
    <w:link w:val="51"/>
    <w:qFormat/>
    <w:uiPriority w:val="1"/>
  </w:style>
  <w:style w:type="paragraph" w:styleId="51">
    <w:name w:val="No Spacing"/>
    <w:link w:val="50"/>
    <w:qFormat/>
    <w:uiPriority w:val="1"/>
    <w:pPr>
      <w:widowControl w:val="0"/>
      <w:jc w:val="both"/>
    </w:pPr>
    <w:rPr>
      <w:rFonts w:ascii="Calibri" w:hAnsi="Calibri" w:cs="Times New Roman" w:eastAsiaTheme="minorEastAsia"/>
      <w:lang w:val="en-US" w:eastAsia="zh-CN" w:bidi="ar-SA"/>
    </w:rPr>
  </w:style>
  <w:style w:type="paragraph" w:customStyle="1" w:styleId="52">
    <w:name w:val="Lux 正文"/>
    <w:basedOn w:val="1"/>
    <w:qFormat/>
    <w:uiPriority w:val="0"/>
    <w:pPr>
      <w:spacing w:before="80" w:after="80" w:line="360" w:lineRule="auto"/>
      <w:ind w:firstLine="200" w:firstLineChars="200"/>
    </w:pPr>
    <w:rPr>
      <w:rFonts w:ascii="Times New Roman" w:hAnsi="Times New Roman" w:eastAsia="宋体"/>
      <w:kern w:val="0"/>
      <w:sz w:val="24"/>
      <w:szCs w:val="20"/>
    </w:rPr>
  </w:style>
  <w:style w:type="character" w:customStyle="1" w:styleId="53">
    <w:name w:val="正文文本缩进 2 Char"/>
    <w:basedOn w:val="21"/>
    <w:link w:val="11"/>
    <w:qFormat/>
    <w:uiPriority w:val="0"/>
    <w:rPr>
      <w:rFonts w:ascii="Times New Roman" w:hAnsi="Times New Roman" w:eastAsia="宋体"/>
      <w:kern w:val="2"/>
    </w:rPr>
  </w:style>
  <w:style w:type="paragraph" w:customStyle="1" w:styleId="54">
    <w:name w:val="表格内容"/>
    <w:basedOn w:val="1"/>
    <w:link w:val="56"/>
    <w:qFormat/>
    <w:uiPriority w:val="0"/>
    <w:pPr>
      <w:adjustRightInd w:val="0"/>
      <w:snapToGrid w:val="0"/>
      <w:jc w:val="center"/>
    </w:pPr>
    <w:rPr>
      <w:rFonts w:ascii="Times New Roman" w:hAnsi="Times New Roman" w:eastAsia="宋体"/>
    </w:rPr>
  </w:style>
  <w:style w:type="paragraph" w:customStyle="1" w:styleId="55">
    <w:name w:val="0表格文字 五号 常规"/>
    <w:basedOn w:val="1"/>
    <w:qFormat/>
    <w:uiPriority w:val="0"/>
    <w:pPr>
      <w:widowControl/>
      <w:autoSpaceDE w:val="0"/>
      <w:autoSpaceDN w:val="0"/>
      <w:adjustRightInd w:val="0"/>
      <w:jc w:val="center"/>
      <w:textAlignment w:val="bottom"/>
    </w:pPr>
    <w:rPr>
      <w:rFonts w:ascii="Times New Roman" w:hAnsi="Times New Roman" w:eastAsia="宋体" w:cs="宋体"/>
      <w:kern w:val="0"/>
      <w:szCs w:val="20"/>
    </w:rPr>
  </w:style>
  <w:style w:type="character" w:customStyle="1" w:styleId="56">
    <w:name w:val="表格内容 Char Char"/>
    <w:link w:val="54"/>
    <w:qFormat/>
    <w:uiPriority w:val="0"/>
    <w:rPr>
      <w:rFonts w:ascii="Times New Roman" w:hAnsi="Times New Roman" w:eastAsia="宋体"/>
      <w:kern w:val="2"/>
      <w:sz w:val="21"/>
      <w:szCs w:val="24"/>
    </w:rPr>
  </w:style>
  <w:style w:type="character" w:customStyle="1" w:styleId="57">
    <w:name w:val="正文123 Char"/>
    <w:link w:val="58"/>
    <w:qFormat/>
    <w:uiPriority w:val="0"/>
    <w:rPr>
      <w:rFonts w:ascii="Times New Roman" w:hAnsi="Times New Roman"/>
      <w:sz w:val="24"/>
      <w:szCs w:val="24"/>
    </w:rPr>
  </w:style>
  <w:style w:type="paragraph" w:customStyle="1" w:styleId="58">
    <w:name w:val="正文123"/>
    <w:basedOn w:val="1"/>
    <w:link w:val="57"/>
    <w:qFormat/>
    <w:uiPriority w:val="0"/>
    <w:pPr>
      <w:adjustRightInd w:val="0"/>
      <w:snapToGrid w:val="0"/>
      <w:spacing w:before="60" w:line="360" w:lineRule="auto"/>
      <w:ind w:firstLine="480" w:firstLineChars="200"/>
    </w:pPr>
    <w:rPr>
      <w:rFonts w:ascii="Times New Roman" w:hAnsi="Times New Roman"/>
      <w:kern w:val="0"/>
      <w:sz w:val="24"/>
    </w:rPr>
  </w:style>
  <w:style w:type="paragraph" w:styleId="59">
    <w:name w:val="List Paragraph"/>
    <w:basedOn w:val="1"/>
    <w:link w:val="60"/>
    <w:qFormat/>
    <w:uiPriority w:val="99"/>
    <w:pPr>
      <w:ind w:firstLine="420" w:firstLineChars="200"/>
    </w:pPr>
    <w:rPr>
      <w:rFonts w:ascii="Times New Roman" w:hAnsi="Times New Roman" w:eastAsia="宋体"/>
      <w:sz w:val="20"/>
      <w:szCs w:val="20"/>
    </w:rPr>
  </w:style>
  <w:style w:type="character" w:customStyle="1" w:styleId="60">
    <w:name w:val="列出段落 Char"/>
    <w:link w:val="59"/>
    <w:qFormat/>
    <w:uiPriority w:val="34"/>
    <w:rPr>
      <w:rFonts w:ascii="Times New Roman" w:hAnsi="Times New Roman" w:eastAsia="宋体"/>
      <w:kern w:val="2"/>
    </w:rPr>
  </w:style>
  <w:style w:type="paragraph" w:customStyle="1" w:styleId="61">
    <w:name w:val="正文（小四）"/>
    <w:qFormat/>
    <w:uiPriority w:val="0"/>
    <w:pPr>
      <w:spacing w:line="360" w:lineRule="auto"/>
      <w:ind w:firstLine="200" w:firstLineChars="200"/>
      <w:jc w:val="both"/>
    </w:pPr>
    <w:rPr>
      <w:rFonts w:ascii="Times New Roman" w:hAnsi="Times New Roman" w:eastAsia="宋体" w:cs="Times New Roman"/>
      <w:bCs/>
      <w:kern w:val="2"/>
      <w:sz w:val="24"/>
      <w:szCs w:val="32"/>
      <w:lang w:val="en-US" w:eastAsia="zh-CN" w:bidi="ar-SA"/>
    </w:rPr>
  </w:style>
  <w:style w:type="paragraph" w:customStyle="1" w:styleId="62">
    <w:name w:val="正文2"/>
    <w:basedOn w:val="1"/>
    <w:qFormat/>
    <w:uiPriority w:val="99"/>
    <w:pPr>
      <w:widowControl/>
      <w:tabs>
        <w:tab w:val="left" w:pos="900"/>
        <w:tab w:val="left" w:pos="1080"/>
      </w:tabs>
      <w:autoSpaceDE w:val="0"/>
      <w:autoSpaceDN w:val="0"/>
      <w:adjustRightInd w:val="0"/>
      <w:snapToGrid w:val="0"/>
      <w:spacing w:line="360" w:lineRule="auto"/>
      <w:ind w:firstLine="480" w:firstLineChars="200"/>
      <w:jc w:val="left"/>
    </w:pPr>
    <w:rPr>
      <w:rFonts w:ascii="Times New Roman" w:hAnsi="Times New Roman" w:eastAsia="宋体" w:cs="宋体"/>
      <w:kern w:val="0"/>
      <w:sz w:val="24"/>
      <w:lang w:val="zh-CN"/>
    </w:rPr>
  </w:style>
  <w:style w:type="paragraph" w:customStyle="1" w:styleId="63">
    <w:name w:val="正本文字0705"/>
    <w:basedOn w:val="1"/>
    <w:qFormat/>
    <w:uiPriority w:val="99"/>
    <w:pPr>
      <w:adjustRightInd w:val="0"/>
      <w:snapToGrid w:val="0"/>
      <w:spacing w:line="360" w:lineRule="auto"/>
      <w:ind w:firstLine="200" w:firstLineChars="200"/>
    </w:pPr>
    <w:rPr>
      <w:rFonts w:ascii="Times New Roman" w:hAnsi="Times New Roman" w:eastAsia="宋体" w:cs="宋体"/>
      <w:color w:val="000000"/>
      <w:kern w:val="18"/>
      <w:sz w:val="24"/>
      <w:szCs w:val="20"/>
    </w:rPr>
  </w:style>
  <w:style w:type="paragraph" w:customStyle="1" w:styleId="64">
    <w:name w:val="05正文"/>
    <w:basedOn w:val="1"/>
    <w:qFormat/>
    <w:uiPriority w:val="0"/>
    <w:pPr>
      <w:adjustRightInd w:val="0"/>
      <w:snapToGrid w:val="0"/>
    </w:pPr>
    <w:rPr>
      <w:rFonts w:ascii="Times New Roman" w:hAnsi="Times New Roman" w:eastAsia="宋体"/>
      <w:szCs w:val="20"/>
    </w:rPr>
  </w:style>
  <w:style w:type="paragraph" w:customStyle="1" w:styleId="65">
    <w:name w:val="表1表2"/>
    <w:basedOn w:val="1"/>
    <w:qFormat/>
    <w:uiPriority w:val="0"/>
    <w:pPr>
      <w:autoSpaceDE w:val="0"/>
      <w:autoSpaceDN w:val="0"/>
      <w:adjustRightInd w:val="0"/>
      <w:jc w:val="center"/>
      <w:textAlignment w:val="center"/>
    </w:pPr>
    <w:rPr>
      <w:rFonts w:ascii="Times New Roman" w:hAnsi="Times New Roman" w:eastAsia="仿宋体"/>
      <w:kern w:val="0"/>
      <w:sz w:val="24"/>
      <w:szCs w:val="20"/>
    </w:rPr>
  </w:style>
  <w:style w:type="paragraph" w:customStyle="1" w:styleId="66">
    <w:name w:val="表格正文"/>
    <w:basedOn w:val="1"/>
    <w:next w:val="1"/>
    <w:link w:val="67"/>
    <w:qFormat/>
    <w:uiPriority w:val="0"/>
    <w:pPr>
      <w:wordWrap w:val="0"/>
      <w:overflowPunct w:val="0"/>
      <w:topLinePunct/>
      <w:jc w:val="center"/>
    </w:pPr>
    <w:rPr>
      <w:rFonts w:ascii="Times New Roman" w:hAnsi="Times New Roman" w:eastAsia="宋体"/>
      <w:color w:val="000000"/>
      <w:szCs w:val="20"/>
    </w:rPr>
  </w:style>
  <w:style w:type="character" w:customStyle="1" w:styleId="67">
    <w:name w:val="表格正文 Char Char"/>
    <w:link w:val="66"/>
    <w:qFormat/>
    <w:uiPriority w:val="0"/>
    <w:rPr>
      <w:rFonts w:ascii="Times New Roman" w:hAnsi="Times New Roman" w:eastAsia="宋体"/>
      <w:color w:val="000000"/>
      <w:kern w:val="2"/>
      <w:sz w:val="21"/>
    </w:rPr>
  </w:style>
  <w:style w:type="table" w:customStyle="1" w:styleId="68">
    <w:name w:val="Table Normal"/>
    <w:semiHidden/>
    <w:unhideWhenUsed/>
    <w:qFormat/>
    <w:uiPriority w:val="2"/>
    <w:pPr>
      <w:widowControl w:val="0"/>
      <w:autoSpaceDE w:val="0"/>
      <w:autoSpaceDN w:val="0"/>
    </w:pPr>
    <w:rPr>
      <w:rFonts w:asciiTheme="minorHAnsi" w:hAnsiTheme="minorHAnsi" w:cstheme="minorBidi"/>
      <w:sz w:val="22"/>
      <w:szCs w:val="22"/>
      <w:lang w:eastAsia="en-US"/>
    </w:rPr>
    <w:tblPr>
      <w:tblCellMar>
        <w:top w:w="0" w:type="dxa"/>
        <w:left w:w="0" w:type="dxa"/>
        <w:bottom w:w="0" w:type="dxa"/>
        <w:right w:w="0" w:type="dxa"/>
      </w:tblCellMar>
    </w:tblPr>
  </w:style>
  <w:style w:type="character" w:customStyle="1" w:styleId="69">
    <w:name w:val="0正文 Char"/>
    <w:link w:val="70"/>
    <w:qFormat/>
    <w:uiPriority w:val="0"/>
    <w:rPr>
      <w:sz w:val="24"/>
      <w:lang w:bidi="en-US"/>
    </w:rPr>
  </w:style>
  <w:style w:type="paragraph" w:customStyle="1" w:styleId="70">
    <w:name w:val="0正文"/>
    <w:basedOn w:val="1"/>
    <w:link w:val="69"/>
    <w:qFormat/>
    <w:uiPriority w:val="0"/>
    <w:pPr>
      <w:spacing w:line="360" w:lineRule="auto"/>
      <w:ind w:firstLine="482"/>
    </w:pPr>
    <w:rPr>
      <w:kern w:val="0"/>
      <w:sz w:val="24"/>
      <w:szCs w:val="20"/>
      <w:lang w:bidi="en-US"/>
    </w:rPr>
  </w:style>
  <w:style w:type="character" w:customStyle="1" w:styleId="71">
    <w:name w:val="表格样式 Char"/>
    <w:link w:val="72"/>
    <w:qFormat/>
    <w:uiPriority w:val="0"/>
    <w:rPr>
      <w:sz w:val="21"/>
      <w:lang w:bidi="en-US"/>
    </w:rPr>
  </w:style>
  <w:style w:type="paragraph" w:customStyle="1" w:styleId="72">
    <w:name w:val="表格样式"/>
    <w:basedOn w:val="70"/>
    <w:link w:val="71"/>
    <w:qFormat/>
    <w:uiPriority w:val="0"/>
    <w:pPr>
      <w:spacing w:line="240" w:lineRule="auto"/>
      <w:ind w:firstLine="0"/>
      <w:jc w:val="center"/>
    </w:pPr>
    <w:rPr>
      <w:sz w:val="21"/>
    </w:rPr>
  </w:style>
  <w:style w:type="table" w:customStyle="1" w:styleId="73">
    <w:name w:val="南亚"/>
    <w:basedOn w:val="19"/>
    <w:qFormat/>
    <w:uiPriority w:val="99"/>
    <w:rPr>
      <w:rFonts w:ascii="Times New Roman" w:hAnsi="Times New Roman" w:eastAsia="宋体"/>
      <w:sz w:val="21"/>
    </w:rPr>
    <w:tblPr>
      <w:jc w:val="center"/>
      <w:tblBorders>
        <w:top w:val="single" w:color="auto" w:sz="18" w:space="0"/>
        <w:bottom w:val="single" w:color="auto" w:sz="18" w:space="0"/>
        <w:insideH w:val="single" w:color="auto" w:sz="4" w:space="0"/>
        <w:insideV w:val="single" w:color="auto" w:sz="4" w:space="0"/>
      </w:tblBorders>
      <w:tblCellMar>
        <w:top w:w="0" w:type="dxa"/>
        <w:left w:w="28" w:type="dxa"/>
        <w:bottom w:w="0" w:type="dxa"/>
        <w:right w:w="28" w:type="dxa"/>
      </w:tblCellMar>
    </w:tblPr>
    <w:trPr>
      <w:jc w:val="center"/>
    </w:trPr>
    <w:tcPr>
      <w:vAlign w:val="center"/>
    </w:tcPr>
  </w:style>
  <w:style w:type="character" w:customStyle="1" w:styleId="74">
    <w:name w:val="正文首行缩进 2 Char"/>
    <w:basedOn w:val="29"/>
    <w:link w:val="18"/>
    <w:qFormat/>
    <w:uiPriority w:val="0"/>
    <w:rPr>
      <w:rFonts w:ascii="Times New Roman" w:hAnsi="Times New Roman" w:eastAsia="宋体"/>
      <w:kern w:val="2"/>
      <w:sz w:val="21"/>
      <w:szCs w:val="24"/>
    </w:rPr>
  </w:style>
  <w:style w:type="paragraph" w:customStyle="1" w:styleId="75">
    <w:name w:val="无间隔1"/>
    <w:basedOn w:val="1"/>
    <w:qFormat/>
    <w:uiPriority w:val="0"/>
    <w:pPr>
      <w:jc w:val="center"/>
    </w:pPr>
    <w:rPr>
      <w:rFonts w:eastAsia="宋体"/>
      <w:b/>
    </w:rPr>
  </w:style>
  <w:style w:type="paragraph" w:customStyle="1" w:styleId="76">
    <w:name w:val="表、图名"/>
    <w:link w:val="78"/>
    <w:qFormat/>
    <w:uiPriority w:val="0"/>
    <w:pPr>
      <w:widowControl w:val="0"/>
      <w:numPr>
        <w:ilvl w:val="0"/>
        <w:numId w:val="2"/>
      </w:numPr>
      <w:adjustRightInd w:val="0"/>
      <w:snapToGrid w:val="0"/>
      <w:jc w:val="center"/>
    </w:pPr>
    <w:rPr>
      <w:rFonts w:ascii="Times New Roman" w:hAnsi="Times New Roman" w:eastAsia="宋体" w:cs="Times New Roman"/>
      <w:b/>
      <w:kern w:val="2"/>
      <w:sz w:val="24"/>
      <w:szCs w:val="24"/>
      <w:lang w:val="en-US" w:eastAsia="zh-CN" w:bidi="ar-SA"/>
    </w:rPr>
  </w:style>
  <w:style w:type="character" w:customStyle="1" w:styleId="77">
    <w:name w:val="表格内容 Char"/>
    <w:qFormat/>
    <w:locked/>
    <w:uiPriority w:val="0"/>
    <w:rPr>
      <w:kern w:val="2"/>
      <w:sz w:val="21"/>
      <w:szCs w:val="24"/>
    </w:rPr>
  </w:style>
  <w:style w:type="character" w:customStyle="1" w:styleId="78">
    <w:name w:val="表、图名 Char"/>
    <w:link w:val="76"/>
    <w:qFormat/>
    <w:uiPriority w:val="0"/>
    <w:rPr>
      <w:rFonts w:ascii="Times New Roman" w:hAnsi="Times New Roman" w:eastAsia="宋体"/>
      <w:b/>
      <w:kern w:val="2"/>
      <w:sz w:val="24"/>
      <w:szCs w:val="24"/>
    </w:rPr>
  </w:style>
  <w:style w:type="paragraph" w:customStyle="1" w:styleId="79">
    <w:name w:val="文本"/>
    <w:basedOn w:val="1"/>
    <w:qFormat/>
    <w:uiPriority w:val="0"/>
    <w:pPr>
      <w:spacing w:line="360" w:lineRule="auto"/>
      <w:ind w:firstLine="560" w:firstLineChars="200"/>
    </w:pPr>
    <w:rPr>
      <w:rFonts w:ascii="Times New Roman" w:hAnsi="Times New Roman" w:eastAsia="宋体"/>
      <w:kern w:val="0"/>
    </w:rPr>
  </w:style>
  <w:style w:type="character" w:customStyle="1" w:styleId="80">
    <w:name w:val="表格文字 Char Char"/>
    <w:qFormat/>
    <w:uiPriority w:val="99"/>
    <w:rPr>
      <w:kern w:val="2"/>
      <w:position w:val="-10"/>
      <w:sz w:val="21"/>
    </w:rPr>
  </w:style>
  <w:style w:type="paragraph" w:customStyle="1" w:styleId="81">
    <w:name w:val="DL段落"/>
    <w:basedOn w:val="1"/>
    <w:qFormat/>
    <w:uiPriority w:val="0"/>
    <w:pPr>
      <w:adjustRightInd w:val="0"/>
      <w:snapToGrid w:val="0"/>
      <w:spacing w:line="360" w:lineRule="auto"/>
      <w:ind w:firstLine="200" w:firstLineChars="200"/>
    </w:pPr>
    <w:rPr>
      <w:rFonts w:ascii="Times New Roman" w:hAnsi="Times New Roman" w:eastAsia="宋体"/>
    </w:rPr>
  </w:style>
  <w:style w:type="character" w:customStyle="1" w:styleId="82">
    <w:name w:val="表格正文 Char"/>
    <w:qFormat/>
    <w:uiPriority w:val="0"/>
    <w:rPr>
      <w:sz w:val="21"/>
      <w:szCs w:val="24"/>
      <w:lang w:bidi="ar-SA"/>
    </w:rPr>
  </w:style>
  <w:style w:type="table" w:customStyle="1" w:styleId="83">
    <w:name w:val="网格型2"/>
    <w:basedOn w:val="19"/>
    <w:qFormat/>
    <w:uiPriority w:val="59"/>
    <w:rPr>
      <w:rFonts w:eastAsia="宋体"/>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customStyle="1" w:styleId="84">
    <w:name w:val="样式1"/>
    <w:link w:val="85"/>
    <w:qFormat/>
    <w:uiPriority w:val="0"/>
    <w:pPr>
      <w:widowControl w:val="0"/>
      <w:autoSpaceDE w:val="0"/>
      <w:autoSpaceDN w:val="0"/>
      <w:adjustRightInd w:val="0"/>
    </w:pPr>
    <w:rPr>
      <w:rFonts w:ascii="Times New Roman" w:hAnsi="Roman" w:eastAsia="宋体" w:cs="Times New Roman"/>
      <w:color w:val="000000"/>
      <w:spacing w:val="-1"/>
      <w:kern w:val="30"/>
      <w:position w:val="-1"/>
      <w:sz w:val="30"/>
      <w:lang w:val="en-US" w:eastAsia="zh-CN" w:bidi="ar-SA"/>
    </w:rPr>
  </w:style>
  <w:style w:type="character" w:customStyle="1" w:styleId="85">
    <w:name w:val="样式1 Char"/>
    <w:link w:val="84"/>
    <w:qFormat/>
    <w:uiPriority w:val="0"/>
    <w:rPr>
      <w:rFonts w:ascii="Times New Roman" w:hAnsi="Roman" w:eastAsia="宋体"/>
      <w:color w:val="000000"/>
      <w:spacing w:val="-1"/>
      <w:kern w:val="30"/>
      <w:position w:val="-1"/>
      <w:sz w:val="30"/>
    </w:rPr>
  </w:style>
  <w:style w:type="paragraph" w:customStyle="1" w:styleId="86">
    <w:name w:val="表格正文111"/>
    <w:basedOn w:val="1"/>
    <w:qFormat/>
    <w:uiPriority w:val="0"/>
    <w:pPr>
      <w:adjustRightInd w:val="0"/>
      <w:snapToGrid w:val="0"/>
      <w:jc w:val="center"/>
    </w:pPr>
    <w:rPr>
      <w:rFonts w:ascii="Times New Roman" w:hAnsi="Times New Roman" w:eastAsia="宋体"/>
      <w:szCs w:val="21"/>
    </w:rPr>
  </w:style>
  <w:style w:type="character" w:customStyle="1" w:styleId="87">
    <w:name w:val="标题 2 Char"/>
    <w:basedOn w:val="21"/>
    <w:link w:val="3"/>
    <w:semiHidden/>
    <w:qFormat/>
    <w:uiPriority w:val="0"/>
    <w:rPr>
      <w:rFonts w:asciiTheme="majorHAnsi" w:hAnsiTheme="majorHAnsi" w:eastAsiaTheme="majorEastAsia" w:cstheme="majorBidi"/>
      <w:b/>
      <w:bCs/>
      <w:kern w:val="2"/>
      <w:sz w:val="32"/>
      <w:szCs w:val="32"/>
    </w:rPr>
  </w:style>
  <w:style w:type="character" w:customStyle="1" w:styleId="88">
    <w:name w:val="标题 6 Char"/>
    <w:basedOn w:val="21"/>
    <w:link w:val="4"/>
    <w:semiHidden/>
    <w:qFormat/>
    <w:uiPriority w:val="9"/>
    <w:rPr>
      <w:rFonts w:asciiTheme="majorHAnsi" w:hAnsiTheme="majorHAnsi" w:eastAsiaTheme="majorEastAsia" w:cstheme="majorBidi"/>
      <w:b/>
      <w:bCs/>
      <w:kern w:val="2"/>
      <w:sz w:val="24"/>
      <w:szCs w:val="24"/>
    </w:rPr>
  </w:style>
  <w:style w:type="character" w:customStyle="1" w:styleId="89">
    <w:name w:val="题注 Char1"/>
    <w:qFormat/>
    <w:uiPriority w:val="0"/>
    <w:rPr>
      <w:rFonts w:ascii="Times New Roman" w:hAnsi="Times New Roman" w:eastAsia="宋体" w:cs="Times New Roman"/>
      <w:b/>
      <w:sz w:val="24"/>
      <w:szCs w:val="20"/>
    </w:rPr>
  </w:style>
  <w:style w:type="paragraph" w:customStyle="1" w:styleId="90">
    <w:name w:val="报告正文"/>
    <w:basedOn w:val="1"/>
    <w:link w:val="91"/>
    <w:qFormat/>
    <w:uiPriority w:val="0"/>
    <w:pPr>
      <w:adjustRightInd w:val="0"/>
      <w:snapToGrid w:val="0"/>
      <w:spacing w:line="360" w:lineRule="auto"/>
      <w:ind w:firstLine="200" w:firstLineChars="200"/>
    </w:pPr>
    <w:rPr>
      <w:rFonts w:ascii="宋体" w:hAnsi="Times New Roman" w:eastAsia="宋体"/>
      <w:sz w:val="24"/>
      <w:szCs w:val="20"/>
    </w:rPr>
  </w:style>
  <w:style w:type="character" w:customStyle="1" w:styleId="91">
    <w:name w:val="报告正文 Char Char"/>
    <w:link w:val="90"/>
    <w:qFormat/>
    <w:uiPriority w:val="0"/>
    <w:rPr>
      <w:rFonts w:ascii="宋体" w:hAnsi="Times New Roman" w:eastAsia="宋体"/>
      <w:kern w:val="2"/>
      <w:sz w:val="24"/>
    </w:rPr>
  </w:style>
  <w:style w:type="paragraph" w:customStyle="1" w:styleId="92">
    <w:name w:val="段"/>
    <w:qFormat/>
    <w:uiPriority w:val="0"/>
    <w:pPr>
      <w:autoSpaceDE w:val="0"/>
      <w:autoSpaceDN w:val="0"/>
      <w:ind w:firstLine="420" w:firstLineChars="200"/>
      <w:jc w:val="both"/>
    </w:pPr>
    <w:rPr>
      <w:rFonts w:ascii="宋体" w:hAnsi="Times New Roman" w:eastAsia="宋体" w:cs="Times New Roman"/>
      <w:sz w:val="21"/>
      <w:lang w:val="en-US" w:eastAsia="zh-CN" w:bidi="ar-SA"/>
    </w:rPr>
  </w:style>
  <w:style w:type="paragraph" w:customStyle="1" w:styleId="93">
    <w:name w:val="mm表头"/>
    <w:basedOn w:val="1"/>
    <w:qFormat/>
    <w:uiPriority w:val="0"/>
    <w:pPr>
      <w:spacing w:line="480" w:lineRule="exact"/>
      <w:jc w:val="center"/>
    </w:pPr>
    <w:rPr>
      <w:rFonts w:eastAsia="黑体" w:cs="宋体"/>
      <w:bCs/>
      <w:color w:val="000000"/>
      <w:szCs w:val="20"/>
    </w:rPr>
  </w:style>
  <w:style w:type="paragraph" w:customStyle="1" w:styleId="94">
    <w:name w:val="Revision"/>
    <w:hidden/>
    <w:unhideWhenUsed/>
    <w:qFormat/>
    <w:uiPriority w:val="99"/>
    <w:rPr>
      <w:rFonts w:ascii="Calibri" w:hAnsi="Calibri" w:cs="Times New Roman" w:eastAsiaTheme="minorEastAsia"/>
      <w:kern w:val="2"/>
      <w:sz w:val="21"/>
      <w:szCs w:val="24"/>
      <w:lang w:val="en-US" w:eastAsia="zh-CN" w:bidi="ar-SA"/>
    </w:rPr>
  </w:style>
  <w:style w:type="character" w:customStyle="1" w:styleId="95">
    <w:name w:val="文章正文 Char"/>
    <w:link w:val="96"/>
    <w:qFormat/>
    <w:locked/>
    <w:uiPriority w:val="0"/>
    <w:rPr>
      <w:rFonts w:ascii="宋体" w:hAnsi="宋体"/>
      <w:sz w:val="24"/>
      <w:szCs w:val="24"/>
    </w:rPr>
  </w:style>
  <w:style w:type="paragraph" w:customStyle="1" w:styleId="96">
    <w:name w:val="文章正文"/>
    <w:basedOn w:val="1"/>
    <w:link w:val="95"/>
    <w:qFormat/>
    <w:uiPriority w:val="0"/>
    <w:pPr>
      <w:spacing w:line="360" w:lineRule="auto"/>
      <w:ind w:firstLine="480" w:firstLineChars="200"/>
    </w:pPr>
    <w:rPr>
      <w:rFonts w:ascii="宋体" w:hAnsi="宋体"/>
      <w:kern w:val="0"/>
      <w:sz w:val="24"/>
    </w:rPr>
  </w:style>
  <w:style w:type="character" w:customStyle="1" w:styleId="97">
    <w:name w:val="图表名称 Char"/>
    <w:link w:val="98"/>
    <w:qFormat/>
    <w:uiPriority w:val="0"/>
    <w:rPr>
      <w:rFonts w:ascii="Times New Roman" w:hAnsi="Times New Roman"/>
      <w:b/>
      <w:bCs/>
      <w:kern w:val="2"/>
      <w:sz w:val="24"/>
      <w:szCs w:val="28"/>
    </w:rPr>
  </w:style>
  <w:style w:type="paragraph" w:customStyle="1" w:styleId="98">
    <w:name w:val="图表名称"/>
    <w:next w:val="90"/>
    <w:link w:val="97"/>
    <w:qFormat/>
    <w:uiPriority w:val="0"/>
    <w:pPr>
      <w:spacing w:line="360" w:lineRule="auto"/>
      <w:jc w:val="center"/>
    </w:pPr>
    <w:rPr>
      <w:rFonts w:ascii="Times New Roman" w:hAnsi="Times New Roman" w:cs="Times New Roman" w:eastAsiaTheme="minorEastAsia"/>
      <w:b/>
      <w:bCs/>
      <w:kern w:val="2"/>
      <w:sz w:val="24"/>
      <w:szCs w:val="28"/>
      <w:lang w:val="en-US" w:eastAsia="zh-CN" w:bidi="ar-SA"/>
    </w:rPr>
  </w:style>
  <w:style w:type="table" w:customStyle="1" w:styleId="99">
    <w:name w:val="表格小五"/>
    <w:basedOn w:val="20"/>
    <w:qFormat/>
    <w:uiPriority w:val="0"/>
    <w:pPr>
      <w:widowControl w:val="0"/>
      <w:adjustRightInd w:val="0"/>
      <w:snapToGrid w:val="0"/>
      <w:jc w:val="center"/>
    </w:pPr>
    <w:rPr>
      <w:rFonts w:ascii="Times New Roman" w:hAnsi="Times New Roman" w:eastAsia="宋体"/>
      <w:sz w:val="21"/>
    </w:rPr>
    <w:tblPr>
      <w:tblBorders>
        <w:top w:val="single" w:color="auto" w:sz="18" w:space="0"/>
        <w:bottom w:val="single" w:color="auto" w:sz="18" w:space="0"/>
      </w:tblBorders>
      <w:tblCellMar>
        <w:top w:w="0" w:type="dxa"/>
        <w:left w:w="108" w:type="dxa"/>
        <w:bottom w:w="0" w:type="dxa"/>
        <w:right w:w="108" w:type="dxa"/>
      </w:tblCellMar>
    </w:tblPr>
    <w:tcPr>
      <w:vAlign w:val="center"/>
    </w:tcPr>
  </w:style>
  <w:style w:type="paragraph" w:customStyle="1" w:styleId="100">
    <w:name w:val="acxsplast"/>
    <w:basedOn w:val="1"/>
    <w:qFormat/>
    <w:uiPriority w:val="99"/>
    <w:pPr>
      <w:widowControl/>
      <w:spacing w:before="100" w:beforeAutospacing="1" w:after="100" w:afterAutospacing="1" w:line="360" w:lineRule="auto"/>
      <w:ind w:firstLine="200" w:firstLineChars="200"/>
      <w:jc w:val="left"/>
    </w:pPr>
    <w:rPr>
      <w:rFonts w:ascii="宋体" w:hAnsi="宋体" w:eastAsia="宋体" w:cs="宋体"/>
      <w:kern w:val="0"/>
      <w:sz w:val="24"/>
    </w:rPr>
  </w:style>
  <w:style w:type="character" w:customStyle="1" w:styleId="101">
    <w:name w:val="批注文字 Char2"/>
    <w:basedOn w:val="21"/>
    <w:qFormat/>
    <w:uiPriority w:val="0"/>
    <w:rPr>
      <w:rFonts w:ascii="Times New Roman" w:hAnsi="Times New Roman"/>
      <w:kern w:val="2"/>
      <w:sz w:val="21"/>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6" Type="http://schemas.openxmlformats.org/officeDocument/2006/relationships/fontTable" Target="fontTable.xml"/><Relationship Id="rId65" Type="http://schemas.openxmlformats.org/officeDocument/2006/relationships/customXml" Target="../customXml/item2.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52.jpeg"/><Relationship Id="rId61" Type="http://schemas.openxmlformats.org/officeDocument/2006/relationships/image" Target="media/image51.jpeg"/><Relationship Id="rId60" Type="http://schemas.openxmlformats.org/officeDocument/2006/relationships/image" Target="media/image50.jpeg"/><Relationship Id="rId6" Type="http://schemas.openxmlformats.org/officeDocument/2006/relationships/footer" Target="footer4.xml"/><Relationship Id="rId59" Type="http://schemas.openxmlformats.org/officeDocument/2006/relationships/image" Target="media/image49.jpeg"/><Relationship Id="rId58" Type="http://schemas.openxmlformats.org/officeDocument/2006/relationships/image" Target="media/image48.jpeg"/><Relationship Id="rId57" Type="http://schemas.openxmlformats.org/officeDocument/2006/relationships/image" Target="media/image47.jpeg"/><Relationship Id="rId56" Type="http://schemas.openxmlformats.org/officeDocument/2006/relationships/image" Target="media/image46.jpeg"/><Relationship Id="rId55" Type="http://schemas.openxmlformats.org/officeDocument/2006/relationships/image" Target="media/image45.jpeg"/><Relationship Id="rId54" Type="http://schemas.openxmlformats.org/officeDocument/2006/relationships/image" Target="media/image44.jpeg"/><Relationship Id="rId53" Type="http://schemas.openxmlformats.org/officeDocument/2006/relationships/image" Target="media/image43.jpeg"/><Relationship Id="rId52" Type="http://schemas.openxmlformats.org/officeDocument/2006/relationships/image" Target="media/image42.jpeg"/><Relationship Id="rId51" Type="http://schemas.openxmlformats.org/officeDocument/2006/relationships/image" Target="media/image41.jpeg"/><Relationship Id="rId50" Type="http://schemas.openxmlformats.org/officeDocument/2006/relationships/image" Target="media/image40.jpeg"/><Relationship Id="rId5" Type="http://schemas.openxmlformats.org/officeDocument/2006/relationships/footer" Target="footer3.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wmf"/><Relationship Id="rId32" Type="http://schemas.openxmlformats.org/officeDocument/2006/relationships/oleObject" Target="embeddings/oleObject2.bin"/><Relationship Id="rId31" Type="http://schemas.openxmlformats.org/officeDocument/2006/relationships/image" Target="media/image22.wmf"/><Relationship Id="rId30" Type="http://schemas.openxmlformats.org/officeDocument/2006/relationships/oleObject" Target="embeddings/oleObject1.bin"/><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F52FE4F-7288-4F9E-8636-A6A71203372E}">
  <ds:schemaRefs/>
</ds:datastoreItem>
</file>

<file path=docProps/app.xml><?xml version="1.0" encoding="utf-8"?>
<Properties xmlns="http://schemas.openxmlformats.org/officeDocument/2006/extended-properties" xmlns:vt="http://schemas.openxmlformats.org/officeDocument/2006/docPropsVTypes">
  <Template>wdzx97.dot</Template>
  <Company>Microsoft</Company>
  <Pages>103</Pages>
  <Words>40802</Words>
  <Characters>48419</Characters>
  <Lines>386</Lines>
  <Paragraphs>108</Paragraphs>
  <TotalTime>130</TotalTime>
  <ScaleCrop>false</ScaleCrop>
  <LinksUpToDate>false</LinksUpToDate>
  <CharactersWithSpaces>48654</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2021-06-17T06:40:00Z</dcterms:created>
  <dc:creator>环环（微信号：eianet2016）</dc:creator>
  <cp:lastModifiedBy>吴周明</cp:lastModifiedBy>
  <cp:lastPrinted>2021-04-12T11:38:00Z</cp:lastPrinted>
  <dcterms:modified xsi:type="dcterms:W3CDTF">2023-08-28T09:05:24Z</dcterms:modified>
  <dc:title>建设项目环境影响报告表（污染影响类-填写指南）</dc:title>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507CB85C34094E8B84A53B69D5BA5673</vt:lpwstr>
  </property>
</Properties>
</file>