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粤港澳大湾区500千伏外环东段工程（陆河段）塔基占地面附着物拆迁补偿方案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保障我省重点电力建设项目粤港澳大湾区500千伏外环东段工程（陆河段）建设工程用地，妥善处理好国家、集体、农民的利益关系，确保该线路在我县区域占地青赔拆迁工作顺利实施，根据《中华人民共和国土地管理法》《广东省实施〈中华人民共和国土地管理法〉办法》《广东省征地补偿保护标准》《广东省交通基础设施建设征地拆迁补偿实施办法》《汕尾市人民政府关于公布实施汕尾市征收农用地区片综合地价的公告》及《陆河县征收土地补偿实施办法（2017年修订调整）》等有关法律法规的规定，结合我县实际，制定本补偿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一、项目建设基本情况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粤港澳大湾区500千伏外环东段工程是2022年广东省重点项目，其中苏区至汕尾线路陆河段涉及南万镇（桂培村委、长营村委、梅角村委），上护镇（护东村委、洋岭村委、鸡坑村委），河口镇（云峰村委、北中村委、田墩村委、西湖村委）；汕尾至陆丰线路陆河段涉及河口镇（北龙村委、剑门村委、西湖村委）。根据国家有关法律、法规和省电力设施设计及安全要求，电网边线向外侧延伸20米所形成的两边平行线内的区域，为送电线路安全保护区。上述范围为电网线路工程建设工程用地范围（具体范围以设计红线图为准，已征用的除外），本工程线路路径已经沿途镇政府确认，不得变更，塔基位置一经勘定，不予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二、征地拆迁工作机构和要求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为加快粤港澳大湾区500千伏外环东段工程（陆河段）征（用）地拆迁工作，各有关镇和相关单位要切实做好如下几项工作：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要高度重视，各有关镇要成立线路建设工程征（用）地拆迁工作小组，指定一名主要领导任组长，落实一名专职人员具体负责，并抽调精干人员组成专门队伍，集中时间、集中力量做好征地拆迁补偿工作。要切实提高对粤港澳大湾区500千伏外环东段工程（陆河段）建设工作重要性的认识，把征地拆迁补偿工作摆上重要工作日程，抓实抓好，确保征地拆迁任务圆满完成。县自然资源局、住房和城乡建设局、农业</w:t>
      </w:r>
      <w:bookmarkStart w:id="0" w:name="_GoBack"/>
      <w:bookmarkEnd w:id="0"/>
      <w:r>
        <w:rPr>
          <w:rFonts w:hint="eastAsia" w:ascii="仿宋_GB2312" w:hAnsi="仿宋_GB2312" w:eastAsia="仿宋_GB2312" w:cs="仿宋_GB2312"/>
          <w:b w:val="0"/>
          <w:bCs w:val="0"/>
          <w:color w:val="auto"/>
          <w:sz w:val="32"/>
          <w:szCs w:val="32"/>
          <w:lang w:val="en-US" w:eastAsia="zh-CN"/>
        </w:rPr>
        <w:t>农村局、林业局、供电局等部门要全力支持、配合项目用地拆迁工作。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（二）要加大宣传力度，广泛宣传电网建设工程对当地经济和社会发展的重大作用，教育广大群众顾全大局，服从规划和建设的需要，支持电网建设。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征地拆迁工作涉及面广、政策性强，关系到千家万户，关系到群众切身利益，必须加大宣传力度，充分宣传征地拆迁有关政策及法律法规，使征地拆迁工作家喻户晓、人人皆知。及时答复群众反映的各类问题，耐心细致地做好群众思想工作，要引导当地的干部群众识大体、顾大局，提高遵纪守法意识，积极支持、参与、配合电网建设，主动搞好拆迁工作。对影响、阻挠征地拆迁工作的典型案件，要坚决进行曝光，引导广大群众树立配合支持征地拆迁工作光荣、无理取闹可耻的思想，营造良好的舆论氛围，形成强大合力，推动征地拆迁工作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各有关镇要按照设计方案的征地拆迁控制图和设计红线图对征地范围的土地及地上附着物进行分类、登记、造册，根据经征地拆迁补偿工作小组确认的数量、标准和权属单位签订征地拆迁协议。征（用）地和青苗、拆迁补偿费用按相关规定拨到镇设立的专户，各镇再按协议书的补偿金额及时全额发至村民和业主手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（四）在征地拆迁过程中，要依法依规，尤其要严格执行征地拆迁补偿标准，严禁将征地补偿款截留或挪作他用。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（五）违法建筑的处理办法。凡在本县范围内违法建设的建筑物、构筑物一律不给予补偿，属非法买卖土地上建设的建筑物、构筑物一律不给予补偿。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三、用地补偿工作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用地手续由项目建设单位报自然资源部门依法依规办理；占用林地手续由项目建设单位报林业部门按有关规定办理；占地、拆迁面积（数量）由所在镇、村、建设单位、施工单位共同确认；征地及地面附着物拆迁补偿工作由线路沿途所经过镇政府负责组织实施，费用包干，由汕尾市供电局与各镇政府签订合同。各种相关手续须符合国家相关法律、法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征地及地面附着物的拆迁补偿工作包括：塔基永久占用、组塔、架线、接地网敷设、施工临时用地（含道路）及线行清理等设计的各项补偿费用。包括：建筑物、构筑物拆除补偿、迁坟补偿、青苗（林木）及农田复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四、各类用地拆迁补偿标准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（一）用地补偿标准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根据《汕尾市人民政府关于公布实施汕尾市征收农用地区片综合地价的公告》《陆河县征收土地补偿实施办法（2017年修订调整）》等文件规定，参照临近区、县的标准，结合我县实际，规定如下：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按实际征用土地的地类、面积，以“就高不就低”的原则进行补偿，补偿款一次性直接付给被征地单位，具体标准按陆河县对应地区标准执行。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征收农村集体所有的土地的补偿费和安置补助费，按实际征收土地的地类和测绘面积，一次性直接支付给被征地单位。补偿标准按《汕尾市人民政府关于公布实施汕尾市征收农用地区片综合地价的公告》《陆河县征收土地补偿实施办法（2017年修订调整）》等文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其它土地的补偿：经批准取得国有土地使用证的建设用地，按取得建设用地的价格加上经过审核确认的对土地“三通一平”的实际投入费用酌情补偿；跨越河流、公路和使用未开发国有荒山、荒地、滩涂等不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批准使用国有农、林、牧、渔的土地，导致原使用单位受到损失的，应当根据使用单位的投入情况，按不高于征收集体所有土地的同类土地补偿费的标准给予适当补偿；青苗和地上附着物补偿费，按征收农民集体所有土地办法处理。（具体补偿标准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（二）青苗、果（林）木补偿标准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属短期作物，按一造产值补偿；属多年生作物，按年产值5倍补偿，并直接付给权属人（或土地承包经营权人）。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属规模所种果树，按每亩补偿标准计算补偿，属零星的果树按每株的补偿标准计算补偿。对果林园地由不合理间（套）种的，按“补主不补次、补一不补二”的原则执行。（具体补偿标准见附件2）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（三）地面建筑（附着物）、坟墓拆迁补偿标准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中华人民共和国土地管理法》《广东省实施〈中华人民共和国土地管理法〉办法》《汕尾市人民政府关于公布实施汕尾市征收农用地区片综合地价的公告》及《陆河县征收土地补偿实施办法（2017年修订调整）》等有关法律法规的规定，结合《500千伏甲湖湾电厂至福园送电线路工程（汕尾段）塔基占地地面附着物拆迁补偿方案》的补偿标准确定本次补偿标准，补偿方式原则上按实际拆迁面积（数量）实行货币补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1.乡镇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lang w:val="en-US" w:eastAsia="zh-CN"/>
        </w:rPr>
        <w:t>1）钢筋混凝土框架结构楼房：1800.00元/</w:t>
      </w:r>
      <w:r>
        <w:rPr>
          <w:rFonts w:hint="eastAsia" w:ascii="仿宋_GB2312" w:hAnsi="仿宋_GB2312" w:eastAsia="仿宋_GB2312" w:cs="仿宋_GB2312"/>
          <w:b w:val="0"/>
          <w:bCs w:val="0"/>
          <w:color w:val="auto"/>
          <w:sz w:val="32"/>
          <w:szCs w:val="32"/>
          <w:vertAlign w:val="baseline"/>
          <w:lang w:val="en-US" w:eastAsia="zh-CN"/>
        </w:rPr>
        <w:t>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2）混合结构楼房：1350.00元/平方米；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3）砖、瓦、桁结构的瓦房：800.00元/平方米；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4）砖体结构铁皮房：装饰完善的500.00.00元/平方米，装饰不完善的400.00元/平方米；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5）简易结构砖瓦房（含猪舍类，2.2米以下）：450.00元/平方米；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6）简易棚寮（油毡、竹棚类）：100.00元/平方米；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7）围墙：120.00元/平方米；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8）水泥结构（晒谷坪、庭院）：100.00元/平方米；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9）化粪池（按平面面积计）：800.00元/平方米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10）水井：直径1.2米以上3000.00元/个，直径1.2米以下2000.00元/个；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11）沼气池：大6000.00元/个，小4000.00元/个；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12）搬迁费：在规定时间内拆搬迁的按补偿总额10%给予奖励补助，不拆搬迁不给予补偿。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13）对补偿安置出现争议不能达成协议的，由第三方评估公司按程序进行评估，评估报告经专家认定后给予补偿。被拆迁人如对评估结果不满意也可以自行委托评估公司评估，双方评估结果经相关专家论证认定后给予补偿，或申请县一级人民法院依照法律程序强制拆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2.县城（含河田镇的五个居委、八个村委范围）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w:t>
      </w:r>
      <w:r>
        <w:rPr>
          <w:rFonts w:hint="eastAsia" w:ascii="仿宋_GB2312" w:hAnsi="仿宋_GB2312" w:eastAsia="仿宋_GB2312" w:cs="仿宋_GB2312"/>
          <w:b w:val="0"/>
          <w:bCs w:val="0"/>
          <w:color w:val="auto"/>
          <w:sz w:val="32"/>
          <w:szCs w:val="32"/>
          <w:lang w:val="en-US" w:eastAsia="zh-CN"/>
        </w:rPr>
        <w:t>钢筋混凝土框架结构楼房：1960.00元/</w:t>
      </w:r>
      <w:r>
        <w:rPr>
          <w:rFonts w:hint="eastAsia" w:ascii="仿宋_GB2312" w:hAnsi="仿宋_GB2312" w:eastAsia="仿宋_GB2312" w:cs="仿宋_GB2312"/>
          <w:b w:val="0"/>
          <w:bCs w:val="0"/>
          <w:color w:val="auto"/>
          <w:sz w:val="32"/>
          <w:szCs w:val="32"/>
          <w:vertAlign w:val="baseline"/>
          <w:lang w:val="en-US" w:eastAsia="zh-CN"/>
        </w:rPr>
        <w:t>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2）混合结构楼房：1500.00元/平方米；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3）砖、瓦、桁结构的瓦房：900.00元/平方米；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4）其他结构的建筑物、构筑物：同乡镇的补偿标准一致。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3.坟墓迁移补偿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坟墓迁移补偿按大中小规格给予补偿，3.6尺（含3.6尺）以上为大坟，2.6尺（含2.6尺）至3.6尺为中坟，2.6尺以下为小坟，分别为12000.00元/个、8000.00元/个、4000元/个；骨坛（金斗）每个补偿600.00元。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坟墓的迁移补偿范围：塔基占地范围、临时施工场地范围内及影响线路施工需迁移的坟墓。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vertAlign w:val="baseline"/>
          <w:lang w:val="en-US" w:eastAsia="zh-CN"/>
        </w:rPr>
      </w:pPr>
      <w:r>
        <w:rPr>
          <w:rFonts w:hint="eastAsia" w:ascii="楷体" w:hAnsi="楷体" w:eastAsia="楷体" w:cs="楷体"/>
          <w:b w:val="0"/>
          <w:bCs w:val="0"/>
          <w:color w:val="auto"/>
          <w:sz w:val="32"/>
          <w:szCs w:val="32"/>
          <w:vertAlign w:val="baseline"/>
          <w:lang w:val="en-US" w:eastAsia="zh-CN"/>
        </w:rPr>
        <w:t>（四）临时用地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1.工程建设确需临时使用土地的，由施工单位提出临时用地方案，经所在镇审核同意；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2.临时使用土地补偿工作由各镇负责落实，并与所有权人签订临时使用土地协议；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3.临时使用土地租金，按一年租金2.5元/平方米计付；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4.在施工过程中路道、桥涵、水管等因施工、运输损坏的，由施工单位负责修复。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五、工作经费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便于沿线各镇开展征（用）地拆迁等各项相关工作，根据国家相关政策和我县实际，线路沿线各镇（含村）工作经费按每座塔基2000元计算（含塔基和架线），下拨给各镇、村作为征（用）地拆迁工作经费。综合协调工作经费根据实际情况另行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征（用）地范围内的通信设施、水利设施、地下供水管（网）、电缆光缆等，由建设单位和所属业主单位签订合同，在限定的时间内由所属业主单位自行迁移，迁移费用由建设单位与业主单位协商后直接支付。所在镇政府配合做好迁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2.征（用）地拆迁公告发布后，被征（用）地单位和个人在被征（用）地范围内抢种的农作物、抢建的构（建）筑物、抢挖的鱼池及抢修的坟墓等不列入补偿范围。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3.在征（用）地公告发布后，被征（用）地或被拆迁物的所有权人、使用人应当在公告规定期限内，到公告制定的地点办理征（用）地拆迁补偿登记。不按规定按时办理登记的，不列入补偿范围。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对个别漫天要价、恶意阻挠征地拆迁工作，拒不接受征（用）地、青苗和地上附着物的补偿标准的，由镇政府按规定确定征（用）地拆迁补偿金，通过公证机关实行证据持存，将其征地或青苗、地上附着物的补偿款存入银行专户，并告知当事人后，强制处理其青苗及地上附着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5.对征（用）地中权属有争议的土地，由镇政府及时按程序调处争议，确定权属，将征（用）地拆迁补偿款付给权属单位或个人。各争议方不得以争议为由阻挠征（用）地。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被征地所在镇及各村（社区）委会应当把用地拆迁补偿标准、补偿办法等向被征地单位和个人公开，确保被补偿人应得的补偿费及时足额拨付到户，不得截留、挪用和代扣各种收费。各级监察、财政、审计部门要加强行政监督，确保各项征地款项的合法、合理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凡扰乱、阻碍破坏项目建设，给国家造成损失的，依法追究当事人的经济、法律责任。凡违反土地管理法律、法规，阻挠或妨碍土地管理执法人员依法履行职责，阻挠依法取得土地使用权的单位正常施建的，由公安机关依照《中华人民共和国治安管理处罚法》予以处罚，构成犯罪的，由司法机关依法追究刑事责任。</w:t>
      </w:r>
    </w:p>
    <w:p>
      <w:pPr>
        <w:rPr>
          <w:rFonts w:hint="default" w:ascii="仿宋_GB2312" w:hAnsi="仿宋_GB2312" w:eastAsia="仿宋_GB2312" w:cs="仿宋_GB2312"/>
          <w:b w:val="0"/>
          <w:bCs w:val="0"/>
          <w:color w:val="auto"/>
          <w:sz w:val="32"/>
          <w:szCs w:val="32"/>
          <w:lang w:val="en-US" w:eastAsia="zh-CN"/>
        </w:rPr>
        <w:sectPr>
          <w:pgSz w:w="11906" w:h="16838"/>
          <w:pgMar w:top="2098" w:right="1587" w:bottom="1928" w:left="1587" w:header="851" w:footer="992" w:gutter="0"/>
          <w:cols w:space="0" w:num="1"/>
          <w:rtlGutter w:val="0"/>
          <w:docGrid w:type="lines" w:linePitch="312" w:charSpace="0"/>
        </w:sectPr>
      </w:pPr>
      <w:r>
        <w:rPr>
          <w:rFonts w:hint="default" w:ascii="仿宋_GB2312" w:hAnsi="仿宋_GB2312" w:eastAsia="仿宋_GB2312" w:cs="仿宋_GB2312"/>
          <w:b w:val="0"/>
          <w:bCs w:val="0"/>
          <w:color w:val="auto"/>
          <w:sz w:val="32"/>
          <w:szCs w:val="32"/>
          <w:lang w:val="en-US" w:eastAsia="zh-CN"/>
        </w:rPr>
        <w:br w:type="page"/>
      </w:r>
    </w:p>
    <w:p>
      <w:pPr>
        <w:pStyle w:val="6"/>
        <w:bidi w:val="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pStyle w:val="6"/>
        <w:bidi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汕尾</w:t>
      </w:r>
      <w:r>
        <w:rPr>
          <w:rFonts w:hint="eastAsia" w:ascii="方正小标宋简体" w:hAnsi="方正小标宋简体" w:eastAsia="方正小标宋简体" w:cs="方正小标宋简体"/>
          <w:color w:val="auto"/>
          <w:sz w:val="44"/>
          <w:szCs w:val="44"/>
        </w:rPr>
        <w:t>市征收农用地区片综合地价表</w:t>
      </w:r>
    </w:p>
    <w:tbl>
      <w:tblPr>
        <w:tblStyle w:val="3"/>
        <w:tblW w:w="14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09"/>
        <w:gridCol w:w="717"/>
        <w:gridCol w:w="976"/>
        <w:gridCol w:w="837"/>
        <w:gridCol w:w="976"/>
        <w:gridCol w:w="979"/>
        <w:gridCol w:w="7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920" w:type="dxa"/>
            <w:vMerge w:val="restart"/>
            <w:noWrap w:val="0"/>
            <w:vAlign w:val="center"/>
          </w:tcPr>
          <w:p>
            <w:pPr>
              <w:widowControl/>
              <w:jc w:val="center"/>
              <w:rPr>
                <w:rFonts w:ascii="仿宋_GB2312" w:hAnsi="黑体" w:eastAsia="仿宋_GB2312" w:cs="宋体"/>
                <w:b/>
                <w:bCs/>
                <w:color w:val="auto"/>
                <w:kern w:val="0"/>
                <w:sz w:val="22"/>
                <w:szCs w:val="22"/>
              </w:rPr>
            </w:pPr>
            <w:r>
              <w:rPr>
                <w:rFonts w:hint="eastAsia" w:ascii="仿宋_GB2312" w:hAnsi="黑体" w:eastAsia="仿宋_GB2312" w:cs="宋体"/>
                <w:b/>
                <w:bCs/>
                <w:color w:val="auto"/>
                <w:kern w:val="0"/>
                <w:sz w:val="22"/>
                <w:szCs w:val="22"/>
              </w:rPr>
              <w:t>区域</w:t>
            </w:r>
          </w:p>
          <w:p>
            <w:pPr>
              <w:widowControl/>
              <w:jc w:val="center"/>
              <w:rPr>
                <w:rFonts w:ascii="仿宋_GB2312" w:hAnsi="Times New Roman" w:eastAsia="仿宋_GB2312"/>
                <w:b/>
                <w:bCs/>
                <w:color w:val="auto"/>
                <w:kern w:val="0"/>
                <w:sz w:val="22"/>
                <w:szCs w:val="22"/>
              </w:rPr>
            </w:pPr>
            <w:r>
              <w:rPr>
                <w:rFonts w:hint="eastAsia" w:ascii="仿宋_GB2312" w:hAnsi="黑体" w:eastAsia="仿宋_GB2312" w:cs="宋体"/>
                <w:b/>
                <w:bCs/>
                <w:color w:val="auto"/>
                <w:kern w:val="0"/>
                <w:sz w:val="22"/>
                <w:szCs w:val="22"/>
              </w:rPr>
              <w:t>名称</w:t>
            </w:r>
          </w:p>
        </w:tc>
        <w:tc>
          <w:tcPr>
            <w:tcW w:w="709" w:type="dxa"/>
            <w:vMerge w:val="restart"/>
            <w:noWrap w:val="0"/>
            <w:vAlign w:val="center"/>
          </w:tcPr>
          <w:p>
            <w:pPr>
              <w:widowControl/>
              <w:jc w:val="center"/>
              <w:rPr>
                <w:rFonts w:ascii="仿宋_GB2312" w:hAnsi="Times New Roman" w:eastAsia="仿宋_GB2312"/>
                <w:b/>
                <w:bCs/>
                <w:color w:val="auto"/>
                <w:kern w:val="0"/>
                <w:sz w:val="22"/>
                <w:szCs w:val="22"/>
              </w:rPr>
            </w:pPr>
            <w:r>
              <w:rPr>
                <w:rFonts w:hint="eastAsia" w:ascii="仿宋_GB2312" w:hAnsi="黑体" w:eastAsia="仿宋_GB2312"/>
                <w:b/>
                <w:bCs/>
                <w:color w:val="auto"/>
                <w:kern w:val="0"/>
                <w:sz w:val="22"/>
                <w:szCs w:val="22"/>
              </w:rPr>
              <w:t>区片编号</w:t>
            </w:r>
          </w:p>
        </w:tc>
        <w:tc>
          <w:tcPr>
            <w:tcW w:w="4485" w:type="dxa"/>
            <w:gridSpan w:val="5"/>
            <w:noWrap w:val="0"/>
            <w:vAlign w:val="center"/>
          </w:tcPr>
          <w:p>
            <w:pPr>
              <w:widowControl/>
              <w:jc w:val="center"/>
              <w:rPr>
                <w:rFonts w:ascii="仿宋_GB2312" w:hAnsi="Times New Roman" w:eastAsia="仿宋_GB2312"/>
                <w:b/>
                <w:bCs/>
                <w:color w:val="auto"/>
                <w:kern w:val="0"/>
                <w:sz w:val="22"/>
                <w:szCs w:val="22"/>
              </w:rPr>
            </w:pPr>
            <w:r>
              <w:rPr>
                <w:rFonts w:hint="eastAsia" w:ascii="仿宋_GB2312" w:hAnsi="黑体" w:eastAsia="仿宋_GB2312"/>
                <w:b/>
                <w:bCs/>
                <w:color w:val="auto"/>
                <w:kern w:val="0"/>
                <w:sz w:val="22"/>
                <w:szCs w:val="22"/>
              </w:rPr>
              <w:t>区片综合地价（万元</w:t>
            </w:r>
            <w:r>
              <w:rPr>
                <w:rFonts w:hint="eastAsia" w:ascii="仿宋_GB2312" w:hAnsi="Times New Roman" w:eastAsia="仿宋_GB2312"/>
                <w:b/>
                <w:bCs/>
                <w:color w:val="auto"/>
                <w:kern w:val="0"/>
                <w:sz w:val="22"/>
                <w:szCs w:val="22"/>
              </w:rPr>
              <w:t>/</w:t>
            </w:r>
            <w:r>
              <w:rPr>
                <w:rFonts w:hint="eastAsia" w:ascii="仿宋_GB2312" w:hAnsi="黑体" w:eastAsia="仿宋_GB2312"/>
                <w:b/>
                <w:bCs/>
                <w:color w:val="auto"/>
                <w:kern w:val="0"/>
                <w:sz w:val="22"/>
                <w:szCs w:val="22"/>
              </w:rPr>
              <w:t>亩）</w:t>
            </w:r>
          </w:p>
        </w:tc>
        <w:tc>
          <w:tcPr>
            <w:tcW w:w="7981" w:type="dxa"/>
            <w:vMerge w:val="restart"/>
            <w:noWrap w:val="0"/>
            <w:vAlign w:val="center"/>
          </w:tcPr>
          <w:p>
            <w:pPr>
              <w:widowControl/>
              <w:jc w:val="center"/>
              <w:rPr>
                <w:rFonts w:ascii="仿宋_GB2312" w:hAnsi="Times New Roman" w:eastAsia="仿宋_GB2312"/>
                <w:b/>
                <w:bCs/>
                <w:color w:val="auto"/>
                <w:kern w:val="0"/>
                <w:sz w:val="22"/>
                <w:szCs w:val="22"/>
              </w:rPr>
            </w:pPr>
            <w:r>
              <w:rPr>
                <w:rFonts w:hint="eastAsia" w:ascii="仿宋_GB2312" w:hAnsi="黑体" w:eastAsia="仿宋_GB2312"/>
                <w:b/>
                <w:bCs/>
                <w:color w:val="auto"/>
                <w:kern w:val="0"/>
                <w:sz w:val="22"/>
                <w:szCs w:val="22"/>
              </w:rPr>
              <w:t>区片范围描述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920" w:type="dxa"/>
            <w:vMerge w:val="continue"/>
            <w:noWrap w:val="0"/>
            <w:vAlign w:val="center"/>
          </w:tcPr>
          <w:p>
            <w:pPr>
              <w:widowControl/>
              <w:jc w:val="left"/>
              <w:rPr>
                <w:rFonts w:ascii="仿宋_GB2312" w:hAnsi="Times New Roman" w:eastAsia="仿宋_GB2312"/>
                <w:b/>
                <w:bCs/>
                <w:color w:val="auto"/>
                <w:kern w:val="0"/>
                <w:sz w:val="22"/>
                <w:szCs w:val="22"/>
              </w:rPr>
            </w:pPr>
          </w:p>
        </w:tc>
        <w:tc>
          <w:tcPr>
            <w:tcW w:w="709" w:type="dxa"/>
            <w:vMerge w:val="continue"/>
            <w:noWrap w:val="0"/>
            <w:vAlign w:val="center"/>
          </w:tcPr>
          <w:p>
            <w:pPr>
              <w:widowControl/>
              <w:jc w:val="left"/>
              <w:rPr>
                <w:rFonts w:ascii="仿宋_GB2312" w:hAnsi="Times New Roman" w:eastAsia="仿宋_GB2312"/>
                <w:b/>
                <w:bCs/>
                <w:color w:val="auto"/>
                <w:kern w:val="0"/>
                <w:sz w:val="22"/>
                <w:szCs w:val="22"/>
              </w:rPr>
            </w:pPr>
          </w:p>
        </w:tc>
        <w:tc>
          <w:tcPr>
            <w:tcW w:w="717" w:type="dxa"/>
            <w:noWrap w:val="0"/>
            <w:vAlign w:val="center"/>
          </w:tcPr>
          <w:p>
            <w:pPr>
              <w:widowControl/>
              <w:jc w:val="center"/>
              <w:rPr>
                <w:rFonts w:ascii="仿宋_GB2312" w:hAnsi="Times New Roman" w:eastAsia="仿宋_GB2312"/>
                <w:b/>
                <w:bCs/>
                <w:color w:val="auto"/>
                <w:kern w:val="0"/>
                <w:sz w:val="22"/>
                <w:szCs w:val="22"/>
              </w:rPr>
            </w:pPr>
            <w:r>
              <w:rPr>
                <w:rFonts w:hint="eastAsia" w:ascii="仿宋_GB2312" w:hAnsi="黑体" w:eastAsia="仿宋_GB2312"/>
                <w:b/>
                <w:bCs/>
                <w:color w:val="auto"/>
                <w:kern w:val="0"/>
                <w:sz w:val="22"/>
                <w:szCs w:val="22"/>
              </w:rPr>
              <w:t>合计</w:t>
            </w:r>
          </w:p>
        </w:tc>
        <w:tc>
          <w:tcPr>
            <w:tcW w:w="976" w:type="dxa"/>
            <w:noWrap w:val="0"/>
            <w:vAlign w:val="center"/>
          </w:tcPr>
          <w:p>
            <w:pPr>
              <w:widowControl/>
              <w:jc w:val="center"/>
              <w:rPr>
                <w:rFonts w:ascii="仿宋_GB2312" w:hAnsi="黑体" w:eastAsia="仿宋_GB2312"/>
                <w:b/>
                <w:bCs/>
                <w:color w:val="auto"/>
                <w:kern w:val="0"/>
                <w:sz w:val="22"/>
                <w:szCs w:val="22"/>
              </w:rPr>
            </w:pPr>
            <w:r>
              <w:rPr>
                <w:rFonts w:hint="eastAsia" w:ascii="仿宋_GB2312" w:hAnsi="黑体" w:eastAsia="仿宋_GB2312"/>
                <w:b/>
                <w:bCs/>
                <w:color w:val="auto"/>
                <w:kern w:val="0"/>
                <w:sz w:val="22"/>
                <w:szCs w:val="22"/>
              </w:rPr>
              <w:t>土地</w:t>
            </w:r>
          </w:p>
          <w:p>
            <w:pPr>
              <w:widowControl/>
              <w:jc w:val="center"/>
              <w:rPr>
                <w:rFonts w:ascii="仿宋_GB2312" w:hAnsi="Times New Roman" w:eastAsia="仿宋_GB2312"/>
                <w:b/>
                <w:bCs/>
                <w:color w:val="auto"/>
                <w:kern w:val="0"/>
                <w:sz w:val="22"/>
                <w:szCs w:val="22"/>
              </w:rPr>
            </w:pPr>
            <w:r>
              <w:rPr>
                <w:rFonts w:hint="eastAsia" w:ascii="仿宋_GB2312" w:hAnsi="黑体" w:eastAsia="仿宋_GB2312"/>
                <w:b/>
                <w:bCs/>
                <w:color w:val="auto"/>
                <w:kern w:val="0"/>
                <w:sz w:val="22"/>
                <w:szCs w:val="22"/>
              </w:rPr>
              <w:t>补偿费</w:t>
            </w:r>
          </w:p>
        </w:tc>
        <w:tc>
          <w:tcPr>
            <w:tcW w:w="837" w:type="dxa"/>
            <w:noWrap w:val="0"/>
            <w:vAlign w:val="center"/>
          </w:tcPr>
          <w:p>
            <w:pPr>
              <w:widowControl/>
              <w:jc w:val="center"/>
              <w:rPr>
                <w:rFonts w:ascii="仿宋_GB2312" w:hAnsi="Times New Roman" w:eastAsia="仿宋_GB2312"/>
                <w:b/>
                <w:bCs/>
                <w:color w:val="auto"/>
                <w:kern w:val="0"/>
                <w:sz w:val="22"/>
                <w:szCs w:val="22"/>
              </w:rPr>
            </w:pPr>
            <w:r>
              <w:rPr>
                <w:rFonts w:hint="eastAsia" w:ascii="仿宋_GB2312" w:hAnsi="黑体" w:eastAsia="仿宋_GB2312"/>
                <w:b/>
                <w:bCs/>
                <w:color w:val="auto"/>
                <w:kern w:val="0"/>
                <w:sz w:val="22"/>
                <w:szCs w:val="22"/>
              </w:rPr>
              <w:t>占比</w:t>
            </w:r>
          </w:p>
        </w:tc>
        <w:tc>
          <w:tcPr>
            <w:tcW w:w="976" w:type="dxa"/>
            <w:noWrap w:val="0"/>
            <w:vAlign w:val="center"/>
          </w:tcPr>
          <w:p>
            <w:pPr>
              <w:widowControl/>
              <w:jc w:val="center"/>
              <w:rPr>
                <w:rFonts w:ascii="仿宋_GB2312" w:hAnsi="黑体" w:eastAsia="仿宋_GB2312"/>
                <w:b/>
                <w:bCs/>
                <w:color w:val="auto"/>
                <w:kern w:val="0"/>
                <w:sz w:val="22"/>
                <w:szCs w:val="22"/>
              </w:rPr>
            </w:pPr>
            <w:r>
              <w:rPr>
                <w:rFonts w:hint="eastAsia" w:ascii="仿宋_GB2312" w:hAnsi="黑体" w:eastAsia="仿宋_GB2312"/>
                <w:b/>
                <w:bCs/>
                <w:color w:val="auto"/>
                <w:kern w:val="0"/>
                <w:sz w:val="22"/>
                <w:szCs w:val="22"/>
              </w:rPr>
              <w:t>安置</w:t>
            </w:r>
          </w:p>
          <w:p>
            <w:pPr>
              <w:widowControl/>
              <w:jc w:val="center"/>
              <w:rPr>
                <w:rFonts w:ascii="仿宋_GB2312" w:hAnsi="Times New Roman" w:eastAsia="仿宋_GB2312"/>
                <w:b/>
                <w:bCs/>
                <w:color w:val="auto"/>
                <w:kern w:val="0"/>
                <w:sz w:val="22"/>
                <w:szCs w:val="22"/>
              </w:rPr>
            </w:pPr>
            <w:r>
              <w:rPr>
                <w:rFonts w:hint="eastAsia" w:ascii="仿宋_GB2312" w:hAnsi="黑体" w:eastAsia="仿宋_GB2312"/>
                <w:b/>
                <w:bCs/>
                <w:color w:val="auto"/>
                <w:kern w:val="0"/>
                <w:sz w:val="22"/>
                <w:szCs w:val="22"/>
              </w:rPr>
              <w:t>补助费</w:t>
            </w:r>
          </w:p>
        </w:tc>
        <w:tc>
          <w:tcPr>
            <w:tcW w:w="979" w:type="dxa"/>
            <w:noWrap w:val="0"/>
            <w:vAlign w:val="center"/>
          </w:tcPr>
          <w:p>
            <w:pPr>
              <w:widowControl/>
              <w:jc w:val="center"/>
              <w:rPr>
                <w:rFonts w:ascii="仿宋_GB2312" w:hAnsi="Times New Roman" w:eastAsia="仿宋_GB2312"/>
                <w:b/>
                <w:bCs/>
                <w:color w:val="auto"/>
                <w:kern w:val="0"/>
                <w:sz w:val="22"/>
                <w:szCs w:val="22"/>
              </w:rPr>
            </w:pPr>
            <w:r>
              <w:rPr>
                <w:rFonts w:hint="eastAsia" w:ascii="仿宋_GB2312" w:hAnsi="黑体" w:eastAsia="仿宋_GB2312"/>
                <w:b/>
                <w:bCs/>
                <w:color w:val="auto"/>
                <w:kern w:val="0"/>
                <w:sz w:val="22"/>
                <w:szCs w:val="22"/>
              </w:rPr>
              <w:t>占比</w:t>
            </w:r>
          </w:p>
        </w:tc>
        <w:tc>
          <w:tcPr>
            <w:tcW w:w="7981" w:type="dxa"/>
            <w:vMerge w:val="continue"/>
            <w:noWrap w:val="0"/>
            <w:vAlign w:val="center"/>
          </w:tcPr>
          <w:p>
            <w:pPr>
              <w:widowControl/>
              <w:jc w:val="left"/>
              <w:rPr>
                <w:rFonts w:ascii="仿宋_GB2312" w:hAnsi="Times New Roman" w:eastAsia="仿宋_GB2312"/>
                <w:b/>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0" w:type="dxa"/>
            <w:vMerge w:val="restart"/>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汕尾市区（城区、红海湾经济开发区、华侨管理区）</w:t>
            </w:r>
          </w:p>
        </w:tc>
        <w:tc>
          <w:tcPr>
            <w:tcW w:w="70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1</w:t>
            </w:r>
          </w:p>
        </w:tc>
        <w:tc>
          <w:tcPr>
            <w:tcW w:w="71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6.65</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2.66</w:t>
            </w:r>
          </w:p>
        </w:tc>
        <w:tc>
          <w:tcPr>
            <w:tcW w:w="83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40%</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3.99</w:t>
            </w:r>
          </w:p>
        </w:tc>
        <w:tc>
          <w:tcPr>
            <w:tcW w:w="97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60%</w:t>
            </w:r>
          </w:p>
        </w:tc>
        <w:tc>
          <w:tcPr>
            <w:tcW w:w="7981" w:type="dxa"/>
            <w:noWrap w:val="0"/>
            <w:vAlign w:val="center"/>
          </w:tcPr>
          <w:p>
            <w:pPr>
              <w:widowControl/>
              <w:jc w:val="left"/>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凤山街道（除芦列坑村委会外所有行政村）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0" w:type="dxa"/>
            <w:vMerge w:val="continue"/>
            <w:noWrap w:val="0"/>
            <w:vAlign w:val="center"/>
          </w:tcPr>
          <w:p>
            <w:pPr>
              <w:widowControl/>
              <w:jc w:val="left"/>
              <w:rPr>
                <w:rFonts w:ascii="仿宋_GB2312" w:hAnsi="Times New Roman" w:eastAsia="仿宋_GB2312"/>
                <w:color w:val="auto"/>
                <w:kern w:val="0"/>
                <w:sz w:val="22"/>
                <w:szCs w:val="22"/>
              </w:rPr>
            </w:pPr>
          </w:p>
        </w:tc>
        <w:tc>
          <w:tcPr>
            <w:tcW w:w="70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w:t>
            </w:r>
          </w:p>
        </w:tc>
        <w:tc>
          <w:tcPr>
            <w:tcW w:w="71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6.11</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2.44</w:t>
            </w:r>
          </w:p>
        </w:tc>
        <w:tc>
          <w:tcPr>
            <w:tcW w:w="83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40%</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3.67</w:t>
            </w:r>
          </w:p>
        </w:tc>
        <w:tc>
          <w:tcPr>
            <w:tcW w:w="97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60%</w:t>
            </w:r>
          </w:p>
        </w:tc>
        <w:tc>
          <w:tcPr>
            <w:tcW w:w="7981" w:type="dxa"/>
            <w:noWrap w:val="0"/>
            <w:vAlign w:val="center"/>
          </w:tcPr>
          <w:p>
            <w:pPr>
              <w:widowControl/>
              <w:jc w:val="left"/>
              <w:rPr>
                <w:rFonts w:ascii="仿宋_GB2312" w:hAnsi="仿宋" w:eastAsia="仿宋_GB2312" w:cs="宋体"/>
                <w:color w:val="auto"/>
                <w:kern w:val="0"/>
                <w:sz w:val="22"/>
                <w:szCs w:val="22"/>
              </w:rPr>
            </w:pPr>
            <w:r>
              <w:rPr>
                <w:rFonts w:hint="eastAsia" w:ascii="仿宋_GB2312" w:hAnsi="仿宋" w:eastAsia="仿宋_GB2312" w:cs="宋体"/>
                <w:color w:val="auto"/>
                <w:kern w:val="0"/>
                <w:sz w:val="22"/>
                <w:szCs w:val="22"/>
              </w:rPr>
              <w:t>新港街道（所有行政村）、香洲街道（所有行政村）、马宫街道（所有行政村）、东涌镇（所有行政村）、红草镇（所有行政村）、捷胜镇（所有行政村）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920" w:type="dxa"/>
            <w:vMerge w:val="continue"/>
            <w:noWrap w:val="0"/>
            <w:vAlign w:val="center"/>
          </w:tcPr>
          <w:p>
            <w:pPr>
              <w:widowControl/>
              <w:jc w:val="left"/>
              <w:rPr>
                <w:rFonts w:ascii="仿宋_GB2312" w:hAnsi="Times New Roman" w:eastAsia="仿宋_GB2312"/>
                <w:color w:val="auto"/>
                <w:kern w:val="0"/>
                <w:sz w:val="22"/>
                <w:szCs w:val="22"/>
              </w:rPr>
            </w:pPr>
          </w:p>
        </w:tc>
        <w:tc>
          <w:tcPr>
            <w:tcW w:w="70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w:t>
            </w:r>
          </w:p>
        </w:tc>
        <w:tc>
          <w:tcPr>
            <w:tcW w:w="71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5.59</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2.24</w:t>
            </w:r>
          </w:p>
        </w:tc>
        <w:tc>
          <w:tcPr>
            <w:tcW w:w="83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40%</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3.35</w:t>
            </w:r>
          </w:p>
        </w:tc>
        <w:tc>
          <w:tcPr>
            <w:tcW w:w="97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60%</w:t>
            </w:r>
          </w:p>
        </w:tc>
        <w:tc>
          <w:tcPr>
            <w:tcW w:w="7981" w:type="dxa"/>
            <w:noWrap w:val="0"/>
            <w:vAlign w:val="center"/>
          </w:tcPr>
          <w:p>
            <w:pPr>
              <w:widowControl/>
              <w:jc w:val="left"/>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田</w:t>
            </w:r>
            <w:r>
              <w:rPr>
                <w:rFonts w:hint="eastAsia" w:ascii="微软雅黑" w:hAnsi="微软雅黑" w:eastAsia="微软雅黑" w:cs="微软雅黑"/>
                <w:color w:val="auto"/>
                <w:kern w:val="0"/>
                <w:sz w:val="22"/>
                <w:szCs w:val="22"/>
              </w:rPr>
              <w:t>墘</w:t>
            </w:r>
            <w:r>
              <w:rPr>
                <w:rFonts w:hint="eastAsia" w:ascii="仿宋_GB2312" w:hAnsi="仿宋_GB2312" w:eastAsia="仿宋_GB2312" w:cs="仿宋_GB2312"/>
                <w:color w:val="auto"/>
                <w:kern w:val="0"/>
                <w:sz w:val="22"/>
                <w:szCs w:val="22"/>
              </w:rPr>
              <w:t>街道</w:t>
            </w:r>
            <w:r>
              <w:rPr>
                <w:rFonts w:hint="eastAsia" w:ascii="仿宋_GB2312" w:hAnsi="仿宋" w:eastAsia="仿宋_GB2312"/>
                <w:color w:val="auto"/>
                <w:kern w:val="0"/>
                <w:sz w:val="22"/>
                <w:szCs w:val="22"/>
              </w:rPr>
              <w:t>（所有行政村）、遮浪街道（所有行政村）、东洲街道（所有行政村）</w:t>
            </w:r>
            <w:r>
              <w:rPr>
                <w:rFonts w:hint="eastAsia" w:ascii="仿宋_GB2312" w:hAnsi="仿宋" w:eastAsia="仿宋_GB2312"/>
                <w:color w:val="auto"/>
                <w:kern w:val="0"/>
                <w:sz w:val="22"/>
                <w:szCs w:val="22"/>
                <w:lang w:eastAsia="zh-CN"/>
              </w:rPr>
              <w:t>、</w:t>
            </w:r>
            <w:r>
              <w:rPr>
                <w:rFonts w:hint="eastAsia" w:ascii="仿宋_GB2312" w:hAnsi="仿宋" w:eastAsia="仿宋_GB2312"/>
                <w:color w:val="auto"/>
                <w:kern w:val="0"/>
                <w:sz w:val="22"/>
                <w:szCs w:val="22"/>
              </w:rPr>
              <w:t>凤山街道（芦列坑村委会）、华侨管理区（所有行政村）。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920" w:type="dxa"/>
            <w:vMerge w:val="restart"/>
            <w:shd w:val="clear" w:color="auto" w:fill="auto"/>
            <w:noWrap w:val="0"/>
            <w:vAlign w:val="center"/>
          </w:tcPr>
          <w:p>
            <w:pPr>
              <w:widowControl/>
              <w:jc w:val="center"/>
              <w:rPr>
                <w:rFonts w:ascii="仿宋_GB2312" w:hAnsi="Times New Roman" w:eastAsia="仿宋_GB2312"/>
                <w:color w:val="auto"/>
                <w:kern w:val="0"/>
                <w:sz w:val="22"/>
                <w:szCs w:val="22"/>
              </w:rPr>
            </w:pPr>
            <w:r>
              <w:rPr>
                <w:rFonts w:hint="eastAsia" w:ascii="仿宋_GB2312" w:hAnsi="黑体" w:eastAsia="仿宋_GB2312"/>
                <w:color w:val="auto"/>
                <w:kern w:val="0"/>
                <w:sz w:val="22"/>
                <w:szCs w:val="22"/>
              </w:rPr>
              <w:t>海丰县</w:t>
            </w:r>
          </w:p>
        </w:tc>
        <w:tc>
          <w:tcPr>
            <w:tcW w:w="709"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1</w:t>
            </w:r>
          </w:p>
        </w:tc>
        <w:tc>
          <w:tcPr>
            <w:tcW w:w="717"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6.20</w:t>
            </w:r>
          </w:p>
        </w:tc>
        <w:tc>
          <w:tcPr>
            <w:tcW w:w="976"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1.86</w:t>
            </w:r>
          </w:p>
        </w:tc>
        <w:tc>
          <w:tcPr>
            <w:tcW w:w="837" w:type="dxa"/>
            <w:shd w:val="clear" w:color="auto" w:fill="auto"/>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30%</w:t>
            </w:r>
          </w:p>
        </w:tc>
        <w:tc>
          <w:tcPr>
            <w:tcW w:w="976" w:type="dxa"/>
            <w:shd w:val="clear" w:color="auto" w:fill="auto"/>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4.34</w:t>
            </w:r>
          </w:p>
        </w:tc>
        <w:tc>
          <w:tcPr>
            <w:tcW w:w="979" w:type="dxa"/>
            <w:shd w:val="clear" w:color="auto" w:fill="auto"/>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70%</w:t>
            </w:r>
          </w:p>
        </w:tc>
        <w:tc>
          <w:tcPr>
            <w:tcW w:w="7981" w:type="dxa"/>
            <w:shd w:val="clear" w:color="000000" w:fill="FFFFFF"/>
            <w:noWrap w:val="0"/>
            <w:vAlign w:val="center"/>
          </w:tcPr>
          <w:p>
            <w:pPr>
              <w:widowControl/>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海城镇（海珠社区、新桥社区、龙门社区、南门社区、新安社区、龙津社区、新城社区、城西社区、城北社区、北门社区、新园社区、云岭社区）；</w:t>
            </w:r>
            <w:r>
              <w:rPr>
                <w:rFonts w:hint="eastAsia" w:ascii="仿宋_GB2312" w:hAnsi="仿宋" w:eastAsia="仿宋_GB2312"/>
                <w:color w:val="auto"/>
                <w:kern w:val="0"/>
                <w:sz w:val="22"/>
                <w:szCs w:val="22"/>
              </w:rPr>
              <w:br w:type="textWrapping"/>
            </w:r>
            <w:r>
              <w:rPr>
                <w:rFonts w:hint="eastAsia" w:ascii="仿宋_GB2312" w:hAnsi="仿宋" w:eastAsia="仿宋_GB2312"/>
                <w:color w:val="auto"/>
                <w:kern w:val="0"/>
                <w:sz w:val="22"/>
                <w:szCs w:val="22"/>
              </w:rPr>
              <w:t>附城镇（南湖社区、中河社区、城南社区、云岭山庄社区、荣山村、荣港村、道山村、圆山村、笏口村、兴洲村、联西村、联河村、青年村）；</w:t>
            </w:r>
            <w:r>
              <w:rPr>
                <w:rFonts w:hint="eastAsia" w:ascii="仿宋_GB2312" w:hAnsi="仿宋" w:eastAsia="仿宋_GB2312"/>
                <w:color w:val="auto"/>
                <w:kern w:val="0"/>
                <w:sz w:val="22"/>
                <w:szCs w:val="22"/>
              </w:rPr>
              <w:br w:type="textWrapping"/>
            </w:r>
            <w:r>
              <w:rPr>
                <w:rFonts w:hint="eastAsia" w:ascii="仿宋_GB2312" w:hAnsi="仿宋" w:eastAsia="仿宋_GB2312"/>
                <w:color w:val="auto"/>
                <w:kern w:val="0"/>
                <w:sz w:val="22"/>
                <w:szCs w:val="22"/>
              </w:rPr>
              <w:t>城东镇（桥东社区、龙山村）；</w:t>
            </w:r>
            <w:r>
              <w:rPr>
                <w:rFonts w:hint="eastAsia" w:ascii="仿宋_GB2312" w:hAnsi="仿宋" w:eastAsia="仿宋_GB2312"/>
                <w:color w:val="auto"/>
                <w:kern w:val="0"/>
                <w:sz w:val="22"/>
                <w:szCs w:val="22"/>
              </w:rPr>
              <w:br w:type="textWrapping"/>
            </w:r>
            <w:r>
              <w:rPr>
                <w:rFonts w:hint="eastAsia" w:ascii="仿宋_GB2312" w:hAnsi="仿宋" w:eastAsia="仿宋_GB2312"/>
                <w:color w:val="auto"/>
                <w:kern w:val="0"/>
                <w:sz w:val="22"/>
                <w:szCs w:val="22"/>
              </w:rPr>
              <w:t>梅陇镇（梅南社区、中兴社区、梅北社区、东兴社区、西兴社区、梅陇村、梅星村、屿岭村、云路村、月池村、东风村、梅西村、永红村）。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3" w:hRule="atLeast"/>
          <w:jc w:val="center"/>
        </w:trPr>
        <w:tc>
          <w:tcPr>
            <w:tcW w:w="920" w:type="dxa"/>
            <w:vMerge w:val="continue"/>
            <w:shd w:val="clear" w:color="auto" w:fill="auto"/>
            <w:noWrap w:val="0"/>
            <w:vAlign w:val="center"/>
          </w:tcPr>
          <w:p>
            <w:pPr>
              <w:widowControl/>
              <w:jc w:val="left"/>
              <w:rPr>
                <w:rFonts w:ascii="仿宋_GB2312" w:hAnsi="Times New Roman" w:eastAsia="仿宋_GB2312"/>
                <w:color w:val="auto"/>
                <w:kern w:val="0"/>
                <w:sz w:val="22"/>
                <w:szCs w:val="22"/>
              </w:rPr>
            </w:pPr>
          </w:p>
        </w:tc>
        <w:tc>
          <w:tcPr>
            <w:tcW w:w="709"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w:t>
            </w:r>
          </w:p>
        </w:tc>
        <w:tc>
          <w:tcPr>
            <w:tcW w:w="717"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5.33</w:t>
            </w:r>
          </w:p>
        </w:tc>
        <w:tc>
          <w:tcPr>
            <w:tcW w:w="976"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1.60</w:t>
            </w:r>
          </w:p>
        </w:tc>
        <w:tc>
          <w:tcPr>
            <w:tcW w:w="837" w:type="dxa"/>
            <w:shd w:val="clear" w:color="auto" w:fill="auto"/>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30%</w:t>
            </w:r>
          </w:p>
        </w:tc>
        <w:tc>
          <w:tcPr>
            <w:tcW w:w="976"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3.73</w:t>
            </w:r>
          </w:p>
        </w:tc>
        <w:tc>
          <w:tcPr>
            <w:tcW w:w="979" w:type="dxa"/>
            <w:shd w:val="clear" w:color="auto" w:fill="auto"/>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70%</w:t>
            </w:r>
          </w:p>
        </w:tc>
        <w:tc>
          <w:tcPr>
            <w:tcW w:w="7981" w:type="dxa"/>
            <w:shd w:val="clear" w:color="000000" w:fill="FFFFFF"/>
            <w:noWrap w:val="0"/>
            <w:vAlign w:val="center"/>
          </w:tcPr>
          <w:p>
            <w:pPr>
              <w:widowControl/>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海城镇（总寮社区、莲光村、桂望村、莲花村、召贡村、新望村、南垭村、万中村、埔仔村、长埔村）；附城镇（新东村、新北村、新南村、池口村、新山村）；城东镇（安东村、新江村、赤山村、东园村、关东村、名园村、台东村、汀洲村、梓里村、后塘村、后林村、河中村、圆墩村、北平村、大嶂村）；梅陇镇（银液村、银丰村、水踏村、梅联村、石南村、新兴村、南山村、联平村、高中村、石安村、梅陇镇镇政府、红阳村、梅尖村、东家亚村、仓兜村、东联村、东港村、梅东村、竹符村、联兴村、石洲村、新寮村、围湖村、新渔村）；大湖镇（石牌社区、高螺村、新德村、山脚村）；公平镇（所有行政村、社区）；可塘镇（所有行政村、社区）；联安镇（所有行政村、社区）；陶河镇（所有行政村、社区）；赤坑镇（所有行政村、社区）；</w:t>
            </w:r>
            <w:r>
              <w:rPr>
                <w:rFonts w:hint="eastAsia" w:ascii="仿宋_GB2312" w:hAnsi="仿宋" w:eastAsia="仿宋_GB2312"/>
                <w:color w:val="auto"/>
                <w:kern w:val="0"/>
                <w:sz w:val="22"/>
                <w:szCs w:val="22"/>
              </w:rPr>
              <w:br w:type="textWrapping"/>
            </w:r>
            <w:r>
              <w:rPr>
                <w:rFonts w:hint="eastAsia" w:ascii="仿宋_GB2312" w:hAnsi="仿宋" w:eastAsia="仿宋_GB2312"/>
                <w:color w:val="auto"/>
                <w:kern w:val="0"/>
                <w:sz w:val="22"/>
                <w:szCs w:val="22"/>
              </w:rPr>
              <w:t>梅陇农场（所有行政村、社区）；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20" w:type="dxa"/>
            <w:vMerge w:val="continue"/>
            <w:shd w:val="clear" w:color="auto" w:fill="auto"/>
            <w:noWrap w:val="0"/>
            <w:vAlign w:val="center"/>
          </w:tcPr>
          <w:p>
            <w:pPr>
              <w:widowControl/>
              <w:jc w:val="left"/>
              <w:rPr>
                <w:rFonts w:ascii="仿宋_GB2312" w:hAnsi="Times New Roman" w:eastAsia="仿宋_GB2312"/>
                <w:color w:val="auto"/>
                <w:kern w:val="0"/>
                <w:sz w:val="22"/>
                <w:szCs w:val="22"/>
              </w:rPr>
            </w:pPr>
          </w:p>
        </w:tc>
        <w:tc>
          <w:tcPr>
            <w:tcW w:w="709"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w:t>
            </w:r>
          </w:p>
        </w:tc>
        <w:tc>
          <w:tcPr>
            <w:tcW w:w="717"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4.13</w:t>
            </w:r>
          </w:p>
        </w:tc>
        <w:tc>
          <w:tcPr>
            <w:tcW w:w="976" w:type="dxa"/>
            <w:shd w:val="clear" w:color="auto" w:fill="auto"/>
            <w:noWrap/>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1.24</w:t>
            </w:r>
          </w:p>
        </w:tc>
        <w:tc>
          <w:tcPr>
            <w:tcW w:w="837" w:type="dxa"/>
            <w:shd w:val="clear" w:color="auto" w:fill="auto"/>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30%</w:t>
            </w:r>
          </w:p>
        </w:tc>
        <w:tc>
          <w:tcPr>
            <w:tcW w:w="976" w:type="dxa"/>
            <w:shd w:val="clear" w:color="auto" w:fill="auto"/>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2.89</w:t>
            </w:r>
          </w:p>
        </w:tc>
        <w:tc>
          <w:tcPr>
            <w:tcW w:w="979" w:type="dxa"/>
            <w:shd w:val="clear" w:color="auto" w:fill="auto"/>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70%</w:t>
            </w:r>
          </w:p>
        </w:tc>
        <w:tc>
          <w:tcPr>
            <w:tcW w:w="7981" w:type="dxa"/>
            <w:shd w:val="clear" w:color="000000" w:fill="FFFFFF"/>
            <w:noWrap w:val="0"/>
            <w:vAlign w:val="center"/>
          </w:tcPr>
          <w:p>
            <w:pPr>
              <w:widowControl/>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大湖镇（新置村、湖仔村）；黄羌镇（所有行政村、社区）；平东镇（所有行政村、社区）；黄羌林场（所有行政村、社区）。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0" w:type="dxa"/>
            <w:vMerge w:val="restart"/>
            <w:noWrap w:val="0"/>
            <w:vAlign w:val="center"/>
          </w:tcPr>
          <w:p>
            <w:pPr>
              <w:widowControl/>
              <w:jc w:val="center"/>
              <w:rPr>
                <w:rFonts w:ascii="仿宋_GB2312" w:hAnsi="Times New Roman" w:eastAsia="仿宋_GB2312"/>
                <w:color w:val="auto"/>
                <w:kern w:val="0"/>
                <w:sz w:val="22"/>
                <w:szCs w:val="22"/>
              </w:rPr>
            </w:pPr>
            <w:r>
              <w:rPr>
                <w:rFonts w:hint="eastAsia" w:ascii="仿宋_GB2312" w:hAnsi="黑体" w:eastAsia="仿宋_GB2312"/>
                <w:color w:val="auto"/>
                <w:kern w:val="0"/>
                <w:sz w:val="22"/>
                <w:szCs w:val="22"/>
              </w:rPr>
              <w:t>陆丰市</w:t>
            </w:r>
          </w:p>
        </w:tc>
        <w:tc>
          <w:tcPr>
            <w:tcW w:w="70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1</w:t>
            </w:r>
          </w:p>
        </w:tc>
        <w:tc>
          <w:tcPr>
            <w:tcW w:w="71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 xml:space="preserve">5.27 </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 xml:space="preserve">2.635 </w:t>
            </w:r>
          </w:p>
        </w:tc>
        <w:tc>
          <w:tcPr>
            <w:tcW w:w="83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 xml:space="preserve">2.635 </w:t>
            </w:r>
          </w:p>
        </w:tc>
        <w:tc>
          <w:tcPr>
            <w:tcW w:w="97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7981" w:type="dxa"/>
            <w:noWrap w:val="0"/>
            <w:vAlign w:val="center"/>
          </w:tcPr>
          <w:p>
            <w:pPr>
              <w:widowControl/>
              <w:jc w:val="left"/>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东海镇（所有行政村）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20" w:type="dxa"/>
            <w:vMerge w:val="continue"/>
            <w:noWrap w:val="0"/>
            <w:vAlign w:val="center"/>
          </w:tcPr>
          <w:p>
            <w:pPr>
              <w:widowControl/>
              <w:jc w:val="left"/>
              <w:rPr>
                <w:rFonts w:ascii="仿宋_GB2312" w:hAnsi="Times New Roman" w:eastAsia="仿宋_GB2312"/>
                <w:color w:val="auto"/>
                <w:kern w:val="0"/>
                <w:sz w:val="22"/>
                <w:szCs w:val="22"/>
              </w:rPr>
            </w:pPr>
          </w:p>
        </w:tc>
        <w:tc>
          <w:tcPr>
            <w:tcW w:w="70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w:t>
            </w:r>
          </w:p>
        </w:tc>
        <w:tc>
          <w:tcPr>
            <w:tcW w:w="71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 xml:space="preserve">4.61 </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 xml:space="preserve">2.305 </w:t>
            </w:r>
          </w:p>
        </w:tc>
        <w:tc>
          <w:tcPr>
            <w:tcW w:w="83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 xml:space="preserve">2.305 </w:t>
            </w:r>
          </w:p>
        </w:tc>
        <w:tc>
          <w:tcPr>
            <w:tcW w:w="97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7981" w:type="dxa"/>
            <w:noWrap w:val="0"/>
            <w:vAlign w:val="center"/>
          </w:tcPr>
          <w:p>
            <w:pPr>
              <w:widowControl/>
              <w:jc w:val="left"/>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甲子镇（所有行政村）、碣石镇（所有行政村）、南塘镇（所有行政村）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920" w:type="dxa"/>
            <w:vMerge w:val="continue"/>
            <w:noWrap w:val="0"/>
            <w:vAlign w:val="center"/>
          </w:tcPr>
          <w:p>
            <w:pPr>
              <w:widowControl/>
              <w:jc w:val="left"/>
              <w:rPr>
                <w:rFonts w:ascii="仿宋_GB2312" w:hAnsi="Times New Roman" w:eastAsia="仿宋_GB2312"/>
                <w:color w:val="auto"/>
                <w:kern w:val="0"/>
                <w:sz w:val="22"/>
                <w:szCs w:val="22"/>
              </w:rPr>
            </w:pPr>
          </w:p>
        </w:tc>
        <w:tc>
          <w:tcPr>
            <w:tcW w:w="70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w:t>
            </w:r>
          </w:p>
        </w:tc>
        <w:tc>
          <w:tcPr>
            <w:tcW w:w="71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 xml:space="preserve">3.96 </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 xml:space="preserve">1.98 </w:t>
            </w:r>
          </w:p>
        </w:tc>
        <w:tc>
          <w:tcPr>
            <w:tcW w:w="83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 xml:space="preserve">1.98 </w:t>
            </w:r>
          </w:p>
        </w:tc>
        <w:tc>
          <w:tcPr>
            <w:tcW w:w="97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7981" w:type="dxa"/>
            <w:noWrap w:val="0"/>
            <w:vAlign w:val="center"/>
          </w:tcPr>
          <w:p>
            <w:pPr>
              <w:widowControl/>
              <w:jc w:val="left"/>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八万镇（所有行政村）、陂洋镇（所有行政村）、博美镇（所有行政村）、城东镇（所有行政村）、畜牧果林场（所有行政村）、大安农场（所有行政村）、大安镇（所有行政村）、东海岸林场（所有行政村）、河东镇（所有行政村）、河西镇（所有行政村）、红岭林场（所有行政村）、湖东林场（所有行政村）、湖东镇（所有行政村）、甲东镇（所有行政村）、甲西镇（所有行政村）、金厢镇（所有行政村）、罗经嶂林场（所有行政村）、内湖镇（所有行政村）、桥冲镇（所有行政村）、上英镇（所有行政村）、潭西镇（所有行政村）、铜锣湖农场（所有行政村）、西南镇（所有行政村）、星都经济开发区（所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0" w:type="dxa"/>
            <w:vMerge w:val="restart"/>
            <w:noWrap w:val="0"/>
            <w:vAlign w:val="center"/>
          </w:tcPr>
          <w:p>
            <w:pPr>
              <w:widowControl/>
              <w:jc w:val="center"/>
              <w:rPr>
                <w:rFonts w:ascii="仿宋_GB2312" w:hAnsi="Times New Roman" w:eastAsia="仿宋_GB2312"/>
                <w:color w:val="auto"/>
                <w:kern w:val="0"/>
                <w:sz w:val="22"/>
                <w:szCs w:val="22"/>
              </w:rPr>
            </w:pPr>
            <w:r>
              <w:rPr>
                <w:rFonts w:hint="eastAsia" w:ascii="仿宋_GB2312" w:hAnsi="黑体" w:eastAsia="仿宋_GB2312"/>
                <w:color w:val="auto"/>
                <w:kern w:val="0"/>
                <w:sz w:val="22"/>
                <w:szCs w:val="22"/>
              </w:rPr>
              <w:t>陆河县</w:t>
            </w:r>
          </w:p>
        </w:tc>
        <w:tc>
          <w:tcPr>
            <w:tcW w:w="70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1</w:t>
            </w:r>
          </w:p>
        </w:tc>
        <w:tc>
          <w:tcPr>
            <w:tcW w:w="71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5.74</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2.87</w:t>
            </w:r>
          </w:p>
        </w:tc>
        <w:tc>
          <w:tcPr>
            <w:tcW w:w="83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2.87</w:t>
            </w:r>
          </w:p>
        </w:tc>
        <w:tc>
          <w:tcPr>
            <w:tcW w:w="97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7981" w:type="dxa"/>
            <w:noWrap w:val="0"/>
            <w:vAlign w:val="center"/>
          </w:tcPr>
          <w:p>
            <w:pPr>
              <w:widowControl/>
              <w:jc w:val="left"/>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河田镇（所有行政村）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vMerge w:val="continue"/>
            <w:noWrap w:val="0"/>
            <w:vAlign w:val="center"/>
          </w:tcPr>
          <w:p>
            <w:pPr>
              <w:widowControl/>
              <w:jc w:val="left"/>
              <w:rPr>
                <w:rFonts w:ascii="仿宋_GB2312" w:hAnsi="Times New Roman" w:eastAsia="仿宋_GB2312"/>
                <w:color w:val="auto"/>
                <w:kern w:val="0"/>
                <w:sz w:val="22"/>
                <w:szCs w:val="22"/>
              </w:rPr>
            </w:pPr>
          </w:p>
        </w:tc>
        <w:tc>
          <w:tcPr>
            <w:tcW w:w="70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w:t>
            </w:r>
          </w:p>
        </w:tc>
        <w:tc>
          <w:tcPr>
            <w:tcW w:w="71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4.07</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2.035</w:t>
            </w:r>
          </w:p>
        </w:tc>
        <w:tc>
          <w:tcPr>
            <w:tcW w:w="83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2.035</w:t>
            </w:r>
          </w:p>
        </w:tc>
        <w:tc>
          <w:tcPr>
            <w:tcW w:w="97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7981" w:type="dxa"/>
            <w:noWrap w:val="0"/>
            <w:vAlign w:val="center"/>
          </w:tcPr>
          <w:p>
            <w:pPr>
              <w:widowControl/>
              <w:jc w:val="left"/>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水唇镇（所有行政村）、河口镇（所有行政村）、新田镇（所有行政村）、东坑镇（所有行政村）、上护镇（所有行政村）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0" w:type="dxa"/>
            <w:vMerge w:val="continue"/>
            <w:noWrap w:val="0"/>
            <w:vAlign w:val="center"/>
          </w:tcPr>
          <w:p>
            <w:pPr>
              <w:widowControl/>
              <w:jc w:val="left"/>
              <w:rPr>
                <w:rFonts w:ascii="仿宋_GB2312" w:hAnsi="Times New Roman" w:eastAsia="仿宋_GB2312"/>
                <w:color w:val="auto"/>
                <w:kern w:val="0"/>
                <w:sz w:val="22"/>
                <w:szCs w:val="22"/>
              </w:rPr>
            </w:pPr>
          </w:p>
        </w:tc>
        <w:tc>
          <w:tcPr>
            <w:tcW w:w="70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w:t>
            </w:r>
          </w:p>
        </w:tc>
        <w:tc>
          <w:tcPr>
            <w:tcW w:w="71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3.68</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1.84</w:t>
            </w:r>
          </w:p>
        </w:tc>
        <w:tc>
          <w:tcPr>
            <w:tcW w:w="837"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976"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1.84</w:t>
            </w:r>
          </w:p>
        </w:tc>
        <w:tc>
          <w:tcPr>
            <w:tcW w:w="979" w:type="dxa"/>
            <w:noWrap w:val="0"/>
            <w:vAlign w:val="center"/>
          </w:tcPr>
          <w:p>
            <w:pPr>
              <w:widowControl/>
              <w:jc w:val="center"/>
              <w:rPr>
                <w:rFonts w:ascii="仿宋_GB2312" w:hAnsi="Times New Roman" w:eastAsia="仿宋_GB2312"/>
                <w:color w:val="auto"/>
                <w:kern w:val="0"/>
                <w:sz w:val="22"/>
                <w:szCs w:val="22"/>
              </w:rPr>
            </w:pPr>
            <w:r>
              <w:rPr>
                <w:rFonts w:hint="eastAsia" w:ascii="仿宋_GB2312" w:hAnsi="Times New Roman" w:eastAsia="仿宋_GB2312"/>
                <w:color w:val="auto"/>
                <w:kern w:val="0"/>
                <w:sz w:val="22"/>
                <w:szCs w:val="22"/>
              </w:rPr>
              <w:t>50%</w:t>
            </w:r>
          </w:p>
        </w:tc>
        <w:tc>
          <w:tcPr>
            <w:tcW w:w="7981" w:type="dxa"/>
            <w:noWrap w:val="0"/>
            <w:vAlign w:val="center"/>
          </w:tcPr>
          <w:p>
            <w:pPr>
              <w:widowControl/>
              <w:jc w:val="left"/>
              <w:rPr>
                <w:rFonts w:ascii="仿宋_GB2312" w:hAnsi="Times New Roman" w:eastAsia="仿宋_GB2312"/>
                <w:color w:val="auto"/>
                <w:kern w:val="0"/>
                <w:sz w:val="22"/>
                <w:szCs w:val="22"/>
              </w:rPr>
            </w:pPr>
            <w:r>
              <w:rPr>
                <w:rFonts w:hint="eastAsia" w:ascii="仿宋_GB2312" w:hAnsi="仿宋" w:eastAsia="仿宋_GB2312"/>
                <w:color w:val="auto"/>
                <w:kern w:val="0"/>
                <w:sz w:val="22"/>
                <w:szCs w:val="22"/>
              </w:rPr>
              <w:t>螺溪镇（所有行政村）、南万镇（所有行政村）</w:t>
            </w:r>
          </w:p>
        </w:tc>
      </w:tr>
    </w:tbl>
    <w:p>
      <w:pPr>
        <w:rPr>
          <w:rFonts w:ascii="仿宋" w:hAnsi="仿宋" w:eastAsia="仿宋" w:cs="仿宋"/>
          <w:color w:val="auto"/>
          <w:sz w:val="22"/>
        </w:rPr>
      </w:pPr>
      <w:r>
        <w:rPr>
          <w:rFonts w:hint="eastAsia" w:ascii="仿宋" w:hAnsi="仿宋" w:eastAsia="仿宋" w:cs="仿宋"/>
          <w:color w:val="auto"/>
          <w:sz w:val="22"/>
        </w:rPr>
        <w:t>注：1.全市统一设定林地调节系数0.45；</w:t>
      </w:r>
    </w:p>
    <w:p>
      <w:pPr>
        <w:ind w:firstLine="440" w:firstLineChars="200"/>
        <w:rPr>
          <w:rFonts w:ascii="仿宋" w:hAnsi="仿宋" w:eastAsia="仿宋" w:cs="仿宋"/>
          <w:color w:val="auto"/>
          <w:sz w:val="22"/>
        </w:rPr>
      </w:pPr>
      <w:r>
        <w:rPr>
          <w:rFonts w:hint="eastAsia" w:ascii="仿宋" w:hAnsi="仿宋" w:eastAsia="仿宋" w:cs="仿宋"/>
          <w:color w:val="auto"/>
          <w:sz w:val="22"/>
        </w:rPr>
        <w:t>2.征收建设用地参照征收农用地区片综合地价执行；</w:t>
      </w:r>
    </w:p>
    <w:p>
      <w:pPr>
        <w:ind w:firstLine="440" w:firstLineChars="200"/>
        <w:rPr>
          <w:color w:val="auto"/>
        </w:rPr>
      </w:pPr>
      <w:r>
        <w:rPr>
          <w:rFonts w:hint="eastAsia" w:ascii="仿宋" w:hAnsi="仿宋" w:eastAsia="仿宋" w:cs="仿宋"/>
          <w:color w:val="auto"/>
          <w:sz w:val="22"/>
        </w:rPr>
        <w:t>3.征收未利用地参照征收农用地区片综合地价设定调节系数0.4执行。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sectPr>
          <w:pgSz w:w="16838" w:h="11906" w:orient="landscape"/>
          <w:pgMar w:top="1587" w:right="2098" w:bottom="1587" w:left="1928" w:header="851" w:footer="992" w:gutter="0"/>
          <w:cols w:space="0" w:num="1"/>
          <w:rtlGutter w:val="0"/>
          <w:docGrid w:type="lines" w:linePitch="312" w:charSpace="0"/>
        </w:sectPr>
      </w:pPr>
    </w:p>
    <w:p>
      <w:pPr>
        <w:pStyle w:val="6"/>
        <w:bidi w:val="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tbl>
      <w:tblPr>
        <w:tblStyle w:val="3"/>
        <w:tblW w:w="11250"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33"/>
        <w:gridCol w:w="762"/>
        <w:gridCol w:w="3057"/>
        <w:gridCol w:w="1075"/>
        <w:gridCol w:w="1360"/>
        <w:gridCol w:w="28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6" w:hRule="atLeast"/>
          <w:tblCellSpacing w:w="15" w:type="dxa"/>
          <w:jc w:val="center"/>
        </w:trPr>
        <w:tc>
          <w:tcPr>
            <w:tcW w:w="11190" w:type="dxa"/>
            <w:gridSpan w:val="6"/>
            <w:shd w:val="clear" w:color="auto" w:fill="FFFFFF"/>
            <w:vAlign w:val="center"/>
          </w:tcPr>
          <w:p>
            <w:pPr>
              <w:jc w:val="center"/>
              <w:rPr>
                <w:rFonts w:hint="default"/>
                <w:color w:val="auto"/>
                <w:lang w:val="en-US" w:eastAsia="zh-CN"/>
              </w:rPr>
            </w:pPr>
            <w:r>
              <w:rPr>
                <w:rFonts w:hint="default"/>
                <w:b/>
                <w:bCs/>
                <w:color w:val="auto"/>
                <w:sz w:val="32"/>
                <w:szCs w:val="40"/>
                <w:lang w:val="en-US" w:eastAsia="zh-CN"/>
              </w:rPr>
              <w:t>陆河县征地青苗补偿标准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6"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项目种类</w:t>
            </w:r>
          </w:p>
        </w:tc>
        <w:tc>
          <w:tcPr>
            <w:tcW w:w="3789" w:type="dxa"/>
            <w:gridSpan w:val="2"/>
            <w:shd w:val="clear" w:color="auto" w:fill="FFFFFF"/>
            <w:vAlign w:val="center"/>
          </w:tcPr>
          <w:p>
            <w:pPr>
              <w:jc w:val="center"/>
              <w:rPr>
                <w:rFonts w:hint="default"/>
                <w:color w:val="auto"/>
                <w:lang w:val="en-US" w:eastAsia="zh-CN"/>
              </w:rPr>
            </w:pPr>
            <w:r>
              <w:rPr>
                <w:rFonts w:hint="default"/>
                <w:color w:val="auto"/>
                <w:lang w:val="en-US" w:eastAsia="zh-CN"/>
              </w:rPr>
              <w:t>规格</w:t>
            </w:r>
          </w:p>
        </w:tc>
        <w:tc>
          <w:tcPr>
            <w:tcW w:w="2405" w:type="dxa"/>
            <w:gridSpan w:val="2"/>
            <w:shd w:val="clear" w:color="auto" w:fill="FFFFFF"/>
            <w:vAlign w:val="center"/>
          </w:tcPr>
          <w:p>
            <w:pPr>
              <w:jc w:val="center"/>
              <w:rPr>
                <w:rFonts w:hint="default"/>
                <w:color w:val="auto"/>
                <w:lang w:val="en-US" w:eastAsia="zh-CN"/>
              </w:rPr>
            </w:pPr>
            <w:r>
              <w:rPr>
                <w:rFonts w:hint="default"/>
                <w:color w:val="auto"/>
                <w:lang w:val="en-US" w:eastAsia="zh-CN"/>
              </w:rPr>
              <w:t>单价（元）</w:t>
            </w:r>
          </w:p>
        </w:tc>
        <w:tc>
          <w:tcPr>
            <w:tcW w:w="2818" w:type="dxa"/>
            <w:vMerge w:val="restart"/>
            <w:shd w:val="clear" w:color="auto" w:fill="FFFFFF"/>
            <w:vAlign w:val="center"/>
          </w:tcPr>
          <w:p>
            <w:pPr>
              <w:jc w:val="center"/>
              <w:rPr>
                <w:rFonts w:hint="default"/>
                <w:color w:val="auto"/>
                <w:lang w:val="en-US" w:eastAsia="zh-CN"/>
              </w:rPr>
            </w:pPr>
            <w:r>
              <w:rPr>
                <w:rFonts w:hint="default"/>
                <w:color w:val="auto"/>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6"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划分标准</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株价</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亩价</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shd w:val="clear" w:color="auto" w:fill="FFFFFF"/>
            <w:vAlign w:val="center"/>
          </w:tcPr>
          <w:p>
            <w:pPr>
              <w:jc w:val="center"/>
              <w:rPr>
                <w:rFonts w:hint="default"/>
                <w:color w:val="auto"/>
                <w:lang w:val="en-US" w:eastAsia="zh-CN"/>
              </w:rPr>
            </w:pPr>
            <w:r>
              <w:rPr>
                <w:rFonts w:hint="default"/>
                <w:color w:val="auto"/>
                <w:lang w:val="en-US" w:eastAsia="zh-CN"/>
              </w:rPr>
              <w:t>水稻、番薯、</w:t>
            </w:r>
            <w:r>
              <w:rPr>
                <w:rFonts w:hint="default"/>
                <w:color w:val="auto"/>
                <w:lang w:val="en-US" w:eastAsia="zh-CN"/>
              </w:rPr>
              <w:br w:type="textWrapping"/>
            </w:r>
            <w:r>
              <w:rPr>
                <w:rFonts w:hint="default"/>
                <w:color w:val="auto"/>
                <w:lang w:val="en-US" w:eastAsia="zh-CN"/>
              </w:rPr>
              <w:t>花生、玉米等作物</w:t>
            </w:r>
          </w:p>
        </w:tc>
        <w:tc>
          <w:tcPr>
            <w:tcW w:w="732" w:type="dxa"/>
            <w:shd w:val="clear" w:color="auto" w:fill="FFFFFF"/>
            <w:vAlign w:val="center"/>
          </w:tcPr>
          <w:p>
            <w:pPr>
              <w:jc w:val="center"/>
              <w:rPr>
                <w:rFonts w:hint="default"/>
                <w:color w:val="auto"/>
                <w:lang w:val="en-US" w:eastAsia="zh-CN"/>
              </w:rPr>
            </w:pP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根据生长情况适当补偿</w:t>
            </w:r>
          </w:p>
        </w:tc>
        <w:tc>
          <w:tcPr>
            <w:tcW w:w="1045" w:type="dxa"/>
            <w:shd w:val="clear" w:color="auto" w:fill="FFFFFF"/>
            <w:vAlign w:val="center"/>
          </w:tcPr>
          <w:p>
            <w:pPr>
              <w:jc w:val="center"/>
              <w:rPr>
                <w:rFonts w:hint="default"/>
                <w:color w:val="auto"/>
                <w:lang w:val="en-US" w:eastAsia="zh-CN"/>
              </w:rPr>
            </w:pP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800－1000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每亩最高</w:t>
            </w:r>
            <w:r>
              <w:rPr>
                <w:rFonts w:hint="default"/>
                <w:color w:val="auto"/>
                <w:lang w:val="en-US" w:eastAsia="zh-CN"/>
              </w:rPr>
              <w:br w:type="textWrapping"/>
            </w:r>
            <w:r>
              <w:rPr>
                <w:rFonts w:hint="default"/>
                <w:color w:val="auto"/>
                <w:lang w:val="en-US" w:eastAsia="zh-CN"/>
              </w:rPr>
              <w:t>不超过1000元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shd w:val="clear" w:color="auto" w:fill="FFFFFF"/>
            <w:vAlign w:val="center"/>
          </w:tcPr>
          <w:p>
            <w:pPr>
              <w:jc w:val="center"/>
              <w:rPr>
                <w:rFonts w:hint="default"/>
                <w:color w:val="auto"/>
                <w:lang w:val="en-US" w:eastAsia="zh-CN"/>
              </w:rPr>
            </w:pPr>
            <w:r>
              <w:rPr>
                <w:rFonts w:hint="default"/>
                <w:color w:val="auto"/>
                <w:lang w:val="en-US" w:eastAsia="zh-CN"/>
              </w:rPr>
              <w:t>甘蔗、蔬菜、莲藕、</w:t>
            </w:r>
            <w:r>
              <w:rPr>
                <w:rFonts w:hint="default"/>
                <w:color w:val="auto"/>
                <w:lang w:val="en-US" w:eastAsia="zh-CN"/>
              </w:rPr>
              <w:br w:type="textWrapping"/>
            </w:r>
            <w:r>
              <w:rPr>
                <w:rFonts w:hint="default"/>
                <w:color w:val="auto"/>
                <w:lang w:val="en-US" w:eastAsia="zh-CN"/>
              </w:rPr>
              <w:t>芋头、瓜果类等作物</w:t>
            </w:r>
          </w:p>
        </w:tc>
        <w:tc>
          <w:tcPr>
            <w:tcW w:w="732" w:type="dxa"/>
            <w:shd w:val="clear" w:color="auto" w:fill="FFFFFF"/>
            <w:vAlign w:val="center"/>
          </w:tcPr>
          <w:p>
            <w:pPr>
              <w:jc w:val="center"/>
              <w:rPr>
                <w:rFonts w:hint="default"/>
                <w:color w:val="auto"/>
                <w:lang w:val="en-US" w:eastAsia="zh-CN"/>
              </w:rPr>
            </w:pP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根据生长情况适当补偿</w:t>
            </w:r>
          </w:p>
        </w:tc>
        <w:tc>
          <w:tcPr>
            <w:tcW w:w="1045" w:type="dxa"/>
            <w:shd w:val="clear" w:color="auto" w:fill="FFFFFF"/>
            <w:vAlign w:val="center"/>
          </w:tcPr>
          <w:p>
            <w:pPr>
              <w:jc w:val="center"/>
              <w:rPr>
                <w:rFonts w:hint="default"/>
                <w:color w:val="auto"/>
                <w:lang w:val="en-US" w:eastAsia="zh-CN"/>
              </w:rPr>
            </w:pP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2000－2500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每亩最高</w:t>
            </w:r>
            <w:r>
              <w:rPr>
                <w:rFonts w:hint="default"/>
                <w:color w:val="auto"/>
                <w:lang w:val="en-US" w:eastAsia="zh-CN"/>
              </w:rPr>
              <w:br w:type="textWrapping"/>
            </w:r>
            <w:r>
              <w:rPr>
                <w:rFonts w:hint="default"/>
                <w:color w:val="auto"/>
                <w:lang w:val="en-US" w:eastAsia="zh-CN"/>
              </w:rPr>
              <w:t>不超过2500元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香蕉</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种植时间在10个月以上、</w:t>
            </w:r>
            <w:r>
              <w:rPr>
                <w:rFonts w:hint="default"/>
                <w:color w:val="auto"/>
                <w:lang w:val="en-US" w:eastAsia="zh-CN"/>
              </w:rPr>
              <w:br w:type="textWrapping"/>
            </w:r>
            <w:r>
              <w:rPr>
                <w:rFonts w:hint="default"/>
                <w:color w:val="auto"/>
                <w:lang w:val="en-US" w:eastAsia="zh-CN"/>
              </w:rPr>
              <w:t>高度1.5米以上</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30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4000</w:t>
            </w:r>
          </w:p>
        </w:tc>
        <w:tc>
          <w:tcPr>
            <w:tcW w:w="281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每亩最多</w:t>
            </w:r>
            <w:r>
              <w:rPr>
                <w:rFonts w:hint="default"/>
                <w:color w:val="auto"/>
                <w:lang w:val="en-US" w:eastAsia="zh-CN"/>
              </w:rPr>
              <w:br w:type="textWrapping"/>
            </w:r>
            <w:r>
              <w:rPr>
                <w:rFonts w:hint="default"/>
                <w:color w:val="auto"/>
                <w:lang w:val="en-US" w:eastAsia="zh-CN"/>
              </w:rPr>
              <w:t>不超过133株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种植时间在7至10个月以内、</w:t>
            </w:r>
            <w:r>
              <w:rPr>
                <w:rFonts w:hint="default"/>
                <w:color w:val="auto"/>
                <w:lang w:val="en-US" w:eastAsia="zh-CN"/>
              </w:rPr>
              <w:br w:type="textWrapping"/>
            </w:r>
            <w:r>
              <w:rPr>
                <w:rFonts w:hint="default"/>
                <w:color w:val="auto"/>
                <w:lang w:val="en-US" w:eastAsia="zh-CN"/>
              </w:rPr>
              <w:t>高度1至1.5米以内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25</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3325</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种植时间在3至7个月以内、</w:t>
            </w:r>
            <w:r>
              <w:rPr>
                <w:rFonts w:hint="default"/>
                <w:color w:val="auto"/>
                <w:lang w:val="en-US" w:eastAsia="zh-CN"/>
              </w:rPr>
              <w:br w:type="textWrapping"/>
            </w:r>
            <w:r>
              <w:rPr>
                <w:rFonts w:hint="default"/>
                <w:color w:val="auto"/>
                <w:lang w:val="en-US" w:eastAsia="zh-CN"/>
              </w:rPr>
              <w:t>高度0.6至1米以内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20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2660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幼苗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种植时间在3个月以内、</w:t>
            </w:r>
            <w:r>
              <w:rPr>
                <w:rFonts w:hint="default"/>
                <w:color w:val="auto"/>
                <w:lang w:val="en-US" w:eastAsia="zh-CN"/>
              </w:rPr>
              <w:br w:type="textWrapping"/>
            </w:r>
            <w:r>
              <w:rPr>
                <w:rFonts w:hint="default"/>
                <w:color w:val="auto"/>
                <w:lang w:val="en-US" w:eastAsia="zh-CN"/>
              </w:rPr>
              <w:t>高度0.6米以下</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1330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梅、李、桃、</w:t>
            </w:r>
            <w:r>
              <w:rPr>
                <w:rFonts w:hint="default"/>
                <w:color w:val="auto"/>
                <w:lang w:val="en-US" w:eastAsia="zh-CN"/>
              </w:rPr>
              <w:br w:type="textWrapping"/>
            </w:r>
            <w:r>
              <w:rPr>
                <w:rFonts w:hint="default"/>
                <w:color w:val="auto"/>
                <w:lang w:val="en-US" w:eastAsia="zh-CN"/>
              </w:rPr>
              <w:t>番石榴等果树</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特大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种植时间在10年以上、</w:t>
            </w:r>
            <w:r>
              <w:rPr>
                <w:rFonts w:hint="default"/>
                <w:color w:val="auto"/>
                <w:lang w:val="en-US" w:eastAsia="zh-CN"/>
              </w:rPr>
              <w:br w:type="textWrapping"/>
            </w:r>
            <w:r>
              <w:rPr>
                <w:rFonts w:hint="default"/>
                <w:color w:val="auto"/>
                <w:lang w:val="en-US" w:eastAsia="zh-CN"/>
              </w:rPr>
              <w:t>高度2米以上</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150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9000</w:t>
            </w:r>
          </w:p>
        </w:tc>
        <w:tc>
          <w:tcPr>
            <w:tcW w:w="281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每亩最多</w:t>
            </w:r>
            <w:r>
              <w:rPr>
                <w:rFonts w:hint="default"/>
                <w:color w:val="auto"/>
                <w:lang w:val="en-US" w:eastAsia="zh-CN"/>
              </w:rPr>
              <w:br w:type="textWrapping"/>
            </w:r>
            <w:r>
              <w:rPr>
                <w:rFonts w:hint="default"/>
                <w:color w:val="auto"/>
                <w:lang w:val="en-US" w:eastAsia="zh-CN"/>
              </w:rPr>
              <w:t>不超过60株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种植时间在3年至10年以内、</w:t>
            </w:r>
            <w:r>
              <w:rPr>
                <w:rFonts w:hint="default"/>
                <w:color w:val="auto"/>
                <w:lang w:val="en-US" w:eastAsia="zh-CN"/>
              </w:rPr>
              <w:br w:type="textWrapping"/>
            </w:r>
            <w:r>
              <w:rPr>
                <w:rFonts w:hint="default"/>
                <w:color w:val="auto"/>
                <w:lang w:val="en-US" w:eastAsia="zh-CN"/>
              </w:rPr>
              <w:t>高度1.5至2米以内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90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5400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种植时间在1年至3年以内、</w:t>
            </w:r>
            <w:r>
              <w:rPr>
                <w:rFonts w:hint="default"/>
                <w:color w:val="auto"/>
                <w:lang w:val="en-US" w:eastAsia="zh-CN"/>
              </w:rPr>
              <w:br w:type="textWrapping"/>
            </w:r>
            <w:r>
              <w:rPr>
                <w:rFonts w:hint="default"/>
                <w:color w:val="auto"/>
                <w:lang w:val="en-US" w:eastAsia="zh-CN"/>
              </w:rPr>
              <w:t>高度0.8至1.5米以内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50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3000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种植时间在1年以内、</w:t>
            </w:r>
            <w:r>
              <w:rPr>
                <w:rFonts w:hint="default"/>
                <w:color w:val="auto"/>
                <w:lang w:val="en-US" w:eastAsia="zh-CN"/>
              </w:rPr>
              <w:br w:type="textWrapping"/>
            </w:r>
            <w:r>
              <w:rPr>
                <w:rFonts w:hint="default"/>
                <w:color w:val="auto"/>
                <w:lang w:val="en-US" w:eastAsia="zh-CN"/>
              </w:rPr>
              <w:t>高度0.8米以下</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20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1200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龙眼、荔枝、芒果、</w:t>
            </w:r>
            <w:r>
              <w:rPr>
                <w:rFonts w:hint="default"/>
                <w:color w:val="auto"/>
                <w:lang w:val="en-US" w:eastAsia="zh-CN"/>
              </w:rPr>
              <w:br w:type="textWrapping"/>
            </w:r>
            <w:r>
              <w:rPr>
                <w:rFonts w:hint="default"/>
                <w:color w:val="auto"/>
                <w:lang w:val="en-US" w:eastAsia="zh-CN"/>
              </w:rPr>
              <w:t>黄皮、杨桃等果树</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特大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种植时间30年以上、树冠直径</w:t>
            </w:r>
            <w:r>
              <w:rPr>
                <w:rFonts w:hint="default"/>
                <w:color w:val="auto"/>
                <w:lang w:val="en-US" w:eastAsia="zh-CN"/>
              </w:rPr>
              <w:br w:type="textWrapping"/>
            </w:r>
            <w:r>
              <w:rPr>
                <w:rFonts w:hint="default"/>
                <w:color w:val="auto"/>
                <w:lang w:val="en-US" w:eastAsia="zh-CN"/>
              </w:rPr>
              <w:t>在5米以上的特大棵果树</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400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16000</w:t>
            </w: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种植时间15至30年、树冠</w:t>
            </w:r>
            <w:r>
              <w:rPr>
                <w:rFonts w:hint="default"/>
                <w:color w:val="auto"/>
                <w:lang w:val="en-US" w:eastAsia="zh-CN"/>
              </w:rPr>
              <w:br w:type="textWrapping"/>
            </w:r>
            <w:r>
              <w:rPr>
                <w:rFonts w:hint="default"/>
                <w:color w:val="auto"/>
                <w:lang w:val="en-US" w:eastAsia="zh-CN"/>
              </w:rPr>
              <w:t>直径在4至5米以内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300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12000</w:t>
            </w:r>
          </w:p>
        </w:tc>
        <w:tc>
          <w:tcPr>
            <w:tcW w:w="281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每亩最多</w:t>
            </w:r>
            <w:r>
              <w:rPr>
                <w:rFonts w:hint="default"/>
                <w:color w:val="auto"/>
                <w:lang w:val="en-US" w:eastAsia="zh-CN"/>
              </w:rPr>
              <w:br w:type="textWrapping"/>
            </w:r>
            <w:r>
              <w:rPr>
                <w:rFonts w:hint="default"/>
                <w:color w:val="auto"/>
                <w:lang w:val="en-US" w:eastAsia="zh-CN"/>
              </w:rPr>
              <w:t>不超过40株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种植时间10至15年、</w:t>
            </w:r>
            <w:r>
              <w:rPr>
                <w:rFonts w:hint="default"/>
                <w:color w:val="auto"/>
                <w:lang w:val="en-US" w:eastAsia="zh-CN"/>
              </w:rPr>
              <w:br w:type="textWrapping"/>
            </w:r>
            <w:r>
              <w:rPr>
                <w:rFonts w:hint="default"/>
                <w:color w:val="auto"/>
                <w:lang w:val="en-US" w:eastAsia="zh-CN"/>
              </w:rPr>
              <w:t>树冠直径在3至4米以内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200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8000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种植时间6至10年、</w:t>
            </w:r>
            <w:r>
              <w:rPr>
                <w:rFonts w:hint="default"/>
                <w:color w:val="auto"/>
                <w:lang w:val="en-US" w:eastAsia="zh-CN"/>
              </w:rPr>
              <w:br w:type="textWrapping"/>
            </w:r>
            <w:r>
              <w:rPr>
                <w:rFonts w:hint="default"/>
                <w:color w:val="auto"/>
                <w:lang w:val="en-US" w:eastAsia="zh-CN"/>
              </w:rPr>
              <w:t>树冠直径在2至3米以内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150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6000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已挂果的，种植时间3至6年、</w:t>
            </w:r>
            <w:r>
              <w:rPr>
                <w:rFonts w:hint="default"/>
                <w:color w:val="auto"/>
                <w:lang w:val="en-US" w:eastAsia="zh-CN"/>
              </w:rPr>
              <w:br w:type="textWrapping"/>
            </w:r>
            <w:r>
              <w:rPr>
                <w:rFonts w:hint="default"/>
                <w:color w:val="auto"/>
                <w:lang w:val="en-US" w:eastAsia="zh-CN"/>
              </w:rPr>
              <w:t>树冠直径在1米至2米以内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4000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未挂果的，种植时间1年至3年、</w:t>
            </w:r>
            <w:r>
              <w:rPr>
                <w:rFonts w:hint="default"/>
                <w:color w:val="auto"/>
                <w:lang w:val="en-US" w:eastAsia="zh-CN"/>
              </w:rPr>
              <w:br w:type="textWrapping"/>
            </w:r>
            <w:r>
              <w:rPr>
                <w:rFonts w:hint="default"/>
                <w:color w:val="auto"/>
                <w:lang w:val="en-US" w:eastAsia="zh-CN"/>
              </w:rPr>
              <w:t>树冠直径在0.6至1米以内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50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2000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未挂果的，种植时间1年以内、</w:t>
            </w:r>
            <w:r>
              <w:rPr>
                <w:rFonts w:hint="default"/>
                <w:color w:val="auto"/>
                <w:lang w:val="en-US" w:eastAsia="zh-CN"/>
              </w:rPr>
              <w:br w:type="textWrapping"/>
            </w:r>
            <w:r>
              <w:rPr>
                <w:rFonts w:hint="default"/>
                <w:color w:val="auto"/>
                <w:lang w:val="en-US" w:eastAsia="zh-CN"/>
              </w:rPr>
              <w:t>树冠直径在0.6米以下</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20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800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林木</w:t>
            </w:r>
          </w:p>
        </w:tc>
        <w:tc>
          <w:tcPr>
            <w:tcW w:w="732" w:type="dxa"/>
            <w:shd w:val="clear" w:color="auto" w:fill="FFFFFF"/>
            <w:vAlign w:val="center"/>
          </w:tcPr>
          <w:p>
            <w:pPr>
              <w:jc w:val="center"/>
              <w:rPr>
                <w:rFonts w:hint="default"/>
                <w:color w:val="auto"/>
                <w:lang w:val="en-US" w:eastAsia="zh-CN"/>
              </w:rPr>
            </w:pP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属人工林地的成熟林和近熟林</w:t>
            </w:r>
          </w:p>
        </w:tc>
        <w:tc>
          <w:tcPr>
            <w:tcW w:w="1045" w:type="dxa"/>
            <w:shd w:val="clear" w:color="auto" w:fill="FFFFFF"/>
            <w:vAlign w:val="center"/>
          </w:tcPr>
          <w:p>
            <w:pPr>
              <w:jc w:val="center"/>
              <w:rPr>
                <w:rFonts w:hint="default"/>
                <w:color w:val="auto"/>
                <w:lang w:val="en-US" w:eastAsia="zh-CN"/>
              </w:rPr>
            </w:pP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2000</w:t>
            </w: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中熟林</w:t>
            </w:r>
          </w:p>
        </w:tc>
        <w:tc>
          <w:tcPr>
            <w:tcW w:w="1045" w:type="dxa"/>
            <w:shd w:val="clear" w:color="auto" w:fill="FFFFFF"/>
            <w:vAlign w:val="center"/>
          </w:tcPr>
          <w:p>
            <w:pPr>
              <w:jc w:val="center"/>
              <w:rPr>
                <w:rFonts w:hint="default"/>
                <w:color w:val="auto"/>
                <w:lang w:val="en-US" w:eastAsia="zh-CN"/>
              </w:rPr>
            </w:pP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1500</w:t>
            </w: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幼龄林</w:t>
            </w:r>
          </w:p>
        </w:tc>
        <w:tc>
          <w:tcPr>
            <w:tcW w:w="1045" w:type="dxa"/>
            <w:shd w:val="clear" w:color="auto" w:fill="FFFFFF"/>
            <w:vAlign w:val="center"/>
          </w:tcPr>
          <w:p>
            <w:pPr>
              <w:jc w:val="center"/>
              <w:rPr>
                <w:rFonts w:hint="default"/>
                <w:color w:val="auto"/>
                <w:lang w:val="en-US" w:eastAsia="zh-CN"/>
              </w:rPr>
            </w:pP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1000</w:t>
            </w: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shd w:val="clear" w:color="auto" w:fill="FFFFFF"/>
            <w:vAlign w:val="center"/>
          </w:tcPr>
          <w:p>
            <w:pPr>
              <w:jc w:val="center"/>
              <w:rPr>
                <w:rFonts w:hint="default"/>
                <w:color w:val="auto"/>
                <w:lang w:val="en-US" w:eastAsia="zh-CN"/>
              </w:rPr>
            </w:pPr>
            <w:r>
              <w:rPr>
                <w:rFonts w:hint="default"/>
                <w:color w:val="auto"/>
                <w:lang w:val="en-US" w:eastAsia="zh-CN"/>
              </w:rPr>
              <w:t>竹丛等</w:t>
            </w:r>
          </w:p>
        </w:tc>
        <w:tc>
          <w:tcPr>
            <w:tcW w:w="732" w:type="dxa"/>
            <w:shd w:val="clear" w:color="auto" w:fill="FFFFFF"/>
            <w:vAlign w:val="center"/>
          </w:tcPr>
          <w:p>
            <w:pPr>
              <w:jc w:val="center"/>
              <w:rPr>
                <w:rFonts w:hint="default"/>
                <w:color w:val="auto"/>
                <w:lang w:val="en-US" w:eastAsia="zh-CN"/>
              </w:rPr>
            </w:pPr>
          </w:p>
        </w:tc>
        <w:tc>
          <w:tcPr>
            <w:tcW w:w="3027" w:type="dxa"/>
            <w:shd w:val="clear" w:color="auto" w:fill="FFFFFF"/>
            <w:vAlign w:val="center"/>
          </w:tcPr>
          <w:p>
            <w:pPr>
              <w:jc w:val="center"/>
              <w:rPr>
                <w:rFonts w:hint="default"/>
                <w:color w:val="auto"/>
                <w:lang w:val="en-US" w:eastAsia="zh-CN"/>
              </w:rPr>
            </w:pPr>
          </w:p>
        </w:tc>
        <w:tc>
          <w:tcPr>
            <w:tcW w:w="1045" w:type="dxa"/>
            <w:shd w:val="clear" w:color="auto" w:fill="FFFFFF"/>
            <w:vAlign w:val="center"/>
          </w:tcPr>
          <w:p>
            <w:pPr>
              <w:jc w:val="center"/>
              <w:rPr>
                <w:rFonts w:hint="default"/>
                <w:color w:val="auto"/>
                <w:lang w:val="en-US" w:eastAsia="zh-CN"/>
              </w:rPr>
            </w:pP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3500</w:t>
            </w: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shd w:val="clear" w:color="auto" w:fill="FFFFFF"/>
            <w:vAlign w:val="center"/>
          </w:tcPr>
          <w:p>
            <w:pPr>
              <w:jc w:val="center"/>
              <w:rPr>
                <w:rFonts w:hint="default"/>
                <w:color w:val="auto"/>
                <w:lang w:val="en-US" w:eastAsia="zh-CN"/>
              </w:rPr>
            </w:pPr>
            <w:r>
              <w:rPr>
                <w:rFonts w:hint="default"/>
                <w:color w:val="auto"/>
                <w:lang w:val="en-US" w:eastAsia="zh-CN"/>
              </w:rPr>
              <w:t>零星林</w:t>
            </w:r>
          </w:p>
        </w:tc>
        <w:tc>
          <w:tcPr>
            <w:tcW w:w="732" w:type="dxa"/>
            <w:shd w:val="clear" w:color="auto" w:fill="FFFFFF"/>
            <w:vAlign w:val="center"/>
          </w:tcPr>
          <w:p>
            <w:pPr>
              <w:jc w:val="center"/>
              <w:rPr>
                <w:rFonts w:hint="default"/>
                <w:color w:val="auto"/>
                <w:lang w:val="en-US" w:eastAsia="zh-CN"/>
              </w:rPr>
            </w:pPr>
          </w:p>
        </w:tc>
        <w:tc>
          <w:tcPr>
            <w:tcW w:w="3027" w:type="dxa"/>
            <w:shd w:val="clear" w:color="auto" w:fill="FFFFFF"/>
            <w:vAlign w:val="center"/>
          </w:tcPr>
          <w:p>
            <w:pPr>
              <w:jc w:val="center"/>
              <w:rPr>
                <w:rFonts w:hint="default"/>
                <w:color w:val="auto"/>
                <w:lang w:val="en-US" w:eastAsia="zh-CN"/>
              </w:rPr>
            </w:pPr>
          </w:p>
        </w:tc>
        <w:tc>
          <w:tcPr>
            <w:tcW w:w="1045" w:type="dxa"/>
            <w:shd w:val="clear" w:color="auto" w:fill="FFFFFF"/>
            <w:vAlign w:val="center"/>
          </w:tcPr>
          <w:p>
            <w:pPr>
              <w:jc w:val="center"/>
              <w:rPr>
                <w:rFonts w:hint="default"/>
                <w:color w:val="auto"/>
                <w:lang w:val="en-US" w:eastAsia="zh-CN"/>
              </w:rPr>
            </w:pP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500</w:t>
            </w: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桔、佛手、柑、</w:t>
            </w:r>
            <w:r>
              <w:rPr>
                <w:rFonts w:hint="default"/>
                <w:color w:val="auto"/>
                <w:lang w:val="en-US" w:eastAsia="zh-CN"/>
              </w:rPr>
              <w:br w:type="textWrapping"/>
            </w:r>
            <w:r>
              <w:rPr>
                <w:rFonts w:hint="default"/>
                <w:color w:val="auto"/>
                <w:lang w:val="en-US" w:eastAsia="zh-CN"/>
              </w:rPr>
              <w:t>橙、油柑</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树冠投影直径2.1米以上</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150－200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10000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树冠投影直径1.1－2.0米已挂果</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70－130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6500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树冠投影直径0.5－1米未挂果</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30－60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5400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每亩最多90株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幼苗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树冠投影直径小于0.5米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10－20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4000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景观木、绿化木如：黄花梨、紫檀木、油术、</w:t>
            </w:r>
            <w:r>
              <w:rPr>
                <w:rFonts w:hint="default"/>
                <w:color w:val="auto"/>
                <w:lang w:val="en-US" w:eastAsia="zh-CN"/>
              </w:rPr>
              <w:br w:type="textWrapping"/>
            </w:r>
            <w:r>
              <w:rPr>
                <w:rFonts w:hint="default"/>
                <w:color w:val="auto"/>
                <w:lang w:val="en-US" w:eastAsia="zh-CN"/>
              </w:rPr>
              <w:t>美国杜英、澳洲火木、</w:t>
            </w:r>
            <w:r>
              <w:rPr>
                <w:rFonts w:hint="default"/>
                <w:color w:val="auto"/>
                <w:lang w:val="en-US" w:eastAsia="zh-CN"/>
              </w:rPr>
              <w:br w:type="textWrapping"/>
            </w:r>
            <w:r>
              <w:rPr>
                <w:rFonts w:hint="default"/>
                <w:color w:val="auto"/>
                <w:lang w:val="en-US" w:eastAsia="zh-CN"/>
              </w:rPr>
              <w:t>枫油木、竹柏、树菠萝</w:t>
            </w:r>
            <w:r>
              <w:rPr>
                <w:rFonts w:hint="default"/>
                <w:color w:val="auto"/>
                <w:lang w:val="en-US" w:eastAsia="zh-CN"/>
              </w:rPr>
              <w:br w:type="textWrapping"/>
            </w:r>
            <w:r>
              <w:rPr>
                <w:rFonts w:hint="default"/>
                <w:color w:val="auto"/>
                <w:lang w:val="en-US" w:eastAsia="zh-CN"/>
              </w:rPr>
              <w:t>、金凤树、发财树、桂</w:t>
            </w:r>
            <w:r>
              <w:rPr>
                <w:rFonts w:hint="default"/>
                <w:color w:val="auto"/>
                <w:lang w:val="en-US" w:eastAsia="zh-CN"/>
              </w:rPr>
              <w:br w:type="textWrapping"/>
            </w:r>
            <w:r>
              <w:rPr>
                <w:rFonts w:hint="default"/>
                <w:color w:val="auto"/>
                <w:lang w:val="en-US" w:eastAsia="zh-CN"/>
              </w:rPr>
              <w:t>花树等</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树径20厘米以上</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350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11200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每亩最多32株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树径8.1－19厘米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80－200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8000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每亩最多40株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树径2－8厘米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20－60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6000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每亩最多100株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幼苗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树径小于2厘米以下</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10－20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4000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木棉树、梨索</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特大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树径51厘米以上</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780</w:t>
            </w:r>
          </w:p>
        </w:tc>
        <w:tc>
          <w:tcPr>
            <w:tcW w:w="1330" w:type="dxa"/>
            <w:shd w:val="clear" w:color="auto" w:fill="FFFFFF"/>
            <w:vAlign w:val="center"/>
          </w:tcPr>
          <w:p>
            <w:pPr>
              <w:jc w:val="center"/>
              <w:rPr>
                <w:rFonts w:hint="default"/>
                <w:color w:val="auto"/>
                <w:lang w:val="en-US" w:eastAsia="zh-CN"/>
              </w:rPr>
            </w:pP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树径31－50厘米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520</w:t>
            </w:r>
          </w:p>
        </w:tc>
        <w:tc>
          <w:tcPr>
            <w:tcW w:w="1330" w:type="dxa"/>
            <w:shd w:val="clear" w:color="auto" w:fill="FFFFFF"/>
            <w:vAlign w:val="center"/>
          </w:tcPr>
          <w:p>
            <w:pPr>
              <w:jc w:val="center"/>
              <w:rPr>
                <w:rFonts w:hint="default"/>
                <w:color w:val="auto"/>
                <w:lang w:val="en-US" w:eastAsia="zh-CN"/>
              </w:rPr>
            </w:pP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树径15－30.9厘米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70－200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5400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每亩最多27株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树径5－14.9厘米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15－30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4500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每亩最多150株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幼苗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树径4.9厘米以下</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10－20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4000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榕树</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树径31厘米以上</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350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7000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每亩最多20株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树径31－30厘米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130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5200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每亩最多40株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树径5－14厘米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40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4000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每亩最多100株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幼苗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树径4.9厘米以下</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10－20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4000</w:t>
            </w: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沉香、罗汉松、</w:t>
            </w:r>
            <w:r>
              <w:rPr>
                <w:rFonts w:hint="default"/>
                <w:color w:val="auto"/>
                <w:lang w:val="en-US" w:eastAsia="zh-CN"/>
              </w:rPr>
              <w:br w:type="textWrapping"/>
            </w:r>
            <w:r>
              <w:rPr>
                <w:rFonts w:hint="default"/>
                <w:color w:val="auto"/>
                <w:lang w:val="en-US" w:eastAsia="zh-CN"/>
              </w:rPr>
              <w:t>红椎</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树径10.1厘米以上</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130</w:t>
            </w:r>
          </w:p>
        </w:tc>
        <w:tc>
          <w:tcPr>
            <w:tcW w:w="1330" w:type="dxa"/>
            <w:shd w:val="clear" w:color="auto" w:fill="FFFFFF"/>
            <w:vAlign w:val="center"/>
          </w:tcPr>
          <w:p>
            <w:pPr>
              <w:jc w:val="center"/>
              <w:rPr>
                <w:rFonts w:hint="default"/>
                <w:color w:val="auto"/>
                <w:lang w:val="en-US" w:eastAsia="zh-CN"/>
              </w:rPr>
            </w:pP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每亩最多80株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树径5.1－10厘米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40</w:t>
            </w:r>
          </w:p>
        </w:tc>
        <w:tc>
          <w:tcPr>
            <w:tcW w:w="1330" w:type="dxa"/>
            <w:shd w:val="clear" w:color="auto" w:fill="FFFFFF"/>
            <w:vAlign w:val="center"/>
          </w:tcPr>
          <w:p>
            <w:pPr>
              <w:jc w:val="center"/>
              <w:rPr>
                <w:rFonts w:hint="default"/>
                <w:color w:val="auto"/>
                <w:lang w:val="en-US" w:eastAsia="zh-CN"/>
              </w:rPr>
            </w:pP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每亩最多150株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树径2－5厘米</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30</w:t>
            </w:r>
          </w:p>
        </w:tc>
        <w:tc>
          <w:tcPr>
            <w:tcW w:w="1330" w:type="dxa"/>
            <w:shd w:val="clear" w:color="auto" w:fill="FFFFFF"/>
            <w:vAlign w:val="center"/>
          </w:tcPr>
          <w:p>
            <w:pPr>
              <w:jc w:val="center"/>
              <w:rPr>
                <w:rFonts w:hint="default"/>
                <w:color w:val="auto"/>
                <w:lang w:val="en-US" w:eastAsia="zh-CN"/>
              </w:rPr>
            </w:pP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每亩最多150株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幼苗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树径2厘米以下</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10－20</w:t>
            </w:r>
          </w:p>
        </w:tc>
        <w:tc>
          <w:tcPr>
            <w:tcW w:w="1330" w:type="dxa"/>
            <w:shd w:val="clear" w:color="auto" w:fill="FFFFFF"/>
            <w:vAlign w:val="center"/>
          </w:tcPr>
          <w:p>
            <w:pPr>
              <w:jc w:val="center"/>
              <w:rPr>
                <w:rFonts w:hint="default"/>
                <w:color w:val="auto"/>
                <w:lang w:val="en-US" w:eastAsia="zh-CN"/>
              </w:rPr>
            </w:pPr>
          </w:p>
        </w:tc>
        <w:tc>
          <w:tcPr>
            <w:tcW w:w="2818" w:type="dxa"/>
            <w:shd w:val="clear" w:color="auto" w:fill="FFFFFF"/>
            <w:vAlign w:val="center"/>
          </w:tcPr>
          <w:p>
            <w:pPr>
              <w:jc w:val="center"/>
              <w:rPr>
                <w:rFonts w:hint="default"/>
                <w:color w:val="auto"/>
                <w:lang w:val="en-US" w:eastAsia="zh-CN"/>
              </w:rPr>
            </w:pPr>
            <w:r>
              <w:rPr>
                <w:rFonts w:hint="default"/>
                <w:color w:val="auto"/>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t>菠萝、葡萄、</w:t>
            </w:r>
            <w:r>
              <w:rPr>
                <w:rFonts w:hint="default"/>
                <w:color w:val="auto"/>
                <w:lang w:val="en-US" w:eastAsia="zh-CN"/>
              </w:rPr>
              <w:br w:type="textWrapping"/>
            </w:r>
            <w:r>
              <w:rPr>
                <w:rFonts w:hint="default"/>
                <w:color w:val="auto"/>
                <w:lang w:val="en-US" w:eastAsia="zh-CN"/>
              </w:rPr>
              <w:t>火龙果</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幼苗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未挂果</w:t>
            </w:r>
          </w:p>
        </w:tc>
        <w:tc>
          <w:tcPr>
            <w:tcW w:w="1045" w:type="dxa"/>
            <w:shd w:val="clear" w:color="auto" w:fill="FFFFFF"/>
            <w:vAlign w:val="center"/>
          </w:tcPr>
          <w:p>
            <w:pPr>
              <w:jc w:val="center"/>
              <w:rPr>
                <w:rFonts w:hint="default"/>
                <w:color w:val="auto"/>
                <w:lang w:val="en-US" w:eastAsia="zh-CN"/>
              </w:rPr>
            </w:pP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1950</w:t>
            </w: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成苗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已挂果</w:t>
            </w:r>
          </w:p>
        </w:tc>
        <w:tc>
          <w:tcPr>
            <w:tcW w:w="1045" w:type="dxa"/>
            <w:shd w:val="clear" w:color="auto" w:fill="FFFFFF"/>
            <w:vAlign w:val="center"/>
          </w:tcPr>
          <w:p>
            <w:pPr>
              <w:jc w:val="center"/>
              <w:rPr>
                <w:rFonts w:hint="default"/>
                <w:color w:val="auto"/>
                <w:lang w:val="en-US" w:eastAsia="zh-CN"/>
              </w:rPr>
            </w:pP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3900</w:t>
            </w:r>
          </w:p>
        </w:tc>
        <w:tc>
          <w:tcPr>
            <w:tcW w:w="2818" w:type="dxa"/>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lang w:val="en-US" w:eastAsia="zh-CN"/>
              </w:rPr>
            </w:pPr>
            <w:r>
              <w:rPr>
                <w:rFonts w:hint="default"/>
                <w:color w:val="auto"/>
                <w:lang w:val="en-US" w:eastAsia="zh-CN"/>
              </w:rPr>
              <w:br w:type="textWrapping"/>
            </w:r>
            <w:r>
              <w:rPr>
                <w:rFonts w:hint="default"/>
                <w:color w:val="auto"/>
                <w:lang w:val="en-US" w:eastAsia="zh-CN"/>
              </w:rPr>
              <w:br w:type="textWrapping"/>
            </w:r>
            <w:r>
              <w:rPr>
                <w:rFonts w:hint="default"/>
                <w:color w:val="auto"/>
                <w:lang w:val="en-US" w:eastAsia="zh-CN"/>
              </w:rPr>
              <w:br w:type="textWrapping"/>
            </w:r>
            <w:r>
              <w:rPr>
                <w:rFonts w:hint="default"/>
                <w:color w:val="auto"/>
                <w:lang w:val="en-US" w:eastAsia="zh-CN"/>
              </w:rPr>
              <w:br w:type="textWrapping"/>
            </w:r>
            <w:r>
              <w:rPr>
                <w:rFonts w:hint="default"/>
                <w:color w:val="auto"/>
                <w:lang w:val="en-US" w:eastAsia="zh-CN"/>
              </w:rPr>
              <w:br w:type="textWrapping"/>
            </w:r>
            <w:r>
              <w:rPr>
                <w:rFonts w:hint="default"/>
                <w:color w:val="auto"/>
                <w:lang w:val="en-US" w:eastAsia="zh-CN"/>
              </w:rPr>
              <w:br w:type="textWrapping"/>
            </w:r>
            <w:r>
              <w:rPr>
                <w:rFonts w:hint="default"/>
                <w:color w:val="auto"/>
                <w:lang w:val="en-US" w:eastAsia="zh-CN"/>
              </w:rPr>
              <w:t>乌榄、青榄</w:t>
            </w: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特大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树冠直径5米以上</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400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16000</w:t>
            </w:r>
          </w:p>
        </w:tc>
        <w:tc>
          <w:tcPr>
            <w:tcW w:w="2818" w:type="dxa"/>
            <w:vMerge w:val="restart"/>
            <w:shd w:val="clear" w:color="auto" w:fill="FFFFFF"/>
            <w:vAlign w:val="center"/>
          </w:tcPr>
          <w:p>
            <w:pPr>
              <w:jc w:val="center"/>
              <w:rPr>
                <w:rFonts w:hint="default"/>
                <w:color w:val="auto"/>
                <w:lang w:val="en-US" w:eastAsia="zh-CN"/>
              </w:rPr>
            </w:pPr>
            <w:r>
              <w:rPr>
                <w:rFonts w:hint="default"/>
                <w:color w:val="auto"/>
                <w:lang w:val="en-US" w:eastAsia="zh-CN"/>
              </w:rPr>
              <w:t>每亩最多40株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大</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树冠直径4－5米以内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300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12000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中</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树冠直径3－4米以内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200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8000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树冠直径2－3米以内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150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6000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小</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树冠直径1－2米以内</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100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4000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幼苗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树冠直径0.6－1米以内，已挂果</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50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2000</w:t>
            </w:r>
          </w:p>
        </w:tc>
        <w:tc>
          <w:tcPr>
            <w:tcW w:w="2818" w:type="dxa"/>
            <w:vMerge w:val="continue"/>
            <w:shd w:val="clear" w:color="auto" w:fill="FFFFFF"/>
            <w:vAlign w:val="center"/>
          </w:tcPr>
          <w:p>
            <w:pPr>
              <w:jc w:val="center"/>
              <w:rPr>
                <w:rFonts w:hint="default"/>
                <w:color w:val="auto"/>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lang w:val="en-US" w:eastAsia="zh-CN"/>
              </w:rPr>
            </w:pPr>
          </w:p>
        </w:tc>
        <w:tc>
          <w:tcPr>
            <w:tcW w:w="732" w:type="dxa"/>
            <w:shd w:val="clear" w:color="auto" w:fill="FFFFFF"/>
            <w:vAlign w:val="center"/>
          </w:tcPr>
          <w:p>
            <w:pPr>
              <w:jc w:val="center"/>
              <w:rPr>
                <w:rFonts w:hint="default"/>
                <w:color w:val="auto"/>
                <w:lang w:val="en-US" w:eastAsia="zh-CN"/>
              </w:rPr>
            </w:pPr>
            <w:r>
              <w:rPr>
                <w:rFonts w:hint="default"/>
                <w:color w:val="auto"/>
                <w:lang w:val="en-US" w:eastAsia="zh-CN"/>
              </w:rPr>
              <w:t>幼苗</w:t>
            </w:r>
          </w:p>
        </w:tc>
        <w:tc>
          <w:tcPr>
            <w:tcW w:w="3027" w:type="dxa"/>
            <w:shd w:val="clear" w:color="auto" w:fill="FFFFFF"/>
            <w:vAlign w:val="center"/>
          </w:tcPr>
          <w:p>
            <w:pPr>
              <w:jc w:val="center"/>
              <w:rPr>
                <w:rFonts w:hint="default"/>
                <w:color w:val="auto"/>
                <w:lang w:val="en-US" w:eastAsia="zh-CN"/>
              </w:rPr>
            </w:pPr>
            <w:r>
              <w:rPr>
                <w:rFonts w:hint="default"/>
                <w:color w:val="auto"/>
                <w:lang w:val="en-US" w:eastAsia="zh-CN"/>
              </w:rPr>
              <w:t>树冠直径0.6米以下，未挂果</w:t>
            </w:r>
          </w:p>
        </w:tc>
        <w:tc>
          <w:tcPr>
            <w:tcW w:w="1045" w:type="dxa"/>
            <w:shd w:val="clear" w:color="auto" w:fill="FFFFFF"/>
            <w:vAlign w:val="center"/>
          </w:tcPr>
          <w:p>
            <w:pPr>
              <w:jc w:val="center"/>
              <w:rPr>
                <w:rFonts w:hint="default"/>
                <w:color w:val="auto"/>
                <w:lang w:val="en-US" w:eastAsia="zh-CN"/>
              </w:rPr>
            </w:pPr>
            <w:r>
              <w:rPr>
                <w:rFonts w:hint="default"/>
                <w:color w:val="auto"/>
                <w:lang w:val="en-US" w:eastAsia="zh-CN"/>
              </w:rPr>
              <w:t>20</w:t>
            </w:r>
          </w:p>
        </w:tc>
        <w:tc>
          <w:tcPr>
            <w:tcW w:w="1330" w:type="dxa"/>
            <w:shd w:val="clear" w:color="auto" w:fill="FFFFFF"/>
            <w:vAlign w:val="center"/>
          </w:tcPr>
          <w:p>
            <w:pPr>
              <w:jc w:val="center"/>
              <w:rPr>
                <w:rFonts w:hint="default"/>
                <w:color w:val="auto"/>
                <w:lang w:val="en-US" w:eastAsia="zh-CN"/>
              </w:rPr>
            </w:pPr>
            <w:r>
              <w:rPr>
                <w:rFonts w:hint="default"/>
                <w:color w:val="auto"/>
                <w:lang w:val="en-US" w:eastAsia="zh-CN"/>
              </w:rPr>
              <w:t>800</w:t>
            </w:r>
          </w:p>
        </w:tc>
        <w:tc>
          <w:tcPr>
            <w:tcW w:w="2818" w:type="dxa"/>
            <w:vMerge w:val="continue"/>
            <w:shd w:val="clear" w:color="auto" w:fill="FFFFFF"/>
            <w:vAlign w:val="center"/>
          </w:tcPr>
          <w:p>
            <w:pPr>
              <w:jc w:val="center"/>
              <w:rPr>
                <w:rFonts w:hint="default"/>
                <w:color w:val="auto"/>
                <w:lang w:val="en-US" w:eastAsia="zh-CN"/>
              </w:rPr>
            </w:pPr>
          </w:p>
        </w:tc>
      </w:tr>
    </w:tbl>
    <w:p>
      <w:pPr>
        <w:rPr>
          <w:rFonts w:hint="default"/>
          <w:color w:val="auto"/>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mI1MDgwZjgzYmY4YzlmZWNkYTg4MzlkYzBlMGEifQ=="/>
  </w:docVars>
  <w:rsids>
    <w:rsidRoot w:val="47033782"/>
    <w:rsid w:val="00F80769"/>
    <w:rsid w:val="018F6AEE"/>
    <w:rsid w:val="052D2ECD"/>
    <w:rsid w:val="05581CFE"/>
    <w:rsid w:val="06434DE0"/>
    <w:rsid w:val="0B1C6B8D"/>
    <w:rsid w:val="0CE73054"/>
    <w:rsid w:val="0D70470D"/>
    <w:rsid w:val="12064C4D"/>
    <w:rsid w:val="12592940"/>
    <w:rsid w:val="13D708CA"/>
    <w:rsid w:val="166D5BA5"/>
    <w:rsid w:val="192C28D1"/>
    <w:rsid w:val="19D07039"/>
    <w:rsid w:val="1DC017DB"/>
    <w:rsid w:val="1FE01D86"/>
    <w:rsid w:val="212830CE"/>
    <w:rsid w:val="221816DB"/>
    <w:rsid w:val="226D64B1"/>
    <w:rsid w:val="265D3C6D"/>
    <w:rsid w:val="268F09BE"/>
    <w:rsid w:val="2887550D"/>
    <w:rsid w:val="293B1F70"/>
    <w:rsid w:val="31E5222F"/>
    <w:rsid w:val="35B302F8"/>
    <w:rsid w:val="3A681C8A"/>
    <w:rsid w:val="47033782"/>
    <w:rsid w:val="520B7CE1"/>
    <w:rsid w:val="59732133"/>
    <w:rsid w:val="597563E6"/>
    <w:rsid w:val="5D4B3FE9"/>
    <w:rsid w:val="5EBD50CD"/>
    <w:rsid w:val="64B76B18"/>
    <w:rsid w:val="65A03FAA"/>
    <w:rsid w:val="65F40760"/>
    <w:rsid w:val="6D843514"/>
    <w:rsid w:val="73D8022B"/>
    <w:rsid w:val="73EF098E"/>
    <w:rsid w:val="783D52C4"/>
    <w:rsid w:val="7A9B2CEC"/>
    <w:rsid w:val="7BAA2DBC"/>
    <w:rsid w:val="7F22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100" w:afterLines="100"/>
      <w:outlineLvl w:val="0"/>
    </w:pPr>
    <w:rPr>
      <w:rFonts w:eastAsia="黑体"/>
      <w:kern w:val="44"/>
      <w:sz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paragraph" w:customStyle="1" w:styleId="6">
    <w:name w:val="正式格式"/>
    <w:basedOn w:val="1"/>
    <w:qFormat/>
    <w:uiPriority w:val="0"/>
    <w:pPr>
      <w:spacing w:line="560" w:lineRule="exact"/>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6697</Words>
  <Characters>7390</Characters>
  <Lines>0</Lines>
  <Paragraphs>0</Paragraphs>
  <TotalTime>40</TotalTime>
  <ScaleCrop>false</ScaleCrop>
  <LinksUpToDate>false</LinksUpToDate>
  <CharactersWithSpaces>7399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2022-02-24T11:50:00Z</dcterms:created>
  <dc:creator>Administrator</dc:creator>
  <cp:lastModifiedBy></cp:lastModifiedBy>
  <cp:lastPrinted>2022-03-07T02:27:00Z</cp:lastPrinted>
  <dcterms:modified xsi:type="dcterms:W3CDTF">2023-08-23T03:23:33Z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9DA588AAE7694B699062323533999332</vt:lpwstr>
  </property>
</Properties>
</file>