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both"/>
        <w:textAlignment w:val="auto"/>
        <w:outlineLvl w:val="0"/>
        <w:rPr>
          <w:rFonts w:hint="eastAsia" w:asciiTheme="majorEastAsia" w:hAnsiTheme="majorEastAsia" w:eastAsiaTheme="majorEastAsia" w:cstheme="majorEastAsia"/>
          <w:b/>
          <w:bCs/>
          <w:color w:val="0C0C0C"/>
          <w:sz w:val="44"/>
          <w:szCs w:val="44"/>
          <w:lang w:eastAsia="zh-CN"/>
        </w:rPr>
      </w:pPr>
      <w:bookmarkStart w:id="0" w:name="_Toc11607"/>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1767" w:firstLineChars="400"/>
        <w:jc w:val="both"/>
        <w:textAlignment w:val="auto"/>
        <w:outlineLvl w:val="0"/>
        <w:rPr>
          <w:rFonts w:hint="eastAsia" w:asciiTheme="majorEastAsia" w:hAnsiTheme="majorEastAsia" w:eastAsiaTheme="majorEastAsia" w:cstheme="majorEastAsia"/>
          <w:b/>
          <w:bCs/>
          <w:color w:val="0C0C0C"/>
          <w:sz w:val="44"/>
          <w:szCs w:val="44"/>
        </w:rPr>
      </w:pPr>
      <w:r>
        <w:rPr>
          <w:rFonts w:hint="eastAsia" w:asciiTheme="majorEastAsia" w:hAnsiTheme="majorEastAsia" w:eastAsiaTheme="majorEastAsia" w:cstheme="majorEastAsia"/>
          <w:b/>
          <w:bCs/>
          <w:color w:val="0C0C0C"/>
          <w:sz w:val="44"/>
          <w:szCs w:val="44"/>
        </w:rPr>
        <w:t>陆河县卫生与健康事业发展</w:t>
      </w:r>
      <w:bookmarkEnd w:id="0"/>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outlineLvl w:val="0"/>
        <w:rPr>
          <w:rFonts w:hint="eastAsia" w:asciiTheme="majorEastAsia" w:hAnsiTheme="majorEastAsia" w:eastAsiaTheme="majorEastAsia" w:cstheme="majorEastAsia"/>
          <w:b/>
          <w:bCs/>
          <w:color w:val="0C0C0C"/>
          <w:sz w:val="44"/>
          <w:szCs w:val="44"/>
        </w:rPr>
      </w:pPr>
      <w:bookmarkStart w:id="1" w:name="_Toc2451"/>
      <w:r>
        <w:rPr>
          <w:rFonts w:hint="eastAsia" w:asciiTheme="majorEastAsia" w:hAnsiTheme="majorEastAsia" w:eastAsiaTheme="majorEastAsia" w:cstheme="majorEastAsia"/>
          <w:b/>
          <w:bCs/>
          <w:color w:val="0C0C0C"/>
          <w:sz w:val="44"/>
          <w:szCs w:val="44"/>
        </w:rPr>
        <w:t>“十四五”规划</w:t>
      </w:r>
      <w:bookmarkEnd w:id="1"/>
    </w:p>
    <w:p>
      <w:pPr>
        <w:spacing w:before="156" w:beforeLines="50" w:after="156" w:afterLines="50" w:line="580" w:lineRule="exact"/>
        <w:jc w:val="center"/>
        <w:rPr>
          <w:rFonts w:hint="eastAsia" w:asciiTheme="minorEastAsia" w:hAnsiTheme="minorEastAsia" w:eastAsiaTheme="minorEastAsia" w:cstheme="minorEastAsia"/>
          <w:color w:val="0C0C0C"/>
          <w:sz w:val="30"/>
          <w:szCs w:val="30"/>
        </w:rPr>
      </w:pPr>
      <w:r>
        <w:rPr>
          <w:rFonts w:hint="eastAsia" w:asciiTheme="minorEastAsia" w:hAnsiTheme="minorEastAsia" w:eastAsiaTheme="minorEastAsia" w:cstheme="minorEastAsia"/>
          <w:color w:val="0C0C0C"/>
          <w:sz w:val="30"/>
          <w:szCs w:val="30"/>
        </w:rPr>
        <w:t>（征求意见稿）</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2"/>
      </w:pPr>
    </w:p>
    <w:p>
      <w:pPr>
        <w:pStyle w:val="2"/>
      </w:pPr>
    </w:p>
    <w:p/>
    <w:p>
      <w:pPr>
        <w:pStyle w:val="2"/>
      </w:pPr>
    </w:p>
    <w:p>
      <w:pPr>
        <w:spacing w:line="580" w:lineRule="exact"/>
        <w:jc w:val="center"/>
        <w:rPr>
          <w:rFonts w:hint="eastAsia" w:ascii="宋体" w:hAnsi="宋体" w:eastAsia="宋体" w:cs="宋体"/>
          <w:b/>
          <w:bCs/>
          <w:sz w:val="30"/>
          <w:szCs w:val="30"/>
        </w:rPr>
      </w:pPr>
      <w:r>
        <w:rPr>
          <w:rFonts w:hint="eastAsia" w:ascii="宋体" w:hAnsi="宋体" w:cs="宋体"/>
          <w:b/>
          <w:bCs/>
          <w:sz w:val="30"/>
          <w:szCs w:val="30"/>
          <w:lang w:val="en-US" w:eastAsia="zh-CN"/>
        </w:rPr>
        <w:t xml:space="preserve">   </w:t>
      </w:r>
      <w:r>
        <w:rPr>
          <w:rFonts w:hint="eastAsia" w:ascii="宋体" w:hAnsi="宋体" w:eastAsia="宋体" w:cs="宋体"/>
          <w:b/>
          <w:bCs/>
          <w:sz w:val="30"/>
          <w:szCs w:val="30"/>
        </w:rPr>
        <w:t>陆河县卫生健康局</w:t>
      </w:r>
    </w:p>
    <w:p>
      <w:pPr>
        <w:spacing w:line="580" w:lineRule="exact"/>
        <w:jc w:val="center"/>
        <w:rPr>
          <w:rFonts w:hint="eastAsia" w:asciiTheme="majorEastAsia" w:hAnsiTheme="majorEastAsia" w:eastAsiaTheme="majorEastAsia" w:cstheme="majorEastAsia"/>
          <w:b/>
          <w:bCs/>
          <w:kern w:val="2"/>
          <w:sz w:val="44"/>
          <w:szCs w:val="44"/>
          <w:lang w:val="en-US" w:eastAsia="zh-CN" w:bidi="ar-SA"/>
        </w:rPr>
      </w:pPr>
      <w:r>
        <w:rPr>
          <w:rFonts w:hint="eastAsia" w:ascii="宋体" w:hAnsi="宋体" w:cs="宋体"/>
          <w:b/>
          <w:bCs/>
          <w:sz w:val="30"/>
          <w:szCs w:val="30"/>
          <w:lang w:val="en-US" w:eastAsia="zh-CN"/>
        </w:rPr>
        <w:t xml:space="preserve">  </w:t>
      </w:r>
      <w:r>
        <w:rPr>
          <w:rFonts w:hint="eastAsia" w:ascii="宋体" w:hAnsi="宋体" w:eastAsia="宋体" w:cs="宋体"/>
          <w:b/>
          <w:bCs/>
          <w:sz w:val="30"/>
          <w:szCs w:val="30"/>
        </w:rPr>
        <w:t>202</w:t>
      </w:r>
      <w:r>
        <w:rPr>
          <w:rFonts w:hint="eastAsia" w:ascii="宋体" w:hAnsi="宋体" w:eastAsia="宋体" w:cs="宋体"/>
          <w:b/>
          <w:bCs/>
          <w:sz w:val="30"/>
          <w:szCs w:val="30"/>
          <w:lang w:val="en-US" w:eastAsia="zh-CN"/>
        </w:rPr>
        <w:t>2</w:t>
      </w:r>
      <w:r>
        <w:rPr>
          <w:rFonts w:hint="eastAsia" w:ascii="宋体" w:hAnsi="宋体" w:eastAsia="宋体" w:cs="宋体"/>
          <w:b/>
          <w:bCs/>
          <w:sz w:val="30"/>
          <w:szCs w:val="30"/>
        </w:rPr>
        <w:t>年</w:t>
      </w:r>
      <w:r>
        <w:rPr>
          <w:rFonts w:hint="eastAsia" w:ascii="宋体" w:hAnsi="宋体" w:eastAsia="宋体" w:cs="宋体"/>
          <w:b/>
          <w:bCs/>
          <w:sz w:val="30"/>
          <w:szCs w:val="30"/>
          <w:lang w:val="en-US" w:eastAsia="zh-CN"/>
        </w:rPr>
        <w:t>11</w:t>
      </w:r>
      <w:r>
        <w:rPr>
          <w:rFonts w:hint="eastAsia" w:ascii="宋体" w:hAnsi="宋体" w:eastAsia="宋体" w:cs="宋体"/>
          <w:b/>
          <w:bCs/>
          <w:sz w:val="30"/>
          <w:szCs w:val="30"/>
        </w:rPr>
        <w:t>月</w:t>
      </w:r>
    </w:p>
    <w:p/>
    <w:sdt>
      <w:sdtPr>
        <w:rPr>
          <w:rFonts w:hint="eastAsia" w:asciiTheme="majorEastAsia" w:hAnsiTheme="majorEastAsia" w:eastAsiaTheme="majorEastAsia" w:cstheme="majorEastAsia"/>
          <w:b/>
          <w:bCs/>
          <w:kern w:val="2"/>
          <w:sz w:val="44"/>
          <w:szCs w:val="44"/>
          <w:lang w:val="en-US" w:eastAsia="zh-CN" w:bidi="ar-SA"/>
        </w:rPr>
        <w:id w:val="147463873"/>
        <w15:color w:val="DBDBDB"/>
        <w:docPartObj>
          <w:docPartGallery w:val="Table of Contents"/>
          <w:docPartUnique/>
        </w:docPartObj>
      </w:sdtPr>
      <w:sdtEndPr>
        <w:rPr>
          <w:rFonts w:hint="eastAsia" w:ascii="仿宋_GB2312" w:hAnsi="仿宋_GB2312" w:eastAsia="仿宋_GB2312" w:cs="仿宋_GB2312"/>
          <w:b/>
          <w:bCs w:val="0"/>
          <w:color w:val="0C0C0C"/>
          <w:kern w:val="0"/>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录</w:t>
          </w:r>
        </w:p>
        <w:p>
          <w:pPr>
            <w:pStyle w:val="21"/>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szCs w:val="24"/>
            </w:rPr>
          </w:pPr>
          <w:r>
            <w:rPr>
              <w:rFonts w:hint="eastAsia" w:ascii="宋体" w:hAnsi="宋体" w:eastAsia="宋体" w:cs="宋体"/>
              <w:b w:val="0"/>
              <w:bCs w:val="0"/>
              <w:color w:val="0C0C0C"/>
              <w:kern w:val="0"/>
              <w:sz w:val="24"/>
              <w:szCs w:val="24"/>
              <w:lang w:val="en-US" w:eastAsia="zh-CN" w:bidi="ar-SA"/>
            </w:rPr>
            <w:fldChar w:fldCharType="begin"/>
          </w:r>
          <w:r>
            <w:rPr>
              <w:rFonts w:hint="eastAsia" w:ascii="宋体" w:hAnsi="宋体" w:eastAsia="宋体" w:cs="宋体"/>
              <w:b w:val="0"/>
              <w:bCs w:val="0"/>
              <w:color w:val="0C0C0C"/>
              <w:kern w:val="0"/>
              <w:sz w:val="24"/>
              <w:szCs w:val="24"/>
              <w:lang w:val="en-US" w:eastAsia="zh-CN" w:bidi="ar-SA"/>
            </w:rPr>
            <w:instrText xml:space="preserve">TOC \o "1-2" \h \u </w:instrText>
          </w:r>
          <w:r>
            <w:rPr>
              <w:rFonts w:hint="eastAsia" w:ascii="宋体" w:hAnsi="宋体" w:eastAsia="宋体" w:cs="宋体"/>
              <w:b w:val="0"/>
              <w:bCs w:val="0"/>
              <w:color w:val="0C0C0C"/>
              <w:kern w:val="0"/>
              <w:sz w:val="24"/>
              <w:szCs w:val="24"/>
              <w:lang w:val="en-US" w:eastAsia="zh-CN" w:bidi="ar-SA"/>
            </w:rPr>
            <w:fldChar w:fldCharType="separate"/>
          </w:r>
          <w:r>
            <w:rPr>
              <w:rFonts w:hint="eastAsia" w:ascii="宋体" w:hAnsi="宋体" w:eastAsia="宋体" w:cs="宋体"/>
              <w:b/>
              <w:bCs w:val="0"/>
              <w:color w:val="0C0C0C"/>
              <w:kern w:val="0"/>
              <w:sz w:val="24"/>
              <w:szCs w:val="24"/>
              <w:lang w:val="en-US" w:eastAsia="zh-CN" w:bidi="ar-SA"/>
            </w:rPr>
            <w:fldChar w:fldCharType="begin"/>
          </w:r>
          <w:r>
            <w:rPr>
              <w:rFonts w:hint="eastAsia" w:ascii="宋体" w:hAnsi="宋体" w:eastAsia="宋体" w:cs="宋体"/>
              <w:b/>
              <w:bCs w:val="0"/>
              <w:kern w:val="0"/>
              <w:sz w:val="24"/>
              <w:szCs w:val="24"/>
              <w:lang w:val="en-US" w:eastAsia="zh-CN" w:bidi="ar-SA"/>
            </w:rPr>
            <w:instrText xml:space="preserve"> HYPERLINK \l _Toc22029 </w:instrText>
          </w:r>
          <w:r>
            <w:rPr>
              <w:rFonts w:hint="eastAsia" w:ascii="宋体" w:hAnsi="宋体" w:eastAsia="宋体" w:cs="宋体"/>
              <w:b/>
              <w:bCs w:val="0"/>
              <w:kern w:val="0"/>
              <w:sz w:val="24"/>
              <w:szCs w:val="24"/>
              <w:lang w:val="en-US" w:eastAsia="zh-CN" w:bidi="ar-SA"/>
            </w:rPr>
            <w:fldChar w:fldCharType="separate"/>
          </w:r>
          <w:r>
            <w:rPr>
              <w:rFonts w:hint="eastAsia" w:ascii="宋体" w:hAnsi="宋体" w:eastAsia="宋体" w:cs="宋体"/>
              <w:b/>
              <w:bCs/>
              <w:sz w:val="24"/>
              <w:szCs w:val="24"/>
            </w:rPr>
            <w:t>第一章 规划背景</w:t>
          </w:r>
          <w:r>
            <w:rPr>
              <w:rFonts w:hint="eastAsia" w:ascii="宋体" w:hAnsi="宋体" w:eastAsia="宋体" w:cs="宋体"/>
              <w:b/>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_Toc22029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bCs w:val="0"/>
              <w:color w:val="0C0C0C"/>
              <w:kern w:val="0"/>
              <w:sz w:val="24"/>
              <w:szCs w:val="24"/>
              <w:lang w:val="en-US" w:eastAsia="zh-CN" w:bidi="ar-SA"/>
            </w:rPr>
            <w:fldChar w:fldCharType="end"/>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4"/>
              <w:szCs w:val="24"/>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_Toc19627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rPr>
            <w:t>第一节  基础与现状</w:t>
          </w:r>
          <w:r>
            <w:rPr>
              <w:rFonts w:hint="eastAsia" w:ascii="宋体" w:hAnsi="宋体" w:eastAsia="宋体" w:cs="宋体"/>
              <w:sz w:val="24"/>
              <w:szCs w:val="24"/>
            </w:rPr>
            <w:tab/>
          </w:r>
          <w:r>
            <w:rPr>
              <w:rFonts w:hint="eastAsia" w:ascii="宋体" w:hAnsi="宋体" w:cs="宋体"/>
              <w:b w:val="0"/>
              <w:bCs w:val="0"/>
              <w:sz w:val="24"/>
              <w:szCs w:val="24"/>
              <w:lang w:val="en-US" w:eastAsia="zh-CN"/>
            </w:rPr>
            <w:t>1</w:t>
          </w:r>
          <w:r>
            <w:rPr>
              <w:rFonts w:hint="eastAsia" w:ascii="宋体" w:hAnsi="宋体" w:eastAsia="宋体" w:cs="宋体"/>
              <w:bCs w:val="0"/>
              <w:color w:val="0C0C0C"/>
              <w:kern w:val="0"/>
              <w:sz w:val="24"/>
              <w:szCs w:val="24"/>
              <w:lang w:val="en-US" w:eastAsia="zh-CN" w:bidi="ar-SA"/>
            </w:rPr>
            <w:fldChar w:fldCharType="end"/>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4"/>
              <w:szCs w:val="24"/>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_Toc20546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sz w:val="24"/>
              <w:szCs w:val="24"/>
            </w:rPr>
            <w:t>第二节  形势与挑战</w:t>
          </w:r>
          <w:r>
            <w:rPr>
              <w:rFonts w:hint="eastAsia" w:ascii="宋体" w:hAnsi="宋体" w:eastAsia="宋体" w:cs="宋体"/>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_Toc20546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w:t>
          </w:r>
          <w:r>
            <w:rPr>
              <w:rFonts w:hint="eastAsia" w:ascii="宋体" w:hAnsi="宋体" w:eastAsia="宋体" w:cs="宋体"/>
              <w:b w:val="0"/>
              <w:bCs w:val="0"/>
              <w:sz w:val="24"/>
              <w:szCs w:val="24"/>
            </w:rPr>
            <w:fldChar w:fldCharType="end"/>
          </w:r>
          <w:r>
            <w:rPr>
              <w:rFonts w:hint="eastAsia" w:ascii="宋体" w:hAnsi="宋体" w:eastAsia="宋体" w:cs="宋体"/>
              <w:bCs w:val="0"/>
              <w:color w:val="0C0C0C"/>
              <w:kern w:val="0"/>
              <w:sz w:val="24"/>
              <w:szCs w:val="24"/>
              <w:lang w:val="en-US" w:eastAsia="zh-CN" w:bidi="ar-SA"/>
            </w:rPr>
            <w:fldChar w:fldCharType="end"/>
          </w:r>
        </w:p>
        <w:p>
          <w:pPr>
            <w:pStyle w:val="21"/>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szCs w:val="24"/>
            </w:rPr>
          </w:pPr>
          <w:r>
            <w:rPr>
              <w:rFonts w:hint="eastAsia" w:ascii="宋体" w:hAnsi="宋体" w:eastAsia="宋体" w:cs="宋体"/>
              <w:b/>
              <w:bCs w:val="0"/>
              <w:color w:val="0C0C0C"/>
              <w:kern w:val="0"/>
              <w:sz w:val="24"/>
              <w:szCs w:val="24"/>
              <w:lang w:val="en-US" w:eastAsia="zh-CN" w:bidi="ar-SA"/>
            </w:rPr>
            <w:fldChar w:fldCharType="begin"/>
          </w:r>
          <w:r>
            <w:rPr>
              <w:rFonts w:hint="eastAsia" w:ascii="宋体" w:hAnsi="宋体" w:eastAsia="宋体" w:cs="宋体"/>
              <w:b/>
              <w:bCs w:val="0"/>
              <w:kern w:val="0"/>
              <w:sz w:val="24"/>
              <w:szCs w:val="24"/>
              <w:lang w:val="en-US" w:eastAsia="zh-CN" w:bidi="ar-SA"/>
            </w:rPr>
            <w:instrText xml:space="preserve"> HYPERLINK \l _Toc10907 </w:instrText>
          </w:r>
          <w:r>
            <w:rPr>
              <w:rFonts w:hint="eastAsia" w:ascii="宋体" w:hAnsi="宋体" w:eastAsia="宋体" w:cs="宋体"/>
              <w:b/>
              <w:bCs w:val="0"/>
              <w:kern w:val="0"/>
              <w:sz w:val="24"/>
              <w:szCs w:val="24"/>
              <w:lang w:val="en-US" w:eastAsia="zh-CN" w:bidi="ar-SA"/>
            </w:rPr>
            <w:fldChar w:fldCharType="separate"/>
          </w:r>
          <w:r>
            <w:rPr>
              <w:rFonts w:hint="eastAsia" w:ascii="宋体" w:hAnsi="宋体" w:eastAsia="宋体" w:cs="宋体"/>
              <w:b/>
              <w:bCs/>
              <w:sz w:val="24"/>
              <w:szCs w:val="24"/>
            </w:rPr>
            <w:t>第二章 总体要求</w:t>
          </w:r>
          <w:r>
            <w:rPr>
              <w:rFonts w:hint="eastAsia" w:ascii="宋体" w:hAnsi="宋体" w:eastAsia="宋体" w:cs="宋体"/>
              <w:b/>
              <w:sz w:val="24"/>
              <w:szCs w:val="24"/>
            </w:rPr>
            <w:tab/>
          </w:r>
          <w:r>
            <w:rPr>
              <w:rFonts w:hint="eastAsia" w:ascii="宋体" w:hAnsi="宋体" w:cs="宋体"/>
              <w:b w:val="0"/>
              <w:bCs/>
              <w:sz w:val="24"/>
              <w:szCs w:val="24"/>
              <w:lang w:val="en-US" w:eastAsia="zh-CN"/>
            </w:rPr>
            <w:t>9</w:t>
          </w:r>
          <w:r>
            <w:rPr>
              <w:rFonts w:hint="eastAsia" w:ascii="宋体" w:hAnsi="宋体" w:eastAsia="宋体" w:cs="宋体"/>
              <w:b/>
              <w:bCs w:val="0"/>
              <w:color w:val="0C0C0C"/>
              <w:kern w:val="0"/>
              <w:sz w:val="24"/>
              <w:szCs w:val="24"/>
              <w:lang w:val="en-US" w:eastAsia="zh-CN" w:bidi="ar-SA"/>
            </w:rPr>
            <w:fldChar w:fldCharType="end"/>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4"/>
              <w:szCs w:val="24"/>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_Toc23009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第一节  指导思想</w:t>
          </w:r>
          <w:r>
            <w:rPr>
              <w:rFonts w:hint="eastAsia" w:ascii="宋体" w:hAnsi="宋体" w:eastAsia="宋体" w:cs="宋体"/>
              <w:sz w:val="24"/>
              <w:szCs w:val="24"/>
            </w:rPr>
            <w:tab/>
          </w:r>
          <w:r>
            <w:rPr>
              <w:rFonts w:hint="eastAsia" w:ascii="宋体" w:hAnsi="宋体" w:cs="宋体"/>
              <w:sz w:val="24"/>
              <w:szCs w:val="24"/>
              <w:lang w:val="en-US" w:eastAsia="zh-CN"/>
            </w:rPr>
            <w:t>9</w:t>
          </w:r>
          <w:r>
            <w:rPr>
              <w:rFonts w:hint="eastAsia" w:ascii="宋体" w:hAnsi="宋体" w:eastAsia="宋体" w:cs="宋体"/>
              <w:bCs w:val="0"/>
              <w:color w:val="0C0C0C"/>
              <w:kern w:val="0"/>
              <w:sz w:val="24"/>
              <w:szCs w:val="24"/>
              <w:lang w:val="en-US" w:eastAsia="zh-CN" w:bidi="ar-SA"/>
            </w:rPr>
            <w:fldChar w:fldCharType="end"/>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_Toc2060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第二节  基本原则</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0</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_Toc9411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第三节  发展目标</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2</w:t>
          </w:r>
        </w:p>
        <w:p>
          <w:pPr>
            <w:pStyle w:val="21"/>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b/>
              <w:sz w:val="24"/>
              <w:szCs w:val="24"/>
              <w:lang w:val="en-US" w:eastAsia="zh-CN"/>
            </w:rPr>
          </w:pPr>
          <w:r>
            <w:rPr>
              <w:rFonts w:hint="eastAsia" w:ascii="宋体" w:hAnsi="宋体" w:eastAsia="宋体" w:cs="宋体"/>
              <w:b/>
              <w:bCs w:val="0"/>
              <w:color w:val="0C0C0C"/>
              <w:kern w:val="0"/>
              <w:sz w:val="24"/>
              <w:szCs w:val="24"/>
              <w:lang w:val="en-US" w:eastAsia="zh-CN" w:bidi="ar-SA"/>
            </w:rPr>
            <w:fldChar w:fldCharType="begin"/>
          </w:r>
          <w:r>
            <w:rPr>
              <w:rFonts w:hint="eastAsia" w:ascii="宋体" w:hAnsi="宋体" w:eastAsia="宋体" w:cs="宋体"/>
              <w:b/>
              <w:bCs w:val="0"/>
              <w:kern w:val="0"/>
              <w:sz w:val="24"/>
              <w:szCs w:val="24"/>
              <w:lang w:val="en-US" w:eastAsia="zh-CN" w:bidi="ar-SA"/>
            </w:rPr>
            <w:instrText xml:space="preserve"> HYPERLINK \l _Toc1892 </w:instrText>
          </w:r>
          <w:r>
            <w:rPr>
              <w:rFonts w:hint="eastAsia" w:ascii="宋体" w:hAnsi="宋体" w:eastAsia="宋体" w:cs="宋体"/>
              <w:b/>
              <w:bCs w:val="0"/>
              <w:kern w:val="0"/>
              <w:sz w:val="24"/>
              <w:szCs w:val="24"/>
              <w:lang w:val="en-US" w:eastAsia="zh-CN" w:bidi="ar-SA"/>
            </w:rPr>
            <w:fldChar w:fldCharType="separate"/>
          </w:r>
          <w:r>
            <w:rPr>
              <w:rFonts w:hint="eastAsia" w:ascii="宋体" w:hAnsi="宋体" w:eastAsia="宋体" w:cs="宋体"/>
              <w:b/>
              <w:sz w:val="24"/>
              <w:szCs w:val="24"/>
            </w:rPr>
            <w:t>第三章  主要任务</w:t>
          </w:r>
          <w:r>
            <w:rPr>
              <w:rFonts w:hint="eastAsia" w:ascii="宋体" w:hAnsi="宋体" w:eastAsia="宋体" w:cs="宋体"/>
              <w:b/>
              <w:sz w:val="24"/>
              <w:szCs w:val="24"/>
            </w:rPr>
            <w:tab/>
          </w:r>
          <w:r>
            <w:rPr>
              <w:rFonts w:hint="eastAsia" w:ascii="宋体" w:hAnsi="宋体" w:eastAsia="宋体" w:cs="宋体"/>
              <w:b/>
              <w:bCs w:val="0"/>
              <w:color w:val="0C0C0C"/>
              <w:kern w:val="0"/>
              <w:sz w:val="24"/>
              <w:szCs w:val="24"/>
              <w:lang w:val="en-US" w:eastAsia="zh-CN" w:bidi="ar-SA"/>
            </w:rPr>
            <w:fldChar w:fldCharType="end"/>
          </w:r>
          <w:r>
            <w:rPr>
              <w:rFonts w:hint="eastAsia" w:ascii="宋体" w:hAnsi="宋体" w:cs="宋体"/>
              <w:sz w:val="24"/>
              <w:szCs w:val="24"/>
              <w:lang w:val="en-US" w:eastAsia="zh-CN"/>
            </w:rPr>
            <w:t>15</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_Toc27104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第一节  构建强大的公共卫生体系</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5</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_Toc17725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 xml:space="preserve">第二节 </w:t>
          </w:r>
          <w:r>
            <w:rPr>
              <w:rFonts w:hint="eastAsia" w:ascii="宋体" w:hAnsi="宋体" w:cs="宋体"/>
              <w:bCs w:val="0"/>
              <w:sz w:val="24"/>
              <w:szCs w:val="24"/>
              <w:lang w:val="en-US" w:eastAsia="zh-CN"/>
            </w:rPr>
            <w:t xml:space="preserve"> </w:t>
          </w:r>
          <w:r>
            <w:rPr>
              <w:rFonts w:hint="eastAsia" w:ascii="宋体" w:hAnsi="宋体" w:eastAsia="宋体" w:cs="宋体"/>
              <w:bCs w:val="0"/>
              <w:sz w:val="24"/>
              <w:szCs w:val="24"/>
            </w:rPr>
            <w:t>构筑</w:t>
          </w:r>
          <w:r>
            <w:rPr>
              <w:rFonts w:hint="eastAsia" w:ascii="宋体" w:hAnsi="宋体" w:eastAsia="宋体" w:cs="宋体"/>
              <w:bCs w:val="0"/>
              <w:sz w:val="24"/>
              <w:szCs w:val="24"/>
              <w:lang w:eastAsia="zh-CN"/>
            </w:rPr>
            <w:t>优质高效的</w:t>
          </w:r>
          <w:r>
            <w:rPr>
              <w:rFonts w:hint="eastAsia" w:ascii="宋体" w:hAnsi="宋体" w:eastAsia="宋体" w:cs="宋体"/>
              <w:bCs w:val="0"/>
              <w:sz w:val="24"/>
              <w:szCs w:val="24"/>
            </w:rPr>
            <w:t>医疗卫生新格局</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9</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_Toc1253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 xml:space="preserve">第三节  </w:t>
          </w:r>
          <w:r>
            <w:rPr>
              <w:rFonts w:hint="eastAsia" w:ascii="宋体" w:hAnsi="宋体" w:eastAsia="宋体" w:cs="宋体"/>
              <w:bCs w:val="0"/>
              <w:sz w:val="24"/>
              <w:szCs w:val="24"/>
              <w:lang w:eastAsia="zh-CN"/>
            </w:rPr>
            <w:t>持续推进健康陆河建设</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2</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_Toc549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第四节  保障人民生命全周期健康</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5</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_Toc365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第五节  持续深化医药卫生体制改革</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9</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_Toc23399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 xml:space="preserve">第六节  </w:t>
          </w:r>
          <w:r>
            <w:rPr>
              <w:rFonts w:hint="eastAsia" w:ascii="宋体" w:hAnsi="宋体" w:cs="宋体"/>
              <w:bCs w:val="0"/>
              <w:sz w:val="24"/>
              <w:szCs w:val="24"/>
              <w:lang w:eastAsia="zh-CN"/>
            </w:rPr>
            <w:t>促</w:t>
          </w:r>
          <w:r>
            <w:rPr>
              <w:rFonts w:hint="eastAsia" w:ascii="宋体" w:hAnsi="宋体" w:eastAsia="宋体" w:cs="宋体"/>
              <w:bCs w:val="0"/>
              <w:sz w:val="24"/>
              <w:szCs w:val="24"/>
            </w:rPr>
            <w:t>进中医药守正创新发展</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3</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_Toc20281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 xml:space="preserve">第七节  </w:t>
          </w:r>
          <w:r>
            <w:rPr>
              <w:rFonts w:hint="eastAsia" w:ascii="宋体" w:hAnsi="宋体" w:eastAsia="宋体" w:cs="宋体"/>
              <w:bCs w:val="0"/>
              <w:sz w:val="24"/>
              <w:szCs w:val="24"/>
              <w:lang w:eastAsia="zh-CN"/>
            </w:rPr>
            <w:t>大力发展健康服务业</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5</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_Toc4854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第八节  完善健康优先发展保障体系</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7</w:t>
          </w:r>
        </w:p>
        <w:p>
          <w:pPr>
            <w:pStyle w:val="21"/>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b/>
              <w:sz w:val="24"/>
              <w:szCs w:val="24"/>
              <w:lang w:val="en-US"/>
            </w:rPr>
          </w:pPr>
          <w:r>
            <w:rPr>
              <w:rFonts w:hint="eastAsia" w:ascii="宋体" w:hAnsi="宋体" w:eastAsia="宋体" w:cs="宋体"/>
              <w:b/>
              <w:bCs w:val="0"/>
              <w:color w:val="0C0C0C"/>
              <w:kern w:val="0"/>
              <w:sz w:val="24"/>
              <w:szCs w:val="24"/>
              <w:lang w:val="en-US" w:eastAsia="zh-CN" w:bidi="ar-SA"/>
            </w:rPr>
            <w:fldChar w:fldCharType="begin"/>
          </w:r>
          <w:r>
            <w:rPr>
              <w:rFonts w:hint="eastAsia" w:ascii="宋体" w:hAnsi="宋体" w:eastAsia="宋体" w:cs="宋体"/>
              <w:b/>
              <w:bCs w:val="0"/>
              <w:kern w:val="0"/>
              <w:sz w:val="24"/>
              <w:szCs w:val="24"/>
              <w:lang w:val="en-US" w:eastAsia="zh-CN" w:bidi="ar-SA"/>
            </w:rPr>
            <w:instrText xml:space="preserve"> HYPERLINK \l _Toc15568 </w:instrText>
          </w:r>
          <w:r>
            <w:rPr>
              <w:rFonts w:hint="eastAsia" w:ascii="宋体" w:hAnsi="宋体" w:eastAsia="宋体" w:cs="宋体"/>
              <w:b/>
              <w:bCs w:val="0"/>
              <w:kern w:val="0"/>
              <w:sz w:val="24"/>
              <w:szCs w:val="24"/>
              <w:lang w:val="en-US" w:eastAsia="zh-CN" w:bidi="ar-SA"/>
            </w:rPr>
            <w:fldChar w:fldCharType="separate"/>
          </w:r>
          <w:r>
            <w:rPr>
              <w:rFonts w:hint="eastAsia" w:ascii="宋体" w:hAnsi="宋体" w:eastAsia="宋体" w:cs="宋体"/>
              <w:b/>
              <w:sz w:val="24"/>
              <w:szCs w:val="24"/>
            </w:rPr>
            <w:t>第四章  保障措施</w:t>
          </w:r>
          <w:r>
            <w:rPr>
              <w:rFonts w:hint="eastAsia" w:ascii="宋体" w:hAnsi="宋体" w:eastAsia="宋体" w:cs="宋体"/>
              <w:b/>
              <w:sz w:val="24"/>
              <w:szCs w:val="24"/>
            </w:rPr>
            <w:tab/>
          </w:r>
          <w:r>
            <w:rPr>
              <w:rFonts w:hint="eastAsia" w:ascii="宋体" w:hAnsi="宋体" w:cs="宋体"/>
              <w:b w:val="0"/>
              <w:bCs/>
              <w:sz w:val="24"/>
              <w:szCs w:val="24"/>
              <w:lang w:val="en-US" w:eastAsia="zh-CN"/>
            </w:rPr>
            <w:t>4</w:t>
          </w:r>
          <w:r>
            <w:rPr>
              <w:rFonts w:hint="eastAsia" w:ascii="宋体" w:hAnsi="宋体" w:eastAsia="宋体" w:cs="宋体"/>
              <w:b/>
              <w:bCs w:val="0"/>
              <w:color w:val="0C0C0C"/>
              <w:kern w:val="0"/>
              <w:sz w:val="24"/>
              <w:szCs w:val="24"/>
              <w:lang w:val="en-US" w:eastAsia="zh-CN" w:bidi="ar-SA"/>
            </w:rPr>
            <w:fldChar w:fldCharType="end"/>
          </w:r>
          <w:r>
            <w:rPr>
              <w:rFonts w:hint="eastAsia" w:ascii="宋体" w:hAnsi="宋体" w:cs="宋体"/>
              <w:b w:val="0"/>
              <w:bCs/>
              <w:color w:val="0C0C0C"/>
              <w:kern w:val="0"/>
              <w:sz w:val="24"/>
              <w:szCs w:val="24"/>
              <w:lang w:val="en-US" w:eastAsia="zh-CN" w:bidi="ar-SA"/>
            </w:rPr>
            <w:t>1</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_Toc10240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 xml:space="preserve">第一节  </w:t>
          </w:r>
          <w:r>
            <w:rPr>
              <w:rFonts w:hint="eastAsia" w:ascii="宋体" w:hAnsi="宋体" w:eastAsia="宋体" w:cs="宋体"/>
              <w:bCs w:val="0"/>
              <w:sz w:val="24"/>
              <w:szCs w:val="24"/>
              <w:lang w:eastAsia="zh-CN"/>
            </w:rPr>
            <w:t>组织实施</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1</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4"/>
              <w:szCs w:val="24"/>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_Toc5228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第二节  完善投入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_Toc5228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bCs w:val="0"/>
              <w:color w:val="0C0C0C"/>
              <w:kern w:val="0"/>
              <w:sz w:val="24"/>
              <w:szCs w:val="24"/>
              <w:lang w:val="en-US" w:eastAsia="zh-CN" w:bidi="ar-SA"/>
            </w:rPr>
            <w:fldChar w:fldCharType="end"/>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_Toc19622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w:t>
          </w:r>
          <w:r>
            <w:rPr>
              <w:rFonts w:hint="eastAsia" w:ascii="宋体" w:hAnsi="宋体" w:eastAsia="宋体" w:cs="宋体"/>
              <w:bCs w:val="0"/>
              <w:sz w:val="24"/>
              <w:szCs w:val="24"/>
              <w:lang w:eastAsia="zh-CN"/>
            </w:rPr>
            <w:t>三</w:t>
          </w:r>
          <w:r>
            <w:rPr>
              <w:rFonts w:hint="eastAsia" w:ascii="宋体" w:hAnsi="宋体" w:eastAsia="宋体" w:cs="宋体"/>
              <w:bCs w:val="0"/>
              <w:sz w:val="24"/>
              <w:szCs w:val="24"/>
            </w:rPr>
            <w:t>节  监测评估</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2</w:t>
          </w:r>
        </w:p>
        <w:p>
          <w:pPr>
            <w:pStyle w:val="22"/>
            <w:pageBreakBefore w:val="0"/>
            <w:tabs>
              <w:tab w:val="right" w:leader="dot" w:pos="8306"/>
            </w:tabs>
            <w:kinsoku/>
            <w:wordWrap/>
            <w:overflowPunct/>
            <w:topLinePunct w:val="0"/>
            <w:autoSpaceDE/>
            <w:autoSpaceDN/>
            <w:bidi w:val="0"/>
            <w:adjustRightInd/>
            <w:snapToGrid/>
            <w:spacing w:line="360" w:lineRule="auto"/>
            <w:textAlignment w:val="auto"/>
            <w:outlineLvl w:val="1"/>
            <w:rPr>
              <w:rFonts w:hint="default" w:ascii="宋体" w:hAnsi="宋体" w:eastAsia="宋体" w:cs="宋体"/>
              <w:sz w:val="24"/>
              <w:szCs w:val="24"/>
              <w:lang w:val="en-US"/>
            </w:rPr>
          </w:pPr>
          <w:r>
            <w:rPr>
              <w:rFonts w:hint="eastAsia" w:ascii="宋体" w:hAnsi="宋体" w:eastAsia="宋体" w:cs="宋体"/>
              <w:bCs w:val="0"/>
              <w:color w:val="0C0C0C"/>
              <w:kern w:val="0"/>
              <w:sz w:val="24"/>
              <w:szCs w:val="24"/>
              <w:lang w:val="en-US" w:eastAsia="zh-CN" w:bidi="ar-SA"/>
            </w:rPr>
            <w:fldChar w:fldCharType="begin"/>
          </w:r>
          <w:r>
            <w:rPr>
              <w:rFonts w:hint="eastAsia" w:ascii="宋体" w:hAnsi="宋体" w:eastAsia="宋体" w:cs="宋体"/>
              <w:bCs w:val="0"/>
              <w:kern w:val="0"/>
              <w:sz w:val="24"/>
              <w:szCs w:val="24"/>
              <w:lang w:val="en-US" w:eastAsia="zh-CN" w:bidi="ar-SA"/>
            </w:rPr>
            <w:instrText xml:space="preserve"> HYPERLINK \l _Toc21803 </w:instrText>
          </w:r>
          <w:r>
            <w:rPr>
              <w:rFonts w:hint="eastAsia" w:ascii="宋体" w:hAnsi="宋体" w:eastAsia="宋体" w:cs="宋体"/>
              <w:bCs w:val="0"/>
              <w:kern w:val="0"/>
              <w:sz w:val="24"/>
              <w:szCs w:val="24"/>
              <w:lang w:val="en-US" w:eastAsia="zh-CN" w:bidi="ar-SA"/>
            </w:rPr>
            <w:fldChar w:fldCharType="separate"/>
          </w:r>
          <w:r>
            <w:rPr>
              <w:rFonts w:hint="eastAsia" w:ascii="宋体" w:hAnsi="宋体" w:eastAsia="宋体" w:cs="宋体"/>
              <w:bCs w:val="0"/>
              <w:sz w:val="24"/>
              <w:szCs w:val="24"/>
            </w:rPr>
            <w:t>第</w:t>
          </w:r>
          <w:r>
            <w:rPr>
              <w:rFonts w:hint="eastAsia" w:ascii="宋体" w:hAnsi="宋体" w:eastAsia="宋体" w:cs="宋体"/>
              <w:bCs w:val="0"/>
              <w:sz w:val="24"/>
              <w:szCs w:val="24"/>
              <w:lang w:eastAsia="zh-CN"/>
            </w:rPr>
            <w:t>四</w:t>
          </w:r>
          <w:r>
            <w:rPr>
              <w:rFonts w:hint="eastAsia" w:ascii="宋体" w:hAnsi="宋体" w:eastAsia="宋体" w:cs="宋体"/>
              <w:bCs w:val="0"/>
              <w:sz w:val="24"/>
              <w:szCs w:val="24"/>
            </w:rPr>
            <w:t>节  宣传引导</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bCs w:val="0"/>
              <w:color w:val="0C0C0C"/>
              <w:kern w:val="0"/>
              <w:sz w:val="24"/>
              <w:szCs w:val="24"/>
              <w:lang w:val="en-US" w:eastAsia="zh-CN" w:bidi="ar-SA"/>
            </w:rPr>
            <w:fldChar w:fldCharType="end"/>
          </w:r>
          <w:r>
            <w:rPr>
              <w:rFonts w:hint="eastAsia" w:ascii="宋体" w:hAnsi="宋体" w:cs="宋体"/>
              <w:bCs w:val="0"/>
              <w:color w:val="0C0C0C"/>
              <w:kern w:val="0"/>
              <w:sz w:val="24"/>
              <w:szCs w:val="24"/>
              <w:lang w:val="en-US" w:eastAsia="zh-CN" w:bidi="ar-SA"/>
            </w:rPr>
            <w:t>2</w:t>
          </w:r>
        </w:p>
        <w:p>
          <w:pPr>
            <w:pStyle w:val="4"/>
            <w:pageBreakBefore w:val="0"/>
            <w:kinsoku/>
            <w:wordWrap/>
            <w:overflowPunct/>
            <w:topLinePunct w:val="0"/>
            <w:autoSpaceDE/>
            <w:autoSpaceDN/>
            <w:bidi w:val="0"/>
            <w:adjustRightInd/>
            <w:snapToGrid/>
            <w:spacing w:line="360" w:lineRule="auto"/>
            <w:jc w:val="center"/>
            <w:textAlignment w:val="auto"/>
            <w:outlineLvl w:val="1"/>
            <w:rPr>
              <w:rFonts w:hint="eastAsia" w:ascii="仿宋_GB2312" w:hAnsi="仿宋_GB2312" w:eastAsia="仿宋_GB2312" w:cs="仿宋_GB2312"/>
              <w:b w:val="0"/>
              <w:bCs w:val="0"/>
              <w:color w:val="0C0C0C"/>
              <w:kern w:val="0"/>
              <w:sz w:val="32"/>
              <w:szCs w:val="32"/>
              <w:lang w:val="en-US" w:eastAsia="zh-CN" w:bidi="ar-SA"/>
            </w:rPr>
          </w:pPr>
          <w:r>
            <w:rPr>
              <w:rFonts w:hint="eastAsia" w:ascii="宋体" w:hAnsi="宋体" w:eastAsia="宋体" w:cs="宋体"/>
              <w:b/>
              <w:bCs w:val="0"/>
              <w:color w:val="0C0C0C"/>
              <w:kern w:val="0"/>
              <w:sz w:val="24"/>
              <w:szCs w:val="24"/>
              <w:lang w:val="en-US" w:eastAsia="zh-CN" w:bidi="ar-SA"/>
            </w:rPr>
            <w:fldChar w:fldCharType="end"/>
          </w:r>
        </w:p>
      </w:sdtContent>
    </w:sdt>
    <w:p>
      <w:pPr>
        <w:pStyle w:val="3"/>
        <w:spacing w:line="580" w:lineRule="exact"/>
        <w:jc w:val="center"/>
        <w:outlineLvl w:val="9"/>
        <w:rPr>
          <w:rFonts w:hint="eastAsia" w:ascii="仿宋_GB2312" w:hAnsi="仿宋_GB2312" w:eastAsia="仿宋_GB2312" w:cs="仿宋_GB2312"/>
          <w:b w:val="0"/>
          <w:bCs w:val="0"/>
          <w:color w:val="0C0C0C"/>
          <w:kern w:val="0"/>
          <w:sz w:val="32"/>
          <w:szCs w:val="32"/>
          <w:lang w:val="en-US" w:eastAsia="zh-CN" w:bidi="ar-SA"/>
        </w:rPr>
      </w:pPr>
    </w:p>
    <w:p>
      <w:pPr>
        <w:pStyle w:val="3"/>
        <w:spacing w:line="580" w:lineRule="exact"/>
        <w:jc w:val="center"/>
        <w:rPr>
          <w:rFonts w:hint="eastAsia" w:ascii="宋体" w:hAnsi="宋体" w:eastAsia="宋体" w:cs="宋体"/>
          <w:b/>
          <w:bCs/>
          <w:color w:val="0C0C0C"/>
          <w:kern w:val="0"/>
          <w:sz w:val="44"/>
          <w:szCs w:val="44"/>
          <w:lang w:val="en-US" w:eastAsia="zh-CN" w:bidi="ar-SA"/>
        </w:rPr>
        <w:sectPr>
          <w:pgSz w:w="11906" w:h="16838"/>
          <w:pgMar w:top="2098" w:right="1474" w:bottom="1871" w:left="1587" w:header="851" w:footer="992" w:gutter="0"/>
          <w:pgNumType w:fmt="numberInDash"/>
          <w:cols w:space="425" w:num="1"/>
          <w:docGrid w:type="lines" w:linePitch="312" w:charSpace="0"/>
        </w:sectPr>
      </w:pPr>
      <w:bookmarkStart w:id="2" w:name="_Toc12901"/>
    </w:p>
    <w:p>
      <w:pPr>
        <w:pStyle w:val="3"/>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宋体" w:hAnsi="宋体" w:eastAsia="宋体" w:cs="宋体"/>
          <w:b/>
          <w:bCs/>
          <w:color w:val="0C0C0C"/>
          <w:kern w:val="0"/>
          <w:sz w:val="44"/>
          <w:szCs w:val="44"/>
          <w:lang w:val="en-US" w:eastAsia="zh-CN" w:bidi="ar-SA"/>
        </w:rPr>
      </w:pPr>
      <w:r>
        <w:rPr>
          <w:rFonts w:hint="eastAsia" w:ascii="宋体" w:hAnsi="宋体" w:eastAsia="宋体" w:cs="宋体"/>
          <w:b/>
          <w:bCs/>
          <w:color w:val="0C0C0C"/>
          <w:kern w:val="0"/>
          <w:sz w:val="44"/>
          <w:szCs w:val="44"/>
          <w:lang w:val="en-US" w:eastAsia="zh-CN" w:bidi="ar-SA"/>
        </w:rPr>
        <w:t>前  言</w:t>
      </w:r>
      <w:bookmarkEnd w:id="2"/>
    </w:p>
    <w:p>
      <w:pPr>
        <w:keepNext w:val="0"/>
        <w:keepLines w:val="0"/>
        <w:pageBreakBefore w:val="0"/>
        <w:widowControl w:val="0"/>
        <w:kinsoku/>
        <w:wordWrap/>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十四五”时期是我国开启全面建设社会主义现代化国家新征程的第一个五年，坚持以习近平新时代中国特色社会主义思想为指导，全面贯彻党的十九大和十九届历次全会精神以及习近平总书记关于卫生健康工作系列重要论述和重要指示批示精神，深入学习贯彻习近平总书记对广东重要讲话和重要指示批示精神，践行总体国家安全观和新时期卫生健康工作方针。按照陆河县人民政府办公室关于印发陆河县“十四五”规划编制工作方案的通知精神，</w:t>
      </w:r>
      <w:r>
        <w:rPr>
          <w:rFonts w:hint="eastAsia" w:ascii="仿宋_GB2312" w:hAnsi="仿宋_GB2312" w:eastAsia="仿宋_GB2312" w:cs="仿宋_GB2312"/>
          <w:b w:val="0"/>
          <w:bCs w:val="0"/>
          <w:kern w:val="2"/>
          <w:sz w:val="32"/>
          <w:szCs w:val="32"/>
          <w:highlight w:val="none"/>
        </w:rPr>
        <w:t>根据《“健康</w:t>
      </w:r>
      <w:r>
        <w:rPr>
          <w:rFonts w:hint="eastAsia" w:ascii="仿宋_GB2312" w:hAnsi="仿宋_GB2312" w:eastAsia="仿宋_GB2312" w:cs="仿宋_GB2312"/>
          <w:b w:val="0"/>
          <w:bCs w:val="0"/>
          <w:kern w:val="2"/>
          <w:sz w:val="32"/>
          <w:szCs w:val="32"/>
          <w:highlight w:val="none"/>
          <w:lang w:eastAsia="zh-CN"/>
        </w:rPr>
        <w:t>广东</w:t>
      </w:r>
      <w:r>
        <w:rPr>
          <w:rFonts w:hint="eastAsia" w:ascii="仿宋_GB2312" w:hAnsi="仿宋_GB2312" w:eastAsia="仿宋_GB2312" w:cs="仿宋_GB2312"/>
          <w:b w:val="0"/>
          <w:bCs w:val="0"/>
          <w:kern w:val="2"/>
          <w:sz w:val="32"/>
          <w:szCs w:val="32"/>
          <w:highlight w:val="none"/>
        </w:rPr>
        <w:t>2030”规划纲要》《“健康</w:t>
      </w:r>
      <w:r>
        <w:rPr>
          <w:rFonts w:hint="eastAsia" w:ascii="仿宋_GB2312" w:hAnsi="仿宋_GB2312" w:eastAsia="仿宋_GB2312" w:cs="仿宋_GB2312"/>
          <w:b w:val="0"/>
          <w:bCs w:val="0"/>
          <w:kern w:val="2"/>
          <w:sz w:val="32"/>
          <w:szCs w:val="32"/>
          <w:highlight w:val="none"/>
          <w:lang w:eastAsia="zh-CN"/>
        </w:rPr>
        <w:t>汕尾</w:t>
      </w:r>
      <w:r>
        <w:rPr>
          <w:rFonts w:hint="eastAsia" w:ascii="仿宋_GB2312" w:hAnsi="仿宋_GB2312" w:eastAsia="仿宋_GB2312" w:cs="仿宋_GB2312"/>
          <w:b w:val="0"/>
          <w:bCs w:val="0"/>
          <w:kern w:val="2"/>
          <w:sz w:val="32"/>
          <w:szCs w:val="32"/>
          <w:highlight w:val="none"/>
        </w:rPr>
        <w:t>2030”规划》</w:t>
      </w:r>
      <w:r>
        <w:rPr>
          <w:rFonts w:hint="eastAsia" w:ascii="仿宋_GB2312" w:hAnsi="仿宋_GB2312" w:eastAsia="仿宋_GB2312" w:cs="仿宋_GB2312"/>
          <w:b w:val="0"/>
          <w:bCs w:val="0"/>
          <w:sz w:val="32"/>
          <w:szCs w:val="32"/>
          <w:highlight w:val="none"/>
          <w:lang w:eastAsia="zh-CN"/>
        </w:rPr>
        <w:t>《汕尾市卫生健康事业发展“十四五”规划》和《陆河县国民经济和社会发展第十四个五年规划和</w:t>
      </w:r>
      <w:r>
        <w:rPr>
          <w:rFonts w:hint="eastAsia" w:ascii="仿宋_GB2312" w:hAnsi="仿宋_GB2312" w:eastAsia="仿宋_GB2312" w:cs="仿宋_GB2312"/>
          <w:b w:val="0"/>
          <w:bCs w:val="0"/>
          <w:sz w:val="32"/>
          <w:szCs w:val="32"/>
          <w:highlight w:val="none"/>
          <w:lang w:val="en-US" w:eastAsia="zh-CN"/>
        </w:rPr>
        <w:t>2025年远景目标纲要</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kern w:val="2"/>
          <w:sz w:val="32"/>
          <w:szCs w:val="32"/>
          <w:highlight w:val="none"/>
        </w:rPr>
        <w:t>，结合</w:t>
      </w:r>
      <w:r>
        <w:rPr>
          <w:rFonts w:hint="eastAsia" w:ascii="仿宋_GB2312" w:hAnsi="仿宋_GB2312" w:eastAsia="仿宋_GB2312" w:cs="仿宋_GB2312"/>
          <w:b w:val="0"/>
          <w:bCs w:val="0"/>
          <w:kern w:val="2"/>
          <w:sz w:val="32"/>
          <w:szCs w:val="32"/>
          <w:highlight w:val="none"/>
          <w:lang w:eastAsia="zh-CN"/>
        </w:rPr>
        <w:t>陆河县</w:t>
      </w:r>
      <w:r>
        <w:rPr>
          <w:rFonts w:hint="eastAsia" w:ascii="仿宋_GB2312" w:hAnsi="仿宋_GB2312" w:eastAsia="仿宋_GB2312" w:cs="仿宋_GB2312"/>
          <w:b w:val="0"/>
          <w:bCs w:val="0"/>
          <w:kern w:val="2"/>
          <w:sz w:val="32"/>
          <w:szCs w:val="32"/>
          <w:highlight w:val="none"/>
        </w:rPr>
        <w:t>实际，制定本规划，规划期限为2021至2025年。</w:t>
      </w:r>
    </w:p>
    <w:p>
      <w:pPr>
        <w:rPr>
          <w:rFonts w:hint="eastAsia" w:ascii="仿宋" w:hAnsi="仿宋" w:eastAsia="仿宋" w:cs="仿宋"/>
          <w:b/>
          <w:bCs/>
          <w:sz w:val="30"/>
          <w:szCs w:val="30"/>
        </w:rPr>
      </w:pPr>
    </w:p>
    <w:p>
      <w:pPr>
        <w:pStyle w:val="2"/>
        <w:rPr>
          <w:rFonts w:hint="eastAsia" w:ascii="仿宋" w:hAnsi="仿宋" w:eastAsia="仿宋" w:cs="仿宋"/>
          <w:b/>
          <w:bCs/>
          <w:sz w:val="30"/>
          <w:szCs w:val="30"/>
        </w:rPr>
      </w:pPr>
    </w:p>
    <w:p>
      <w:pPr>
        <w:rPr>
          <w:rFonts w:hint="eastAsia" w:ascii="仿宋" w:hAnsi="仿宋" w:eastAsia="仿宋" w:cs="仿宋"/>
          <w:b/>
          <w:bCs/>
          <w:sz w:val="30"/>
          <w:szCs w:val="30"/>
        </w:rPr>
      </w:pPr>
    </w:p>
    <w:p>
      <w:pPr>
        <w:pStyle w:val="2"/>
        <w:rPr>
          <w:rFonts w:hint="eastAsia" w:ascii="仿宋" w:hAnsi="仿宋" w:eastAsia="仿宋" w:cs="仿宋"/>
          <w:b/>
          <w:bCs/>
          <w:sz w:val="30"/>
          <w:szCs w:val="30"/>
        </w:rPr>
      </w:pPr>
    </w:p>
    <w:p>
      <w:pPr>
        <w:rPr>
          <w:rFonts w:hint="eastAsia" w:ascii="仿宋" w:hAnsi="仿宋" w:eastAsia="仿宋" w:cs="仿宋"/>
          <w:b/>
          <w:bCs/>
          <w:sz w:val="30"/>
          <w:szCs w:val="30"/>
        </w:rPr>
      </w:pPr>
    </w:p>
    <w:p>
      <w:pPr>
        <w:pStyle w:val="2"/>
        <w:ind w:left="0" w:leftChars="0" w:firstLine="0" w:firstLineChars="0"/>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36"/>
          <w:szCs w:val="36"/>
          <w:lang w:val="en-US" w:eastAsia="zh-CN"/>
        </w:rPr>
        <w:sectPr>
          <w:footerReference r:id="rId3" w:type="default"/>
          <w:pgSz w:w="11906" w:h="16838"/>
          <w:pgMar w:top="2098" w:right="1474" w:bottom="1871" w:left="1587" w:header="851" w:footer="992" w:gutter="0"/>
          <w:pgNumType w:fmt="numberInDash" w:start="1"/>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方正小标宋简体" w:hAnsi="方正小标宋简体" w:eastAsia="方正小标宋简体" w:cs="方正小标宋简体"/>
          <w:b w:val="0"/>
          <w:bCs w:val="0"/>
          <w:sz w:val="36"/>
          <w:szCs w:val="36"/>
        </w:rPr>
      </w:pPr>
      <w:bookmarkStart w:id="3" w:name="_Toc22029"/>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规划背景</w:t>
      </w:r>
      <w:bookmarkEnd w:id="3"/>
    </w:p>
    <w:p>
      <w:pPr>
        <w:pStyle w:val="2"/>
        <w:numPr>
          <w:ilvl w:val="0"/>
          <w:numId w:val="0"/>
        </w:numPr>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jc w:val="center"/>
        <w:textAlignment w:val="auto"/>
        <w:outlineLvl w:val="1"/>
        <w:rPr>
          <w:rFonts w:hint="eastAsia" w:ascii="黑体" w:hAnsi="黑体" w:eastAsia="黑体" w:cs="黑体"/>
          <w:b w:val="0"/>
          <w:bCs w:val="0"/>
          <w:sz w:val="32"/>
          <w:szCs w:val="32"/>
        </w:rPr>
      </w:pPr>
      <w:bookmarkStart w:id="4" w:name="_Toc17329"/>
      <w:bookmarkStart w:id="5" w:name="_Toc19627"/>
      <w:bookmarkStart w:id="6" w:name="_Toc15021"/>
      <w:bookmarkStart w:id="7" w:name="_Toc64913567"/>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基础与现状</w:t>
      </w:r>
      <w:bookmarkEnd w:id="4"/>
      <w:bookmarkEnd w:id="5"/>
      <w:bookmarkEnd w:id="6"/>
      <w:bookmarkEnd w:id="7"/>
    </w:p>
    <w:p>
      <w:pPr>
        <w:pStyle w:val="2"/>
        <w:numPr>
          <w:ilvl w:val="0"/>
          <w:numId w:val="0"/>
        </w:numPr>
        <w:rPr>
          <w:rFonts w:hint="eastAsia"/>
        </w:rPr>
      </w:pP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十三五”期间，陆河县全面贯彻落实国家和省、市医疗卫生体制改革部署，通过实施健康汕尾行动计划、公立医院改革、医共体建设、分级诊疗建设、医保支付制度改革、社会办医建设、基层中医药服务能力提升、国家基本公共卫生服务项目、全民健康信息化建设,以及稳步推进陆河县传染病医院，陆河县精神专科医院建设项目，陆河县社区卫生健康建设项目，陆河县医疗卫生整体配套提升建设项目，陆河县公共卫生急救服务中心等重大建设项目,卫生与健康事业发展突飞猛进，基层医疗服务能力不断提高，居民健康各项指标均取得较好成绩，为深入推进“十四五”时期陆河县卫生与健康工作奠定了坚实的基础。</w:t>
      </w:r>
    </w:p>
    <w:p>
      <w:pPr>
        <w:keepNext w:val="0"/>
        <w:keepLines w:val="0"/>
        <w:pageBreakBefore w:val="0"/>
        <w:widowControl w:val="0"/>
        <w:numPr>
          <w:ilvl w:val="0"/>
          <w:numId w:val="0"/>
        </w:numPr>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一、公立医院改革发展卓有成效。</w:t>
      </w:r>
      <w:r>
        <w:rPr>
          <w:rFonts w:hint="eastAsia" w:ascii="仿宋_GB2312" w:hAnsi="仿宋_GB2312" w:eastAsia="仿宋_GB2312" w:cs="仿宋_GB2312"/>
          <w:b w:val="0"/>
          <w:bCs w:val="0"/>
          <w:color w:val="0C0C0C"/>
          <w:kern w:val="0"/>
          <w:sz w:val="32"/>
          <w:szCs w:val="32"/>
          <w:lang w:val="en-US" w:eastAsia="zh-CN" w:bidi="ar-SA"/>
        </w:rPr>
        <w:t>一是建立现代医院管理制度。陆河县积极推进二级以上综合医院建立现代医院管理制度建设，选取陆河县人民医院作为陆河县试点，实施书记院长分设，落实党委领导下的院长负责制，制定医院章程，加强医院党建工作，完善了医院议事决策制度。二是加快推进公立医院薪酬制度试点改革，按照《汕尾市公立医院薪酬制度改革试点工作实施方案》，实行按需设岗，坚持竞聘上岗、按岗聘用、合同管理，实行了绩效工资，做到多劳多得、优绩优酬，重点向临床一线、关键岗位、业务骨干和做出突出贡献的人员倾斜。三是巩固完善公立医院补偿新机制。按照“总量控制、结构调整，动态调整、逐步到位，联动推进、相互衔接”的基本原则，陆河县被列入县级公立医院综合改革范畴的县人民医院、县中医医院、县妇幼保健院于2017年已全部取消药品加成，并于2019年1月1日起按省市统一部署全面取消医用耗材加成，顺利完成系统对接，执行新的医疗服务项目价格，同时在汕尾市统一协调下坚持推进医疗服务项目价格动态调整，确保医院取消药品和医用耗材加成后，医疗服务价格实际补偿水平达到政策规定的补偿比例。</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二、县域医共体建设工作稳步推进。</w:t>
      </w:r>
      <w:r>
        <w:rPr>
          <w:rFonts w:hint="eastAsia" w:ascii="仿宋_GB2312" w:hAnsi="仿宋_GB2312" w:eastAsia="仿宋_GB2312" w:cs="仿宋_GB2312"/>
          <w:b w:val="0"/>
          <w:bCs w:val="0"/>
          <w:color w:val="0C0C0C"/>
          <w:kern w:val="0"/>
          <w:sz w:val="32"/>
          <w:szCs w:val="32"/>
          <w:lang w:val="en-US" w:eastAsia="zh-CN" w:bidi="ar-SA"/>
        </w:rPr>
        <w:t>陆河县制订了《陆河县加强紧密型县域医疗卫生共同体建设实施方案》和《陆河县加强紧密型县域医疗卫生共同体建设实施意见（试行）》两个文件，推进县域医共体“行政、人员、财务、质量、药械、公卫、信息系统”建设工作。进一步促进县级医院与乡镇卫生院融合、医疗与预防整合、医疗与医保结合，促进形成基层首诊、分级诊疗、上下联动的就医秩序。目前，县内已建成1个以县人民医院为总医院，螺溪镇卫生院，南万镇卫生院，上护镇卫生院，河口镇中心卫生院，新田镇卫生院，水唇镇卫生院，河田镇中心卫生院，东坑镇卫生院，妇幼保健院，中医院为分院的县域医共体。</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zh-TW" w:eastAsia="zh-CN" w:bidi="ar-SA"/>
        </w:rPr>
      </w:pPr>
      <w:r>
        <w:rPr>
          <w:rFonts w:hint="eastAsia" w:ascii="仿宋_GB2312" w:hAnsi="仿宋_GB2312" w:eastAsia="仿宋_GB2312" w:cs="仿宋_GB2312"/>
          <w:b/>
          <w:bCs/>
          <w:color w:val="0C0C0C"/>
          <w:kern w:val="0"/>
          <w:sz w:val="32"/>
          <w:szCs w:val="32"/>
          <w:lang w:val="en-US" w:eastAsia="zh-CN" w:bidi="ar-SA"/>
        </w:rPr>
        <w:t>三、分级诊疗格局基本形成。</w:t>
      </w:r>
      <w:r>
        <w:rPr>
          <w:rFonts w:hint="eastAsia" w:ascii="仿宋_GB2312" w:hAnsi="仿宋_GB2312" w:eastAsia="仿宋_GB2312" w:cs="仿宋_GB2312"/>
          <w:b w:val="0"/>
          <w:bCs w:val="0"/>
          <w:color w:val="0C0C0C"/>
          <w:kern w:val="0"/>
          <w:sz w:val="32"/>
          <w:szCs w:val="32"/>
          <w:lang w:val="en-US" w:eastAsia="zh-CN" w:bidi="ar-SA"/>
        </w:rPr>
        <w:t>根据省市工作部署，陆河县印发了《关于建立分级诊疗和双向转诊制度的实施意见》（陆河府办〔2016〕61号），不断推进陆河县医疗卫生资源共享，努力构建“基层首诊、双向转诊、急慢分治、上下联动”的就医秩序。全县以家庭医生签约服务为切入点，以常见病、多发病、慢性病分级诊疗为突破口，</w:t>
      </w:r>
      <w:r>
        <w:rPr>
          <w:rFonts w:hint="eastAsia" w:ascii="仿宋_GB2312" w:hAnsi="仿宋_GB2312" w:eastAsia="仿宋_GB2312" w:cs="仿宋_GB2312"/>
          <w:b w:val="0"/>
          <w:bCs w:val="0"/>
          <w:color w:val="0C0C0C"/>
          <w:kern w:val="0"/>
          <w:sz w:val="32"/>
          <w:szCs w:val="32"/>
          <w:lang w:val="zh-TW" w:eastAsia="zh-TW" w:bidi="ar-SA"/>
        </w:rPr>
        <w:t>全面组织推进和指导城乡家庭医生式服务工作，制订签约服务实施方案和测算确定签约服务包收付费标准</w:t>
      </w:r>
      <w:r>
        <w:rPr>
          <w:rFonts w:hint="eastAsia" w:ascii="仿宋_GB2312" w:hAnsi="仿宋_GB2312" w:eastAsia="仿宋_GB2312" w:cs="仿宋_GB2312"/>
          <w:b w:val="0"/>
          <w:bCs w:val="0"/>
          <w:color w:val="0C0C0C"/>
          <w:kern w:val="0"/>
          <w:sz w:val="32"/>
          <w:szCs w:val="32"/>
          <w:lang w:val="zh-TW" w:eastAsia="zh-CN" w:bidi="ar-SA"/>
        </w:rPr>
        <w:t>，</w:t>
      </w:r>
      <w:r>
        <w:rPr>
          <w:rFonts w:hint="eastAsia" w:ascii="仿宋_GB2312" w:hAnsi="仿宋_GB2312" w:eastAsia="仿宋_GB2312" w:cs="仿宋_GB2312"/>
          <w:b w:val="0"/>
          <w:bCs w:val="0"/>
          <w:color w:val="0C0C0C"/>
          <w:kern w:val="0"/>
          <w:sz w:val="32"/>
          <w:szCs w:val="32"/>
          <w:lang w:val="en-US" w:eastAsia="zh-CN" w:bidi="ar-SA"/>
        </w:rPr>
        <w:t>促进医疗人才和城市医院资源下沉，</w:t>
      </w:r>
      <w:r>
        <w:rPr>
          <w:rFonts w:hint="eastAsia" w:ascii="仿宋_GB2312" w:hAnsi="仿宋_GB2312" w:eastAsia="仿宋_GB2312" w:cs="仿宋_GB2312"/>
          <w:b w:val="0"/>
          <w:bCs w:val="0"/>
          <w:color w:val="0C0C0C"/>
          <w:kern w:val="0"/>
          <w:sz w:val="32"/>
          <w:szCs w:val="32"/>
          <w:lang w:val="zh-TW" w:eastAsia="zh-CN" w:bidi="ar-SA"/>
        </w:rPr>
        <w:t>加快全县家庭医生签约服务工作，组建了</w:t>
      </w:r>
      <w:r>
        <w:rPr>
          <w:rFonts w:hint="eastAsia" w:ascii="仿宋_GB2312" w:hAnsi="仿宋_GB2312" w:eastAsia="仿宋_GB2312" w:cs="仿宋_GB2312"/>
          <w:b w:val="0"/>
          <w:bCs w:val="0"/>
          <w:color w:val="0C0C0C"/>
          <w:kern w:val="0"/>
          <w:sz w:val="32"/>
          <w:szCs w:val="32"/>
          <w:lang w:val="en-US" w:eastAsia="zh-CN" w:bidi="ar-SA"/>
        </w:rPr>
        <w:t>37</w:t>
      </w:r>
      <w:r>
        <w:rPr>
          <w:rFonts w:hint="eastAsia" w:ascii="仿宋_GB2312" w:hAnsi="仿宋_GB2312" w:eastAsia="仿宋_GB2312" w:cs="仿宋_GB2312"/>
          <w:b w:val="0"/>
          <w:bCs w:val="0"/>
          <w:color w:val="0C0C0C"/>
          <w:kern w:val="0"/>
          <w:sz w:val="32"/>
          <w:szCs w:val="32"/>
          <w:lang w:val="zh-TW" w:eastAsia="zh-CN" w:bidi="ar-SA"/>
        </w:rPr>
        <w:t>个家庭医生服务团队，</w:t>
      </w:r>
      <w:r>
        <w:rPr>
          <w:rFonts w:hint="eastAsia" w:ascii="仿宋_GB2312" w:hAnsi="仿宋_GB2312" w:eastAsia="仿宋_GB2312" w:cs="仿宋_GB2312"/>
          <w:b w:val="0"/>
          <w:bCs w:val="0"/>
          <w:color w:val="0C0C0C"/>
          <w:kern w:val="0"/>
          <w:sz w:val="32"/>
          <w:szCs w:val="32"/>
          <w:lang w:val="en-US" w:eastAsia="zh-CN" w:bidi="ar-SA"/>
        </w:rPr>
        <w:t>2020年普通人群签约率44.5%，重点人群签约率80.78</w:t>
      </w:r>
      <w:r>
        <w:rPr>
          <w:rFonts w:hint="eastAsia" w:ascii="仿宋_GB2312" w:hAnsi="仿宋_GB2312" w:eastAsia="仿宋_GB2312" w:cs="仿宋_GB2312"/>
          <w:b w:val="0"/>
          <w:bCs w:val="0"/>
          <w:color w:val="0C0C0C"/>
          <w:kern w:val="0"/>
          <w:sz w:val="32"/>
          <w:szCs w:val="32"/>
          <w:lang w:val="zh-TW" w:eastAsia="zh-CN" w:bidi="ar-SA"/>
        </w:rPr>
        <w:t>%，完成了省下达的任务。</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bCs/>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四、形成公立医院与社会办医相互促进、共同发展格局。</w:t>
      </w:r>
      <w:r>
        <w:rPr>
          <w:rFonts w:hint="eastAsia" w:ascii="仿宋_GB2312" w:hAnsi="仿宋_GB2312" w:eastAsia="仿宋_GB2312" w:cs="仿宋_GB2312"/>
          <w:b w:val="0"/>
          <w:bCs w:val="0"/>
          <w:color w:val="0C0C0C"/>
          <w:kern w:val="0"/>
          <w:sz w:val="32"/>
          <w:szCs w:val="32"/>
          <w:lang w:val="en-US" w:eastAsia="zh-CN" w:bidi="ar-SA"/>
        </w:rPr>
        <w:t>按照《汕尾市人民政府办公室关于促进社会办医加快发展的实施方案》，鼓励和引导社会资本设立医疗机构，实现民营医疗机构和公立医疗机构在准入、运营和监管等方面的公平待遇，形成公立医院与社会办医相互促进、共同发展格局。“十三五”期间共有3家民营医院投入营业，有效地补充居民就医需求。</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五、基层中医药服务能力全面提升。</w:t>
      </w:r>
      <w:r>
        <w:rPr>
          <w:rFonts w:hint="eastAsia" w:ascii="仿宋_GB2312" w:hAnsi="仿宋_GB2312" w:eastAsia="仿宋_GB2312" w:cs="仿宋_GB2312"/>
          <w:b w:val="0"/>
          <w:bCs w:val="0"/>
          <w:color w:val="0C0C0C"/>
          <w:kern w:val="0"/>
          <w:sz w:val="32"/>
          <w:szCs w:val="32"/>
          <w:lang w:val="en-US" w:eastAsia="zh-CN" w:bidi="ar-SA"/>
        </w:rPr>
        <w:t>按照《汕尾市中医药提升工程实施方案》。要求加大中医药扶持，开展基层中医药服务能力提升工程工作，陆河县认真做好中医院规划设置，并按照《中医医院建设标准》《建标106-2009》的要求，在河口工业园区征地约50亩新建立一所县级中医医院，计划总投资16222万元，此建设项目于2018年9月启动建设，计划于2022年年底完成建设。建成后可设置病床250张，满足二级综合医院建设要求。全县完成7个基层医疗卫生机构中医诊疗区（中医馆）建设任务并提供中医药服务,每个乡镇卫生院均能够开展中医药适宜技术,98%村卫生室提供中医药服务。截至2021年12月，陆河县共有中医执业（助理）医师129人；乡镇卫生院中医类别医师数88人，占医师总数的比例为68.2%。</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六、疾病防控及重大疾病防治成效凸显。</w:t>
      </w:r>
      <w:r>
        <w:rPr>
          <w:rFonts w:hint="eastAsia" w:ascii="仿宋_GB2312" w:hAnsi="仿宋_GB2312" w:eastAsia="仿宋_GB2312" w:cs="仿宋_GB2312"/>
          <w:b w:val="0"/>
          <w:bCs w:val="0"/>
          <w:color w:val="0C0C0C"/>
          <w:kern w:val="0"/>
          <w:sz w:val="32"/>
          <w:szCs w:val="32"/>
          <w:lang w:val="en-US" w:eastAsia="zh-CN" w:bidi="ar-SA"/>
        </w:rPr>
        <w:t>陆河县疾病防治体系逐步完善，工作机制不断健全，法规政策不断完善，财政投入力度不断加大，为疾病预防控制措施的落实提供了有力保障。法定传染病报告率由2015年的85.80% 上升到2021年的89.09%；麻风病患病率控制在1/10万以下；肺结核患者成功治疗率达到98.7%，基层医疗卫生机构肺结核患者规范管理率达到90%以上。突发公共卫生事件预警信息响应率及疫情规范化处置率均保持在100%；食品安全监测点覆盖率达100%；高血压、糖尿病患者健康管理率逐年上升；实现了消除疟疾的目标，全县保持消除碘缺乏病状态及饮水型地方性氟中毒危害得到控制。陆河县不断加快建设慢性病防治体系，慢性病患者健康管理迈上了新台阶，已管理人数和规范管理率不断提高，初步建成覆盖居民死因、慢性病及其危险因素、肿瘤随访登记、居民营养状况等领域的综合监测系统。多部门共同制定防治规划，并开展了一系列联合行动。广泛开展全民健康生活方式行动，积极推进慢性病综合防控示范区建设。2020年基本公共卫生服务项目补助标准提高到每人每年65元。陆河县成立了以综治牵头，各职能部门配合协作的严重精神障碍患者救治救助联席会议制度，防治网络和精神病人保障体系不断完善，诊疗服务能力得到提升，2019年精神分裂症治疗率达85.15%，严重精神障碍纳入医保重大疾病保障范围，提高精神病人医保报销额度。</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七、突发公共卫生事件监测、预警、处置机制持续顺畅，疫情期间凸现成效。</w:t>
      </w:r>
      <w:r>
        <w:rPr>
          <w:rFonts w:hint="eastAsia" w:ascii="仿宋_GB2312" w:hAnsi="仿宋_GB2312" w:eastAsia="仿宋_GB2312" w:cs="仿宋_GB2312"/>
          <w:b w:val="0"/>
          <w:bCs w:val="0"/>
          <w:color w:val="0C0C0C"/>
          <w:kern w:val="0"/>
          <w:sz w:val="32"/>
          <w:szCs w:val="32"/>
          <w:lang w:val="en-US" w:eastAsia="zh-CN" w:bidi="ar-SA"/>
        </w:rPr>
        <w:t>一是建立统一、智慧、高效的公共卫生应急指挥体系，2020年疫情发生后，陆河县坚持全县“一盘棋”、防控“一张网”，迅速构建起党政一把手挂帅的县、镇、村“三级衔接”的组织领导体系，并围绕确保领导体系高效运转，建立了协调、救治、防控、专家、舆情、交通、市场、随访、保障一体化的责任落实机制，确保全县上下步调一致、闻令而动，响应率为100%。健全完善县、镇、村三级的“四个一”应急处置机制，坚决做到“外防输入、内防扩散”和“外防输入、内防反弹”。二是建立“大数据+网格化+主动监测+群众路线”四轮驱动排查机制，充分运用大数据等信息技术，靶向追踪、综合研判在陆关联疫区人员情况，精准锁定重点人群，及时落地查控。最大限度清减潜在的传染源，铸就疫情防控的“铜墙铁壁”。</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八、爱国卫生运动取得一定成效。</w:t>
      </w:r>
      <w:r>
        <w:rPr>
          <w:rFonts w:hint="eastAsia" w:ascii="仿宋_GB2312" w:hAnsi="仿宋_GB2312" w:eastAsia="仿宋_GB2312" w:cs="仿宋_GB2312"/>
          <w:b w:val="0"/>
          <w:bCs w:val="0"/>
          <w:color w:val="0C0C0C"/>
          <w:kern w:val="0"/>
          <w:sz w:val="32"/>
          <w:szCs w:val="32"/>
          <w:lang w:val="en-US" w:eastAsia="zh-CN" w:bidi="ar-SA"/>
        </w:rPr>
        <w:t>全面落实国家、省新时代爱卫工作部署，全面开展卫生创建工作。2020年，陆河县成功创建国家卫生县城；螺溪镇、南万镇、河田镇成功创建广东省卫生镇，其他5个镇：上护镇、东坑镇、河口镇、水唇镇、新田镇已启动创建广东省卫生镇工作。当前全县卫生创建氛围深厚，各级党政领导高度重视。同时，积极协助县农村农业局做好农村改厕工作，农村卫生厕所普及率达到100% 和无害卫生厕所普及率达到100% 。</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九、全民健康信息化建设取得突破性进展。</w:t>
      </w:r>
      <w:r>
        <w:rPr>
          <w:rFonts w:hint="eastAsia" w:ascii="仿宋_GB2312" w:hAnsi="仿宋_GB2312" w:eastAsia="仿宋_GB2312" w:cs="仿宋_GB2312"/>
          <w:b w:val="0"/>
          <w:bCs w:val="0"/>
          <w:color w:val="0C0C0C"/>
          <w:kern w:val="0"/>
          <w:sz w:val="32"/>
          <w:szCs w:val="32"/>
          <w:lang w:val="en-US" w:eastAsia="zh-CN" w:bidi="ar-SA"/>
        </w:rPr>
        <w:t>一是设立健康医疗数据中心、建设全民健康信息综合管理平台，形成与省市级平台联通，覆盖各级各类卫生健康机构的高效统一平台，实现业务应用互联互通、信息共享、有效协同。二是完成了全县基层医疗卫生机构管理信息系统建设，形成全县统一的互联互通网络。三是全县镇级卫生院（社区卫生服务中心）全部完成远程医疗项目建设，并与省、市、远程医疗平台对接，实现远程医疗市、县、镇全覆盖。同时，全县贫困村配备了智能健康设备包，开展远程问诊、远程教育等服务，实现省定贫困村远程医疗服务全覆盖。四是大力开展医疗卫生信息便民惠民服务。全县综合医院加强“互联网+医疗健康”基础设施建设与升级，深入实施健康信息便民惠民行动，优化再造医疗服务流程、开展智能预约挂号、导医分诊、预约检查、检查检验结果查询、取药配送、移动支付等自助服务。五是进一步完善陆河县“互联网+医疗健康”建设,实现线上线下一体化服务。</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十、卫生人才队伍体系进一步完善。</w:t>
      </w:r>
      <w:r>
        <w:rPr>
          <w:rFonts w:hint="eastAsia" w:ascii="仿宋_GB2312" w:hAnsi="仿宋_GB2312" w:eastAsia="仿宋_GB2312" w:cs="仿宋_GB2312"/>
          <w:b w:val="0"/>
          <w:bCs w:val="0"/>
          <w:color w:val="0C0C0C"/>
          <w:kern w:val="0"/>
          <w:sz w:val="32"/>
          <w:szCs w:val="32"/>
          <w:lang w:val="en-US" w:eastAsia="zh-CN" w:bidi="ar-SA"/>
        </w:rPr>
        <w:t>加大对基层医疗卫生人才培训力度。实施全科医生规范化培训及助理全科医生培训、（助理）全科医生转岗培训及岗位培训、儿科和产科转岗、助理全科医生带教师资培训、住院医师规范化培训、助理全科医生培训等培训项目，2012-2020年共完成全科医生培训146人，已完成注册工作95人，每万人口全科医生达到3.82名，提前完成省要求在2020年每万人口全科医生数达到3名的目标。启动县级公立医院专科和基层医疗卫生机构全科特设岗位招聘</w:t>
      </w:r>
      <w:r>
        <w:rPr>
          <w:rFonts w:hint="eastAsia" w:ascii="仿宋_GB2312" w:hAnsi="仿宋_GB2312" w:eastAsia="仿宋_GB2312" w:cs="仿宋_GB2312"/>
          <w:b w:val="0"/>
          <w:bCs w:val="0"/>
          <w:color w:val="0C0C0C"/>
          <w:kern w:val="0"/>
          <w:sz w:val="32"/>
          <w:szCs w:val="32"/>
          <w:lang w:val="zh-TW" w:eastAsia="zh-TW" w:bidi="ar-SA"/>
        </w:rPr>
        <w:t>工作</w:t>
      </w:r>
      <w:r>
        <w:rPr>
          <w:rFonts w:hint="eastAsia" w:ascii="仿宋_GB2312" w:hAnsi="仿宋_GB2312" w:eastAsia="仿宋_GB2312" w:cs="仿宋_GB2312"/>
          <w:b w:val="0"/>
          <w:bCs w:val="0"/>
          <w:color w:val="0C0C0C"/>
          <w:kern w:val="0"/>
          <w:sz w:val="32"/>
          <w:szCs w:val="32"/>
          <w:lang w:val="zh-TW" w:eastAsia="zh-CN" w:bidi="ar-SA"/>
        </w:rPr>
        <w:t>。</w:t>
      </w:r>
      <w:r>
        <w:rPr>
          <w:rFonts w:hint="eastAsia" w:ascii="仿宋_GB2312" w:hAnsi="仿宋_GB2312" w:eastAsia="仿宋_GB2312" w:cs="仿宋_GB2312"/>
          <w:b w:val="0"/>
          <w:bCs w:val="0"/>
          <w:color w:val="0C0C0C"/>
          <w:kern w:val="0"/>
          <w:sz w:val="32"/>
          <w:szCs w:val="32"/>
          <w:lang w:val="zh-TW" w:eastAsia="zh-TW" w:bidi="ar-SA"/>
        </w:rPr>
        <w:t>省</w:t>
      </w:r>
      <w:r>
        <w:rPr>
          <w:rFonts w:hint="eastAsia" w:ascii="仿宋_GB2312" w:hAnsi="仿宋_GB2312" w:eastAsia="仿宋_GB2312" w:cs="仿宋_GB2312"/>
          <w:b w:val="0"/>
          <w:bCs w:val="0"/>
          <w:color w:val="0C0C0C"/>
          <w:kern w:val="0"/>
          <w:sz w:val="32"/>
          <w:szCs w:val="32"/>
          <w:lang w:val="en-US" w:eastAsia="zh-CN" w:bidi="ar-SA"/>
        </w:rPr>
        <w:t>卫生健康</w:t>
      </w:r>
      <w:r>
        <w:rPr>
          <w:rFonts w:hint="eastAsia" w:ascii="仿宋_GB2312" w:hAnsi="仿宋_GB2312" w:eastAsia="仿宋_GB2312" w:cs="仿宋_GB2312"/>
          <w:b w:val="0"/>
          <w:bCs w:val="0"/>
          <w:color w:val="0C0C0C"/>
          <w:kern w:val="0"/>
          <w:sz w:val="32"/>
          <w:szCs w:val="32"/>
          <w:lang w:val="zh-TW" w:eastAsia="zh-TW" w:bidi="ar-SA"/>
        </w:rPr>
        <w:t>委分配</w:t>
      </w:r>
      <w:r>
        <w:rPr>
          <w:rFonts w:hint="eastAsia" w:ascii="仿宋_GB2312" w:hAnsi="仿宋_GB2312" w:eastAsia="仿宋_GB2312" w:cs="仿宋_GB2312"/>
          <w:b w:val="0"/>
          <w:bCs w:val="0"/>
          <w:color w:val="0C0C0C"/>
          <w:kern w:val="0"/>
          <w:sz w:val="32"/>
          <w:szCs w:val="32"/>
          <w:lang w:val="zh-TW" w:eastAsia="zh-CN" w:bidi="ar-SA"/>
        </w:rPr>
        <w:t>陆河县</w:t>
      </w:r>
      <w:r>
        <w:rPr>
          <w:rFonts w:hint="eastAsia" w:ascii="仿宋_GB2312" w:hAnsi="仿宋_GB2312" w:eastAsia="仿宋_GB2312" w:cs="仿宋_GB2312"/>
          <w:b w:val="0"/>
          <w:bCs w:val="0"/>
          <w:color w:val="0C0C0C"/>
          <w:kern w:val="0"/>
          <w:sz w:val="32"/>
          <w:szCs w:val="32"/>
          <w:lang w:val="zh-TW" w:eastAsia="zh-TW" w:bidi="ar-SA"/>
        </w:rPr>
        <w:t>4个</w:t>
      </w:r>
      <w:r>
        <w:rPr>
          <w:rFonts w:hint="eastAsia" w:ascii="仿宋_GB2312" w:hAnsi="仿宋_GB2312" w:eastAsia="仿宋_GB2312" w:cs="仿宋_GB2312"/>
          <w:b w:val="0"/>
          <w:bCs w:val="0"/>
          <w:color w:val="0C0C0C"/>
          <w:kern w:val="0"/>
          <w:sz w:val="32"/>
          <w:szCs w:val="32"/>
          <w:lang w:val="en-US" w:eastAsia="zh-CN" w:bidi="ar-SA"/>
        </w:rPr>
        <w:t>县级</w:t>
      </w:r>
      <w:r>
        <w:rPr>
          <w:rFonts w:hint="eastAsia" w:ascii="仿宋_GB2312" w:hAnsi="仿宋_GB2312" w:eastAsia="仿宋_GB2312" w:cs="仿宋_GB2312"/>
          <w:b w:val="0"/>
          <w:bCs w:val="0"/>
          <w:color w:val="0C0C0C"/>
          <w:kern w:val="0"/>
          <w:sz w:val="32"/>
          <w:szCs w:val="32"/>
          <w:lang w:val="zh-TW" w:eastAsia="zh-TW" w:bidi="ar-SA"/>
        </w:rPr>
        <w:t>专科特设岗位</w:t>
      </w:r>
      <w:r>
        <w:rPr>
          <w:rFonts w:hint="eastAsia" w:ascii="仿宋_GB2312" w:hAnsi="仿宋_GB2312" w:eastAsia="仿宋_GB2312" w:cs="仿宋_GB2312"/>
          <w:b w:val="0"/>
          <w:bCs w:val="0"/>
          <w:color w:val="0C0C0C"/>
          <w:kern w:val="0"/>
          <w:sz w:val="32"/>
          <w:szCs w:val="32"/>
          <w:lang w:val="en-US" w:eastAsia="zh-CN" w:bidi="ar-SA"/>
        </w:rPr>
        <w:t>和16名基层卫生机构全科医生特设岗位，</w:t>
      </w:r>
      <w:r>
        <w:rPr>
          <w:rFonts w:hint="eastAsia" w:ascii="仿宋_GB2312" w:hAnsi="仿宋_GB2312" w:eastAsia="仿宋_GB2312" w:cs="仿宋_GB2312"/>
          <w:b w:val="0"/>
          <w:bCs w:val="0"/>
          <w:color w:val="0C0C0C"/>
          <w:kern w:val="0"/>
          <w:sz w:val="32"/>
          <w:szCs w:val="32"/>
          <w:lang w:val="zh-TW" w:eastAsia="zh-CN" w:bidi="ar-SA"/>
        </w:rPr>
        <w:t>目前</w:t>
      </w:r>
      <w:r>
        <w:rPr>
          <w:rFonts w:hint="eastAsia" w:ascii="仿宋_GB2312" w:hAnsi="仿宋_GB2312" w:eastAsia="仿宋_GB2312" w:cs="仿宋_GB2312"/>
          <w:b w:val="0"/>
          <w:bCs w:val="0"/>
          <w:color w:val="0C0C0C"/>
          <w:kern w:val="0"/>
          <w:sz w:val="32"/>
          <w:szCs w:val="32"/>
          <w:lang w:val="zh-TW" w:eastAsia="zh-TW" w:bidi="ar-SA"/>
        </w:rPr>
        <w:t>所有医院都已按时申报计划数及岗位名称</w:t>
      </w:r>
      <w:r>
        <w:rPr>
          <w:rFonts w:hint="eastAsia" w:ascii="仿宋_GB2312" w:hAnsi="仿宋_GB2312" w:eastAsia="仿宋_GB2312" w:cs="仿宋_GB2312"/>
          <w:b w:val="0"/>
          <w:bCs w:val="0"/>
          <w:color w:val="0C0C0C"/>
          <w:kern w:val="0"/>
          <w:sz w:val="32"/>
          <w:szCs w:val="32"/>
          <w:lang w:val="zh-TW" w:eastAsia="zh-CN" w:bidi="ar-SA"/>
        </w:rPr>
        <w:t>，并</w:t>
      </w:r>
      <w:r>
        <w:rPr>
          <w:rFonts w:hint="eastAsia" w:ascii="仿宋_GB2312" w:hAnsi="仿宋_GB2312" w:eastAsia="仿宋_GB2312" w:cs="仿宋_GB2312"/>
          <w:b w:val="0"/>
          <w:bCs w:val="0"/>
          <w:color w:val="0C0C0C"/>
          <w:kern w:val="0"/>
          <w:sz w:val="32"/>
          <w:szCs w:val="32"/>
          <w:lang w:val="zh-TW" w:eastAsia="zh-TW" w:bidi="ar-SA"/>
        </w:rPr>
        <w:t>完成招聘工作</w:t>
      </w:r>
      <w:r>
        <w:rPr>
          <w:rFonts w:hint="eastAsia" w:ascii="仿宋_GB2312" w:hAnsi="仿宋_GB2312" w:eastAsia="仿宋_GB2312" w:cs="仿宋_GB2312"/>
          <w:b w:val="0"/>
          <w:bCs w:val="0"/>
          <w:color w:val="0C0C0C"/>
          <w:kern w:val="0"/>
          <w:sz w:val="32"/>
          <w:szCs w:val="32"/>
          <w:lang w:val="zh-TW" w:eastAsia="zh-CN" w:bidi="ar-SA"/>
        </w:rPr>
        <w:t>。</w:t>
      </w:r>
      <w:r>
        <w:rPr>
          <w:rFonts w:hint="eastAsia" w:ascii="仿宋_GB2312" w:hAnsi="仿宋_GB2312" w:eastAsia="仿宋_GB2312" w:cs="仿宋_GB2312"/>
          <w:b w:val="0"/>
          <w:bCs w:val="0"/>
          <w:color w:val="0C0C0C"/>
          <w:kern w:val="0"/>
          <w:sz w:val="32"/>
          <w:szCs w:val="32"/>
          <w:lang w:val="en-US" w:eastAsia="zh-CN" w:bidi="ar-SA"/>
        </w:rPr>
        <w:t>按照市委红海扬帆人才引进计划和汕尾市卫生人才建设方案，加强卫生人才引进，推动县级医院与乡镇卫生院实行一体化管理，推进“县招县管镇用”。2020年通过公开招聘招收基层卫生人才17名；制定《2020年陆河县医疗卫生单位人才引进工作方案》，计划面向社会公开引进、招聘基层医疗卫生单位急需紧缺人才178名（其中高级职称10名）；通过医疗机构临聘全日制大专生24人、本科生14人。</w:t>
      </w:r>
    </w:p>
    <w:p>
      <w:pPr>
        <w:pStyle w:val="2"/>
        <w:rPr>
          <w:rFonts w:hint="eastAsia"/>
          <w:lang w:val="en-US" w:eastAsia="zh-CN"/>
        </w:rPr>
      </w:pPr>
    </w:p>
    <w:p>
      <w:pPr>
        <w:pBdr>
          <w:bottom w:val="single" w:color="FFFFFF" w:sz="4" w:space="7"/>
        </w:pBdr>
        <w:spacing w:line="580" w:lineRule="exact"/>
        <w:ind w:firstLine="0" w:firstLineChars="0"/>
        <w:jc w:val="center"/>
        <w:rPr>
          <w:rFonts w:hint="eastAsia" w:asciiTheme="majorEastAsia" w:hAnsiTheme="majorEastAsia" w:eastAsiaTheme="majorEastAsia" w:cstheme="majorEastAsia"/>
          <w:b/>
          <w:bCs w:val="0"/>
          <w:sz w:val="30"/>
          <w:szCs w:val="30"/>
        </w:rPr>
      </w:pPr>
      <w:r>
        <w:rPr>
          <w:rFonts w:hint="eastAsia" w:asciiTheme="majorEastAsia" w:hAnsiTheme="majorEastAsia" w:eastAsiaTheme="majorEastAsia" w:cstheme="majorEastAsia"/>
          <w:b/>
          <w:bCs w:val="0"/>
          <w:sz w:val="30"/>
          <w:szCs w:val="30"/>
        </w:rPr>
        <w:t>表1 陆河县“十三五”</w:t>
      </w:r>
      <w:r>
        <w:rPr>
          <w:rFonts w:hint="eastAsia" w:asciiTheme="majorEastAsia" w:hAnsiTheme="majorEastAsia" w:eastAsiaTheme="majorEastAsia" w:cstheme="majorEastAsia"/>
          <w:b/>
          <w:bCs w:val="0"/>
          <w:sz w:val="30"/>
          <w:szCs w:val="30"/>
          <w:lang w:eastAsia="zh-CN"/>
        </w:rPr>
        <w:t>时期</w:t>
      </w:r>
      <w:r>
        <w:rPr>
          <w:rFonts w:hint="eastAsia" w:asciiTheme="majorEastAsia" w:hAnsiTheme="majorEastAsia" w:eastAsiaTheme="majorEastAsia" w:cstheme="majorEastAsia"/>
          <w:b/>
          <w:bCs w:val="0"/>
          <w:sz w:val="30"/>
          <w:szCs w:val="30"/>
        </w:rPr>
        <w:t>卫生健康</w:t>
      </w:r>
      <w:r>
        <w:rPr>
          <w:rFonts w:hint="eastAsia" w:asciiTheme="majorEastAsia" w:hAnsiTheme="majorEastAsia" w:eastAsiaTheme="majorEastAsia" w:cstheme="majorEastAsia"/>
          <w:b/>
          <w:bCs w:val="0"/>
          <w:sz w:val="30"/>
          <w:szCs w:val="30"/>
          <w:lang w:eastAsia="zh-CN"/>
        </w:rPr>
        <w:t>事业发展相关</w:t>
      </w:r>
      <w:r>
        <w:rPr>
          <w:rFonts w:hint="eastAsia" w:asciiTheme="majorEastAsia" w:hAnsiTheme="majorEastAsia" w:eastAsiaTheme="majorEastAsia" w:cstheme="majorEastAsia"/>
          <w:b/>
          <w:bCs w:val="0"/>
          <w:sz w:val="30"/>
          <w:szCs w:val="30"/>
        </w:rPr>
        <w:t>约束性指标情况</w:t>
      </w:r>
    </w:p>
    <w:tbl>
      <w:tblPr>
        <w:tblStyle w:val="13"/>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2"/>
        <w:gridCol w:w="1239"/>
        <w:gridCol w:w="1333"/>
        <w:gridCol w:w="1314"/>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72" w:type="dxa"/>
            <w:tcBorders>
              <w:left w:val="single" w:color="auto" w:sz="4" w:space="0"/>
              <w:right w:val="single" w:color="auto" w:sz="4" w:space="0"/>
            </w:tcBorders>
            <w:noWrap w:val="0"/>
            <w:vAlign w:val="center"/>
          </w:tcPr>
          <w:p>
            <w:pPr>
              <w:tabs>
                <w:tab w:val="left" w:pos="2744"/>
              </w:tabs>
              <w:spacing w:line="400" w:lineRule="exact"/>
              <w:ind w:left="-315" w:leftChars="-150" w:right="-315" w:rightChars="-150"/>
              <w:jc w:val="center"/>
              <w:rPr>
                <w:rFonts w:hint="eastAsia" w:ascii="宋体" w:hAnsi="宋体" w:eastAsia="宋体" w:cs="宋体"/>
                <w:b/>
                <w:sz w:val="24"/>
                <w:szCs w:val="24"/>
              </w:rPr>
            </w:pPr>
            <w:r>
              <w:rPr>
                <w:rFonts w:hint="eastAsia" w:ascii="宋体" w:hAnsi="宋体" w:eastAsia="宋体" w:cs="宋体"/>
                <w:b/>
                <w:sz w:val="24"/>
                <w:szCs w:val="24"/>
              </w:rPr>
              <w:t>主要指标</w:t>
            </w:r>
          </w:p>
        </w:tc>
        <w:tc>
          <w:tcPr>
            <w:tcW w:w="1239" w:type="dxa"/>
            <w:tcBorders>
              <w:top w:val="single" w:color="auto" w:sz="4" w:space="0"/>
              <w:left w:val="single" w:color="auto" w:sz="4" w:space="0"/>
              <w:bottom w:val="single" w:color="auto" w:sz="4" w:space="0"/>
              <w:right w:val="single" w:color="auto" w:sz="4" w:space="0"/>
            </w:tcBorders>
            <w:noWrap w:val="0"/>
            <w:vAlign w:val="top"/>
          </w:tcPr>
          <w:p>
            <w:pPr>
              <w:tabs>
                <w:tab w:val="left" w:pos="2744"/>
              </w:tabs>
              <w:spacing w:line="400" w:lineRule="exact"/>
              <w:ind w:left="-315" w:leftChars="-150" w:right="-315" w:rightChars="-150"/>
              <w:jc w:val="center"/>
              <w:rPr>
                <w:rFonts w:hint="eastAsia" w:ascii="宋体" w:hAnsi="宋体" w:eastAsia="宋体" w:cs="宋体"/>
                <w:b/>
                <w:sz w:val="24"/>
                <w:szCs w:val="24"/>
              </w:rPr>
            </w:pPr>
            <w:r>
              <w:rPr>
                <w:rFonts w:hint="eastAsia" w:ascii="宋体" w:hAnsi="宋体" w:eastAsia="宋体" w:cs="宋体"/>
                <w:b/>
                <w:sz w:val="24"/>
                <w:szCs w:val="24"/>
                <w:lang w:eastAsia="zh-CN"/>
              </w:rPr>
              <w:t>广东省</w:t>
            </w:r>
            <w:r>
              <w:rPr>
                <w:rFonts w:hint="eastAsia" w:ascii="宋体" w:hAnsi="宋体" w:eastAsia="宋体" w:cs="宋体"/>
                <w:b/>
                <w:sz w:val="24"/>
                <w:szCs w:val="24"/>
              </w:rPr>
              <w:t>水平</w:t>
            </w:r>
          </w:p>
          <w:p>
            <w:pPr>
              <w:tabs>
                <w:tab w:val="left" w:pos="2744"/>
              </w:tabs>
              <w:spacing w:line="400" w:lineRule="exact"/>
              <w:ind w:left="-315" w:leftChars="-150" w:right="-315" w:rightChars="-150"/>
              <w:rPr>
                <w:rFonts w:hint="eastAsia" w:ascii="宋体" w:hAnsi="宋体" w:eastAsia="宋体" w:cs="宋体"/>
                <w:b/>
                <w:sz w:val="24"/>
                <w:szCs w:val="24"/>
              </w:rPr>
            </w:pPr>
            <w:r>
              <w:rPr>
                <w:rFonts w:hint="eastAsia" w:ascii="宋体" w:hAnsi="宋体" w:eastAsia="宋体" w:cs="宋体"/>
                <w:b/>
                <w:sz w:val="24"/>
                <w:szCs w:val="24"/>
              </w:rPr>
              <w:t>（（2020年）</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400" w:lineRule="exact"/>
              <w:ind w:left="-315" w:leftChars="-150" w:right="-315" w:rightChars="-150"/>
              <w:jc w:val="center"/>
              <w:rPr>
                <w:rFonts w:hint="eastAsia" w:ascii="宋体" w:hAnsi="宋体" w:eastAsia="宋体" w:cs="宋体"/>
                <w:b/>
                <w:sz w:val="24"/>
                <w:szCs w:val="24"/>
                <w:lang w:eastAsia="zh-CN"/>
              </w:rPr>
            </w:pPr>
            <w:r>
              <w:rPr>
                <w:rFonts w:hint="eastAsia" w:ascii="宋体" w:hAnsi="宋体" w:eastAsia="宋体" w:cs="宋体"/>
                <w:b/>
                <w:sz w:val="24"/>
                <w:szCs w:val="24"/>
              </w:rPr>
              <w:t>汕尾市</w:t>
            </w:r>
            <w:r>
              <w:rPr>
                <w:rFonts w:hint="eastAsia" w:ascii="宋体" w:hAnsi="宋体" w:eastAsia="宋体" w:cs="宋体"/>
                <w:b/>
                <w:sz w:val="24"/>
                <w:szCs w:val="24"/>
                <w:lang w:eastAsia="zh-CN"/>
              </w:rPr>
              <w:t>水平</w:t>
            </w:r>
          </w:p>
          <w:p>
            <w:pPr>
              <w:tabs>
                <w:tab w:val="left" w:pos="2744"/>
              </w:tabs>
              <w:spacing w:line="400" w:lineRule="exact"/>
              <w:ind w:left="-315" w:leftChars="-150" w:right="-315" w:rightChars="-150"/>
              <w:jc w:val="center"/>
              <w:rPr>
                <w:rFonts w:hint="eastAsia" w:ascii="宋体" w:hAnsi="宋体" w:eastAsia="宋体" w:cs="宋体"/>
                <w:b/>
                <w:sz w:val="24"/>
                <w:szCs w:val="24"/>
              </w:rPr>
            </w:pPr>
            <w:r>
              <w:rPr>
                <w:rFonts w:hint="eastAsia" w:ascii="宋体" w:hAnsi="宋体" w:eastAsia="宋体" w:cs="宋体"/>
                <w:b/>
                <w:sz w:val="24"/>
                <w:szCs w:val="24"/>
              </w:rPr>
              <w:t>（20</w:t>
            </w:r>
            <w:r>
              <w:rPr>
                <w:rFonts w:hint="eastAsia" w:ascii="宋体" w:hAnsi="宋体" w:eastAsia="宋体" w:cs="宋体"/>
                <w:b/>
                <w:sz w:val="24"/>
                <w:szCs w:val="24"/>
                <w:lang w:val="en-US" w:eastAsia="zh-CN"/>
              </w:rPr>
              <w:t>20</w:t>
            </w:r>
            <w:r>
              <w:rPr>
                <w:rFonts w:hint="eastAsia" w:ascii="宋体" w:hAnsi="宋体" w:eastAsia="宋体" w:cs="宋体"/>
                <w:b/>
                <w:sz w:val="24"/>
                <w:szCs w:val="24"/>
              </w:rPr>
              <w:t>年）</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400" w:lineRule="exact"/>
              <w:ind w:left="-315" w:leftChars="-150" w:right="-315" w:rightChars="-150"/>
              <w:jc w:val="center"/>
              <w:rPr>
                <w:rFonts w:hint="eastAsia" w:ascii="宋体" w:hAnsi="宋体" w:eastAsia="宋体" w:cs="宋体"/>
                <w:b/>
                <w:sz w:val="24"/>
                <w:szCs w:val="24"/>
              </w:rPr>
            </w:pPr>
            <w:r>
              <w:rPr>
                <w:rFonts w:hint="eastAsia" w:ascii="宋体" w:hAnsi="宋体" w:eastAsia="宋体" w:cs="宋体"/>
                <w:b/>
                <w:sz w:val="24"/>
                <w:szCs w:val="24"/>
              </w:rPr>
              <w:t>陆河县水平</w:t>
            </w:r>
          </w:p>
          <w:p>
            <w:pPr>
              <w:tabs>
                <w:tab w:val="left" w:pos="2744"/>
              </w:tabs>
              <w:spacing w:line="400" w:lineRule="exact"/>
              <w:ind w:left="-315" w:leftChars="-150" w:right="-315" w:rightChars="-150"/>
              <w:jc w:val="center"/>
              <w:rPr>
                <w:rFonts w:hint="eastAsia" w:ascii="宋体" w:hAnsi="宋体" w:eastAsia="宋体" w:cs="宋体"/>
                <w:b/>
                <w:sz w:val="24"/>
                <w:szCs w:val="24"/>
              </w:rPr>
            </w:pPr>
            <w:r>
              <w:rPr>
                <w:rFonts w:hint="eastAsia" w:ascii="宋体" w:hAnsi="宋体" w:eastAsia="宋体" w:cs="宋体"/>
                <w:b/>
                <w:sz w:val="24"/>
                <w:szCs w:val="24"/>
              </w:rPr>
              <w:t>（2020年）</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400" w:lineRule="exact"/>
              <w:ind w:left="-315" w:leftChars="-150" w:right="-315" w:rightChars="-150"/>
              <w:jc w:val="center"/>
              <w:rPr>
                <w:rFonts w:hint="eastAsia" w:ascii="宋体" w:hAnsi="宋体" w:eastAsia="宋体" w:cs="宋体"/>
                <w:b/>
                <w:sz w:val="24"/>
                <w:szCs w:val="24"/>
              </w:rPr>
            </w:pPr>
            <w:r>
              <w:rPr>
                <w:rFonts w:hint="eastAsia" w:ascii="宋体" w:hAnsi="宋体" w:eastAsia="宋体" w:cs="宋体"/>
                <w:b/>
                <w:sz w:val="24"/>
                <w:szCs w:val="24"/>
              </w:rPr>
              <w:t>实现情况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3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744"/>
              </w:tabs>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以乡镇为单位适龄儿童免疫规划疫苗接种率（%）</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＞95</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96.8</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99.71</w:t>
            </w:r>
          </w:p>
        </w:tc>
        <w:tc>
          <w:tcPr>
            <w:tcW w:w="1220" w:type="dxa"/>
            <w:tcBorders>
              <w:left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3372"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农村自来水普及率（%）</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＞90</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94.6</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93.8</w:t>
            </w:r>
          </w:p>
        </w:tc>
        <w:tc>
          <w:tcPr>
            <w:tcW w:w="1220" w:type="dxa"/>
            <w:tcBorders>
              <w:left w:val="single" w:color="auto" w:sz="4" w:space="0"/>
              <w:right w:val="single" w:color="auto" w:sz="4" w:space="0"/>
            </w:tcBorders>
            <w:noWrap w:val="0"/>
            <w:vAlign w:val="center"/>
          </w:tcPr>
          <w:p>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3372"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孕产妇系统管理率（%）</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＞90</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lang w:val="en-US" w:eastAsia="zh-CN"/>
              </w:rPr>
              <w:t>95.12</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91.01</w:t>
            </w:r>
          </w:p>
        </w:tc>
        <w:tc>
          <w:tcPr>
            <w:tcW w:w="1220" w:type="dxa"/>
            <w:tcBorders>
              <w:left w:val="single" w:color="auto" w:sz="4" w:space="0"/>
              <w:right w:val="single" w:color="auto" w:sz="4" w:space="0"/>
            </w:tcBorders>
            <w:noWrap w:val="0"/>
            <w:vAlign w:val="center"/>
          </w:tcPr>
          <w:p>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3372"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pacing w:val="-16"/>
                <w:sz w:val="24"/>
                <w:szCs w:val="24"/>
              </w:rPr>
            </w:pPr>
            <w:r>
              <w:rPr>
                <w:rFonts w:hint="eastAsia" w:ascii="宋体" w:hAnsi="宋体" w:eastAsia="宋体" w:cs="宋体"/>
                <w:spacing w:val="-16"/>
                <w:sz w:val="24"/>
                <w:szCs w:val="24"/>
              </w:rPr>
              <w:t>3岁以下儿童系统管理率</w:t>
            </w:r>
            <w:r>
              <w:rPr>
                <w:rFonts w:hint="eastAsia" w:ascii="宋体" w:hAnsi="宋体" w:eastAsia="宋体" w:cs="宋体"/>
                <w:sz w:val="24"/>
                <w:szCs w:val="24"/>
              </w:rPr>
              <w:t>（%）</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＞90</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lang w:val="en-US" w:eastAsia="zh-CN"/>
              </w:rPr>
              <w:t>94.99</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96</w:t>
            </w:r>
          </w:p>
        </w:tc>
        <w:tc>
          <w:tcPr>
            <w:tcW w:w="1220" w:type="dxa"/>
            <w:tcBorders>
              <w:left w:val="single" w:color="auto" w:sz="4" w:space="0"/>
              <w:right w:val="single" w:color="auto" w:sz="4" w:space="0"/>
            </w:tcBorders>
            <w:noWrap w:val="0"/>
            <w:vAlign w:val="center"/>
          </w:tcPr>
          <w:p>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3372"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出生人口性别比</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107.66</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default" w:ascii="宋体" w:hAnsi="宋体" w:eastAsia="宋体" w:cs="宋体"/>
                <w:sz w:val="24"/>
                <w:szCs w:val="24"/>
                <w:lang w:val="en-US" w:eastAsia="zh-CN"/>
              </w:rPr>
            </w:pPr>
            <w:r>
              <w:rPr>
                <w:rFonts w:hint="eastAsia" w:ascii="宋体" w:hAnsi="宋体" w:eastAsia="宋体" w:cs="宋体"/>
                <w:sz w:val="24"/>
                <w:szCs w:val="24"/>
              </w:rPr>
              <w:t>106.</w:t>
            </w:r>
            <w:r>
              <w:rPr>
                <w:rFonts w:hint="eastAsia" w:ascii="宋体" w:hAnsi="宋体" w:cs="宋体"/>
                <w:sz w:val="24"/>
                <w:szCs w:val="24"/>
                <w:lang w:val="en-US" w:eastAsia="zh-CN"/>
              </w:rPr>
              <w:t>29</w:t>
            </w:r>
          </w:p>
        </w:tc>
        <w:tc>
          <w:tcPr>
            <w:tcW w:w="1220" w:type="dxa"/>
            <w:tcBorders>
              <w:left w:val="single" w:color="auto" w:sz="4" w:space="0"/>
              <w:right w:val="single" w:color="auto" w:sz="4" w:space="0"/>
            </w:tcBorders>
            <w:noWrap w:val="0"/>
            <w:vAlign w:val="center"/>
          </w:tcPr>
          <w:p>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3372" w:type="dxa"/>
            <w:tcBorders>
              <w:top w:val="single" w:color="auto" w:sz="4" w:space="0"/>
              <w:left w:val="single" w:color="auto" w:sz="4" w:space="0"/>
              <w:bottom w:val="single" w:color="auto" w:sz="4" w:space="0"/>
              <w:right w:val="single" w:color="auto" w:sz="4" w:space="0"/>
            </w:tcBorders>
            <w:noWrap w:val="0"/>
            <w:vAlign w:val="top"/>
          </w:tcPr>
          <w:p>
            <w:pPr>
              <w:tabs>
                <w:tab w:val="left" w:pos="2744"/>
              </w:tabs>
              <w:spacing w:line="580" w:lineRule="exact"/>
              <w:ind w:left="-315" w:leftChars="-150" w:right="-315" w:rightChars="-150"/>
              <w:jc w:val="center"/>
              <w:rPr>
                <w:rFonts w:hint="eastAsia" w:ascii="宋体" w:hAnsi="宋体" w:eastAsia="宋体" w:cs="宋体"/>
                <w:spacing w:val="-16"/>
                <w:sz w:val="24"/>
                <w:szCs w:val="24"/>
              </w:rPr>
            </w:pPr>
            <w:r>
              <w:rPr>
                <w:rFonts w:hint="eastAsia" w:ascii="宋体" w:hAnsi="宋体" w:eastAsia="宋体" w:cs="宋体"/>
                <w:spacing w:val="-16"/>
                <w:sz w:val="24"/>
                <w:szCs w:val="24"/>
              </w:rPr>
              <w:t>每万常住人口全科医生数</w:t>
            </w:r>
            <w:r>
              <w:rPr>
                <w:rFonts w:hint="eastAsia" w:ascii="宋体" w:hAnsi="宋体" w:eastAsia="宋体" w:cs="宋体"/>
                <w:sz w:val="24"/>
                <w:szCs w:val="24"/>
              </w:rPr>
              <w:t>（人）</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3</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.65</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82</w:t>
            </w:r>
          </w:p>
        </w:tc>
        <w:tc>
          <w:tcPr>
            <w:tcW w:w="1220" w:type="dxa"/>
            <w:tcBorders>
              <w:left w:val="single" w:color="auto" w:sz="4" w:space="0"/>
              <w:right w:val="single" w:color="auto" w:sz="4" w:space="0"/>
            </w:tcBorders>
            <w:noWrap w:val="0"/>
            <w:vAlign w:val="center"/>
          </w:tcPr>
          <w:p>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3372" w:type="dxa"/>
            <w:tcBorders>
              <w:top w:val="single" w:color="auto" w:sz="4" w:space="0"/>
              <w:left w:val="single" w:color="auto" w:sz="4" w:space="0"/>
              <w:bottom w:val="single" w:color="auto" w:sz="4" w:space="0"/>
              <w:right w:val="single" w:color="auto" w:sz="4" w:space="0"/>
            </w:tcBorders>
            <w:noWrap w:val="0"/>
            <w:vAlign w:val="top"/>
          </w:tcPr>
          <w:p>
            <w:pPr>
              <w:tabs>
                <w:tab w:val="left" w:pos="2744"/>
              </w:tabs>
              <w:spacing w:line="580" w:lineRule="exact"/>
              <w:ind w:left="-315" w:leftChars="-150" w:right="-315" w:rightChars="-150"/>
              <w:rPr>
                <w:rFonts w:hint="eastAsia" w:ascii="宋体" w:hAnsi="宋体" w:eastAsia="宋体" w:cs="宋体"/>
                <w:spacing w:val="-16"/>
                <w:sz w:val="24"/>
                <w:szCs w:val="24"/>
              </w:rPr>
            </w:pPr>
            <w:r>
              <w:rPr>
                <w:rFonts w:hint="eastAsia" w:ascii="宋体" w:hAnsi="宋体" w:eastAsia="宋体" w:cs="宋体"/>
                <w:spacing w:val="-16"/>
                <w:sz w:val="24"/>
                <w:szCs w:val="24"/>
              </w:rPr>
              <w:t>个个人卫生支出占卫生总费用比例（%）</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rPr>
            </w:pPr>
            <w:r>
              <w:rPr>
                <w:rFonts w:hint="eastAsia" w:ascii="宋体" w:hAnsi="宋体" w:eastAsia="宋体" w:cs="宋体"/>
                <w:sz w:val="24"/>
                <w:szCs w:val="24"/>
              </w:rPr>
              <w:t>＜25</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24.98</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tabs>
                <w:tab w:val="left" w:pos="2744"/>
              </w:tabs>
              <w:spacing w:line="580" w:lineRule="exact"/>
              <w:ind w:left="-315" w:leftChars="-150" w:right="-315" w:rightChars="-1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24.98</w:t>
            </w:r>
          </w:p>
        </w:tc>
        <w:tc>
          <w:tcPr>
            <w:tcW w:w="1220" w:type="dxa"/>
            <w:tcBorders>
              <w:left w:val="single" w:color="auto" w:sz="4" w:space="0"/>
              <w:right w:val="single" w:color="auto" w:sz="4" w:space="0"/>
            </w:tcBorders>
            <w:noWrap w:val="0"/>
            <w:vAlign w:val="center"/>
          </w:tcPr>
          <w:p>
            <w:pPr>
              <w:spacing w:line="580" w:lineRule="exact"/>
              <w:jc w:val="center"/>
              <w:rPr>
                <w:rFonts w:hint="eastAsia" w:ascii="宋体" w:hAnsi="宋体" w:eastAsia="宋体" w:cs="宋体"/>
                <w:sz w:val="24"/>
                <w:szCs w:val="24"/>
              </w:rPr>
            </w:pPr>
            <w:r>
              <w:rPr>
                <w:rFonts w:hint="eastAsia" w:ascii="宋体" w:hAnsi="宋体" w:eastAsia="宋体" w:cs="宋体"/>
                <w:sz w:val="24"/>
                <w:szCs w:val="24"/>
              </w:rPr>
              <w:t>达标</w:t>
            </w:r>
          </w:p>
        </w:tc>
      </w:tr>
    </w:tbl>
    <w:p>
      <w:pPr>
        <w:keepNext w:val="0"/>
        <w:keepLines w:val="0"/>
        <w:pageBreakBefore w:val="0"/>
        <w:numPr>
          <w:ilvl w:val="0"/>
          <w:numId w:val="2"/>
        </w:numPr>
        <w:kinsoku/>
        <w:wordWrap/>
        <w:topLinePunct w:val="0"/>
        <w:autoSpaceDE/>
        <w:autoSpaceDN/>
        <w:bidi w:val="0"/>
        <w:adjustRightInd/>
        <w:snapToGrid/>
        <w:spacing w:before="157" w:beforeLines="50" w:after="157" w:afterLines="50" w:line="560" w:lineRule="exact"/>
        <w:ind w:left="0" w:leftChars="0" w:firstLine="0" w:firstLineChars="0"/>
        <w:jc w:val="center"/>
        <w:textAlignment w:val="auto"/>
        <w:outlineLvl w:val="1"/>
        <w:rPr>
          <w:rFonts w:hint="eastAsia" w:ascii="黑体" w:hAnsi="黑体" w:eastAsia="黑体" w:cs="黑体"/>
          <w:b w:val="0"/>
          <w:bCs w:val="0"/>
          <w:sz w:val="32"/>
          <w:szCs w:val="32"/>
        </w:rPr>
      </w:pPr>
      <w:bookmarkStart w:id="8" w:name="_Toc20546"/>
      <w:bookmarkStart w:id="9" w:name="_Toc12238"/>
      <w:bookmarkStart w:id="10" w:name="_Toc70606284"/>
      <w:bookmarkStart w:id="11" w:name="_Toc32621"/>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形势与挑战</w:t>
      </w:r>
      <w:bookmarkEnd w:id="8"/>
      <w:bookmarkEnd w:id="9"/>
      <w:bookmarkEnd w:id="10"/>
      <w:bookmarkEnd w:id="11"/>
    </w:p>
    <w:p>
      <w:pPr>
        <w:pStyle w:val="2"/>
        <w:numPr>
          <w:ilvl w:val="0"/>
          <w:numId w:val="0"/>
        </w:numPr>
        <w:ind w:leftChars="0"/>
        <w:rPr>
          <w:rFonts w:hint="eastAsia"/>
        </w:rPr>
      </w:pPr>
    </w:p>
    <w:p>
      <w:pPr>
        <w:keepNext w:val="0"/>
        <w:keepLines w:val="0"/>
        <w:pageBreakBefore w:val="0"/>
        <w:widowControl/>
        <w:suppressLineNumbers w:val="0"/>
        <w:kinsoku/>
        <w:wordWrap/>
        <w:overflowPunct w:val="0"/>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当前，全球新发传染病不断出现，新冠肺炎疫情仍处于大流行状态，境外输入传染病风险持续存在，重大传染病防控形势仍然严峻，特别是新冠肺炎疫情暴露出的公共卫生体系短板弱项需加快补齐，防范化解重大疫情和突发公共卫生风险能力亟待加强。同时，面临多重疾病负担并存、多重健康影响因素交织的复杂状况；随着生活水平的提高，人民群众日益增长的健康需要和不平衡不充分的发展之间的矛盾突出，医疗卫生资源供需矛盾加剧,对医疗卫生资源配置提出了新的更高要求。</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left="-105" w:leftChars="-50" w:right="-105" w:rightChars="-50"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0C0C0C"/>
          <w:kern w:val="0"/>
          <w:sz w:val="32"/>
          <w:szCs w:val="32"/>
          <w:lang w:val="en-US" w:eastAsia="zh-CN" w:bidi="ar-SA"/>
        </w:rPr>
        <w:t>十三五”规划实施以来，陆河县卫生健康事业发展取得了显著成绩，医疗卫生服务水平总体上有较大提升，与珠三角地区和邻近地市相比，与人民群众日益增长的医疗服务需求相比，陆河县医疗卫生健康事业仍存在差距和短板。比如人均医疗资源占有量低于全省平均水平、医疗卫生机构基础设施薄弱、基层专业技术人才严重缺乏、医疗服务能力不足、投入及保障水平不高和体制机制仍不完善等，有待进一步加强。</w:t>
      </w:r>
    </w:p>
    <w:p>
      <w:pPr>
        <w:keepNext w:val="0"/>
        <w:keepLines w:val="0"/>
        <w:pageBreakBefore w:val="0"/>
        <w:widowControl w:val="0"/>
        <w:numPr>
          <w:ilvl w:val="0"/>
          <w:numId w:val="3"/>
        </w:numPr>
        <w:kinsoku/>
        <w:wordWrap/>
        <w:overflowPunct w:val="0"/>
        <w:topLinePunct w:val="0"/>
        <w:autoSpaceDE/>
        <w:autoSpaceDN/>
        <w:bidi w:val="0"/>
        <w:adjustRightInd/>
        <w:snapToGrid/>
        <w:spacing w:before="157" w:beforeLines="50" w:after="157" w:afterLines="50" w:line="560" w:lineRule="exact"/>
        <w:ind w:left="-105" w:leftChars="-50" w:right="-105" w:rightChars="-50" w:firstLine="643"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医疗卫生资源配置总体不足。</w:t>
      </w:r>
      <w:r>
        <w:rPr>
          <w:rFonts w:hint="eastAsia" w:ascii="仿宋_GB2312" w:hAnsi="仿宋_GB2312" w:eastAsia="仿宋_GB2312" w:cs="仿宋_GB2312"/>
          <w:b w:val="0"/>
          <w:bCs w:val="0"/>
          <w:color w:val="0C0C0C"/>
          <w:kern w:val="0"/>
          <w:sz w:val="32"/>
          <w:szCs w:val="32"/>
          <w:lang w:val="en-US" w:eastAsia="zh-CN" w:bidi="ar-SA"/>
        </w:rPr>
        <w:t>人均医疗资源占有量远低于全省平均水平，在粤东西北地区也处于相对落后位置。目前全县仅1家二级甲等医院，专科医院资源严重不足。目前陆河县每千人口医疗机构床位数仅4.02张（广东省4.48张；汕尾市4.33张），每千人口执业（助理）医师数2.13人（广东省2.44人，汕尾市1.79人），每千人口注册护士数1.8人（广东省2.97人，汕尾市1.71人</w:t>
      </w:r>
      <w:r>
        <w:rPr>
          <w:rFonts w:hint="eastAsia" w:ascii="仿宋_GB2312" w:hAnsi="仿宋_GB2312" w:eastAsia="仿宋_GB2312" w:cs="仿宋_GB2312"/>
          <w:b w:val="0"/>
          <w:bCs w:val="0"/>
          <w:color w:val="auto"/>
          <w:kern w:val="0"/>
          <w:sz w:val="32"/>
          <w:szCs w:val="32"/>
          <w:lang w:val="en-US" w:eastAsia="zh-CN" w:bidi="ar-SA"/>
        </w:rPr>
        <w:t>），这些指标均低于广东省水平。</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left="-105" w:leftChars="-50" w:right="-105" w:rightChars="-50"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二、基层专业技术人才匮乏。</w:t>
      </w:r>
      <w:r>
        <w:rPr>
          <w:rFonts w:hint="eastAsia" w:ascii="仿宋_GB2312" w:hAnsi="仿宋_GB2312" w:eastAsia="仿宋_GB2312" w:cs="仿宋_GB2312"/>
          <w:b w:val="0"/>
          <w:bCs w:val="0"/>
          <w:color w:val="0C0C0C"/>
          <w:kern w:val="0"/>
          <w:sz w:val="32"/>
          <w:szCs w:val="32"/>
          <w:lang w:val="en-US" w:eastAsia="zh-CN" w:bidi="ar-SA"/>
        </w:rPr>
        <w:t>一是基层专业技术人才总量不足。基层执业助理医师数远低于全省甚至粤东西北平均水平。二是人才流失严重。陆河县是经济欠发达地区，薪酬水平较低，吸引、集聚人才能力弱，造成外地人才引不进，本地人才留不住的问题。三是培训资源不足的问题亟待解决。目前陆河县尚无大中专医学院校以及住院医师规范化培训基地，严重阻碍了陆河县卫技人员培养和医技水平的提高。</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left="-105" w:leftChars="-50" w:right="-105" w:rightChars="-50"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三、医疗服务能力仍需进一步提高。</w:t>
      </w:r>
      <w:r>
        <w:rPr>
          <w:rFonts w:hint="eastAsia" w:ascii="仿宋_GB2312" w:hAnsi="仿宋_GB2312" w:eastAsia="仿宋_GB2312" w:cs="仿宋_GB2312"/>
          <w:b w:val="0"/>
          <w:bCs w:val="0"/>
          <w:color w:val="0C0C0C"/>
          <w:kern w:val="0"/>
          <w:sz w:val="32"/>
          <w:szCs w:val="32"/>
          <w:lang w:val="en-US" w:eastAsia="zh-CN" w:bidi="ar-SA"/>
        </w:rPr>
        <w:t>县级医院服务量远低于全省水平。由于陆河县综合医院服务能力低，特别是县级医院医疗技术总体水平不够，本应在县域内诊疗的病人流向广州或其他城市。2020年县域内平均住院率只有80.5%（均低于全省平均水平85.1%）。县级医院临床专科水平不高。学科带头人缺乏，学科建设不健全，县级人民医院龙头作用未能充分体现，导致许多重病、大病患者外流。</w:t>
      </w: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uto"/>
        <w:ind w:leftChars="0"/>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第</w:t>
      </w:r>
      <w:r>
        <w:rPr>
          <w:rFonts w:hint="eastAsia" w:ascii="方正小标宋简体" w:hAnsi="方正小标宋简体" w:eastAsia="方正小标宋简体" w:cs="方正小标宋简体"/>
          <w:b w:val="0"/>
          <w:bCs w:val="0"/>
          <w:sz w:val="36"/>
          <w:szCs w:val="36"/>
          <w:lang w:val="en-US" w:eastAsia="zh-CN"/>
        </w:rPr>
        <w:t>二</w:t>
      </w:r>
      <w:r>
        <w:rPr>
          <w:rFonts w:hint="eastAsia" w:ascii="方正小标宋简体" w:hAnsi="方正小标宋简体" w:eastAsia="方正小标宋简体" w:cs="方正小标宋简体"/>
          <w:b w:val="0"/>
          <w:bCs w:val="0"/>
          <w:sz w:val="36"/>
          <w:szCs w:val="36"/>
          <w:lang w:eastAsia="zh-CN"/>
        </w:rPr>
        <w:t>章</w:t>
      </w:r>
      <w:r>
        <w:rPr>
          <w:rFonts w:hint="eastAsia" w:ascii="方正小标宋简体" w:hAnsi="方正小标宋简体" w:eastAsia="方正小标宋简体" w:cs="方正小标宋简体"/>
          <w:b w:val="0"/>
          <w:bCs w:val="0"/>
          <w:sz w:val="36"/>
          <w:szCs w:val="36"/>
        </w:rPr>
        <w:t xml:space="preserve"> </w:t>
      </w:r>
      <w:bookmarkStart w:id="12" w:name="_Toc10907"/>
      <w:r>
        <w:rPr>
          <w:rFonts w:hint="eastAsia" w:ascii="方正小标宋简体" w:hAnsi="方正小标宋简体" w:eastAsia="方正小标宋简体" w:cs="方正小标宋简体"/>
          <w:b w:val="0"/>
          <w:bCs w:val="0"/>
          <w:sz w:val="36"/>
          <w:szCs w:val="36"/>
        </w:rPr>
        <w:t>总体要求</w:t>
      </w:r>
      <w:bookmarkEnd w:id="12"/>
    </w:p>
    <w:p>
      <w:pPr>
        <w:keepNext w:val="0"/>
        <w:keepLines w:val="0"/>
        <w:pageBreakBefore w:val="0"/>
        <w:widowControl w:val="0"/>
        <w:numPr>
          <w:ilvl w:val="0"/>
          <w:numId w:val="0"/>
        </w:numPr>
        <w:tabs>
          <w:tab w:val="left" w:pos="2744"/>
        </w:tabs>
        <w:kinsoku/>
        <w:wordWrap/>
        <w:topLinePunct w:val="0"/>
        <w:autoSpaceDE/>
        <w:autoSpaceDN/>
        <w:bidi w:val="0"/>
        <w:adjustRightInd/>
        <w:snapToGrid/>
        <w:spacing w:before="157" w:beforeLines="50" w:after="157" w:afterLines="50" w:line="480" w:lineRule="auto"/>
        <w:ind w:right="-315" w:rightChars="-150" w:firstLine="3200" w:firstLineChars="1000"/>
        <w:jc w:val="both"/>
        <w:textAlignment w:val="auto"/>
        <w:outlineLvl w:val="1"/>
        <w:rPr>
          <w:rFonts w:hint="eastAsia"/>
        </w:rPr>
      </w:pPr>
      <w:bookmarkStart w:id="13" w:name="_Toc20120"/>
      <w:bookmarkStart w:id="14" w:name="_Toc5391"/>
      <w:bookmarkStart w:id="15" w:name="_Toc23009"/>
      <w:r>
        <w:rPr>
          <w:rFonts w:hint="eastAsia" w:ascii="黑体" w:hAnsi="黑体" w:eastAsia="黑体" w:cs="黑体"/>
          <w:b w:val="0"/>
          <w:bCs/>
          <w:sz w:val="32"/>
          <w:szCs w:val="32"/>
          <w:lang w:eastAsia="zh-CN"/>
        </w:rPr>
        <w:t>第一节</w:t>
      </w:r>
      <w:r>
        <w:rPr>
          <w:rFonts w:hint="eastAsia" w:ascii="黑体" w:hAnsi="黑体" w:eastAsia="黑体" w:cs="黑体"/>
          <w:b w:val="0"/>
          <w:bCs/>
          <w:sz w:val="32"/>
          <w:szCs w:val="32"/>
        </w:rPr>
        <w:t xml:space="preserve"> 指导思想</w:t>
      </w:r>
      <w:bookmarkEnd w:id="13"/>
      <w:bookmarkEnd w:id="14"/>
      <w:bookmarkEnd w:id="15"/>
    </w:p>
    <w:p>
      <w:pPr>
        <w:keepNext w:val="0"/>
        <w:keepLines w:val="0"/>
        <w:pageBreakBefore w:val="0"/>
        <w:widowControl w:val="0"/>
        <w:kinsoku/>
        <w:wordWrap/>
        <w:overflowPunct w:val="0"/>
        <w:topLinePunct w:val="0"/>
        <w:autoSpaceDE/>
        <w:autoSpaceDN/>
        <w:bidi w:val="0"/>
        <w:adjustRightInd/>
        <w:snapToGrid/>
        <w:spacing w:before="157" w:beforeLines="50" w:after="157" w:afterLines="50" w:line="480" w:lineRule="auto"/>
        <w:ind w:right="-105" w:rightChars="-50"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以习近平新时代中国特色社会主义思想为指导，全面贯彻党的十九大和十九届历次</w:t>
      </w:r>
      <w:bookmarkStart w:id="162" w:name="_GoBack"/>
      <w:bookmarkEnd w:id="162"/>
      <w:r>
        <w:rPr>
          <w:rFonts w:hint="eastAsia" w:ascii="仿宋_GB2312" w:hAnsi="仿宋_GB2312" w:eastAsia="仿宋_GB2312" w:cs="仿宋_GB2312"/>
          <w:b w:val="0"/>
          <w:bCs w:val="0"/>
          <w:color w:val="0C0C0C"/>
          <w:kern w:val="0"/>
          <w:sz w:val="32"/>
          <w:szCs w:val="32"/>
          <w:lang w:val="en-US" w:eastAsia="zh-CN" w:bidi="ar-SA"/>
        </w:rPr>
        <w:t>全会精神，深入贯彻习近平总书记重要讲话和重要指示批示精神，统筹推进“五位一体”总体布局，协调推进“四个全面”战略布局，落实健康中国、健康广东建设总体部署，以深度融入粤港澳大湾区建设、建设沿海经济带靓丽明珠作为新时代汕尾改革开放的总牵引，坚持“人民至上、生命至上”，坚持推动卫生健康事业高质量发展，践行总体国家安全观和新时期卫生健康工作方针，认真落实汕尾市委市政府建设“卫生强市、健康汕尾”的工作任务，从以治病为中心向以人民健康为中心转变，将保障公共卫生安全作为提升城市治理能力的重要方面，持续提升医疗卫生服务能力，不断增强人民群众获得感、幸福感、安全感，保持社会大局稳定与健康发展，奋力开创新时代陆河县改革开放和现代化建设新局面。</w:t>
      </w:r>
      <w:bookmarkStart w:id="16" w:name="_Toc2060"/>
      <w:bookmarkStart w:id="17" w:name="_Toc16702"/>
      <w:bookmarkStart w:id="18" w:name="_Toc16904"/>
      <w:bookmarkStart w:id="19" w:name="_Toc70606287"/>
    </w:p>
    <w:p>
      <w:pPr>
        <w:keepNext w:val="0"/>
        <w:keepLines w:val="0"/>
        <w:pageBreakBefore w:val="0"/>
        <w:widowControl w:val="0"/>
        <w:kinsoku/>
        <w:wordWrap/>
        <w:overflowPunct w:val="0"/>
        <w:topLinePunct w:val="0"/>
        <w:autoSpaceDE/>
        <w:autoSpaceDN/>
        <w:bidi w:val="0"/>
        <w:adjustRightInd/>
        <w:snapToGrid/>
        <w:spacing w:before="157" w:beforeLines="50" w:after="157" w:afterLines="50" w:line="480" w:lineRule="auto"/>
        <w:ind w:right="-105" w:rightChars="-50" w:firstLine="640" w:firstLineChars="200"/>
        <w:jc w:val="center"/>
        <w:textAlignment w:val="auto"/>
        <w:rPr>
          <w:rFonts w:hint="eastAsia" w:asciiTheme="majorEastAsia" w:hAnsiTheme="majorEastAsia" w:eastAsiaTheme="majorEastAsia" w:cstheme="majorEastAsia"/>
          <w:b/>
          <w:bCs w:val="0"/>
          <w:sz w:val="32"/>
          <w:szCs w:val="32"/>
        </w:rPr>
      </w:pPr>
      <w:r>
        <w:rPr>
          <w:rFonts w:hint="eastAsia" w:ascii="黑体" w:hAnsi="黑体" w:eastAsia="黑体" w:cs="黑体"/>
          <w:b w:val="0"/>
          <w:bCs/>
          <w:sz w:val="32"/>
          <w:szCs w:val="32"/>
          <w:lang w:eastAsia="zh-CN"/>
        </w:rPr>
        <w:t>第二节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基本原则</w:t>
      </w:r>
      <w:bookmarkEnd w:id="16"/>
      <w:bookmarkEnd w:id="17"/>
      <w:bookmarkEnd w:id="18"/>
      <w:bookmarkEnd w:id="19"/>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right="-105" w:rightChars="-50" w:firstLine="643" w:firstLineChars="200"/>
        <w:jc w:val="both"/>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val="0"/>
          <w:sz w:val="32"/>
          <w:szCs w:val="32"/>
          <w:lang w:val="en-US" w:eastAsia="zh-CN"/>
        </w:rPr>
        <w:t>健康优先，预防为主。</w:t>
      </w:r>
      <w:r>
        <w:rPr>
          <w:rFonts w:hint="eastAsia" w:ascii="仿宋_GB2312" w:hAnsi="仿宋_GB2312" w:eastAsia="仿宋_GB2312" w:cs="仿宋_GB2312"/>
          <w:b w:val="0"/>
          <w:bCs w:val="0"/>
          <w:color w:val="0C0C0C"/>
          <w:kern w:val="0"/>
          <w:sz w:val="32"/>
          <w:szCs w:val="32"/>
          <w:lang w:val="en-US" w:eastAsia="zh-CN" w:bidi="ar-SA"/>
        </w:rPr>
        <w:t xml:space="preserve">将健康放在优先发展的战略地位，以促进居民健康为中心，着力推动卫生健康发展方式从“以治病为中心”向“以健康为中心”转变，推进健康融入所有政策，满足人民群众的健康需求，构筑“大健康、大卫生”格局；加强公共卫生体系建设，不断提高居民健康管理、健康素养水平，为人民群众提供全生命周期的卫生健康服务。 </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right="-105" w:rightChars="-5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统筹兼顾，多元发展。</w:t>
      </w:r>
      <w:r>
        <w:rPr>
          <w:rFonts w:hint="eastAsia" w:ascii="仿宋_GB2312" w:hAnsi="仿宋_GB2312" w:eastAsia="仿宋_GB2312" w:cs="仿宋_GB2312"/>
          <w:b w:val="0"/>
          <w:bCs w:val="0"/>
          <w:color w:val="0C0C0C"/>
          <w:kern w:val="0"/>
          <w:sz w:val="32"/>
          <w:szCs w:val="32"/>
          <w:lang w:val="en-US" w:eastAsia="zh-CN" w:bidi="ar-SA"/>
        </w:rPr>
        <w:t>统筹卫生健康资源配置，加快推进重点项目建设，补齐基层医疗卫生短板，推进专科医院建设及高水平医院建设；坚持政府主导，在基本医疗卫生服务领域适当引入竞争机制；坚持中西医并重，优势互补，不断加大社会办医力度，逐步形成多元化医疗服务格局。</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right="-105" w:rightChars="-50" w:firstLine="643" w:firstLineChars="200"/>
        <w:jc w:val="both"/>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val="0"/>
          <w:sz w:val="32"/>
          <w:szCs w:val="32"/>
          <w:lang w:val="en-US" w:eastAsia="zh-CN"/>
        </w:rPr>
        <w:t>深化改革，开放创新。</w:t>
      </w:r>
      <w:r>
        <w:rPr>
          <w:rFonts w:hint="eastAsia" w:ascii="仿宋_GB2312" w:hAnsi="仿宋_GB2312" w:eastAsia="仿宋_GB2312" w:cs="仿宋_GB2312"/>
          <w:b w:val="0"/>
          <w:bCs w:val="0"/>
          <w:color w:val="0C0C0C"/>
          <w:kern w:val="0"/>
          <w:sz w:val="32"/>
          <w:szCs w:val="32"/>
          <w:lang w:val="en-US" w:eastAsia="zh-CN" w:bidi="ar-SA"/>
        </w:rPr>
        <w:t xml:space="preserve">深化医药卫生体制改革，加快建设完善分级诊疗制度，推动公立医院高质量发展，强化“五医联动”和系统集成改革。促进卫生健康事业与健康产业联动发展，推进地方特色中医中药产业、康养旅游、生物医药、互联网医疗等产业发展，大力发展健康服务业，加快营造战略性新兴产业发展环境，以中医中药作为突破口，加速健康产业集聚发展。 </w:t>
      </w:r>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right="-105" w:rightChars="-50" w:firstLine="643" w:firstLineChars="200"/>
        <w:textAlignment w:val="auto"/>
        <w:rPr>
          <w:rFonts w:hint="eastAsia" w:ascii="宋体" w:hAnsi="宋体" w:eastAsia="宋体" w:cs="宋体"/>
          <w:b w:val="0"/>
          <w:bCs w:val="0"/>
          <w:color w:val="0C0C0C"/>
          <w:kern w:val="0"/>
          <w:sz w:val="30"/>
          <w:szCs w:val="30"/>
          <w:lang w:val="en-US" w:eastAsia="zh-CN" w:bidi="ar-SA"/>
        </w:rPr>
      </w:pPr>
      <w:r>
        <w:rPr>
          <w:rFonts w:hint="eastAsia" w:ascii="仿宋_GB2312" w:hAnsi="仿宋_GB2312" w:eastAsia="仿宋_GB2312" w:cs="仿宋_GB2312"/>
          <w:b/>
          <w:bCs w:val="0"/>
          <w:sz w:val="32"/>
          <w:szCs w:val="32"/>
          <w:lang w:val="en-US" w:eastAsia="zh-CN"/>
        </w:rPr>
        <w:t>政府主导，社会参与。</w:t>
      </w:r>
      <w:r>
        <w:rPr>
          <w:rFonts w:hint="eastAsia" w:ascii="仿宋_GB2312" w:hAnsi="仿宋_GB2312" w:eastAsia="仿宋_GB2312" w:cs="仿宋_GB2312"/>
          <w:b w:val="0"/>
          <w:bCs w:val="0"/>
          <w:color w:val="0C0C0C"/>
          <w:kern w:val="0"/>
          <w:sz w:val="32"/>
          <w:szCs w:val="32"/>
          <w:lang w:val="en-US" w:eastAsia="zh-CN" w:bidi="ar-SA"/>
        </w:rPr>
        <w:t xml:space="preserve">坚持政府主导，强化政府职能，落实领导、保障、管理、监督责任。坚持底线思维，有力应对和化解卫生健康领域风险。加强医疗行业规范管理，健全服务和监管体系。加大政府投入，完善部门协同机制，营造公平竞争的卫生发展环境，充分调动社会力量的积极性和创造性，增加有效供给。着力促进治理方式向政府主导、社会参与、全民行动转变。 </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right="-105" w:rightChars="-50" w:firstLine="643" w:firstLineChars="200"/>
        <w:textAlignment w:val="auto"/>
        <w:rPr>
          <w:rFonts w:hint="eastAsia"/>
          <w:lang w:val="en-US" w:eastAsia="zh-CN"/>
        </w:rPr>
      </w:pPr>
      <w:r>
        <w:rPr>
          <w:rFonts w:hint="eastAsia" w:ascii="仿宋_GB2312" w:hAnsi="仿宋_GB2312" w:eastAsia="仿宋_GB2312" w:cs="仿宋_GB2312"/>
          <w:b/>
          <w:bCs w:val="0"/>
          <w:sz w:val="32"/>
          <w:szCs w:val="32"/>
          <w:lang w:val="en-US" w:eastAsia="zh-CN"/>
        </w:rPr>
        <w:t>优化整合，协调发展。</w:t>
      </w:r>
      <w:r>
        <w:rPr>
          <w:rFonts w:hint="eastAsia" w:ascii="仿宋_GB2312" w:hAnsi="仿宋_GB2312" w:eastAsia="仿宋_GB2312" w:cs="仿宋_GB2312"/>
          <w:b w:val="0"/>
          <w:bCs w:val="0"/>
          <w:color w:val="0C0C0C"/>
          <w:kern w:val="0"/>
          <w:sz w:val="32"/>
          <w:szCs w:val="32"/>
          <w:lang w:val="en-US" w:eastAsia="zh-CN" w:bidi="ar-SA"/>
        </w:rPr>
        <w:t>推动卫生健康事业高质量发展，实现卫生健康服务更加优质高效、更加公平可及、更加持续安全。推动医疗机构、公共卫生机构、基层医疗卫生机构的资源共享、联动发展。推动医疗卫生、教学和科研协同发展，推进预防、医疗和康复养护服务有效衔接，构建优质高效的整合型医疗服务体系，实现资源配置效益最大化和效率最优化。推动高水平医院建设，提升基层医疗卫生服务能力，完善分级诊疗模式。</w:t>
      </w:r>
    </w:p>
    <w:p>
      <w:pPr>
        <w:keepNext w:val="0"/>
        <w:keepLines w:val="0"/>
        <w:pageBreakBefore w:val="0"/>
        <w:widowControl w:val="0"/>
        <w:numPr>
          <w:ilvl w:val="0"/>
          <w:numId w:val="0"/>
        </w:numPr>
        <w:tabs>
          <w:tab w:val="left" w:pos="2744"/>
        </w:tabs>
        <w:kinsoku/>
        <w:wordWrap/>
        <w:topLinePunct w:val="0"/>
        <w:autoSpaceDE/>
        <w:autoSpaceDN/>
        <w:bidi w:val="0"/>
        <w:adjustRightInd/>
        <w:snapToGrid/>
        <w:spacing w:before="157" w:beforeLines="50" w:after="157" w:afterLines="50" w:line="480" w:lineRule="auto"/>
        <w:ind w:right="-315" w:rightChars="-150"/>
        <w:jc w:val="center"/>
        <w:textAlignment w:val="auto"/>
        <w:outlineLvl w:val="1"/>
        <w:rPr>
          <w:rFonts w:hint="eastAsia" w:asciiTheme="majorEastAsia" w:hAnsiTheme="majorEastAsia" w:eastAsiaTheme="majorEastAsia" w:cstheme="majorEastAsia"/>
          <w:b/>
          <w:bCs w:val="0"/>
          <w:sz w:val="32"/>
          <w:szCs w:val="32"/>
        </w:rPr>
      </w:pPr>
      <w:bookmarkStart w:id="20" w:name="_Toc9411"/>
      <w:bookmarkStart w:id="21" w:name="_Toc11149"/>
      <w:bookmarkStart w:id="22" w:name="_Toc70606288"/>
      <w:bookmarkStart w:id="23" w:name="_Toc13246"/>
      <w:r>
        <w:rPr>
          <w:rFonts w:hint="eastAsia" w:asciiTheme="majorEastAsia" w:hAnsiTheme="majorEastAsia" w:eastAsiaTheme="majorEastAsia" w:cstheme="majorEastAsia"/>
          <w:b/>
          <w:bCs w:val="0"/>
          <w:sz w:val="32"/>
          <w:szCs w:val="32"/>
          <w:lang w:eastAsia="zh-CN"/>
        </w:rPr>
        <w:t>第三节</w:t>
      </w:r>
      <w:r>
        <w:rPr>
          <w:rFonts w:hint="eastAsia" w:asciiTheme="majorEastAsia" w:hAnsiTheme="majorEastAsia" w:eastAsiaTheme="majorEastAsia" w:cstheme="majorEastAsia"/>
          <w:b/>
          <w:bCs w:val="0"/>
          <w:sz w:val="32"/>
          <w:szCs w:val="32"/>
          <w:lang w:val="en-US" w:eastAsia="zh-CN"/>
        </w:rPr>
        <w:t xml:space="preserve">  </w:t>
      </w:r>
      <w:r>
        <w:rPr>
          <w:rFonts w:hint="eastAsia" w:asciiTheme="majorEastAsia" w:hAnsiTheme="majorEastAsia" w:eastAsiaTheme="majorEastAsia" w:cstheme="majorEastAsia"/>
          <w:b/>
          <w:bCs w:val="0"/>
          <w:sz w:val="32"/>
          <w:szCs w:val="32"/>
        </w:rPr>
        <w:t>发展目标</w:t>
      </w:r>
      <w:bookmarkEnd w:id="20"/>
      <w:bookmarkEnd w:id="21"/>
      <w:bookmarkEnd w:id="22"/>
      <w:bookmarkEnd w:id="23"/>
    </w:p>
    <w:p>
      <w:pPr>
        <w:pStyle w:val="2"/>
        <w:rPr>
          <w:rFonts w:hint="eastAsia"/>
        </w:rPr>
      </w:pPr>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val="0"/>
          <w:sz w:val="32"/>
          <w:szCs w:val="32"/>
          <w:lang w:val="en-US" w:eastAsia="zh-CN"/>
        </w:rPr>
        <w:t>总体目标：</w:t>
      </w:r>
      <w:r>
        <w:rPr>
          <w:rFonts w:hint="eastAsia" w:ascii="仿宋_GB2312" w:hAnsi="仿宋_GB2312" w:eastAsia="仿宋_GB2312" w:cs="仿宋_GB2312"/>
          <w:b w:val="0"/>
          <w:bCs w:val="0"/>
          <w:color w:val="000000"/>
          <w:sz w:val="32"/>
          <w:szCs w:val="32"/>
          <w:lang w:eastAsia="zh-CN"/>
        </w:rPr>
        <w:t>到</w:t>
      </w:r>
      <w:r>
        <w:rPr>
          <w:rFonts w:hint="eastAsia" w:ascii="仿宋_GB2312" w:hAnsi="仿宋_GB2312" w:eastAsia="仿宋_GB2312" w:cs="仿宋_GB2312"/>
          <w:b w:val="0"/>
          <w:bCs w:val="0"/>
          <w:color w:val="0C0C0C"/>
          <w:kern w:val="0"/>
          <w:sz w:val="32"/>
          <w:szCs w:val="32"/>
          <w:lang w:val="en-US" w:eastAsia="zh-CN" w:bidi="ar-SA"/>
        </w:rPr>
        <w:t>2025年，全面推进健康陆河建设，落实健康中国、健康广东、健康汕尾行动，努力打造卫生强县，以紧密型医疗共同体建设为抓手，推进以健康为中心的整合型服务体系建设，加强机构间的有效协同。到“十四五”末期居民主要健康指标达到全市平均水平。</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val="0"/>
          <w:sz w:val="32"/>
          <w:szCs w:val="32"/>
          <w:lang w:val="en-US" w:eastAsia="zh-CN"/>
        </w:rPr>
        <w:t>居民健康素质明显提高，主要健康指标达到全市平均水平。</w:t>
      </w:r>
      <w:r>
        <w:rPr>
          <w:rFonts w:hint="eastAsia" w:ascii="仿宋_GB2312" w:hAnsi="仿宋_GB2312" w:eastAsia="仿宋_GB2312" w:cs="仿宋_GB2312"/>
          <w:b w:val="0"/>
          <w:bCs w:val="0"/>
          <w:color w:val="0C0C0C"/>
          <w:kern w:val="0"/>
          <w:sz w:val="32"/>
          <w:szCs w:val="32"/>
          <w:lang w:val="en-US" w:eastAsia="zh-CN" w:bidi="ar-SA"/>
        </w:rPr>
        <w:t>到2025年，健康陆河建设取得突破进展，卫生与健康服务体系得到进一步完善，优生优育优教水平进一步提高，出生人口素质全面提升。全县常住人口人均期望寿命适当提高；孕产妇死亡率、婴儿死亡率、5岁以下儿童死亡率保持在较低水平；城乡居民健康素质差异进一步缩小。</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val="0"/>
          <w:sz w:val="32"/>
          <w:szCs w:val="32"/>
          <w:lang w:val="en-US" w:eastAsia="zh-CN"/>
        </w:rPr>
        <w:t>公共卫生安全保障能力显著增强。</w:t>
      </w:r>
      <w:r>
        <w:rPr>
          <w:rFonts w:hint="eastAsia" w:ascii="仿宋_GB2312" w:hAnsi="仿宋_GB2312" w:eastAsia="仿宋_GB2312" w:cs="仿宋_GB2312"/>
          <w:b w:val="0"/>
          <w:bCs w:val="0"/>
          <w:color w:val="0C0C0C"/>
          <w:kern w:val="0"/>
          <w:sz w:val="32"/>
          <w:szCs w:val="32"/>
          <w:lang w:val="en-US" w:eastAsia="zh-CN" w:bidi="ar-SA"/>
        </w:rPr>
        <w:t>疾病预防控制体系明显改善，应对突发重大公共卫生事件的能力和水平不断提升。影响健康的危险因素得到有效治理，重大疾病危害得到明显控制。</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numPr>
          <w:ilvl w:val="0"/>
          <w:numId w:val="0"/>
        </w:numPr>
        <w:kinsoku/>
        <w:wordWrap/>
        <w:topLinePunct w:val="0"/>
        <w:autoSpaceDE/>
        <w:autoSpaceDN/>
        <w:bidi w:val="0"/>
        <w:adjustRightInd/>
        <w:snapToGrid/>
        <w:spacing w:before="157" w:beforeLines="50" w:after="157" w:afterLines="50" w:line="560" w:lineRule="exact"/>
        <w:ind w:firstLine="643" w:firstLineChars="200"/>
        <w:jc w:val="both"/>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val="0"/>
          <w:sz w:val="32"/>
          <w:szCs w:val="32"/>
          <w:lang w:val="en-US" w:eastAsia="zh-CN"/>
        </w:rPr>
        <w:t>卫生资源配置进一步优化，可及性、公平性和效率显著增强。</w:t>
      </w:r>
      <w:r>
        <w:rPr>
          <w:rFonts w:hint="eastAsia" w:ascii="仿宋_GB2312" w:hAnsi="仿宋_GB2312" w:eastAsia="仿宋_GB2312" w:cs="仿宋_GB2312"/>
          <w:b w:val="0"/>
          <w:bCs w:val="0"/>
          <w:color w:val="0C0C0C"/>
          <w:kern w:val="0"/>
          <w:sz w:val="32"/>
          <w:szCs w:val="32"/>
          <w:lang w:val="en-US" w:eastAsia="zh-CN" w:bidi="ar-SA"/>
        </w:rPr>
        <w:t>进一步加强整合型医疗服务体系建设，加快推进医疗卫生设施建设项目，加强基层医疗卫生服务以及高水平医院项目建设，鼓励社会办医，加快推进医养结合项目建设，增加医疗卫生资源供给。建立机构设置合理、服务功能健全、人员素质较高、监督管理规范的医疗卫生服务体系，每千人执业（助理）医师数，每千人注册护士数，每千人床位数等指标达到全市平均水平，城乡卫生资源的均衡化水平明显提高。</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中医药健康服务全面普及。</w:t>
      </w:r>
      <w:r>
        <w:rPr>
          <w:rFonts w:hint="eastAsia" w:ascii="仿宋_GB2312" w:hAnsi="仿宋_GB2312" w:eastAsia="仿宋_GB2312" w:cs="仿宋_GB2312"/>
          <w:b w:val="0"/>
          <w:bCs w:val="0"/>
          <w:color w:val="0C0C0C"/>
          <w:kern w:val="0"/>
          <w:sz w:val="32"/>
          <w:szCs w:val="32"/>
          <w:lang w:val="en-US" w:eastAsia="zh-CN" w:bidi="ar-SA"/>
        </w:rPr>
        <w:t xml:space="preserve">加大中医中药发展的投入，加强中医药人才队伍建设，促进中医药传承创新发展，充分发挥中医药在治未病中的主导作用、在重大疾病治疗中的协同作用，普及中医药健康服务，覆盖全人群、全生命周期。 </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firstLine="643" w:firstLineChars="200"/>
        <w:jc w:val="both"/>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val="0"/>
          <w:sz w:val="32"/>
          <w:szCs w:val="32"/>
          <w:lang w:val="en-US" w:eastAsia="zh-CN"/>
        </w:rPr>
        <w:t>康养等大健康产业发展协同推进</w:t>
      </w:r>
      <w:r>
        <w:rPr>
          <w:rFonts w:hint="eastAsia" w:ascii="仿宋_GB2312" w:hAnsi="仿宋_GB2312" w:eastAsia="仿宋_GB2312" w:cs="仿宋_GB2312"/>
          <w:b/>
          <w:bCs/>
          <w:color w:val="000000"/>
          <w:kern w:val="0"/>
          <w:sz w:val="32"/>
          <w:szCs w:val="32"/>
          <w:lang w:val="en-US" w:eastAsia="zh-CN" w:bidi="ar"/>
        </w:rPr>
        <w:t>。</w:t>
      </w:r>
      <w:r>
        <w:rPr>
          <w:rFonts w:hint="eastAsia" w:ascii="仿宋_GB2312" w:hAnsi="仿宋_GB2312" w:eastAsia="仿宋_GB2312" w:cs="仿宋_GB2312"/>
          <w:b w:val="0"/>
          <w:bCs w:val="0"/>
          <w:color w:val="0C0C0C"/>
          <w:kern w:val="0"/>
          <w:sz w:val="32"/>
          <w:szCs w:val="32"/>
          <w:lang w:val="en-US" w:eastAsia="zh-CN" w:bidi="ar-SA"/>
        </w:rPr>
        <w:t>围绕旅游康养、健康养老等健康服务重点领域，按照汕尾市城市规划总体布局，建设一批特色鲜明、定位清晰、配套完备、绿色生态的健康产业，发展居家社区机构相协调、医康护养相结合的健康养老服务产业，有效提高全县大健康产业的发展水平。</w:t>
      </w:r>
    </w:p>
    <w:p>
      <w:pPr>
        <w:pStyle w:val="2"/>
        <w:rPr>
          <w:rFonts w:hint="eastAsia" w:ascii="仿宋_GB2312" w:hAnsi="仿宋_GB2312" w:eastAsia="仿宋_GB2312" w:cs="仿宋_GB2312"/>
          <w:b w:val="0"/>
          <w:bCs w:val="0"/>
          <w:color w:val="0C0C0C"/>
          <w:kern w:val="0"/>
          <w:sz w:val="32"/>
          <w:szCs w:val="32"/>
          <w:lang w:val="en-US" w:eastAsia="zh-CN" w:bidi="ar-SA"/>
        </w:rPr>
      </w:pPr>
    </w:p>
    <w:p>
      <w:pPr>
        <w:rPr>
          <w:rFonts w:hint="eastAsia" w:ascii="仿宋_GB2312" w:hAnsi="仿宋_GB2312" w:eastAsia="仿宋_GB2312" w:cs="仿宋_GB2312"/>
          <w:b w:val="0"/>
          <w:bCs w:val="0"/>
          <w:color w:val="0C0C0C"/>
          <w:kern w:val="0"/>
          <w:sz w:val="32"/>
          <w:szCs w:val="32"/>
          <w:lang w:val="en-US" w:eastAsia="zh-CN" w:bidi="ar-SA"/>
        </w:rPr>
      </w:pPr>
    </w:p>
    <w:p>
      <w:pPr>
        <w:pStyle w:val="2"/>
        <w:rPr>
          <w:rFonts w:hint="eastAsia" w:ascii="仿宋_GB2312" w:hAnsi="仿宋_GB2312" w:eastAsia="仿宋_GB2312" w:cs="仿宋_GB2312"/>
          <w:b w:val="0"/>
          <w:bCs w:val="0"/>
          <w:color w:val="0C0C0C"/>
          <w:kern w:val="0"/>
          <w:sz w:val="32"/>
          <w:szCs w:val="32"/>
          <w:lang w:val="en-US" w:eastAsia="zh-CN" w:bidi="ar-SA"/>
        </w:rPr>
      </w:pPr>
    </w:p>
    <w:p>
      <w:pPr>
        <w:rPr>
          <w:rFonts w:hint="eastAsia" w:ascii="仿宋_GB2312" w:hAnsi="仿宋_GB2312" w:eastAsia="仿宋_GB2312" w:cs="仿宋_GB2312"/>
          <w:b w:val="0"/>
          <w:bCs w:val="0"/>
          <w:color w:val="0C0C0C"/>
          <w:kern w:val="0"/>
          <w:sz w:val="32"/>
          <w:szCs w:val="32"/>
          <w:lang w:val="en-US" w:eastAsia="zh-CN" w:bidi="ar-SA"/>
        </w:rPr>
      </w:pPr>
    </w:p>
    <w:p>
      <w:pPr>
        <w:pStyle w:val="2"/>
        <w:rPr>
          <w:rFonts w:hint="eastAsia" w:ascii="仿宋_GB2312" w:hAnsi="仿宋_GB2312" w:eastAsia="仿宋_GB2312" w:cs="仿宋_GB2312"/>
          <w:b w:val="0"/>
          <w:bCs w:val="0"/>
          <w:color w:val="0C0C0C"/>
          <w:kern w:val="0"/>
          <w:sz w:val="32"/>
          <w:szCs w:val="32"/>
          <w:lang w:val="en-US" w:eastAsia="zh-CN" w:bidi="ar-SA"/>
        </w:rPr>
      </w:pPr>
    </w:p>
    <w:p>
      <w:pPr>
        <w:rPr>
          <w:rFonts w:hint="eastAsia" w:ascii="仿宋_GB2312" w:hAnsi="仿宋_GB2312" w:eastAsia="仿宋_GB2312" w:cs="仿宋_GB2312"/>
          <w:b w:val="0"/>
          <w:bCs w:val="0"/>
          <w:color w:val="0C0C0C"/>
          <w:kern w:val="0"/>
          <w:sz w:val="32"/>
          <w:szCs w:val="32"/>
          <w:lang w:val="en-US" w:eastAsia="zh-CN" w:bidi="ar-SA"/>
        </w:rPr>
      </w:pPr>
    </w:p>
    <w:p>
      <w:pPr>
        <w:pStyle w:val="2"/>
        <w:rPr>
          <w:rFonts w:hint="eastAsia" w:ascii="仿宋_GB2312" w:hAnsi="仿宋_GB2312" w:eastAsia="仿宋_GB2312" w:cs="仿宋_GB2312"/>
          <w:b w:val="0"/>
          <w:bCs w:val="0"/>
          <w:color w:val="0C0C0C"/>
          <w:kern w:val="0"/>
          <w:sz w:val="32"/>
          <w:szCs w:val="32"/>
          <w:lang w:val="en-US" w:eastAsia="zh-CN" w:bidi="ar-SA"/>
        </w:rPr>
      </w:pPr>
    </w:p>
    <w:p>
      <w:pPr>
        <w:rPr>
          <w:rFonts w:hint="eastAsia"/>
          <w:lang w:val="en-US" w:eastAsia="zh-CN"/>
        </w:rPr>
      </w:pPr>
    </w:p>
    <w:p>
      <w:pPr>
        <w:rPr>
          <w:rFonts w:hint="eastAsia"/>
          <w:lang w:val="en-US" w:eastAsia="zh-CN"/>
        </w:rPr>
      </w:pPr>
    </w:p>
    <w:p>
      <w:pPr>
        <w:pBdr>
          <w:bottom w:val="single" w:color="FFFFFF" w:sz="4" w:space="7"/>
        </w:pBdr>
        <w:spacing w:line="580" w:lineRule="exact"/>
        <w:ind w:firstLine="602" w:firstLineChars="200"/>
        <w:jc w:val="center"/>
        <w:rPr>
          <w:rFonts w:hint="eastAsia" w:asciiTheme="majorEastAsia" w:hAnsiTheme="majorEastAsia" w:eastAsiaTheme="majorEastAsia" w:cstheme="majorEastAsia"/>
          <w:b/>
          <w:bCs w:val="0"/>
          <w:sz w:val="30"/>
          <w:szCs w:val="30"/>
        </w:rPr>
      </w:pPr>
      <w:r>
        <w:rPr>
          <w:rFonts w:hint="eastAsia" w:asciiTheme="majorEastAsia" w:hAnsiTheme="majorEastAsia" w:eastAsiaTheme="majorEastAsia" w:cstheme="majorEastAsia"/>
          <w:b/>
          <w:bCs w:val="0"/>
          <w:sz w:val="30"/>
          <w:szCs w:val="30"/>
        </w:rPr>
        <w:t>表2 “十四五”规划主要工作指标</w:t>
      </w:r>
    </w:p>
    <w:tbl>
      <w:tblPr>
        <w:tblStyle w:val="13"/>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738"/>
        <w:gridCol w:w="1137"/>
        <w:gridCol w:w="1873"/>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9" w:leftChars="-52"/>
              <w:jc w:val="center"/>
              <w:textAlignment w:val="auto"/>
              <w:rPr>
                <w:rFonts w:ascii="仿宋_GB2312" w:hAnsi="仿宋_GB2312" w:cs="仿宋_GB2312"/>
                <w:b/>
                <w:sz w:val="24"/>
                <w:szCs w:val="24"/>
              </w:rPr>
            </w:pPr>
            <w:r>
              <w:rPr>
                <w:rFonts w:hint="eastAsia" w:ascii="仿宋_GB2312" w:hAnsi="仿宋_GB2312" w:cs="仿宋_GB2312"/>
                <w:b/>
                <w:sz w:val="24"/>
                <w:szCs w:val="24"/>
              </w:rPr>
              <w:t>领域</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b/>
                <w:sz w:val="24"/>
                <w:szCs w:val="24"/>
              </w:rPr>
            </w:pPr>
            <w:r>
              <w:rPr>
                <w:rFonts w:hint="eastAsia" w:ascii="仿宋_GB2312" w:hAnsi="仿宋_GB2312" w:cs="仿宋_GB2312"/>
                <w:b/>
                <w:sz w:val="24"/>
                <w:szCs w:val="24"/>
              </w:rPr>
              <w:t>主要指标</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b/>
                <w:sz w:val="24"/>
                <w:szCs w:val="24"/>
              </w:rPr>
            </w:pPr>
            <w:r>
              <w:rPr>
                <w:rFonts w:hint="eastAsia" w:ascii="Times New Roman" w:hAnsi="Times New Roman" w:cs="仿宋_GB2312"/>
                <w:b/>
                <w:sz w:val="24"/>
                <w:szCs w:val="24"/>
              </w:rPr>
              <w:t>2020</w:t>
            </w:r>
            <w:r>
              <w:rPr>
                <w:rFonts w:hint="eastAsia" w:ascii="仿宋_GB2312" w:hAnsi="仿宋_GB2312" w:cs="仿宋_GB2312"/>
                <w:b/>
                <w:sz w:val="24"/>
                <w:szCs w:val="24"/>
              </w:rPr>
              <w:t>年</w:t>
            </w:r>
          </w:p>
        </w:tc>
        <w:tc>
          <w:tcPr>
            <w:tcW w:w="1873" w:type="dxa"/>
            <w:noWrap w:val="0"/>
            <w:vAlign w:val="center"/>
          </w:tcPr>
          <w:p>
            <w:pPr>
              <w:keepNext w:val="0"/>
              <w:keepLines w:val="0"/>
              <w:pageBreakBefore w:val="0"/>
              <w:widowControl w:val="0"/>
              <w:tabs>
                <w:tab w:val="left" w:pos="333"/>
              </w:tabs>
              <w:kinsoku/>
              <w:wordWrap/>
              <w:overflowPunct/>
              <w:topLinePunct w:val="0"/>
              <w:autoSpaceDE/>
              <w:autoSpaceDN/>
              <w:bidi w:val="0"/>
              <w:adjustRightInd/>
              <w:snapToGrid/>
              <w:spacing w:line="400" w:lineRule="exact"/>
              <w:jc w:val="center"/>
              <w:textAlignment w:val="auto"/>
              <w:rPr>
                <w:rFonts w:hint="eastAsia" w:ascii="仿宋_GB2312" w:hAnsi="仿宋_GB2312" w:cs="仿宋_GB2312"/>
                <w:b/>
                <w:sz w:val="24"/>
                <w:szCs w:val="24"/>
              </w:rPr>
            </w:pPr>
            <w:r>
              <w:rPr>
                <w:rFonts w:hint="eastAsia" w:ascii="Times New Roman" w:hAnsi="Times New Roman" w:cs="仿宋_GB2312"/>
                <w:b/>
                <w:sz w:val="24"/>
                <w:szCs w:val="24"/>
              </w:rPr>
              <w:t>2025</w:t>
            </w:r>
            <w:r>
              <w:rPr>
                <w:rFonts w:hint="eastAsia" w:ascii="仿宋_GB2312" w:hAnsi="仿宋_GB2312" w:cs="仿宋_GB2312"/>
                <w:b/>
                <w:sz w:val="24"/>
                <w:szCs w:val="24"/>
              </w:rPr>
              <w:t>年目标</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b/>
                <w:sz w:val="24"/>
                <w:szCs w:val="24"/>
              </w:rPr>
            </w:pPr>
            <w:r>
              <w:rPr>
                <w:rFonts w:hint="eastAsia" w:ascii="仿宋_GB2312" w:hAnsi="仿宋_GB2312" w:cs="仿宋_GB2312"/>
                <w:b/>
                <w:sz w:val="24"/>
                <w:szCs w:val="24"/>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健康</w:t>
            </w:r>
            <w:r>
              <w:rPr>
                <w:rFonts w:hint="eastAsia" w:ascii="仿宋_GB2312" w:hAnsi="仿宋_GB2312" w:cs="仿宋_GB2312"/>
                <w:sz w:val="24"/>
                <w:szCs w:val="24"/>
                <w:lang w:val="en-US" w:eastAsia="zh-CN"/>
              </w:rPr>
              <w:t xml:space="preserve"> </w:t>
            </w:r>
            <w:r>
              <w:rPr>
                <w:rFonts w:hint="eastAsia" w:ascii="仿宋_GB2312" w:hAnsi="仿宋_GB2312" w:cs="仿宋_GB2312"/>
                <w:sz w:val="24"/>
                <w:szCs w:val="24"/>
              </w:rPr>
              <w:t>水平</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人均期望寿命（岁）</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79</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孕产妇死亡率（/10万）</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婴儿死亡率（‰）</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2.18</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5岁以下儿童死亡率（‰）</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2.80</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重大慢性病过早死亡率（%）</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10</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健康</w:t>
            </w:r>
            <w:r>
              <w:rPr>
                <w:rFonts w:hint="eastAsia" w:ascii="仿宋_GB2312" w:hAnsi="仿宋_GB2312" w:cs="仿宋_GB2312"/>
                <w:sz w:val="24"/>
                <w:szCs w:val="24"/>
                <w:lang w:val="en-US" w:eastAsia="zh-CN"/>
              </w:rPr>
              <w:t xml:space="preserve"> </w:t>
            </w:r>
            <w:r>
              <w:rPr>
                <w:rFonts w:hint="eastAsia" w:ascii="仿宋_GB2312" w:hAnsi="仿宋_GB2312" w:cs="仿宋_GB2312"/>
                <w:sz w:val="24"/>
                <w:szCs w:val="24"/>
              </w:rPr>
              <w:t>生活</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居民健康素养水平（%）</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15岁以上人群吸烟率（%）</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24.68</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20</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千人口献血率</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ascii="宋体" w:hAnsi="宋体" w:eastAsia="宋体" w:cs="宋体"/>
                <w:sz w:val="24"/>
                <w:szCs w:val="24"/>
              </w:rPr>
              <w:t>9.17</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持续提升</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健康</w:t>
            </w:r>
            <w:r>
              <w:rPr>
                <w:rFonts w:hint="eastAsia" w:ascii="仿宋_GB2312" w:hAnsi="仿宋_GB2312" w:cs="仿宋_GB2312"/>
                <w:sz w:val="24"/>
                <w:szCs w:val="24"/>
                <w:lang w:val="en-US" w:eastAsia="zh-CN"/>
              </w:rPr>
              <w:t xml:space="preserve"> </w:t>
            </w:r>
            <w:r>
              <w:rPr>
                <w:rFonts w:hint="eastAsia" w:ascii="仿宋_GB2312" w:hAnsi="仿宋_GB2312" w:cs="仿宋_GB2312"/>
                <w:sz w:val="24"/>
                <w:szCs w:val="24"/>
              </w:rPr>
              <w:t>服务</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每千人口医疗机构床位数（张）</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4.02</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每千人口执业（助理）医师数（人）</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t>≥2.13</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其中：每千人口中医类别执业（助理）医师数（人）</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0.51</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0.62</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每千人口注册护士数（人）</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每千人口药师（士）数（人）</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0.25</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0.54</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每万人口全科医师数（人）</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82</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每千人口公共卫生人员数（人）</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0.8</w:t>
            </w:r>
            <w:r>
              <w:rPr>
                <w:rFonts w:hint="eastAsia" w:asciiTheme="minorEastAsia" w:hAnsiTheme="minorEastAsia" w:eastAsiaTheme="minorEastAsia" w:cstheme="minorEastAsia"/>
                <w:sz w:val="24"/>
                <w:szCs w:val="24"/>
                <w:lang w:val="en-US" w:eastAsia="zh-CN"/>
              </w:rPr>
              <w:t>3</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0.83</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千人口3岁以下婴幼儿托位数（个）</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0.158</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儿童青少年总体近视率（%）</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20.69</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力争每年降低0.5</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rPr>
              <w:t>以上</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仿宋_GB2312" w:hAnsi="仿宋_GB2312" w:cs="仿宋_GB231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eastAsia="zh-CN"/>
              </w:rPr>
              <w:t>二级及以上综合医院设置老年医学科的比例</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rPr>
              <w:t>≥6</w:t>
            </w:r>
            <w:r>
              <w:rPr>
                <w:rFonts w:hint="eastAsia" w:asciiTheme="minorEastAsia" w:hAnsiTheme="minorEastAsia" w:eastAsiaTheme="minorEastAsia" w:cstheme="minorEastAsia"/>
                <w:color w:val="000000"/>
                <w:kern w:val="0"/>
                <w:sz w:val="24"/>
                <w:szCs w:val="24"/>
                <w:lang w:val="en-US" w:eastAsia="zh-CN"/>
              </w:rPr>
              <w:t>0</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rFonts w:hint="eastAsia" w:ascii="仿宋_GB2312" w:hAnsi="仿宋_GB2312"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p>
        </w:tc>
        <w:tc>
          <w:tcPr>
            <w:tcW w:w="37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none"/>
                <w:lang w:eastAsia="zh-CN"/>
              </w:rPr>
              <w:t>重点行业用人单位劳动者防噪音耳塞或耳罩正确佩戴率（</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rPr>
              <w:t>）</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80</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宋体" w:cs="仿宋_GB2312"/>
                <w:sz w:val="24"/>
                <w:szCs w:val="24"/>
                <w:lang w:eastAsia="zh-CN"/>
              </w:rPr>
            </w:pPr>
            <w:r>
              <w:rPr>
                <w:rFonts w:hint="eastAsia" w:ascii="仿宋_GB2312" w:hAnsi="仿宋_GB2312" w:cs="仿宋_GB2312"/>
                <w:sz w:val="24"/>
                <w:szCs w:val="24"/>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健康</w:t>
            </w:r>
            <w:r>
              <w:rPr>
                <w:rFonts w:hint="eastAsia" w:ascii="仿宋_GB2312" w:hAnsi="仿宋_GB2312" w:cs="仿宋_GB2312"/>
                <w:sz w:val="24"/>
                <w:szCs w:val="24"/>
                <w:lang w:val="en-US" w:eastAsia="zh-CN"/>
              </w:rPr>
              <w:t xml:space="preserve"> </w:t>
            </w:r>
            <w:r>
              <w:rPr>
                <w:rFonts w:hint="eastAsia" w:ascii="仿宋_GB2312" w:hAnsi="仿宋_GB2312" w:cs="仿宋_GB2312"/>
                <w:sz w:val="24"/>
                <w:szCs w:val="24"/>
              </w:rPr>
              <w:t>保障</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个人卫生支出占卫生总费用比例（%）</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24.98</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≤25</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24"/>
                <w:szCs w:val="24"/>
              </w:rPr>
            </w:pPr>
            <w:r>
              <w:rPr>
                <w:rFonts w:hint="eastAsia" w:ascii="仿宋_GB2312" w:hAnsi="仿宋_GB2312" w:cs="仿宋_GB2312"/>
                <w:sz w:val="24"/>
                <w:szCs w:val="24"/>
              </w:rPr>
              <w:t>约束性</w:t>
            </w:r>
          </w:p>
        </w:tc>
      </w:tr>
    </w:tbl>
    <w:p>
      <w:pPr>
        <w:keepNext w:val="0"/>
        <w:keepLines w:val="0"/>
        <w:pageBreakBefore w:val="0"/>
        <w:tabs>
          <w:tab w:val="left" w:pos="2744"/>
        </w:tabs>
        <w:kinsoku/>
        <w:wordWrap/>
        <w:topLinePunct w:val="0"/>
        <w:autoSpaceDE/>
        <w:autoSpaceDN/>
        <w:bidi w:val="0"/>
        <w:adjustRightInd/>
        <w:snapToGrid/>
        <w:spacing w:before="157" w:beforeLines="50" w:after="157" w:afterLines="50" w:line="480" w:lineRule="auto"/>
        <w:ind w:right="-315" w:rightChars="-150"/>
        <w:jc w:val="center"/>
        <w:textAlignment w:val="auto"/>
        <w:outlineLvl w:val="0"/>
        <w:rPr>
          <w:rFonts w:hint="eastAsia" w:asciiTheme="majorEastAsia" w:hAnsiTheme="majorEastAsia" w:eastAsiaTheme="majorEastAsia" w:cstheme="majorEastAsia"/>
          <w:b/>
          <w:bCs/>
          <w:sz w:val="36"/>
          <w:szCs w:val="36"/>
        </w:rPr>
      </w:pPr>
      <w:r>
        <w:rPr>
          <w:rFonts w:hint="eastAsia" w:ascii="方正小标宋简体" w:hAnsi="方正小标宋简体" w:eastAsia="方正小标宋简体" w:cs="方正小标宋简体"/>
          <w:b w:val="0"/>
          <w:bCs w:val="0"/>
          <w:sz w:val="36"/>
          <w:szCs w:val="36"/>
        </w:rPr>
        <w:t>第三章  主要任务</w:t>
      </w:r>
    </w:p>
    <w:p>
      <w:pPr>
        <w:keepNext w:val="0"/>
        <w:keepLines w:val="0"/>
        <w:pageBreakBefore w:val="0"/>
        <w:numPr>
          <w:ilvl w:val="0"/>
          <w:numId w:val="0"/>
        </w:numPr>
        <w:tabs>
          <w:tab w:val="left" w:pos="2744"/>
        </w:tabs>
        <w:kinsoku/>
        <w:wordWrap/>
        <w:topLinePunct w:val="0"/>
        <w:autoSpaceDE/>
        <w:autoSpaceDN/>
        <w:bidi w:val="0"/>
        <w:adjustRightInd/>
        <w:snapToGrid/>
        <w:spacing w:before="157" w:beforeLines="50" w:after="157" w:afterLines="50" w:line="480" w:lineRule="auto"/>
        <w:ind w:right="-315" w:rightChars="-150"/>
        <w:jc w:val="center"/>
        <w:textAlignment w:val="auto"/>
        <w:outlineLvl w:val="1"/>
        <w:rPr>
          <w:rFonts w:hint="eastAsia" w:ascii="宋体" w:hAnsi="宋体" w:eastAsia="宋体" w:cs="宋体"/>
          <w:b/>
          <w:bCs w:val="0"/>
          <w:sz w:val="32"/>
          <w:szCs w:val="32"/>
        </w:rPr>
      </w:pPr>
      <w:bookmarkStart w:id="24" w:name="_Toc18117"/>
      <w:bookmarkStart w:id="25" w:name="_Toc18635"/>
      <w:bookmarkStart w:id="26" w:name="_Toc70606290"/>
      <w:bookmarkStart w:id="27" w:name="_Toc27104"/>
      <w:r>
        <w:rPr>
          <w:rFonts w:hint="eastAsia" w:ascii="黑体" w:hAnsi="黑体" w:eastAsia="黑体" w:cs="黑体"/>
          <w:b w:val="0"/>
          <w:bCs/>
          <w:sz w:val="32"/>
          <w:szCs w:val="32"/>
          <w:lang w:eastAsia="zh-CN"/>
        </w:rPr>
        <w:t>第一节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构建强大的公共卫生体系</w:t>
      </w:r>
      <w:bookmarkEnd w:id="24"/>
      <w:bookmarkEnd w:id="25"/>
      <w:bookmarkEnd w:id="26"/>
      <w:bookmarkEnd w:id="27"/>
    </w:p>
    <w:p>
      <w:pPr>
        <w:keepNext w:val="0"/>
        <w:keepLines w:val="0"/>
        <w:pageBreakBefore w:val="0"/>
        <w:kinsoku/>
        <w:wordWrap/>
        <w:topLinePunct w:val="0"/>
        <w:autoSpaceDE/>
        <w:autoSpaceDN/>
        <w:bidi w:val="0"/>
        <w:adjustRightInd/>
        <w:snapToGrid/>
        <w:spacing w:before="157" w:beforeLines="50" w:after="157" w:afterLines="50" w:line="480" w:lineRule="auto"/>
        <w:ind w:firstLine="640" w:firstLineChars="200"/>
        <w:jc w:val="both"/>
        <w:textAlignment w:val="auto"/>
        <w:outlineLvl w:val="2"/>
        <w:rPr>
          <w:rFonts w:hint="eastAsia" w:ascii="黑体" w:hAnsi="黑体" w:eastAsia="黑体" w:cs="黑体"/>
          <w:b w:val="0"/>
          <w:bCs w:val="0"/>
          <w:color w:val="0C0C0C"/>
          <w:kern w:val="0"/>
          <w:sz w:val="32"/>
          <w:szCs w:val="32"/>
        </w:rPr>
      </w:pPr>
      <w:bookmarkStart w:id="28" w:name="_Toc3380"/>
      <w:bookmarkStart w:id="29" w:name="_Toc7962"/>
      <w:bookmarkStart w:id="30" w:name="_Toc70606291"/>
      <w:r>
        <w:rPr>
          <w:rFonts w:hint="eastAsia" w:ascii="黑体" w:hAnsi="黑体" w:eastAsia="黑体" w:cs="黑体"/>
          <w:b w:val="0"/>
          <w:bCs w:val="0"/>
          <w:color w:val="0C0C0C"/>
          <w:kern w:val="0"/>
          <w:sz w:val="32"/>
          <w:szCs w:val="32"/>
        </w:rPr>
        <w:t>一、推进疾控体系现代化建设</w:t>
      </w:r>
      <w:bookmarkEnd w:id="28"/>
      <w:bookmarkEnd w:id="29"/>
      <w:bookmarkEnd w:id="30"/>
    </w:p>
    <w:p>
      <w:pPr>
        <w:keepNext w:val="0"/>
        <w:keepLines w:val="0"/>
        <w:pageBreakBefore w:val="0"/>
        <w:widowControl/>
        <w:suppressLineNumbers w:val="0"/>
        <w:kinsoku/>
        <w:wordWrap/>
        <w:overflowPunct w:val="0"/>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构建以县疾病预防控制机构为骨干，以综合医疗机构为依托，以基层医疗卫生机构为网底，与上级公共卫生机构对接，职能清晰、机制顺畅、上下协同、防治结合的疾病预防控制网络。建立与现代化疾控体系相适应的运行保障机制，多措并举激发机构活力，吸引和留住人才。实施疾病预防控制机构能力提升工程，改善县疾控机构设施设备条件，强化监测预警、风险研判、决策管理、检验检测、流行病学调查和现场调查处置能力，配流调队员。从行政架构上提升疾控工作组织协调能力，</w:t>
      </w:r>
      <w:r>
        <w:rPr>
          <w:rFonts w:hint="eastAsia" w:ascii="仿宋_GB2312" w:hAnsi="仿宋_GB2312" w:eastAsia="仿宋_GB2312" w:cs="仿宋_GB2312"/>
          <w:b w:val="0"/>
          <w:bCs w:val="0"/>
          <w:color w:val="auto"/>
          <w:kern w:val="0"/>
          <w:sz w:val="32"/>
          <w:szCs w:val="32"/>
          <w:lang w:val="en-US" w:eastAsia="zh-CN" w:bidi="ar-SA"/>
        </w:rPr>
        <w:t>加强县慢性病防治站、精神专科医院、妇幼保健院建设。建</w:t>
      </w:r>
      <w:r>
        <w:rPr>
          <w:rFonts w:hint="eastAsia" w:ascii="仿宋_GB2312" w:hAnsi="仿宋_GB2312" w:eastAsia="仿宋_GB2312" w:cs="仿宋_GB2312"/>
          <w:b w:val="0"/>
          <w:bCs w:val="0"/>
          <w:color w:val="0C0C0C"/>
          <w:kern w:val="0"/>
          <w:sz w:val="32"/>
          <w:szCs w:val="32"/>
          <w:lang w:val="en-US" w:eastAsia="zh-CN" w:bidi="ar-SA"/>
        </w:rPr>
        <w:t>设符合现代疾病预防控制需求的疫情监测预警系统、实验室检测系统和决策支持系统。依托有条件的医疗卫生机构，建立区域标准化的消毒供应配送中心。持续推进疫苗冷链系统和各类接种单位规范化建设，提升疫苗流通和接种管理信息化水平。</w:t>
      </w:r>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sz w:val="32"/>
          <w:szCs w:val="32"/>
          <w:lang w:eastAsia="zh-CN"/>
        </w:rPr>
      </w:pPr>
      <w:bookmarkStart w:id="31" w:name="_Toc70606292"/>
      <w:bookmarkStart w:id="32" w:name="_Toc11564"/>
      <w:bookmarkStart w:id="33" w:name="_Toc25919"/>
      <w:r>
        <w:rPr>
          <w:rFonts w:hint="eastAsia" w:ascii="黑体" w:hAnsi="黑体" w:eastAsia="黑体" w:cs="黑体"/>
          <w:b w:val="0"/>
          <w:bCs w:val="0"/>
          <w:sz w:val="32"/>
          <w:szCs w:val="32"/>
        </w:rPr>
        <w:t>二、</w:t>
      </w:r>
      <w:bookmarkEnd w:id="31"/>
      <w:r>
        <w:rPr>
          <w:rFonts w:hint="eastAsia" w:ascii="黑体" w:hAnsi="黑体" w:eastAsia="黑体" w:cs="黑体"/>
          <w:b w:val="0"/>
          <w:bCs w:val="0"/>
          <w:sz w:val="32"/>
          <w:szCs w:val="32"/>
          <w:lang w:eastAsia="zh-CN"/>
        </w:rPr>
        <w:t>健全卫生应急管理体系</w:t>
      </w:r>
      <w:bookmarkEnd w:id="32"/>
      <w:bookmarkEnd w:id="33"/>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bookmarkStart w:id="34" w:name="_Toc478"/>
      <w:r>
        <w:rPr>
          <w:rFonts w:hint="eastAsia" w:ascii="仿宋_GB2312" w:hAnsi="仿宋_GB2312" w:eastAsia="仿宋_GB2312" w:cs="仿宋_GB2312"/>
          <w:b/>
          <w:bCs/>
          <w:sz w:val="32"/>
          <w:szCs w:val="32"/>
        </w:rPr>
        <w:t>完善卫生应急指挥体系。</w:t>
      </w:r>
      <w:r>
        <w:rPr>
          <w:rFonts w:hint="eastAsia" w:ascii="仿宋_GB2312" w:hAnsi="仿宋_GB2312" w:eastAsia="仿宋_GB2312" w:cs="仿宋_GB2312"/>
          <w:b w:val="0"/>
          <w:bCs w:val="0"/>
          <w:color w:val="0C0C0C"/>
          <w:kern w:val="0"/>
          <w:sz w:val="32"/>
          <w:szCs w:val="32"/>
          <w:lang w:val="en-US" w:eastAsia="zh-CN" w:bidi="ar-SA"/>
        </w:rPr>
        <w:t>设置常态化公共卫生应急指挥部，进一步明确指挥部常设成员单位及部门职责，健全联防联控运行规则。深化多部门联防联控应对处置工作体系，完善突发公共卫生事件决策议事制度。加强和完善公共卫生领域法制建设，按上级部门要求建立应急预案定期评估机制，实行卫生应急预案动态优化。健全常态化演练机制，定期开展跨地区、多部门、多模式的卫生应急处置演练。</w:t>
      </w:r>
    </w:p>
    <w:p>
      <w:pPr>
        <w:pStyle w:val="6"/>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jc w:val="both"/>
        <w:textAlignment w:val="auto"/>
        <w:rPr>
          <w:rFonts w:hint="eastAsia" w:ascii="宋体" w:hAnsi="宋体" w:eastAsia="宋体" w:cs="宋体"/>
          <w:b w:val="0"/>
          <w:bCs w:val="0"/>
          <w:color w:val="0C0C0C"/>
          <w:kern w:val="0"/>
          <w:sz w:val="30"/>
          <w:szCs w:val="30"/>
          <w:lang w:val="en-US" w:eastAsia="zh-CN" w:bidi="ar-SA"/>
        </w:rPr>
      </w:pPr>
      <w:r>
        <w:rPr>
          <w:rFonts w:hint="eastAsia" w:ascii="仿宋_GB2312" w:hAnsi="仿宋_GB2312" w:eastAsia="仿宋_GB2312" w:cs="仿宋_GB2312"/>
          <w:b/>
          <w:bCs/>
          <w:sz w:val="32"/>
          <w:szCs w:val="32"/>
        </w:rPr>
        <w:t>提升卫生应急核心能力。</w:t>
      </w:r>
      <w:bookmarkEnd w:id="34"/>
      <w:r>
        <w:rPr>
          <w:rFonts w:hint="eastAsia" w:ascii="仿宋_GB2312" w:hAnsi="仿宋_GB2312" w:eastAsia="仿宋_GB2312" w:cs="仿宋_GB2312"/>
          <w:color w:val="000000"/>
          <w:sz w:val="32"/>
          <w:szCs w:val="32"/>
        </w:rPr>
        <w:t>根</w:t>
      </w:r>
      <w:r>
        <w:rPr>
          <w:rFonts w:hint="eastAsia" w:ascii="仿宋_GB2312" w:hAnsi="仿宋_GB2312" w:eastAsia="仿宋_GB2312" w:cs="仿宋_GB2312"/>
          <w:b w:val="0"/>
          <w:bCs w:val="0"/>
          <w:color w:val="0C0C0C"/>
          <w:kern w:val="0"/>
          <w:sz w:val="32"/>
          <w:szCs w:val="32"/>
          <w:lang w:val="en-US" w:eastAsia="zh-CN" w:bidi="ar-SA"/>
        </w:rPr>
        <w:t>据上级统一部署，完善传染病疫情和突发公共卫生事件监测预警系统。加强全县卫生应急队伍规范化建设，实现县级突发急性传染病防控类、紧急医学救援类综合队伍全覆盖。加快补齐全县公共卫生应急短板，持续推进陆河县公共卫生应急服务中心建设，提高陆河县公共卫生事件应急处置能力。切实发挥“三人小组”的健康监测作用。强化医护人员的健康监测和异常情况报告工作。强化闭环管理人员、两点一线人员、隔离管理人员等各类重点人员的管控措施。严格入境人员全流程闭环管理，加强进口冷链食品等入境物资检测消毒监管，强化农村和社区网格化防控，严格公共场所防控措施，做好疫苗紧急使用和有序接种工作。建立核酸检测机构、医院与疾控中心的快速沟通机制。完善县公共卫生应急物资储备目录，合理确定政府储备规模。健全与第三方机构合作机制。统筹全县公共卫生相关资源，制定完善政府(部门)、医疗卫生机构与第三方机构合作框架协议，提升重大疫情处置、检验检测、消毒、病媒防制、健康教育和健康促进等能力</w:t>
      </w:r>
      <w:r>
        <w:rPr>
          <w:rFonts w:hint="eastAsia" w:ascii="宋体" w:hAnsi="宋体" w:eastAsia="宋体" w:cs="宋体"/>
          <w:b w:val="0"/>
          <w:bCs w:val="0"/>
          <w:color w:val="0C0C0C"/>
          <w:kern w:val="0"/>
          <w:sz w:val="30"/>
          <w:szCs w:val="30"/>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sz w:val="32"/>
          <w:szCs w:val="32"/>
          <w:lang w:eastAsia="zh-CN"/>
        </w:rPr>
      </w:pPr>
      <w:bookmarkStart w:id="35" w:name="_Toc15843"/>
      <w:bookmarkStart w:id="36" w:name="_Toc70606293"/>
      <w:bookmarkStart w:id="37" w:name="_Toc6293"/>
      <w:r>
        <w:rPr>
          <w:rFonts w:hint="eastAsia" w:ascii="黑体" w:hAnsi="黑体" w:eastAsia="黑体" w:cs="黑体"/>
          <w:b w:val="0"/>
          <w:bCs w:val="0"/>
          <w:sz w:val="32"/>
          <w:szCs w:val="32"/>
        </w:rPr>
        <w:t>三、</w:t>
      </w:r>
      <w:bookmarkEnd w:id="35"/>
      <w:bookmarkEnd w:id="36"/>
      <w:r>
        <w:rPr>
          <w:rFonts w:hint="eastAsia" w:ascii="黑体" w:hAnsi="黑体" w:eastAsia="黑体" w:cs="黑体"/>
          <w:b w:val="0"/>
          <w:bCs w:val="0"/>
          <w:sz w:val="32"/>
          <w:szCs w:val="32"/>
          <w:lang w:eastAsia="zh-CN"/>
        </w:rPr>
        <w:t>完善应急救治体系</w:t>
      </w:r>
      <w:bookmarkEnd w:id="37"/>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健全重大疫情救治网络，按照“平战结合”原则，建立以传染病定点救治医院为骨干，发热门诊、发热诊室为哨点的县级重大疫情医疗救治体系。建立健全分级、分层、分流的重大疫情救治机制。实施重大疫情救治体系能力提升工程，加强县级传染病救治基础设施建设、物资储备和重症监护病区建设，加快落实陆河县传染病医院新建项目建设，提高危急重症救治能力。强化基层医疗机构规范化发热门诊（诊室）建设，规范预检分诊管理。健全医疗服务网络，提升应对疫情输入能力。强化公共设施平急两用改造，确保具备快速转化救治和隔离场所的基本条件。完善医疗废弃物收集转运处置体系，提升医疗废物集中处置能力。</w:t>
      </w:r>
    </w:p>
    <w:p>
      <w:pPr>
        <w:keepNext w:val="0"/>
        <w:keepLines w:val="0"/>
        <w:pageBreakBefore w:val="0"/>
        <w:widowControl w:val="0"/>
        <w:numPr>
          <w:ilvl w:val="0"/>
          <w:numId w:val="4"/>
        </w:numPr>
        <w:kinsoku/>
        <w:wordWrap/>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rPr>
      </w:pPr>
      <w:bookmarkStart w:id="38" w:name="_Toc20816"/>
      <w:bookmarkStart w:id="39" w:name="_Toc70606294"/>
      <w:bookmarkStart w:id="40" w:name="_Toc21423"/>
      <w:r>
        <w:rPr>
          <w:rFonts w:hint="eastAsia" w:ascii="黑体" w:hAnsi="黑体" w:eastAsia="黑体" w:cs="黑体"/>
          <w:b w:val="0"/>
          <w:bCs w:val="0"/>
          <w:color w:val="0C0C0C"/>
          <w:kern w:val="0"/>
          <w:sz w:val="32"/>
          <w:szCs w:val="32"/>
        </w:rPr>
        <w:t>创新医防协同机制</w:t>
      </w:r>
      <w:bookmarkEnd w:id="38"/>
      <w:bookmarkEnd w:id="39"/>
      <w:bookmarkEnd w:id="40"/>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00000"/>
          <w:sz w:val="32"/>
          <w:szCs w:val="32"/>
        </w:rPr>
        <w:t>落实医院公共卫生职能。</w:t>
      </w:r>
      <w:r>
        <w:rPr>
          <w:rFonts w:hint="eastAsia" w:ascii="仿宋_GB2312" w:hAnsi="仿宋_GB2312" w:eastAsia="仿宋_GB2312" w:cs="仿宋_GB2312"/>
          <w:b w:val="0"/>
          <w:bCs w:val="0"/>
          <w:color w:val="0C0C0C"/>
          <w:kern w:val="0"/>
          <w:sz w:val="32"/>
          <w:szCs w:val="32"/>
          <w:lang w:val="en-US" w:eastAsia="zh-CN" w:bidi="ar-SA"/>
        </w:rPr>
        <w:t>县属二级以上公立医院设立承担公共卫生职能的科室，明确1名副院长负责统筹协调本院公共卫生工作。落实公共卫生职责清单制度，强化医疗机构履行公共卫生职责。建立医疗机构公共卫生服务经费保障机制。健全医院感染的风险监测、预警以及干预和处置机制。强化医疗机构预警、哨点监测作用，建立健全发热患者闭环转运流程。发展精准化健康管理服务。以癌症、糖尿病、高血压、脑卒中、慢阻肺等疾病为重点，加快推进医防融合的疾病综合防治服务管理体系建设，提高居民对公共卫生服务的感受度。鼓励公立医院整合健康管理资源，推动院内体检中心向健康管理中心转型。</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00000"/>
          <w:sz w:val="32"/>
          <w:szCs w:val="32"/>
        </w:rPr>
        <w:t>全面推进医疗机构和专业公共卫生机构的深度协作。</w:t>
      </w:r>
      <w:r>
        <w:rPr>
          <w:rFonts w:hint="eastAsia" w:ascii="仿宋_GB2312" w:hAnsi="仿宋_GB2312" w:eastAsia="仿宋_GB2312" w:cs="仿宋_GB2312"/>
          <w:b w:val="0"/>
          <w:bCs w:val="0"/>
          <w:color w:val="0C0C0C"/>
          <w:kern w:val="0"/>
          <w:sz w:val="32"/>
          <w:szCs w:val="32"/>
          <w:lang w:val="en-US" w:eastAsia="zh-CN" w:bidi="ar-SA"/>
        </w:rPr>
        <w:t>建立人才流动、服务融合、信息共享机制。加强对居民健康危险因素的监测、分析、评估和干预。强化医疗机构传染病病原快速检测能力建设，建立公共卫生机构和医疗机构协同监测机制和病原实验室监测机制。加强疾控机构对医疗机构开展公共卫生服务的指导、培训和考核，加大对医疗机构开展公共卫生服务的支持力度。统筹医疗保障基金和公共卫生服务资金使用，衔接公共卫生服务和医疗服务，形成医防同向激励机制。</w:t>
      </w:r>
    </w:p>
    <w:p>
      <w:pPr>
        <w:pStyle w:val="2"/>
        <w:rPr>
          <w:rFonts w:hint="eastAsia"/>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522" w:type="dxa"/>
            <w:noWrap w:val="0"/>
            <w:vAlign w:val="top"/>
          </w:tcPr>
          <w:p>
            <w:pPr>
              <w:spacing w:line="580" w:lineRule="exact"/>
              <w:jc w:val="center"/>
              <w:rPr>
                <w:bCs/>
                <w:sz w:val="30"/>
                <w:szCs w:val="30"/>
              </w:rPr>
            </w:pPr>
            <w:r>
              <w:rPr>
                <w:rFonts w:hint="eastAsia" w:asciiTheme="majorEastAsia" w:hAnsiTheme="majorEastAsia" w:eastAsiaTheme="majorEastAsia" w:cstheme="majorEastAsia"/>
                <w:b/>
                <w:bCs/>
                <w:sz w:val="28"/>
                <w:szCs w:val="28"/>
              </w:rPr>
              <w:t>专栏1 公共卫生能力提升项目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22" w:type="dxa"/>
            <w:noWrap w:val="0"/>
            <w:vAlign w:val="top"/>
          </w:tcPr>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1.县级疾控中心实验室能力提升项目</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陆河县疾控中心建成加强型生物安全二级防护水平实验室，补齐实验室仪器设备缺口，具备高通量核酸检测能力。</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2.县级疾控中心疫情发现能力建设项目</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eastAsia" w:ascii="宋体" w:hAnsi="宋体" w:eastAsia="宋体" w:cs="宋体"/>
                <w:b/>
                <w:color w:val="000000"/>
                <w:kern w:val="2"/>
                <w:sz w:val="24"/>
                <w:szCs w:val="24"/>
              </w:rPr>
            </w:pPr>
            <w:r>
              <w:rPr>
                <w:rFonts w:hint="eastAsia" w:ascii="宋体" w:hAnsi="宋体" w:eastAsia="宋体" w:cs="宋体"/>
                <w:color w:val="000000"/>
                <w:kern w:val="2"/>
                <w:sz w:val="24"/>
                <w:szCs w:val="24"/>
              </w:rPr>
              <w:t>加快推进县级疾控中心核酸检测能力建设，重点加强质量控制和生物安全检测管理工作；完善核酸检测实验室升级改造和设施设备配置，使之达到生物安全二级防护水平并具备核酸检测能力。</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3.县级突发急性传染病防控队伍能力提升项目</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b/>
                <w:color w:val="000000"/>
                <w:kern w:val="2"/>
                <w:sz w:val="24"/>
                <w:szCs w:val="24"/>
              </w:rPr>
            </w:pPr>
            <w:r>
              <w:rPr>
                <w:rFonts w:hint="eastAsia" w:ascii="宋体" w:hAnsi="宋体" w:eastAsia="宋体" w:cs="宋体"/>
                <w:color w:val="000000"/>
                <w:kern w:val="2"/>
                <w:sz w:val="24"/>
                <w:szCs w:val="24"/>
              </w:rPr>
              <w:t>建立县疾控中心突发急性传染病防控队伍，重点提升队伍的快速响应能力和现场处置能力。加强和完善队伍的装备配置，满足现场检验检测、流行病学调查、应急处置等需要。</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4.县级医院救治能力提升工程</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sz w:val="24"/>
                <w:szCs w:val="24"/>
              </w:rPr>
            </w:pPr>
            <w:r>
              <w:rPr>
                <w:rFonts w:hint="eastAsia" w:ascii="宋体" w:hAnsi="宋体" w:eastAsia="宋体" w:cs="宋体"/>
                <w:color w:val="000000"/>
                <w:kern w:val="2"/>
                <w:sz w:val="24"/>
                <w:szCs w:val="24"/>
              </w:rPr>
              <w:t>县级公立医院，统筹预检分诊、发热门诊、病原检测和临床检查等设置，改善业务用房条件，提高医疗装备水平，完善后勤保障设施，提升诊疗环境。因地制宜改扩建相对独立的可转换传染病区，开展发热门诊规范化建设，完善医技和化验室仪器设备，提高医院的快速检测和诊疗水平。规范化设置可转换传染病区和负压手术室，按照编制床位的2-5%扩增可转换ICU床位，配置呼吸机、负压担架和负压救护车等必要医疗设备，疫情时可立即转换。</w:t>
            </w:r>
          </w:p>
        </w:tc>
      </w:tr>
    </w:tbl>
    <w:p>
      <w:pPr>
        <w:keepNext w:val="0"/>
        <w:keepLines w:val="0"/>
        <w:pageBreakBefore w:val="0"/>
        <w:widowControl w:val="0"/>
        <w:numPr>
          <w:ilvl w:val="0"/>
          <w:numId w:val="0"/>
        </w:numPr>
        <w:tabs>
          <w:tab w:val="left" w:pos="2744"/>
        </w:tabs>
        <w:kinsoku/>
        <w:wordWrap/>
        <w:overflowPunct/>
        <w:topLinePunct w:val="0"/>
        <w:autoSpaceDE/>
        <w:autoSpaceDN/>
        <w:bidi w:val="0"/>
        <w:adjustRightInd/>
        <w:snapToGrid/>
        <w:spacing w:before="157" w:beforeLines="50" w:after="157" w:afterLines="50" w:line="560" w:lineRule="exact"/>
        <w:ind w:right="-315" w:rightChars="-150"/>
        <w:jc w:val="center"/>
        <w:textAlignment w:val="auto"/>
        <w:outlineLvl w:val="1"/>
        <w:rPr>
          <w:rFonts w:hint="eastAsia" w:ascii="宋体" w:hAnsi="宋体" w:eastAsia="宋体" w:cs="宋体"/>
          <w:b/>
          <w:bCs w:val="0"/>
          <w:sz w:val="32"/>
          <w:szCs w:val="32"/>
        </w:rPr>
      </w:pPr>
      <w:bookmarkStart w:id="41" w:name="_Toc12223"/>
      <w:bookmarkStart w:id="42" w:name="_Toc17725"/>
      <w:bookmarkStart w:id="43" w:name="_Toc16384"/>
      <w:r>
        <w:rPr>
          <w:rFonts w:hint="eastAsia" w:ascii="黑体" w:hAnsi="黑体" w:eastAsia="黑体" w:cs="黑体"/>
          <w:b w:val="0"/>
          <w:bCs/>
          <w:sz w:val="32"/>
          <w:szCs w:val="32"/>
          <w:lang w:eastAsia="zh-CN"/>
        </w:rPr>
        <w:t>第二节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构筑</w:t>
      </w:r>
      <w:r>
        <w:rPr>
          <w:rFonts w:hint="eastAsia" w:ascii="黑体" w:hAnsi="黑体" w:eastAsia="黑体" w:cs="黑体"/>
          <w:b w:val="0"/>
          <w:bCs/>
          <w:sz w:val="32"/>
          <w:szCs w:val="32"/>
          <w:lang w:eastAsia="zh-CN"/>
        </w:rPr>
        <w:t>优质高效的</w:t>
      </w:r>
      <w:r>
        <w:rPr>
          <w:rFonts w:hint="eastAsia" w:ascii="黑体" w:hAnsi="黑体" w:eastAsia="黑体" w:cs="黑体"/>
          <w:b w:val="0"/>
          <w:bCs/>
          <w:sz w:val="32"/>
          <w:szCs w:val="32"/>
        </w:rPr>
        <w:t>医疗卫生新格局</w:t>
      </w:r>
      <w:bookmarkEnd w:id="41"/>
      <w:bookmarkEnd w:id="42"/>
      <w:bookmarkEnd w:id="43"/>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color w:val="0C0C0C"/>
          <w:kern w:val="0"/>
          <w:sz w:val="32"/>
          <w:szCs w:val="32"/>
          <w:lang w:val="en-US" w:eastAsia="zh-CN" w:bidi="ar-SA"/>
        </w:rPr>
      </w:pPr>
      <w:bookmarkStart w:id="44" w:name="_Toc64913582"/>
      <w:bookmarkStart w:id="45" w:name="_Toc26404"/>
      <w:bookmarkStart w:id="46" w:name="_Toc3430"/>
      <w:r>
        <w:rPr>
          <w:rFonts w:hint="eastAsia" w:ascii="黑体" w:hAnsi="黑体" w:eastAsia="黑体" w:cs="黑体"/>
          <w:b w:val="0"/>
          <w:bCs w:val="0"/>
          <w:color w:val="0C0C0C"/>
          <w:kern w:val="0"/>
          <w:sz w:val="32"/>
          <w:szCs w:val="32"/>
          <w:lang w:val="en-US" w:eastAsia="zh-CN" w:bidi="ar-SA"/>
        </w:rPr>
        <w:t>一、</w:t>
      </w:r>
      <w:bookmarkEnd w:id="44"/>
      <w:bookmarkEnd w:id="45"/>
      <w:r>
        <w:rPr>
          <w:rFonts w:hint="eastAsia" w:ascii="黑体" w:hAnsi="黑体" w:eastAsia="黑体" w:cs="黑体"/>
          <w:b w:val="0"/>
          <w:bCs w:val="0"/>
          <w:color w:val="0C0C0C"/>
          <w:kern w:val="0"/>
          <w:sz w:val="32"/>
          <w:szCs w:val="32"/>
          <w:lang w:val="en-US" w:eastAsia="zh-CN" w:bidi="ar-SA"/>
        </w:rPr>
        <w:t>提升公立医院综合实力</w:t>
      </w:r>
      <w:bookmarkEnd w:id="46"/>
    </w:p>
    <w:p>
      <w:pPr>
        <w:pStyle w:val="6"/>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加快推进县人民医院、县中医院、</w:t>
      </w:r>
      <w:r>
        <w:rPr>
          <w:rFonts w:hint="eastAsia" w:ascii="仿宋_GB2312" w:hAnsi="仿宋_GB2312" w:eastAsia="仿宋_GB2312" w:cs="仿宋_GB2312"/>
          <w:b w:val="0"/>
          <w:bCs w:val="0"/>
          <w:color w:val="auto"/>
          <w:kern w:val="0"/>
          <w:sz w:val="32"/>
          <w:szCs w:val="32"/>
          <w:lang w:val="en-US" w:eastAsia="zh-CN" w:bidi="ar-SA"/>
        </w:rPr>
        <w:t>县妇幼保健院</w:t>
      </w:r>
      <w:r>
        <w:rPr>
          <w:rFonts w:hint="eastAsia" w:ascii="仿宋_GB2312" w:hAnsi="仿宋_GB2312" w:eastAsia="仿宋_GB2312" w:cs="仿宋_GB2312"/>
          <w:b w:val="0"/>
          <w:bCs w:val="0"/>
          <w:color w:val="0C0C0C"/>
          <w:kern w:val="0"/>
          <w:sz w:val="32"/>
          <w:szCs w:val="32"/>
          <w:lang w:val="en-US" w:eastAsia="zh-CN" w:bidi="ar-SA"/>
        </w:rPr>
        <w:t>技术升级改造工程。以全面质量管理、发挥人才优势、提升技术水平、补齐专科短板为核心，实施提升医疗卫生服务能力建设。</w:t>
      </w:r>
    </w:p>
    <w:p>
      <w:pPr>
        <w:pStyle w:val="6"/>
        <w:keepNext w:val="0"/>
        <w:keepLines w:val="0"/>
        <w:pageBreakBefore w:val="0"/>
        <w:widowControl w:val="0"/>
        <w:numPr>
          <w:ilvl w:val="0"/>
          <w:numId w:val="5"/>
        </w:numPr>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县人民医院</w:t>
      </w:r>
      <w:r>
        <w:rPr>
          <w:rFonts w:hint="eastAsia" w:ascii="仿宋_GB2312" w:hAnsi="仿宋_GB2312" w:eastAsia="仿宋_GB2312" w:cs="仿宋_GB2312"/>
          <w:b w:val="0"/>
          <w:bCs w:val="0"/>
          <w:color w:val="0C0C0C"/>
          <w:kern w:val="0"/>
          <w:sz w:val="32"/>
          <w:szCs w:val="32"/>
          <w:lang w:val="en-US" w:eastAsia="zh-CN" w:bidi="ar-SA"/>
        </w:rPr>
        <w:t>：县人民医院升级建设项目(住院大楼)。项目总投资18969万元，建设一幢地面16层框架结构住院大楼以及相关的配套设施，总建筑面积3.2万平方米。建成后将容纳病床数252张，项目于2018年9月29日开工建设，于2020年年底完成建设后并逐步投入使用，计划开设心内科、神经内科、心理睡眠科、甲乳科、康复科等科室。</w:t>
      </w:r>
    </w:p>
    <w:p>
      <w:pPr>
        <w:pStyle w:val="6"/>
        <w:keepNext w:val="0"/>
        <w:keepLines w:val="0"/>
        <w:pageBreakBefore w:val="0"/>
        <w:widowControl w:val="0"/>
        <w:numPr>
          <w:ilvl w:val="0"/>
          <w:numId w:val="5"/>
        </w:numPr>
        <w:kinsoku/>
        <w:wordWrap/>
        <w:topLinePunct w:val="0"/>
        <w:autoSpaceDE/>
        <w:autoSpaceDN/>
        <w:bidi w:val="0"/>
        <w:adjustRightInd/>
        <w:snapToGrid/>
        <w:spacing w:before="157" w:beforeLines="50" w:after="157" w:afterLines="50" w:line="560" w:lineRule="exact"/>
        <w:ind w:left="0" w:leftChars="0"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县中医院：</w:t>
      </w:r>
      <w:r>
        <w:rPr>
          <w:rFonts w:hint="eastAsia" w:ascii="仿宋_GB2312" w:hAnsi="仿宋_GB2312" w:eastAsia="仿宋_GB2312" w:cs="仿宋_GB2312"/>
          <w:b w:val="0"/>
          <w:bCs w:val="0"/>
          <w:color w:val="0C0C0C"/>
          <w:kern w:val="0"/>
          <w:sz w:val="32"/>
          <w:szCs w:val="32"/>
          <w:lang w:val="en-US" w:eastAsia="zh-CN" w:bidi="ar-SA"/>
        </w:rPr>
        <w:t>县中医院完成迁建后，充分发挥中医优势加快医院专科建设，实施中医没未病健康工程，打造中医特色突出、临床疗效显著、区域示范中医医院。</w:t>
      </w:r>
    </w:p>
    <w:p>
      <w:pPr>
        <w:pStyle w:val="6"/>
        <w:keepNext w:val="0"/>
        <w:keepLines w:val="0"/>
        <w:pageBreakBefore w:val="0"/>
        <w:widowControl w:val="0"/>
        <w:numPr>
          <w:ilvl w:val="0"/>
          <w:numId w:val="5"/>
        </w:numPr>
        <w:kinsoku/>
        <w:wordWrap/>
        <w:topLinePunct w:val="0"/>
        <w:autoSpaceDE/>
        <w:autoSpaceDN/>
        <w:bidi w:val="0"/>
        <w:adjustRightInd/>
        <w:snapToGrid/>
        <w:spacing w:before="157" w:beforeLines="50" w:after="157" w:afterLines="50" w:line="560" w:lineRule="exact"/>
        <w:ind w:left="0" w:leftChars="0"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color w:val="0C0C0C"/>
          <w:kern w:val="0"/>
          <w:sz w:val="32"/>
          <w:szCs w:val="32"/>
          <w:lang w:val="en-US" w:eastAsia="zh-CN" w:bidi="ar-SA"/>
        </w:rPr>
        <w:t>县妇幼保健院：</w:t>
      </w:r>
      <w:r>
        <w:rPr>
          <w:rFonts w:hint="eastAsia" w:ascii="仿宋_GB2312" w:hAnsi="仿宋_GB2312" w:eastAsia="仿宋_GB2312" w:cs="仿宋_GB2312"/>
          <w:b w:val="0"/>
          <w:bCs w:val="0"/>
          <w:color w:val="0C0C0C"/>
          <w:kern w:val="0"/>
          <w:sz w:val="32"/>
          <w:szCs w:val="32"/>
          <w:lang w:val="en-US" w:eastAsia="zh-CN" w:bidi="ar-SA"/>
        </w:rPr>
        <w:t>迁建后计划逐步开设产科、儿科、新生儿科住院服务，预计年住院分娩量将达到</w:t>
      </w:r>
      <w:r>
        <w:rPr>
          <w:rFonts w:hint="eastAsia" w:ascii="仿宋_GB2312" w:hAnsi="仿宋_GB2312" w:eastAsia="仿宋_GB2312" w:cs="仿宋_GB2312"/>
          <w:b w:val="0"/>
          <w:bCs w:val="0"/>
          <w:color w:val="auto"/>
          <w:kern w:val="0"/>
          <w:sz w:val="32"/>
          <w:szCs w:val="32"/>
          <w:lang w:val="en-US" w:eastAsia="zh-CN" w:bidi="ar-SA"/>
        </w:rPr>
        <w:t>1000例、儿科住院治疗量约1000例、新生儿科住院治疗量约300</w:t>
      </w:r>
      <w:r>
        <w:rPr>
          <w:rFonts w:hint="eastAsia" w:ascii="仿宋_GB2312" w:hAnsi="仿宋_GB2312" w:eastAsia="仿宋_GB2312" w:cs="仿宋_GB2312"/>
          <w:b w:val="0"/>
          <w:bCs w:val="0"/>
          <w:color w:val="0C0C0C"/>
          <w:kern w:val="0"/>
          <w:sz w:val="32"/>
          <w:szCs w:val="32"/>
          <w:lang w:val="en-US" w:eastAsia="zh-CN" w:bidi="ar-SA"/>
        </w:rPr>
        <w:t>例，年门诊服务量约8万人次，为全县妇女儿童提供全方位的保健服务，进一步提高陆河县妇女儿童保健覆盖率。同时带动辅助科室业务量增长，提升妇幼保健服务社会效益。</w:t>
      </w:r>
    </w:p>
    <w:p>
      <w:pPr>
        <w:pStyle w:val="6"/>
        <w:keepNext w:val="0"/>
        <w:keepLines w:val="0"/>
        <w:pageBreakBefore w:val="0"/>
        <w:widowControl w:val="0"/>
        <w:numPr>
          <w:ilvl w:val="0"/>
          <w:numId w:val="0"/>
        </w:numPr>
        <w:kinsoku/>
        <w:wordWrap/>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加快高水平医院建设，县人民医院力争创建三甲医院，辐射带动全县医疗卫生服务能力整体提升。争取省级高水平医院对县级医院的人才和技术支持，补强短板专业、专科，提升肿瘤、心脑血管疾病、感染性疾病等重大疾病诊疗能力。</w:t>
      </w:r>
    </w:p>
    <w:p>
      <w:pPr>
        <w:pStyle w:val="7"/>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64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 xml:space="preserve">根据区域内不同医院的规模和功能定位，确定每个医院的重点学科及其发展方向，开展技术创新和管理创新。鼓励县属医院积极创建省级和市级临床重点专科。完善全县急救网络，强化创伤中心、胸痛中心、卒中中心、危重孕产妇救治中心、危重新生儿救治中心“五大医疗中心”建设，提升危重急症救治能力，提供医疗救治绿色通道和一体化综合救治服务。 </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sz w:val="32"/>
          <w:szCs w:val="32"/>
        </w:rPr>
      </w:pPr>
      <w:bookmarkStart w:id="47" w:name="_Toc4381"/>
      <w:bookmarkStart w:id="48" w:name="_Toc17101"/>
      <w:bookmarkStart w:id="49" w:name="_Toc64913583"/>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、巩固基层医疗卫生服务网底</w:t>
      </w:r>
      <w:bookmarkEnd w:id="47"/>
      <w:bookmarkEnd w:id="48"/>
      <w:bookmarkEnd w:id="49"/>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加快基层医疗卫生机构网点建设，加快落实县社区卫生健康建设项目，新增12个社区卫生服务中心。实施基层医疗卫生机构提质增效工程，强化常见病多发病诊治、常规手术、传染病筛查、公共卫生服务和健康管理能力，加固筑牢基层“双网底”功能。推进基层医疗卫生机构规范化建设与国家基本药物制度的实施，推动有条件的卫生院升级建设为社区医院。以重点人群健康管理和重点疾病管理等为主要内容，完善基本公共卫生项目，提升服务质量。推进家庭医生签约服务，建立主动、连续、综合的健康责任制管理模式。探索联合上级医疗机构设立慢性病门诊，开展常见慢性病患者治疗以及冠心病、脑卒中等疾病的社区预防、健康教育和康复。</w:t>
      </w:r>
      <w:r>
        <w:rPr>
          <w:rFonts w:hint="eastAsia" w:ascii="仿宋_GB2312" w:hAnsi="仿宋_GB2312" w:eastAsia="仿宋_GB2312" w:cs="仿宋_GB2312"/>
          <w:sz w:val="32"/>
          <w:szCs w:val="32"/>
        </w:rPr>
        <w:t>紧扣基层医疗卫生机构服务需求和发展需要，推广安全、有效、经济、成熟并相对先进的适合基层医疗卫生机构使用的卫生技术。推动县（市、区）全部落实基层医疗卫生机构“公益一类财政供给，公益二类绩效管理”。到2025年底，20%左右的乡镇卫生院和社区卫生服务中心达到国家基层医疗卫生机构服务能力推荐标准，70%左右的乡镇卫生院和社区卫生服务中心达到国家基层医疗卫生机构服务能力基本标准，实现基层医疗卫生机构长期处方服务全覆盖。</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宋体" w:hAnsi="宋体" w:eastAsia="宋体" w:cs="宋体"/>
          <w:b/>
          <w:bCs/>
          <w:color w:val="0C0C0C"/>
          <w:kern w:val="0"/>
          <w:sz w:val="30"/>
          <w:szCs w:val="30"/>
          <w:lang w:val="en-US" w:eastAsia="zh-CN" w:bidi="ar-SA"/>
        </w:rPr>
      </w:pPr>
      <w:bookmarkStart w:id="50" w:name="_Toc64913584"/>
      <w:bookmarkStart w:id="51" w:name="_Toc10504"/>
      <w:bookmarkStart w:id="52" w:name="_Toc6499"/>
      <w:r>
        <w:rPr>
          <w:rFonts w:hint="eastAsia" w:ascii="黑体" w:hAnsi="黑体" w:eastAsia="黑体" w:cs="黑体"/>
          <w:b w:val="0"/>
          <w:bCs w:val="0"/>
          <w:color w:val="0C0C0C"/>
          <w:kern w:val="0"/>
          <w:sz w:val="32"/>
          <w:szCs w:val="32"/>
          <w:lang w:val="en-US" w:eastAsia="zh-CN" w:bidi="ar-SA"/>
        </w:rPr>
        <w:t>三、</w:t>
      </w:r>
      <w:bookmarkEnd w:id="50"/>
      <w:bookmarkEnd w:id="51"/>
      <w:r>
        <w:rPr>
          <w:rFonts w:hint="eastAsia" w:ascii="黑体" w:hAnsi="黑体" w:eastAsia="黑体" w:cs="黑体"/>
          <w:b w:val="0"/>
          <w:bCs w:val="0"/>
          <w:color w:val="0C0C0C"/>
          <w:kern w:val="0"/>
          <w:sz w:val="32"/>
          <w:szCs w:val="32"/>
          <w:lang w:val="en-US" w:eastAsia="zh-CN" w:bidi="ar-SA"/>
        </w:rPr>
        <w:t>提高医疗卫生服务质量</w:t>
      </w:r>
      <w:bookmarkEnd w:id="52"/>
    </w:p>
    <w:p>
      <w:pPr>
        <w:pStyle w:val="7"/>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56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val="0"/>
          <w:color w:val="0C0C0C"/>
          <w:kern w:val="0"/>
          <w:sz w:val="32"/>
          <w:szCs w:val="32"/>
          <w:lang w:val="en-US" w:eastAsia="zh-CN" w:bidi="ar-SA"/>
        </w:rPr>
        <w:t>建立医疗质量管理激励机制，促进质量持续改进。利用大数据信息技术为医疗质量控制、规范诊疗行为、评估合理用药、优化服务流程、调配医疗资源等提供支撑。普遍建立预约诊疗制度，提供门诊分时段预约、住院预约和择期手术预约、日间手术预约、检查检验集中预约、门诊治疗预约等服务，不断优化预约诊疗流程。逐步扩大日间手术病种范围，逐年增加日间手术占择期手术的比例，缩短患者等待住院和等待手术时间。加快推进检验检查结果互认。陆河县居民在县内医疗机构就医比例同比上升幅度居市内平均水平，居民就医体验满意度显著上升。</w:t>
      </w:r>
      <w:r>
        <w:rPr>
          <w:rFonts w:hint="eastAsia" w:ascii="仿宋_GB2312" w:hAnsi="仿宋_GB2312" w:eastAsia="仿宋_GB2312" w:cs="仿宋_GB2312"/>
          <w:bCs/>
          <w:sz w:val="32"/>
          <w:szCs w:val="32"/>
        </w:rPr>
        <w:t>加强县级医院临床专科和管理能力建设，根据居民诊疗需求、县域外转诊等情况加强薄弱专科建设，提升肿瘤、心脑血管疾病、感染性疾病等重大疾病诊疗能力，推动建立相关专病中心。针对重点人群多元化健康需求，加强县级中医院、妇幼保健机构和综合性医院中医、妇女保健、儿童保健专科建设。</w:t>
      </w:r>
    </w:p>
    <w:p>
      <w:pPr>
        <w:pStyle w:val="7"/>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560"/>
        <w:jc w:val="both"/>
        <w:textAlignment w:val="auto"/>
        <w:rPr>
          <w:rFonts w:hint="eastAsia" w:ascii="仿宋_GB2312" w:hAnsi="仿宋_GB2312" w:eastAsia="仿宋_GB2312" w:cs="仿宋_GB2312"/>
          <w:bCs/>
          <w:sz w:val="32"/>
          <w:szCs w:val="32"/>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22" w:type="dxa"/>
            <w:noWrap w:val="0"/>
            <w:vAlign w:val="top"/>
          </w:tcPr>
          <w:p>
            <w:pPr>
              <w:spacing w:line="580" w:lineRule="exact"/>
              <w:ind w:firstLine="640"/>
              <w:jc w:val="center"/>
              <w:rPr>
                <w:bCs/>
                <w:sz w:val="28"/>
                <w:szCs w:val="28"/>
              </w:rPr>
            </w:pPr>
            <w:r>
              <w:rPr>
                <w:rFonts w:hint="eastAsia" w:asciiTheme="majorEastAsia" w:hAnsiTheme="majorEastAsia" w:eastAsiaTheme="majorEastAsia" w:cstheme="majorEastAsia"/>
                <w:b/>
                <w:bCs/>
                <w:sz w:val="28"/>
                <w:szCs w:val="28"/>
              </w:rPr>
              <w:t>专栏2 医疗卫生服务能力提升项目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22" w:type="dxa"/>
            <w:noWrap w:val="0"/>
            <w:vAlign w:val="top"/>
          </w:tcPr>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2"/>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陆河县医疗卫生整体配套提升建设项目</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sz w:val="24"/>
                <w:szCs w:val="24"/>
              </w:rPr>
            </w:pPr>
            <w:r>
              <w:rPr>
                <w:rFonts w:hint="eastAsia" w:ascii="宋体" w:hAnsi="宋体" w:eastAsia="宋体" w:cs="宋体"/>
                <w:sz w:val="24"/>
                <w:szCs w:val="24"/>
              </w:rPr>
              <w:t>拟对全县8个镇卫生院及县人民医院、县中医院、</w:t>
            </w:r>
            <w:r>
              <w:rPr>
                <w:rFonts w:hint="eastAsia" w:ascii="宋体" w:hAnsi="宋体" w:eastAsia="宋体" w:cs="宋体"/>
                <w:color w:val="auto"/>
                <w:sz w:val="24"/>
                <w:szCs w:val="24"/>
              </w:rPr>
              <w:t>县妇幼保健院进</w:t>
            </w:r>
            <w:r>
              <w:rPr>
                <w:rFonts w:hint="eastAsia" w:ascii="宋体" w:hAnsi="宋体" w:eastAsia="宋体" w:cs="宋体"/>
                <w:sz w:val="24"/>
                <w:szCs w:val="24"/>
              </w:rPr>
              <w:t>行技术升级改造，主要建设内容为：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陆河县公共卫生应急救治服务项目，包含120急救指挥调度系统及设备、公共卫生应急防疫等设施设备。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陆河县远程医疗诊断系统设备项目，包含县人民医院，县中医院、妇幼保健院三家医院远程医疗诊断系统建设及配套乡镇卫生院相关医疗设备等。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7个乡镇卫生院改造；县人民医院、县中医院、</w:t>
            </w:r>
            <w:r>
              <w:rPr>
                <w:rFonts w:hint="eastAsia" w:ascii="宋体" w:hAnsi="宋体" w:eastAsia="宋体" w:cs="宋体"/>
                <w:color w:val="auto"/>
                <w:sz w:val="24"/>
                <w:szCs w:val="24"/>
                <w:lang w:eastAsia="zh-CN"/>
              </w:rPr>
              <w:t>县妇幼保健院</w:t>
            </w:r>
            <w:r>
              <w:rPr>
                <w:rFonts w:hint="eastAsia" w:ascii="宋体" w:hAnsi="宋体" w:eastAsia="宋体" w:cs="宋体"/>
                <w:color w:val="auto"/>
                <w:sz w:val="24"/>
                <w:szCs w:val="24"/>
              </w:rPr>
              <w:t>、8个乡镇卫生院发热门诊及医污处理设施建设。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县人民医院、县中医院、</w:t>
            </w:r>
            <w:r>
              <w:rPr>
                <w:rFonts w:hint="eastAsia" w:ascii="宋体" w:hAnsi="宋体" w:eastAsia="宋体" w:cs="宋体"/>
                <w:color w:val="auto"/>
                <w:sz w:val="24"/>
                <w:szCs w:val="24"/>
                <w:lang w:eastAsia="zh-CN"/>
              </w:rPr>
              <w:t>县妇幼保健院</w:t>
            </w:r>
            <w:r>
              <w:rPr>
                <w:rFonts w:hint="eastAsia" w:ascii="宋体" w:hAnsi="宋体" w:eastAsia="宋体" w:cs="宋体"/>
                <w:sz w:val="24"/>
                <w:szCs w:val="24"/>
              </w:rPr>
              <w:t>、8个乡镇卫生院信息化系统建设。</w:t>
            </w:r>
          </w:p>
          <w:p>
            <w:pPr>
              <w:pStyle w:val="1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2、陆河县第二人民医院建设工程</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sz w:val="28"/>
                <w:szCs w:val="28"/>
              </w:rPr>
            </w:pPr>
            <w:r>
              <w:rPr>
                <w:rFonts w:hint="eastAsia" w:ascii="宋体" w:hAnsi="宋体" w:eastAsia="宋体" w:cs="宋体"/>
                <w:sz w:val="24"/>
                <w:szCs w:val="24"/>
                <w:lang w:val="en-US" w:eastAsia="zh-CN"/>
              </w:rPr>
              <w:t>门诊急诊部用房2244m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、住院部用房5280</w:t>
            </w:r>
            <w:r>
              <w:rPr>
                <w:rFonts w:hint="eastAsia" w:ascii="宋体" w:hAnsi="宋体" w:eastAsia="宋体" w:cs="宋体"/>
                <w:sz w:val="24"/>
                <w:szCs w:val="24"/>
                <w:lang w:val="en-US" w:eastAsia="zh-CN"/>
              </w:rPr>
              <w:t>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、医技科室用房3036</w:t>
            </w:r>
            <w:r>
              <w:rPr>
                <w:rFonts w:hint="eastAsia" w:ascii="宋体" w:hAnsi="宋体" w:eastAsia="宋体" w:cs="宋体"/>
                <w:sz w:val="24"/>
                <w:szCs w:val="24"/>
                <w:lang w:val="en-US" w:eastAsia="zh-CN"/>
              </w:rPr>
              <w:t>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、保障系统用房1188</w:t>
            </w:r>
            <w:r>
              <w:rPr>
                <w:rFonts w:hint="eastAsia" w:ascii="宋体" w:hAnsi="宋体" w:eastAsia="宋体" w:cs="宋体"/>
                <w:sz w:val="24"/>
                <w:szCs w:val="24"/>
                <w:lang w:val="en-US" w:eastAsia="zh-CN"/>
              </w:rPr>
              <w:t>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、业务综合管理用房660</w:t>
            </w:r>
            <w:r>
              <w:rPr>
                <w:rFonts w:hint="eastAsia" w:ascii="宋体" w:hAnsi="宋体" w:eastAsia="宋体" w:cs="宋体"/>
                <w:sz w:val="24"/>
                <w:szCs w:val="24"/>
                <w:lang w:val="en-US" w:eastAsia="zh-CN"/>
              </w:rPr>
              <w:t>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、院内生活用房792</w:t>
            </w:r>
            <w:r>
              <w:rPr>
                <w:rFonts w:hint="eastAsia" w:ascii="宋体" w:hAnsi="宋体" w:eastAsia="宋体" w:cs="宋体"/>
                <w:sz w:val="24"/>
                <w:szCs w:val="24"/>
                <w:lang w:val="en-US" w:eastAsia="zh-CN"/>
              </w:rPr>
              <w:t>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、人防及地下车库3000</w:t>
            </w:r>
            <w:r>
              <w:rPr>
                <w:rFonts w:hint="eastAsia" w:ascii="宋体" w:hAnsi="宋体" w:eastAsia="宋体" w:cs="宋体"/>
                <w:sz w:val="24"/>
                <w:szCs w:val="24"/>
                <w:lang w:val="en-US" w:eastAsia="zh-CN"/>
              </w:rPr>
              <w:t>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，大门、围墙、绿化及道路硬底化等配套设施。项目建成后设置120张病床位，达到二级综合医院标准。</w:t>
            </w:r>
          </w:p>
        </w:tc>
      </w:tr>
    </w:tbl>
    <w:p>
      <w:pPr>
        <w:keepNext w:val="0"/>
        <w:keepLines w:val="0"/>
        <w:pageBreakBefore w:val="0"/>
        <w:widowControl w:val="0"/>
        <w:kinsoku/>
        <w:wordWrap/>
        <w:topLinePunct w:val="0"/>
        <w:autoSpaceDE/>
        <w:autoSpaceDN/>
        <w:bidi w:val="0"/>
        <w:adjustRightInd/>
        <w:snapToGrid/>
        <w:spacing w:line="560" w:lineRule="exact"/>
        <w:textAlignment w:val="auto"/>
        <w:rPr>
          <w:rFonts w:ascii="仿宋_GB2312" w:hAnsi="仿宋_GB2312" w:eastAsia="仿宋_GB2312" w:cs="仿宋_GB2312"/>
          <w:color w:val="000000"/>
          <w:sz w:val="32"/>
          <w:szCs w:val="32"/>
        </w:rPr>
      </w:pPr>
    </w:p>
    <w:p>
      <w:pPr>
        <w:keepNext w:val="0"/>
        <w:keepLines w:val="0"/>
        <w:pageBreakBefore w:val="0"/>
        <w:widowControl w:val="0"/>
        <w:numPr>
          <w:ilvl w:val="0"/>
          <w:numId w:val="0"/>
        </w:numPr>
        <w:tabs>
          <w:tab w:val="left" w:pos="2744"/>
        </w:tabs>
        <w:kinsoku/>
        <w:wordWrap/>
        <w:topLinePunct w:val="0"/>
        <w:autoSpaceDE/>
        <w:autoSpaceDN/>
        <w:bidi w:val="0"/>
        <w:adjustRightInd/>
        <w:snapToGrid/>
        <w:spacing w:before="157" w:beforeLines="50" w:after="157" w:afterLines="50" w:line="560" w:lineRule="exact"/>
        <w:ind w:right="-315" w:rightChars="-150"/>
        <w:jc w:val="center"/>
        <w:textAlignment w:val="auto"/>
        <w:outlineLvl w:val="1"/>
        <w:rPr>
          <w:rFonts w:hint="eastAsia" w:ascii="黑体" w:hAnsi="黑体" w:eastAsia="黑体" w:cs="黑体"/>
          <w:b w:val="0"/>
          <w:bCs/>
          <w:sz w:val="32"/>
          <w:szCs w:val="32"/>
          <w:lang w:eastAsia="zh-CN"/>
        </w:rPr>
      </w:pPr>
      <w:bookmarkStart w:id="53" w:name="_Toc18593"/>
      <w:bookmarkStart w:id="54" w:name="_Toc64913585"/>
      <w:bookmarkStart w:id="55" w:name="_Toc18938"/>
      <w:bookmarkStart w:id="56" w:name="_Toc1253"/>
      <w:r>
        <w:rPr>
          <w:rFonts w:hint="eastAsia" w:ascii="黑体" w:hAnsi="黑体" w:eastAsia="黑体" w:cs="黑体"/>
          <w:b w:val="0"/>
          <w:bCs/>
          <w:sz w:val="32"/>
          <w:szCs w:val="32"/>
          <w:lang w:eastAsia="zh-CN"/>
        </w:rPr>
        <w:t>第三节</w:t>
      </w:r>
      <w:r>
        <w:rPr>
          <w:rFonts w:hint="eastAsia" w:ascii="黑体" w:hAnsi="黑体" w:eastAsia="黑体" w:cs="黑体"/>
          <w:b w:val="0"/>
          <w:bCs/>
          <w:sz w:val="32"/>
          <w:szCs w:val="32"/>
        </w:rPr>
        <w:t xml:space="preserve"> </w:t>
      </w:r>
      <w:bookmarkEnd w:id="53"/>
      <w:bookmarkEnd w:id="54"/>
      <w:r>
        <w:rPr>
          <w:rFonts w:hint="eastAsia" w:ascii="黑体" w:hAnsi="黑体" w:eastAsia="黑体" w:cs="黑体"/>
          <w:b w:val="0"/>
          <w:bCs/>
          <w:sz w:val="32"/>
          <w:szCs w:val="32"/>
          <w:lang w:eastAsia="zh-CN"/>
        </w:rPr>
        <w:t>持续推进健康陆河建设</w:t>
      </w:r>
      <w:bookmarkEnd w:id="55"/>
      <w:bookmarkEnd w:id="56"/>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sz w:val="32"/>
          <w:szCs w:val="32"/>
          <w:lang w:eastAsia="zh-CN"/>
        </w:rPr>
      </w:pPr>
      <w:bookmarkStart w:id="57" w:name="_Toc64913586"/>
      <w:bookmarkStart w:id="58" w:name="_Toc31011"/>
      <w:bookmarkStart w:id="59" w:name="_Toc4332"/>
      <w:r>
        <w:rPr>
          <w:rFonts w:hint="eastAsia" w:ascii="黑体" w:hAnsi="黑体" w:eastAsia="黑体" w:cs="黑体"/>
          <w:b w:val="0"/>
          <w:bCs w:val="0"/>
          <w:sz w:val="32"/>
          <w:szCs w:val="32"/>
        </w:rPr>
        <w:t>一、</w:t>
      </w:r>
      <w:bookmarkEnd w:id="57"/>
      <w:bookmarkEnd w:id="58"/>
      <w:r>
        <w:rPr>
          <w:rFonts w:hint="eastAsia" w:ascii="黑体" w:hAnsi="黑体" w:eastAsia="黑体" w:cs="黑体"/>
          <w:b w:val="0"/>
          <w:bCs w:val="0"/>
          <w:sz w:val="32"/>
          <w:szCs w:val="32"/>
          <w:lang w:eastAsia="zh-CN"/>
        </w:rPr>
        <w:t>优化健康陆河推进机制</w:t>
      </w:r>
      <w:bookmarkEnd w:id="59"/>
    </w:p>
    <w:p>
      <w:pPr>
        <w:pStyle w:val="5"/>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bookmarkStart w:id="60" w:name="_Toc9517"/>
      <w:bookmarkStart w:id="61" w:name="_Toc22688"/>
      <w:bookmarkStart w:id="62" w:name="_Toc78211914"/>
      <w:bookmarkStart w:id="63" w:name="_Toc78211784"/>
      <w:bookmarkStart w:id="64" w:name="_Toc78211157"/>
      <w:r>
        <w:rPr>
          <w:rFonts w:hint="eastAsia" w:ascii="仿宋_GB2312" w:hAnsi="仿宋_GB2312" w:eastAsia="仿宋_GB2312" w:cs="仿宋_GB2312"/>
          <w:b w:val="0"/>
          <w:bCs w:val="0"/>
          <w:color w:val="0C0C0C"/>
          <w:kern w:val="0"/>
          <w:sz w:val="32"/>
          <w:szCs w:val="32"/>
          <w:lang w:val="en-US" w:eastAsia="zh-CN" w:bidi="ar-SA"/>
        </w:rPr>
        <w:t>建立健全健康陆河行动推进委员会组织架构，制定落实健康陆河行动方案。完善健康陆河监测评估和考核体系，每年评估工作推进情况，强化健康陆河考核的导向性、科学性和权威性。建立健全爱国卫生机构，积极推进“爱国卫生月”活动、冬春季爱国卫生专项行动。巩固拓展国家卫生县城成果，推进全县卫生镇创建工作。积极创建健康促进县。加快健康细胞建设，培育一批健康细胞建设特色样板。深化医疗卫生机构“厕所革命”和行业垃圾分类工作。扩大垃圾分类试点。加强控烟工作，力争到2022年底，实现全县各级各类党政机关、学校全面建成无烟党政机关、无烟学校的目标，并持续保持建设成果。强化基层病媒生物防制力量，将病媒生物密度控制在国家规定的标准范围内。加强健康教育和社会健康管理。加强县级健康教育专业人员队伍建设。落实医疗卫生机构和医务人员开展健康促进与教育的绩效考核机制。加大学校、机关、社区、企事业单位健康教育工作力度。全面实施国民营养计划。</w:t>
      </w:r>
      <w:bookmarkEnd w:id="60"/>
      <w:bookmarkEnd w:id="61"/>
      <w:bookmarkEnd w:id="62"/>
      <w:bookmarkEnd w:id="63"/>
      <w:bookmarkEnd w:id="64"/>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sz w:val="32"/>
          <w:szCs w:val="32"/>
        </w:rPr>
      </w:pPr>
      <w:bookmarkStart w:id="65" w:name="_Toc16200"/>
      <w:bookmarkStart w:id="66" w:name="_Toc21282"/>
      <w:bookmarkStart w:id="67" w:name="_Toc70606306"/>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、强化重点疾病健康管理</w:t>
      </w:r>
      <w:bookmarkEnd w:id="65"/>
      <w:bookmarkEnd w:id="66"/>
      <w:bookmarkEnd w:id="67"/>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color w:val="000000"/>
          <w:sz w:val="32"/>
          <w:szCs w:val="32"/>
        </w:rPr>
        <w:t>加强精神卫生和心理健康工作</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color w:val="0C0C0C"/>
          <w:kern w:val="0"/>
          <w:sz w:val="32"/>
          <w:szCs w:val="32"/>
          <w:lang w:val="en-US" w:eastAsia="zh-CN" w:bidi="ar-SA"/>
        </w:rPr>
        <w:t>加快推进陆河县精神专科医院精神建设项目。到2025年，二级以上综合医院100%开设精神心理科门诊。加强精神卫生人才队伍建设。深化严重精神障碍管理和保障体系建设，提高严重精神障碍患者报告患病率、规范管理率和规律服药率，最大限度减少严重精神障碍患者肇事肇祸案事件发生。构建精神卫生医疗机构、精神障碍社区康复服务机构、社会组织及家庭相互支持的精神障碍康复体系。推进心理援助和危机干预工作，加强县级心理危机干预队伍能力建设。全面启动社会心理服务体系建设，建立健全社会心理健康服务网络，注重常见精神障碍防治。</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sz w:val="32"/>
          <w:szCs w:val="32"/>
        </w:rPr>
        <w:t>实施慢性病综合防控</w:t>
      </w:r>
      <w:r>
        <w:rPr>
          <w:rFonts w:hint="eastAsia" w:ascii="仿宋_GB2312" w:hAnsi="仿宋_GB2312" w:eastAsia="仿宋_GB2312" w:cs="仿宋_GB2312"/>
          <w:b/>
          <w:bCs/>
          <w:sz w:val="32"/>
          <w:szCs w:val="32"/>
          <w:lang w:eastAsia="zh-CN"/>
        </w:rPr>
        <w:t>和伤害预防干预</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color w:val="0C0C0C"/>
          <w:kern w:val="0"/>
          <w:sz w:val="32"/>
          <w:szCs w:val="32"/>
          <w:lang w:val="en-US" w:eastAsia="zh-CN" w:bidi="ar-SA"/>
        </w:rPr>
        <w:t>完善慢性病防治服务网络，强化基层医疗卫生机构慢性病管理，加快推进慢性病综合防控示范区建设。开展慢性病及其危险因素监测，加强全人群死因登记报告和肿瘤登记报告，强化慢性病筛查和早期发现，提高早诊早治率。加强高血压、糖尿病等慢性病患者的管理和服务，完善对癌症等患者的随访和康复指导。实施儿童和老年人伤害预防和综合干预行动计划，加强儿童玩具和日常用品安全标准落实情况监管，减少18岁以下儿童和老年人意外伤害的发生。开展学生意外伤害事故预防和处置、社会实践、防溺水等方面安全教育，加强重点场所管理和防护设施建设，预防和减少意外伤害。</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rPr>
        <w:t>强化重大传染病和地方病防控。</w:t>
      </w:r>
      <w:r>
        <w:rPr>
          <w:rFonts w:hint="eastAsia" w:ascii="仿宋_GB2312" w:hAnsi="仿宋_GB2312" w:eastAsia="仿宋_GB2312" w:cs="仿宋_GB2312"/>
          <w:b w:val="0"/>
          <w:bCs w:val="0"/>
          <w:color w:val="0C0C0C"/>
          <w:kern w:val="0"/>
          <w:sz w:val="32"/>
          <w:szCs w:val="32"/>
          <w:lang w:val="en-US" w:eastAsia="zh-CN" w:bidi="ar-SA"/>
        </w:rPr>
        <w:t>加强免疫规划工作，维持高水平人群免疫屏障，确保以乡镇为单位国家免疫规划疫苗接种率维持在99%以上。积极推动成人疫苗接种。加强疫苗可预防疾病监测和人群免疫水平监测。做好疑似预防接种异常反应监测。建立完善全县艾滋病防治监测网络，加强重点人群和高危人群的艾滋病检测随访和综合干预。推动将艾滋病检测咨询纳入婚前自愿医学检查和重点公共场所服务人员健康体检内容。完善结核病“三位一体”综合防治服务模式，提高“防、诊、治、管、教”相结合的综合服务能力和质量。加大一般就诊者肺结核发现和耐多药肺结核筛查力度，推进肺结核患者全程随诊管理。强化学校结核病疫情监测和处置，防聚集性疫情发生。加强麻风病症状监测和流动人口麻风病例筛查。健全性病综合防治体系，加快梅毒综合防治示范区建设，提升性病综合防治能力和水平。保持消除血吸虫病、疟疾和碘缺乏病。基本消除饮水型氟中毒危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22" w:type="dxa"/>
            <w:noWrap w:val="0"/>
            <w:vAlign w:val="center"/>
          </w:tcPr>
          <w:p>
            <w:pPr>
              <w:spacing w:line="400" w:lineRule="exact"/>
              <w:ind w:firstLine="562" w:firstLineChars="200"/>
              <w:jc w:val="center"/>
              <w:rPr>
                <w:rFonts w:hint="eastAsia" w:ascii="仿宋_GB2312" w:hAnsi="仿宋_GB2312" w:eastAsia="仿宋_GB2312" w:cs="仿宋_GB2312"/>
                <w:bCs/>
                <w:sz w:val="24"/>
                <w:szCs w:val="24"/>
              </w:rPr>
            </w:pPr>
            <w:r>
              <w:rPr>
                <w:rFonts w:hint="eastAsia" w:asciiTheme="majorEastAsia" w:hAnsiTheme="majorEastAsia" w:eastAsiaTheme="majorEastAsia" w:cstheme="majorEastAsia"/>
                <w:b/>
                <w:bCs/>
                <w:sz w:val="28"/>
                <w:szCs w:val="28"/>
              </w:rPr>
              <w:t>专栏3 重点健康问题干预项目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22" w:type="dxa"/>
            <w:noWrap w:val="0"/>
            <w:vAlign w:val="top"/>
          </w:tcPr>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both"/>
              <w:textAlignment w:val="auto"/>
              <w:rPr>
                <w:rFonts w:hint="default" w:eastAsia="宋体" w:cs="宋体" w:asciiTheme="minorAscii" w:hAnsiTheme="minorAscii"/>
                <w:b/>
                <w:bCs/>
                <w:color w:val="000000"/>
                <w:kern w:val="2"/>
                <w:sz w:val="24"/>
                <w:szCs w:val="24"/>
              </w:rPr>
            </w:pPr>
            <w:r>
              <w:rPr>
                <w:rFonts w:hint="default" w:eastAsia="宋体" w:cs="宋体" w:asciiTheme="minorAscii" w:hAnsiTheme="minorAscii"/>
                <w:b/>
                <w:bCs/>
                <w:color w:val="000000"/>
                <w:kern w:val="2"/>
                <w:sz w:val="24"/>
                <w:szCs w:val="24"/>
              </w:rPr>
              <w:t>1.</w:t>
            </w:r>
            <w:r>
              <w:rPr>
                <w:rFonts w:hint="default" w:eastAsia="宋体" w:cs="宋体" w:asciiTheme="minorAscii" w:hAnsiTheme="minorAscii"/>
                <w:sz w:val="24"/>
                <w:szCs w:val="24"/>
              </w:rPr>
              <w:t xml:space="preserve"> </w:t>
            </w:r>
            <w:r>
              <w:rPr>
                <w:rFonts w:hint="default" w:eastAsia="宋体" w:cs="宋体" w:asciiTheme="minorAscii" w:hAnsiTheme="minorAscii"/>
                <w:b/>
                <w:bCs/>
                <w:color w:val="000000"/>
                <w:kern w:val="2"/>
                <w:sz w:val="24"/>
                <w:szCs w:val="24"/>
              </w:rPr>
              <w:t>慢性病综合防控示范区建设项目</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both"/>
              <w:textAlignment w:val="auto"/>
              <w:rPr>
                <w:rFonts w:hint="default" w:eastAsia="宋体" w:cs="宋体" w:asciiTheme="minorAscii" w:hAnsiTheme="minorAscii"/>
                <w:color w:val="000000"/>
                <w:kern w:val="2"/>
                <w:sz w:val="24"/>
                <w:szCs w:val="24"/>
              </w:rPr>
            </w:pPr>
            <w:r>
              <w:rPr>
                <w:rFonts w:hint="default" w:eastAsia="宋体" w:cs="宋体" w:asciiTheme="minorAscii" w:hAnsiTheme="minorAscii"/>
                <w:color w:val="000000"/>
                <w:kern w:val="2"/>
                <w:sz w:val="24"/>
                <w:szCs w:val="24"/>
              </w:rPr>
              <w:t>以慢性病综合防控示范区建设为契机，继续加强“政府主导、部门协作、社会参与”的慢性病综合防控工作长效机制建设，保障政府对慢病防控工作的持续经费投入，整合社会资源，采取多种措施包括社会支持性环境、健康教育与健康促进、慢性病早期发现与管理、分级诊疗、基本医保和大病保险、慢性病监测、中医药应用、发挥群众组织作用、防控体系建设和推动医养结合等，打造具有陆河特色的慢性病综合防控示范区建设。</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both"/>
              <w:textAlignment w:val="auto"/>
              <w:rPr>
                <w:rFonts w:hint="default" w:eastAsia="宋体" w:cs="宋体" w:asciiTheme="minorAscii" w:hAnsiTheme="minorAscii"/>
                <w:b/>
                <w:sz w:val="24"/>
                <w:szCs w:val="24"/>
              </w:rPr>
            </w:pPr>
            <w:r>
              <w:rPr>
                <w:rFonts w:hint="default" w:eastAsia="宋体" w:cs="宋体" w:asciiTheme="minorAscii" w:hAnsiTheme="minorAscii"/>
                <w:b/>
                <w:sz w:val="24"/>
                <w:szCs w:val="24"/>
              </w:rPr>
              <w:t>2. 陆河县精神专科医院精神建设项目</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jc w:val="both"/>
              <w:textAlignment w:val="auto"/>
              <w:rPr>
                <w:rFonts w:hint="default" w:ascii="仿宋_GB2312" w:hAnsi="仿宋_GB2312" w:cs="仿宋_GB2312"/>
                <w:szCs w:val="24"/>
                <w:vertAlign w:val="baseline"/>
              </w:rPr>
            </w:pPr>
            <w:r>
              <w:rPr>
                <w:rFonts w:hint="default" w:eastAsia="宋体" w:cs="宋体" w:asciiTheme="minorAscii" w:hAnsiTheme="minorAscii"/>
                <w:sz w:val="24"/>
                <w:szCs w:val="24"/>
              </w:rPr>
              <w:t>项目建设地点位于河田镇上径村，项目规划地面积15000㎡。工程主要建设内容为：新建一幢10层6283㎡集门诊及医技、住院部、康复治疗综合性业务用房，一幢3层1197㎡保障系统、管理及生活用房，建设地下车库4000㎡，总建筑面积11480㎡，配置110张病床。</w:t>
            </w:r>
          </w:p>
        </w:tc>
      </w:tr>
    </w:tbl>
    <w:p>
      <w:pPr>
        <w:tabs>
          <w:tab w:val="left" w:pos="2744"/>
        </w:tabs>
        <w:spacing w:line="580" w:lineRule="exact"/>
        <w:ind w:left="-315" w:leftChars="-150" w:right="-315" w:rightChars="-150"/>
        <w:jc w:val="center"/>
        <w:outlineLvl w:val="9"/>
        <w:rPr>
          <w:rFonts w:hint="eastAsia" w:ascii="楷体_GB2312" w:hAnsi="楷体_GB2312" w:eastAsia="楷体_GB2312" w:cs="楷体_GB2312"/>
          <w:bCs/>
          <w:sz w:val="32"/>
          <w:szCs w:val="32"/>
        </w:rPr>
      </w:pPr>
      <w:bookmarkStart w:id="68" w:name="_Toc70606307"/>
      <w:bookmarkStart w:id="69" w:name="_Toc19780"/>
    </w:p>
    <w:p>
      <w:pPr>
        <w:keepNext w:val="0"/>
        <w:keepLines w:val="0"/>
        <w:pageBreakBefore w:val="0"/>
        <w:widowControl w:val="0"/>
        <w:numPr>
          <w:ilvl w:val="0"/>
          <w:numId w:val="0"/>
        </w:numPr>
        <w:tabs>
          <w:tab w:val="left" w:pos="2744"/>
        </w:tabs>
        <w:kinsoku/>
        <w:wordWrap/>
        <w:overflowPunct/>
        <w:topLinePunct w:val="0"/>
        <w:autoSpaceDE/>
        <w:autoSpaceDN/>
        <w:bidi w:val="0"/>
        <w:adjustRightInd/>
        <w:snapToGrid/>
        <w:spacing w:before="157" w:beforeLines="50" w:after="157" w:afterLines="50" w:line="560" w:lineRule="exact"/>
        <w:ind w:right="-315" w:rightChars="-150"/>
        <w:jc w:val="center"/>
        <w:textAlignment w:val="auto"/>
        <w:outlineLvl w:val="1"/>
        <w:rPr>
          <w:rFonts w:hint="eastAsia" w:ascii="黑体" w:hAnsi="黑体" w:eastAsia="黑体" w:cs="黑体"/>
          <w:b w:val="0"/>
          <w:bCs/>
          <w:sz w:val="32"/>
          <w:szCs w:val="32"/>
        </w:rPr>
      </w:pPr>
      <w:bookmarkStart w:id="70" w:name="_Toc9164"/>
      <w:bookmarkStart w:id="71" w:name="_Toc549"/>
      <w:r>
        <w:rPr>
          <w:rFonts w:hint="eastAsia" w:ascii="黑体" w:hAnsi="黑体" w:eastAsia="黑体" w:cs="黑体"/>
          <w:b w:val="0"/>
          <w:bCs/>
          <w:sz w:val="32"/>
          <w:szCs w:val="32"/>
          <w:lang w:eastAsia="zh-CN"/>
        </w:rPr>
        <w:t>第四节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保障人民生命全周期健康</w:t>
      </w:r>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lang w:eastAsia="zh-CN"/>
        </w:rPr>
      </w:pPr>
      <w:bookmarkStart w:id="72" w:name="_Toc70606308"/>
      <w:bookmarkStart w:id="73" w:name="_Toc27496"/>
      <w:bookmarkStart w:id="74" w:name="_Toc5789"/>
      <w:r>
        <w:rPr>
          <w:rFonts w:hint="eastAsia" w:ascii="黑体" w:hAnsi="黑体" w:eastAsia="黑体" w:cs="黑体"/>
          <w:b w:val="0"/>
          <w:bCs w:val="0"/>
          <w:color w:val="0C0C0C"/>
          <w:kern w:val="0"/>
          <w:sz w:val="32"/>
          <w:szCs w:val="32"/>
        </w:rPr>
        <w:t>一、</w:t>
      </w:r>
      <w:bookmarkEnd w:id="72"/>
      <w:bookmarkEnd w:id="73"/>
      <w:r>
        <w:rPr>
          <w:rFonts w:hint="eastAsia" w:ascii="黑体" w:hAnsi="黑体" w:eastAsia="黑体" w:cs="黑体"/>
          <w:b w:val="0"/>
          <w:bCs w:val="0"/>
          <w:color w:val="0C0C0C"/>
          <w:kern w:val="0"/>
          <w:sz w:val="32"/>
          <w:szCs w:val="32"/>
          <w:lang w:eastAsia="zh-CN"/>
        </w:rPr>
        <w:t>推动实现适度生育水平</w:t>
      </w:r>
      <w:bookmarkEnd w:id="74"/>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宋体" w:hAnsi="宋体" w:eastAsia="宋体" w:cs="宋体"/>
          <w:b/>
          <w:bCs/>
          <w:color w:val="0C0C0C"/>
          <w:kern w:val="0"/>
          <w:sz w:val="30"/>
          <w:szCs w:val="30"/>
        </w:rPr>
      </w:pPr>
      <w:r>
        <w:rPr>
          <w:rFonts w:hint="eastAsia" w:ascii="仿宋_GB2312" w:hAnsi="仿宋_GB2312" w:eastAsia="仿宋_GB2312" w:cs="仿宋_GB2312"/>
          <w:b w:val="0"/>
          <w:bCs w:val="0"/>
          <w:color w:val="0C0C0C"/>
          <w:kern w:val="0"/>
          <w:sz w:val="32"/>
          <w:szCs w:val="32"/>
          <w:lang w:val="en-US" w:eastAsia="zh-CN" w:bidi="ar-SA"/>
        </w:rPr>
        <w:t>实施三孩生育政策，健全生育配套政策体系，推动实现适度生育水平，促进人口长期均衡发展。完善托育、教育、社会保障、住房、基本医疗保险等政策，减轻生养子女家庭负担。推进落实计划生育奖励假制度和配偶陪产假制度。鼓励用人单位为孕期和哺乳期妇女提供灵活的工作方式及必要的便利条件。完善计划生育家庭奖励和扶助政策，逐步构建计划生育家庭社会关怀长效机制。</w:t>
      </w:r>
      <w:bookmarkStart w:id="75" w:name="_Toc70606309"/>
      <w:bookmarkStart w:id="76" w:name="_Toc19685"/>
      <w:bookmarkStart w:id="77" w:name="_Toc20396"/>
    </w:p>
    <w:p>
      <w:pPr>
        <w:keepNext w:val="0"/>
        <w:keepLines w:val="0"/>
        <w:pageBreakBefore w:val="0"/>
        <w:widowControl w:val="0"/>
        <w:kinsoku/>
        <w:wordWrap/>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rPr>
      </w:pPr>
      <w:r>
        <w:rPr>
          <w:rFonts w:hint="eastAsia" w:ascii="黑体" w:hAnsi="黑体" w:eastAsia="黑体" w:cs="黑体"/>
          <w:b w:val="0"/>
          <w:bCs w:val="0"/>
          <w:color w:val="0C0C0C"/>
          <w:kern w:val="0"/>
          <w:sz w:val="32"/>
          <w:szCs w:val="32"/>
        </w:rPr>
        <w:t>二、发展普惠托育服务体系</w:t>
      </w:r>
      <w:bookmarkEnd w:id="75"/>
      <w:bookmarkEnd w:id="76"/>
      <w:bookmarkEnd w:id="77"/>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加快发展多种形式的婴幼儿照护服务机构，支持社会力量举办婴幼儿照护服务机构，优先发展普惠托育服务。推动有条件的用人单位以单独或联合相关单位共同举办的方式，在工作场所为职工提供托育服务。建立健全婴幼儿照护服务机构制度规范。规范推进婴幼儿照护机构登记备案制度化、信息化。规范婴幼儿照护服务机构安全管理制度，建立婴幼儿照护服务日常监督管理制度。推动在居住区建设与人口规模相适应的婴幼儿照护服务设施。建立健全托育相关专业人才培养体系，加强从业人员职业技能培训，完善职业规划。</w:t>
      </w:r>
    </w:p>
    <w:p>
      <w:pPr>
        <w:keepNext w:val="0"/>
        <w:keepLines w:val="0"/>
        <w:pageBreakBefore w:val="0"/>
        <w:widowControl w:val="0"/>
        <w:kinsoku/>
        <w:wordWrap/>
        <w:topLinePunct w:val="0"/>
        <w:autoSpaceDE/>
        <w:autoSpaceDN/>
        <w:bidi w:val="0"/>
        <w:adjustRightInd/>
        <w:snapToGrid/>
        <w:spacing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rPr>
      </w:pPr>
      <w:bookmarkStart w:id="78" w:name="_Toc70606310"/>
      <w:bookmarkStart w:id="79" w:name="_Toc28712"/>
      <w:bookmarkStart w:id="80" w:name="_Toc30752"/>
      <w:r>
        <w:rPr>
          <w:rFonts w:hint="eastAsia" w:ascii="黑体" w:hAnsi="黑体" w:eastAsia="黑体" w:cs="黑体"/>
          <w:b w:val="0"/>
          <w:bCs w:val="0"/>
          <w:color w:val="0C0C0C"/>
          <w:kern w:val="0"/>
          <w:sz w:val="32"/>
          <w:szCs w:val="32"/>
        </w:rPr>
        <w:t>三、促进妇女儿童健康</w:t>
      </w:r>
      <w:bookmarkEnd w:id="78"/>
      <w:bookmarkEnd w:id="79"/>
      <w:bookmarkEnd w:id="80"/>
    </w:p>
    <w:p>
      <w:pPr>
        <w:keepNext w:val="0"/>
        <w:keepLines w:val="0"/>
        <w:pageBreakBefore w:val="0"/>
        <w:widowControl w:val="0"/>
        <w:kinsoku/>
        <w:wordWrap/>
        <w:overflowPunct w:val="0"/>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实施妇幼健康保护工程，健全母婴安全保障体系，强化危重孕产妇和新生儿救治能力。加强妇幼保健特色专科建设，积极推进中医药在促进妇幼保健中的价廉、效优作用。规范孕产妇健康管理，扩大妇女“两癌”筛查项目覆盖面，推动消除艾滋病、梅毒和乙肝母婴传播。健全覆盖城乡居民、涵盖生育全程的出生缺陷综合防治体系，开展婚前孕前优生健康检查、产前筛查、新生儿疾病筛查等出生缺陷防控项目。到2025年，全县新生儿遗传代谢性疾病筛查率达到98%以上，城乡适龄妇女宫颈癌和乳腺癌筛查率达到50%以上。落实适龄女生HPV（人乳头瘤病毒）疫苗免费接种项目。加强0-6岁儿童生长发育监测、眼保健和视力检查、牙齿、心理行为发育评估与指导等健康管理，逐步实施儿童六龄齿免费窝沟封闭项目。</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rPr>
      </w:pPr>
      <w:bookmarkStart w:id="81" w:name="_Toc27434"/>
      <w:bookmarkStart w:id="82" w:name="_Toc70606311"/>
      <w:bookmarkStart w:id="83" w:name="_Toc15627"/>
      <w:r>
        <w:rPr>
          <w:rFonts w:hint="eastAsia" w:ascii="黑体" w:hAnsi="黑体" w:eastAsia="黑体" w:cs="黑体"/>
          <w:b w:val="0"/>
          <w:bCs w:val="0"/>
          <w:color w:val="0C0C0C"/>
          <w:kern w:val="0"/>
          <w:sz w:val="32"/>
          <w:szCs w:val="32"/>
        </w:rPr>
        <w:t>四、加强职业健康保护</w:t>
      </w:r>
      <w:bookmarkEnd w:id="81"/>
      <w:bookmarkEnd w:id="82"/>
      <w:bookmarkEnd w:id="83"/>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建立完善用人单位负责、行政机关监管、行业自律、职工参与和社会监督的职业病防治机制。推动用人单位落实职业病防治主体责任。建全完善职业卫生分类分级监管机制，实施职业健康“黑名单”管理。完善向乡镇延伸的职业病防治技术支撑体系，强化职业病防治技术供给和质量控制。以县疾控中心为主干，建设职业病监测预警体系。</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rPr>
      </w:pPr>
      <w:bookmarkStart w:id="84" w:name="_Toc14696"/>
      <w:bookmarkStart w:id="85" w:name="_Toc26229"/>
      <w:bookmarkStart w:id="86" w:name="_Toc70606312"/>
      <w:r>
        <w:rPr>
          <w:rFonts w:hint="eastAsia" w:ascii="黑体" w:hAnsi="黑体" w:eastAsia="黑体" w:cs="黑体"/>
          <w:b w:val="0"/>
          <w:bCs w:val="0"/>
          <w:color w:val="0C0C0C"/>
          <w:kern w:val="0"/>
          <w:sz w:val="32"/>
          <w:szCs w:val="32"/>
        </w:rPr>
        <w:t>五、促进老年健康服务</w:t>
      </w:r>
      <w:bookmarkEnd w:id="84"/>
      <w:bookmarkEnd w:id="85"/>
      <w:bookmarkEnd w:id="86"/>
    </w:p>
    <w:p>
      <w:pPr>
        <w:keepNext w:val="0"/>
        <w:keepLines w:val="0"/>
        <w:pageBreakBefore w:val="0"/>
        <w:widowControl w:val="0"/>
        <w:kinsoku/>
        <w:wordWrap/>
        <w:overflowPunct w:val="0"/>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健全老年健康服务体系,建立健全老年健康危险因素干预、疾病早发现早诊断早诊疗、失能预防三级预防体系，强化65岁以上老年人健康管理和老年人中医药健康管理。重视老年人综合评估和老年综合征诊治，优化基本公共卫生老年人健康管理和中医药健康管理项目。探索依托县疾控中心建立县级老年健康中心，探索依托县人民医院建设老年医院，推动二级及以上综合性医院开设老年医学科和老年康复科，提高基层医疗卫生机构的康复、护理床位占比。开展老年友善医疗机构建设工作，推进医疗机构全面落实老年人医疗服务优待政策。建立县居家养老服务指导中心，完善镇、村居家养老服务示范点。重点为失能、失智老人提供集中或居家医养结合服务。以村级医养结合试点工作为抓手，建立试点管理长效机制，推动乡村“医养结合”产业发展。鼓励新建或将一级以下富余医疗机构转型为康复护理机构，为失能、失智老年人提供长期护理服务。支持公立医疗机构开设养老保健科、设置家庭病床，鼓励医疗机构与养老机构开展多种形式的合作，大力推进各级、各类医院与居家养老结合，探索构建以“居家为基础、社区为依托、机构为补充、医养相结合”的多层次养老服务体系。制定和实施优惠政策，吸引民间投资，支持社会力量举办规范的康复、护理和社区养老机构，满足多方位、多层面养老需求。推进镇级敬老院改造提升工程。</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rPr>
      </w:pPr>
      <w:bookmarkStart w:id="87" w:name="_Toc27280"/>
      <w:bookmarkStart w:id="88" w:name="_Toc70606313"/>
      <w:bookmarkStart w:id="89" w:name="_Toc17955"/>
      <w:r>
        <w:rPr>
          <w:rFonts w:hint="eastAsia" w:ascii="黑体" w:hAnsi="黑体" w:eastAsia="黑体" w:cs="黑体"/>
          <w:b w:val="0"/>
          <w:bCs w:val="0"/>
          <w:color w:val="0C0C0C"/>
          <w:kern w:val="0"/>
          <w:sz w:val="32"/>
          <w:szCs w:val="32"/>
        </w:rPr>
        <w:t>六、促进残疾人健康</w:t>
      </w:r>
      <w:bookmarkEnd w:id="87"/>
      <w:bookmarkEnd w:id="88"/>
      <w:bookmarkEnd w:id="89"/>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开展防盲治盲工作，推动实施全面的眼健康。做好防聋治聋工作，提升耳与听力健康水平。健全综合医院、康复医院、基层医疗卫生机构三级康复医疗服务体系。健全残疾儿童首诊报告制度，建立残疾预防综合信息共享平台。将残疾人健康管理纳入基本公共卫生服务体系，推进残疾人家庭医生签约服务，并对残疾优抚对象优先推进。落实《广东省扶助残疾人办法》中规定对残疾人的医疗扶助措施。促进残疾人社区康复，支持残疾人主动康复、互助康复。加强残疾人辅助器具适配服务，支持医疗、康复机构开展辅助器具适配服务。到2025年，残疾人基本康复服务率与残疾人扶助器具适配率达到85%。</w:t>
      </w:r>
    </w:p>
    <w:p>
      <w:pPr>
        <w:pStyle w:val="2"/>
        <w:rPr>
          <w:rFonts w:hint="eastAsia" w:ascii="仿宋_GB2312" w:hAnsi="仿宋_GB2312" w:eastAsia="仿宋_GB2312" w:cs="仿宋_GB2312"/>
          <w:b w:val="0"/>
          <w:bCs w:val="0"/>
          <w:color w:val="0C0C0C"/>
          <w:kern w:val="0"/>
          <w:sz w:val="32"/>
          <w:szCs w:val="32"/>
          <w:lang w:val="en-US" w:eastAsia="zh-CN" w:bidi="ar-SA"/>
        </w:rPr>
      </w:pPr>
    </w:p>
    <w:p>
      <w:pPr>
        <w:rPr>
          <w:rFonts w:hint="eastAsia" w:ascii="仿宋_GB2312" w:hAnsi="仿宋_GB2312" w:eastAsia="仿宋_GB2312" w:cs="仿宋_GB2312"/>
          <w:b w:val="0"/>
          <w:bCs w:val="0"/>
          <w:color w:val="0C0C0C"/>
          <w:kern w:val="0"/>
          <w:sz w:val="32"/>
          <w:szCs w:val="32"/>
          <w:lang w:val="en-US" w:eastAsia="zh-CN" w:bidi="ar-SA"/>
        </w:rPr>
      </w:pPr>
    </w:p>
    <w:p>
      <w:pPr>
        <w:pStyle w:val="2"/>
        <w:ind w:left="0" w:leftChars="0" w:firstLine="0" w:firstLineChars="0"/>
        <w:rPr>
          <w:rFonts w:hint="eastAsia"/>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22" w:type="dxa"/>
            <w:noWrap w:val="0"/>
            <w:vAlign w:val="center"/>
          </w:tcPr>
          <w:p>
            <w:pPr>
              <w:spacing w:line="400" w:lineRule="exact"/>
              <w:jc w:val="center"/>
              <w:rPr>
                <w:rFonts w:hint="eastAsia" w:ascii="仿宋_GB2312" w:hAnsi="仿宋_GB2312" w:eastAsia="仿宋_GB2312" w:cs="仿宋_GB2312"/>
                <w:bCs/>
                <w:sz w:val="28"/>
                <w:szCs w:val="28"/>
              </w:rPr>
            </w:pPr>
            <w:r>
              <w:rPr>
                <w:rFonts w:hint="eastAsia" w:asciiTheme="majorEastAsia" w:hAnsiTheme="majorEastAsia" w:eastAsiaTheme="majorEastAsia" w:cstheme="majorEastAsia"/>
                <w:b/>
                <w:bCs/>
                <w:sz w:val="28"/>
                <w:szCs w:val="28"/>
              </w:rPr>
              <w:t>专栏4 生命全周期健康保障项目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22" w:type="dxa"/>
            <w:noWrap w:val="0"/>
            <w:vAlign w:val="top"/>
          </w:tcPr>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1、</w:t>
            </w:r>
            <w:r>
              <w:rPr>
                <w:rFonts w:hint="eastAsia" w:ascii="宋体" w:hAnsi="宋体" w:eastAsia="宋体" w:cs="宋体"/>
                <w:b/>
                <w:color w:val="000000"/>
                <w:kern w:val="2"/>
                <w:sz w:val="24"/>
                <w:szCs w:val="24"/>
              </w:rPr>
              <w:t>妇幼健康保护工程</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实施消除艾滋病、梅毒和乙肝母婴传播项目，达到国家消除项目各项指标要求。继续实施城乡妇女宫颈癌、乳腺癌“两癌”免费检查项目，为全县35-64岁妇女提供免费“两癌”检查。实施出生缺陷综合防控项目，为群众提供出生缺陷全程综合防治服务。</w:t>
            </w:r>
          </w:p>
          <w:p>
            <w:pPr>
              <w:pStyle w:val="19"/>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宋体" w:hAnsi="宋体" w:eastAsia="宋体" w:cs="宋体"/>
                <w:b/>
                <w:bCs w:val="0"/>
                <w:color w:val="000000"/>
                <w:kern w:val="2"/>
                <w:sz w:val="24"/>
                <w:szCs w:val="24"/>
                <w:lang w:val="en-US" w:eastAsia="zh-CN"/>
              </w:rPr>
            </w:pPr>
            <w:r>
              <w:rPr>
                <w:rFonts w:hint="eastAsia" w:ascii="宋体" w:hAnsi="宋体" w:eastAsia="宋体" w:cs="宋体"/>
                <w:b/>
                <w:bCs w:val="0"/>
                <w:color w:val="000000"/>
                <w:kern w:val="2"/>
                <w:sz w:val="24"/>
                <w:szCs w:val="24"/>
                <w:lang w:val="en-US" w:eastAsia="zh-CN"/>
              </w:rPr>
              <w:t>一老一小照护服务项目</w:t>
            </w:r>
          </w:p>
          <w:p>
            <w:pPr>
              <w:pStyle w:val="1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仿宋_GB2312" w:hAnsi="仿宋_GB2312" w:cs="仿宋_GB2312"/>
                <w:bCs/>
                <w:color w:val="000000"/>
                <w:kern w:val="2"/>
                <w:sz w:val="28"/>
                <w:szCs w:val="28"/>
              </w:rPr>
            </w:pPr>
            <w:r>
              <w:rPr>
                <w:rFonts w:hint="eastAsia" w:ascii="宋体" w:hAnsi="宋体" w:eastAsia="宋体" w:cs="宋体"/>
                <w:sz w:val="24"/>
                <w:szCs w:val="24"/>
              </w:rPr>
              <w:t>开展一老一小照护服务从业人员职业技能培训。</w:t>
            </w:r>
            <w:r>
              <w:rPr>
                <w:rFonts w:hint="eastAsia" w:ascii="宋体" w:hAnsi="宋体" w:eastAsia="宋体" w:cs="宋体"/>
                <w:bCs/>
                <w:color w:val="000000"/>
                <w:kern w:val="2"/>
                <w:sz w:val="24"/>
                <w:szCs w:val="24"/>
              </w:rPr>
              <w:t>到2025年，县</w:t>
            </w:r>
            <w:r>
              <w:rPr>
                <w:rFonts w:hint="eastAsia" w:ascii="宋体" w:hAnsi="宋体" w:eastAsia="宋体" w:cs="宋体"/>
                <w:bCs/>
                <w:color w:val="000000"/>
                <w:kern w:val="2"/>
                <w:sz w:val="24"/>
                <w:szCs w:val="24"/>
                <w:lang w:eastAsia="zh-CN"/>
              </w:rPr>
              <w:t>内</w:t>
            </w:r>
            <w:r>
              <w:rPr>
                <w:rFonts w:hint="eastAsia" w:ascii="宋体" w:hAnsi="宋体" w:eastAsia="宋体" w:cs="宋体"/>
                <w:bCs/>
                <w:color w:val="000000"/>
                <w:kern w:val="2"/>
                <w:sz w:val="24"/>
                <w:szCs w:val="24"/>
              </w:rPr>
              <w:t>至少建成1家具有带动效应、承担一定指导功能的示范性婴幼儿照护服务机构。</w:t>
            </w:r>
            <w:r>
              <w:rPr>
                <w:rFonts w:hint="eastAsia" w:ascii="宋体" w:hAnsi="宋体" w:eastAsia="宋体" w:cs="宋体"/>
                <w:bCs/>
                <w:color w:val="000000"/>
                <w:kern w:val="2"/>
                <w:sz w:val="24"/>
                <w:szCs w:val="24"/>
                <w:lang w:eastAsia="zh-CN"/>
              </w:rPr>
              <w:t>推进</w:t>
            </w:r>
            <w:r>
              <w:rPr>
                <w:rFonts w:hint="eastAsia" w:ascii="宋体" w:hAnsi="宋体" w:eastAsia="宋体" w:cs="宋体"/>
                <w:bCs/>
                <w:color w:val="000000"/>
                <w:kern w:val="2"/>
                <w:sz w:val="24"/>
                <w:szCs w:val="24"/>
                <w:lang w:val="en-US" w:eastAsia="zh-CN"/>
              </w:rPr>
              <w:t>水唇镇老年人养护院项目建设。</w:t>
            </w:r>
          </w:p>
        </w:tc>
      </w:tr>
    </w:tbl>
    <w:p>
      <w:pPr>
        <w:keepNext w:val="0"/>
        <w:keepLines w:val="0"/>
        <w:pageBreakBefore w:val="0"/>
        <w:tabs>
          <w:tab w:val="left" w:pos="2744"/>
        </w:tabs>
        <w:kinsoku/>
        <w:wordWrap/>
        <w:overflowPunct/>
        <w:topLinePunct w:val="0"/>
        <w:autoSpaceDE/>
        <w:autoSpaceDN/>
        <w:bidi w:val="0"/>
        <w:adjustRightInd/>
        <w:snapToGrid/>
        <w:spacing w:line="580" w:lineRule="exact"/>
        <w:ind w:right="-315" w:rightChars="-150"/>
        <w:jc w:val="both"/>
        <w:textAlignment w:val="auto"/>
        <w:outlineLvl w:val="9"/>
        <w:rPr>
          <w:rFonts w:hint="eastAsia" w:ascii="楷体_GB2312" w:hAnsi="楷体_GB2312" w:eastAsia="楷体_GB2312" w:cs="楷体_GB2312"/>
          <w:bCs/>
          <w:sz w:val="32"/>
          <w:szCs w:val="32"/>
        </w:rPr>
      </w:pPr>
      <w:bookmarkStart w:id="90" w:name="_Toc64913599"/>
      <w:bookmarkStart w:id="91" w:name="_Toc12521"/>
      <w:bookmarkStart w:id="92" w:name="_Toc63690908"/>
      <w:bookmarkStart w:id="93" w:name="_Toc8631"/>
    </w:p>
    <w:p>
      <w:pPr>
        <w:keepNext w:val="0"/>
        <w:keepLines w:val="0"/>
        <w:pageBreakBefore w:val="0"/>
        <w:widowControl w:val="0"/>
        <w:numPr>
          <w:ilvl w:val="0"/>
          <w:numId w:val="0"/>
        </w:numPr>
        <w:tabs>
          <w:tab w:val="left" w:pos="2744"/>
        </w:tabs>
        <w:kinsoku/>
        <w:wordWrap/>
        <w:overflowPunct/>
        <w:topLinePunct w:val="0"/>
        <w:autoSpaceDE/>
        <w:autoSpaceDN/>
        <w:bidi w:val="0"/>
        <w:adjustRightInd/>
        <w:snapToGrid/>
        <w:spacing w:before="157" w:beforeLines="50" w:after="157" w:afterLines="50" w:line="560" w:lineRule="exact"/>
        <w:ind w:right="-315" w:rightChars="-150"/>
        <w:jc w:val="center"/>
        <w:textAlignment w:val="auto"/>
        <w:outlineLvl w:val="1"/>
        <w:rPr>
          <w:rFonts w:hint="eastAsia" w:ascii="黑体" w:hAnsi="黑体" w:eastAsia="黑体" w:cs="黑体"/>
          <w:b w:val="0"/>
          <w:bCs/>
          <w:sz w:val="32"/>
          <w:szCs w:val="32"/>
        </w:rPr>
      </w:pPr>
      <w:bookmarkStart w:id="94" w:name="_Toc2944"/>
      <w:bookmarkStart w:id="95" w:name="_Toc365"/>
      <w:r>
        <w:rPr>
          <w:rFonts w:hint="eastAsia" w:ascii="黑体" w:hAnsi="黑体" w:eastAsia="黑体" w:cs="黑体"/>
          <w:b w:val="0"/>
          <w:bCs/>
          <w:sz w:val="32"/>
          <w:szCs w:val="32"/>
          <w:lang w:eastAsia="zh-CN"/>
        </w:rPr>
        <w:t>第五节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持续深化医药卫生体制改革</w:t>
      </w:r>
      <w:bookmarkEnd w:id="90"/>
      <w:bookmarkEnd w:id="91"/>
      <w:bookmarkEnd w:id="94"/>
      <w:bookmarkEnd w:id="95"/>
    </w:p>
    <w:bookmarkEnd w:id="92"/>
    <w:bookmarkEnd w:id="93"/>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rPr>
      </w:pPr>
      <w:bookmarkStart w:id="96" w:name="_Toc26559"/>
      <w:bookmarkStart w:id="97" w:name="_Toc63690909"/>
      <w:bookmarkStart w:id="98" w:name="_Toc64913600"/>
      <w:bookmarkStart w:id="99" w:name="_Toc14945"/>
      <w:bookmarkStart w:id="100" w:name="_Toc13146"/>
      <w:r>
        <w:rPr>
          <w:rFonts w:hint="eastAsia" w:ascii="黑体" w:hAnsi="黑体" w:eastAsia="黑体" w:cs="黑体"/>
          <w:b w:val="0"/>
          <w:bCs w:val="0"/>
          <w:color w:val="0C0C0C"/>
          <w:kern w:val="0"/>
          <w:sz w:val="32"/>
          <w:szCs w:val="32"/>
        </w:rPr>
        <w:t>一、建立完善分级诊疗</w:t>
      </w:r>
      <w:bookmarkEnd w:id="96"/>
      <w:r>
        <w:rPr>
          <w:rFonts w:hint="eastAsia" w:ascii="黑体" w:hAnsi="黑体" w:eastAsia="黑体" w:cs="黑体"/>
          <w:b w:val="0"/>
          <w:bCs w:val="0"/>
          <w:color w:val="0C0C0C"/>
          <w:kern w:val="0"/>
          <w:sz w:val="32"/>
          <w:szCs w:val="32"/>
        </w:rPr>
        <w:t>制度</w:t>
      </w:r>
      <w:bookmarkEnd w:id="97"/>
      <w:bookmarkEnd w:id="98"/>
      <w:bookmarkEnd w:id="99"/>
      <w:bookmarkEnd w:id="100"/>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推进以家庭医生签约服务为基础、县域医共体为平台的分级诊疗体系建设。落实《陆河县加强紧密型县域医疗卫生共同体建设实施方案》，进一步促进县级医院与乡镇卫生院融合、医疗与预防整合、医疗与医保结合，促进形成基层首诊、分级诊疗、上下联动的就医秩序。以薄弱地区为重点、以紧密型医共体为抓手，大力提升基层医疗服务能力，逐步实现分级诊疗。通过人才、技术、资源等下沉，逐级帮扶带动镇、村两级医疗卫生机构发展，实现县域医共体服务能力的整体提升。探索县域医共体人事制度、薪酬制度、医保支付方式改革，形成医疗联合体内部的分工协作和利益分配机制，推动优质医疗资源和居民就医“双下沉”，实现基层服务能力和医疗服务体系宏观效率“双提升”。到2025年，基层医疗卫生机构诊疗量占总诊疗量比例达到75%以上，全面实施家庭医生签约服务制度。</w:t>
      </w:r>
      <w:bookmarkStart w:id="101" w:name="_Toc2701"/>
      <w:bookmarkStart w:id="102" w:name="_Toc70606316"/>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rPr>
          <w:rFonts w:hint="eastAsia" w:ascii="黑体" w:hAnsi="黑体" w:eastAsia="黑体" w:cs="黑体"/>
          <w:b w:val="0"/>
          <w:bCs w:val="0"/>
          <w:color w:val="0C0C0C"/>
          <w:kern w:val="0"/>
          <w:sz w:val="32"/>
          <w:szCs w:val="32"/>
        </w:rPr>
      </w:pPr>
      <w:r>
        <w:rPr>
          <w:rFonts w:hint="eastAsia" w:ascii="黑体" w:hAnsi="黑体" w:eastAsia="黑体" w:cs="黑体"/>
          <w:b w:val="0"/>
          <w:bCs w:val="0"/>
          <w:color w:val="0C0C0C"/>
          <w:kern w:val="0"/>
          <w:sz w:val="32"/>
          <w:szCs w:val="32"/>
        </w:rPr>
        <w:t>二、推动公立医院高质量发展</w:t>
      </w:r>
      <w:bookmarkEnd w:id="101"/>
      <w:bookmarkEnd w:id="102"/>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bookmarkStart w:id="103" w:name="_Toc78211934"/>
      <w:bookmarkStart w:id="104" w:name="_Toc78211174"/>
      <w:bookmarkStart w:id="105" w:name="_Toc27266"/>
      <w:bookmarkStart w:id="106" w:name="_Toc13767"/>
      <w:r>
        <w:rPr>
          <w:rFonts w:hint="eastAsia" w:ascii="仿宋_GB2312" w:hAnsi="仿宋_GB2312" w:eastAsia="仿宋_GB2312" w:cs="仿宋_GB2312"/>
          <w:b w:val="0"/>
          <w:bCs w:val="0"/>
          <w:color w:val="0C0C0C"/>
          <w:kern w:val="0"/>
          <w:sz w:val="32"/>
          <w:szCs w:val="32"/>
          <w:lang w:val="en-US" w:eastAsia="zh-CN" w:bidi="ar-SA"/>
        </w:rPr>
        <w:t>坚持政府主导，</w:t>
      </w:r>
      <w:bookmarkEnd w:id="103"/>
      <w:bookmarkEnd w:id="104"/>
      <w:r>
        <w:rPr>
          <w:rFonts w:hint="eastAsia" w:ascii="仿宋_GB2312" w:hAnsi="仿宋_GB2312" w:eastAsia="仿宋_GB2312" w:cs="仿宋_GB2312"/>
          <w:b w:val="0"/>
          <w:bCs w:val="0"/>
          <w:color w:val="0C0C0C"/>
          <w:kern w:val="0"/>
          <w:sz w:val="32"/>
          <w:szCs w:val="32"/>
          <w:lang w:val="en-US" w:eastAsia="zh-CN" w:bidi="ar-SA"/>
        </w:rPr>
        <w:t>加强公立医院主体地位，坚持医防融合、平急结合、中西医并重，以建立健全现代医院管理制度为目标，强化体系创新、技术创新、模式创新、管理创新，加快优质医疗资源扩容和区域均衡布局。加强临床专科建设，推进医学技术和服务模式创新，强化信息化支撑作用。健全运营管理体系，加强全面预算管理，完善内部控制制度，健全绩效评价机制。改革公立医院人事管理制度、薪酬分配制度，健全医务人员培养评价制度。强化患者需求导向，建设特色鲜明的医院文化，关心关爱医务人员。坚持和加强党对公立医院的全面领导。力争通过5年努力，公立医院发展方式从规模扩张转向提质增效，运行模式从粗放管理转向精细化管理，资源配置从注重物质要素转向更加注重人才技术要素。</w:t>
      </w:r>
      <w:bookmarkEnd w:id="105"/>
      <w:bookmarkStart w:id="107" w:name="_Toc63690911"/>
      <w:bookmarkStart w:id="108" w:name="_Toc70606317"/>
      <w:bookmarkStart w:id="109" w:name="_Toc13952"/>
      <w:bookmarkStart w:id="110" w:name="_Toc9339"/>
      <w:r>
        <w:rPr>
          <w:rFonts w:hint="eastAsia" w:ascii="仿宋_GB2312" w:hAnsi="仿宋_GB2312" w:eastAsia="仿宋_GB2312" w:cs="仿宋_GB2312"/>
          <w:b w:val="0"/>
          <w:bCs w:val="0"/>
          <w:color w:val="0C0C0C"/>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color w:val="0C0C0C"/>
          <w:kern w:val="0"/>
          <w:sz w:val="32"/>
          <w:szCs w:val="32"/>
        </w:rPr>
      </w:pPr>
      <w:r>
        <w:rPr>
          <w:rFonts w:hint="eastAsia" w:ascii="黑体" w:hAnsi="黑体" w:eastAsia="黑体" w:cs="黑体"/>
          <w:b w:val="0"/>
          <w:bCs w:val="0"/>
          <w:color w:val="0C0C0C"/>
          <w:kern w:val="0"/>
          <w:sz w:val="32"/>
          <w:szCs w:val="32"/>
        </w:rPr>
        <w:t>三、</w:t>
      </w:r>
      <w:bookmarkEnd w:id="107"/>
      <w:r>
        <w:rPr>
          <w:rFonts w:hint="eastAsia" w:ascii="黑体" w:hAnsi="黑体" w:eastAsia="黑体" w:cs="黑体"/>
          <w:b w:val="0"/>
          <w:bCs w:val="0"/>
          <w:color w:val="0C0C0C"/>
          <w:kern w:val="0"/>
          <w:sz w:val="32"/>
          <w:szCs w:val="32"/>
        </w:rPr>
        <w:t>强化“三医联动”和系统集成改革</w:t>
      </w:r>
      <w:bookmarkEnd w:id="108"/>
      <w:bookmarkEnd w:id="109"/>
      <w:bookmarkEnd w:id="110"/>
    </w:p>
    <w:bookmarkEnd w:id="106"/>
    <w:p>
      <w:pPr>
        <w:pStyle w:val="20"/>
        <w:keepNext w:val="0"/>
        <w:keepLines w:val="0"/>
        <w:pageBreakBefore w:val="0"/>
        <w:widowControl w:val="0"/>
        <w:tabs>
          <w:tab w:val="left" w:pos="0"/>
        </w:tabs>
        <w:kinsoku/>
        <w:wordWrap/>
        <w:overflowPunct w:val="0"/>
        <w:topLinePunct w:val="0"/>
        <w:autoSpaceDE/>
        <w:autoSpaceDN/>
        <w:bidi w:val="0"/>
        <w:adjustRightInd w:val="0"/>
        <w:snapToGrid w:val="0"/>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bookmarkStart w:id="111" w:name="_Toc379"/>
      <w:r>
        <w:rPr>
          <w:rFonts w:hint="eastAsia" w:ascii="仿宋_GB2312" w:hAnsi="仿宋_GB2312" w:eastAsia="仿宋_GB2312" w:cs="仿宋_GB2312"/>
          <w:b/>
          <w:bCs/>
          <w:sz w:val="32"/>
          <w:szCs w:val="32"/>
        </w:rPr>
        <w:t>推进医疗保障和医药服务相互协同。</w:t>
      </w:r>
      <w:r>
        <w:rPr>
          <w:rFonts w:hint="eastAsia" w:ascii="仿宋_GB2312" w:hAnsi="仿宋_GB2312" w:eastAsia="仿宋_GB2312" w:cs="仿宋_GB2312"/>
          <w:b w:val="0"/>
          <w:bCs w:val="0"/>
          <w:color w:val="0C0C0C"/>
          <w:kern w:val="0"/>
          <w:sz w:val="32"/>
          <w:szCs w:val="32"/>
          <w:lang w:val="en-US" w:eastAsia="zh-CN" w:bidi="ar-SA"/>
        </w:rPr>
        <w:t>落实多元复合式医保支付方式。积极争取医保支持，探索对紧密型县域医共体等纵向合作服务模式实行医保基金总额付费、结余留用合理超支分担等激励约束机制。落实异地就医直接结算服务，推进门诊异地就医和门诊特定病种直接结算。提升重大疾病医疗保险和救助水平，探索建立重大疫情特殊群体、特定疾病医药费豁免制度。按要求落实长期护理保险制度。</w:t>
      </w:r>
    </w:p>
    <w:p>
      <w:pPr>
        <w:pStyle w:val="20"/>
        <w:keepNext w:val="0"/>
        <w:keepLines w:val="0"/>
        <w:pageBreakBefore w:val="0"/>
        <w:widowControl w:val="0"/>
        <w:tabs>
          <w:tab w:val="left" w:pos="0"/>
        </w:tabs>
        <w:kinsoku/>
        <w:wordWrap/>
        <w:overflowPunct w:val="0"/>
        <w:topLinePunct w:val="0"/>
        <w:autoSpaceDE/>
        <w:autoSpaceDN/>
        <w:bidi w:val="0"/>
        <w:adjustRightInd w:val="0"/>
        <w:snapToGrid w:val="0"/>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sz w:val="32"/>
          <w:szCs w:val="32"/>
        </w:rPr>
        <w:t>完善药品供应保障体系。</w:t>
      </w:r>
      <w:r>
        <w:rPr>
          <w:rFonts w:hint="eastAsia" w:ascii="仿宋_GB2312" w:hAnsi="仿宋_GB2312" w:eastAsia="仿宋_GB2312" w:cs="仿宋_GB2312"/>
          <w:b w:val="0"/>
          <w:bCs w:val="0"/>
          <w:color w:val="0C0C0C"/>
          <w:kern w:val="0"/>
          <w:sz w:val="32"/>
          <w:szCs w:val="32"/>
          <w:lang w:val="en-US" w:eastAsia="zh-CN" w:bidi="ar-SA"/>
        </w:rPr>
        <w:t>促进公立医疗机构基本药物优先配备使用和合理用药，提升基本药物使用占比，促进科学合理用药。鼓励医共体建立药品联动管理机制，促进上下级用药衔接。推进落实国家组织药品和耗材集中采购和使用工作，畅通中选品种进院渠道，将医疗机构执行国家组织药品和耗材集中采购使用情况纳入年度考核评价体系。对老年人和高血压、糖尿病、严重精神障碍等慢性病病人实施基本药物免费或定额付费政策。完善短缺药品监测预警和分级应对机制，加强罕见病治疗药品等供应保障。保障儿童等特殊人群用药。推进传染病治疗短缺药品供应保障。</w:t>
      </w:r>
    </w:p>
    <w:p>
      <w:pPr>
        <w:pStyle w:val="20"/>
        <w:keepNext w:val="0"/>
        <w:keepLines w:val="0"/>
        <w:pageBreakBefore w:val="0"/>
        <w:widowControl w:val="0"/>
        <w:tabs>
          <w:tab w:val="left" w:pos="0"/>
        </w:tabs>
        <w:kinsoku/>
        <w:wordWrap/>
        <w:overflowPunct w:val="0"/>
        <w:topLinePunct w:val="0"/>
        <w:autoSpaceDE/>
        <w:autoSpaceDN/>
        <w:bidi w:val="0"/>
        <w:adjustRightInd w:val="0"/>
        <w:snapToGrid w:val="0"/>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sz w:val="32"/>
          <w:szCs w:val="32"/>
        </w:rPr>
        <w:t>统筹推进医疗服务价格改革。</w:t>
      </w:r>
      <w:r>
        <w:rPr>
          <w:rFonts w:hint="eastAsia" w:ascii="仿宋_GB2312" w:hAnsi="仿宋_GB2312" w:eastAsia="仿宋_GB2312" w:cs="仿宋_GB2312"/>
          <w:b w:val="0"/>
          <w:bCs w:val="0"/>
          <w:color w:val="0C0C0C"/>
          <w:kern w:val="0"/>
          <w:sz w:val="32"/>
          <w:szCs w:val="32"/>
          <w:lang w:val="en-US" w:eastAsia="zh-CN" w:bidi="ar-SA"/>
        </w:rPr>
        <w:t>落实以临床价值为导向，健全体现医务人员技术劳务价值的医疗服务价格形成机制，调控医疗服务价格总体水平。优化公立医院收入结构，提高医疗服务收入占医疗收入的比例。</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outlineLvl w:val="2"/>
        <w:rPr>
          <w:rFonts w:hint="eastAsia" w:ascii="黑体" w:hAnsi="黑体" w:eastAsia="黑体" w:cs="黑体"/>
          <w:b w:val="0"/>
          <w:bCs w:val="0"/>
          <w:color w:val="0C0C0C"/>
          <w:kern w:val="0"/>
          <w:sz w:val="32"/>
          <w:szCs w:val="32"/>
        </w:rPr>
      </w:pPr>
      <w:bookmarkStart w:id="112" w:name="_Toc63690912"/>
      <w:bookmarkStart w:id="113" w:name="_Toc30384"/>
      <w:bookmarkStart w:id="114" w:name="_Toc15606"/>
      <w:bookmarkStart w:id="115" w:name="_Toc70606318"/>
      <w:r>
        <w:rPr>
          <w:rFonts w:hint="eastAsia" w:ascii="黑体" w:hAnsi="黑体" w:eastAsia="黑体" w:cs="黑体"/>
          <w:b w:val="0"/>
          <w:bCs w:val="0"/>
          <w:color w:val="0C0C0C"/>
          <w:kern w:val="0"/>
          <w:sz w:val="32"/>
          <w:szCs w:val="32"/>
        </w:rPr>
        <w:t>四、</w:t>
      </w:r>
      <w:bookmarkEnd w:id="111"/>
      <w:bookmarkEnd w:id="112"/>
      <w:r>
        <w:rPr>
          <w:rFonts w:hint="eastAsia" w:ascii="黑体" w:hAnsi="黑体" w:eastAsia="黑体" w:cs="黑体"/>
          <w:b w:val="0"/>
          <w:bCs w:val="0"/>
          <w:sz w:val="32"/>
          <w:szCs w:val="32"/>
        </w:rPr>
        <w:t>健全医疗卫生综合监管制度</w:t>
      </w:r>
      <w:bookmarkEnd w:id="113"/>
      <w:bookmarkEnd w:id="114"/>
      <w:bookmarkEnd w:id="115"/>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3"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bCs/>
          <w:sz w:val="32"/>
          <w:szCs w:val="32"/>
        </w:rPr>
        <w:t>强化卫生监督执法。</w:t>
      </w:r>
      <w:r>
        <w:rPr>
          <w:rFonts w:hint="eastAsia" w:ascii="仿宋_GB2312" w:hAnsi="仿宋_GB2312" w:eastAsia="仿宋_GB2312" w:cs="仿宋_GB2312"/>
          <w:b w:val="0"/>
          <w:bCs w:val="0"/>
          <w:color w:val="0C0C0C"/>
          <w:kern w:val="0"/>
          <w:sz w:val="32"/>
          <w:szCs w:val="32"/>
          <w:lang w:val="en-US" w:eastAsia="zh-CN" w:bidi="ar-SA"/>
        </w:rPr>
        <w:t>明确监督主体，推动形成机构自治，行业自律、政府监督、社会监督相结合的多元自理格局。完善卫生监督执法体系，创新综合监管方式，加强传染病防控等重点领域监督执法，大力开展专项整治等“蓝盾”行动。深入实施“双随机一公开”监督检查，全面建立监管对象信用记录，开展公共信用综合评价，大力推进信用分级分类监管，强化联合惩戒。抓好公共场所、生活饮用水、消毒产品及生产企业监管，抓好学校卫生、职业健康等监督工作。深入开展打击非法代孕、非法行医等专项行动，大力整治医疗美容、健康体检、采供血等违法违规行为。加强对安宁疗护、家庭病床、互联网医疗等新兴医疗卫生服务监管。提升行业大数据监管、协同监管和诚信监管水平。组织开展医疗行业监管专项治理活动，坚决严厉打击、从重查处无资质执业、超范围经营、强迫消费、欺诈医疗等违规违法行为，全面净化医疗市场秩序。</w:t>
      </w:r>
      <w:bookmarkStart w:id="116" w:name="_Toc20794"/>
      <w:bookmarkStart w:id="117" w:name="_Toc2069"/>
      <w:bookmarkStart w:id="118" w:name="_Toc11452"/>
      <w:r>
        <w:rPr>
          <w:rFonts w:hint="eastAsia" w:ascii="仿宋_GB2312" w:hAnsi="仿宋_GB2312" w:eastAsia="仿宋_GB2312" w:cs="仿宋_GB2312"/>
          <w:b w:val="0"/>
          <w:bCs w:val="0"/>
          <w:color w:val="0C0C0C"/>
          <w:kern w:val="0"/>
          <w:sz w:val="32"/>
          <w:szCs w:val="32"/>
          <w:lang w:val="en-US" w:eastAsia="zh-CN" w:bidi="ar-SA"/>
        </w:rPr>
        <w:t>推动卫生健康信用体系建设，健全社会监督机制，组织开展医疗行业监管专项治理行动，扎实抓好以案促管工作，全面净化医疗市场秩序。</w:t>
      </w:r>
      <w:bookmarkEnd w:id="116"/>
      <w:bookmarkEnd w:id="117"/>
      <w:bookmarkEnd w:id="118"/>
    </w:p>
    <w:p>
      <w:pPr>
        <w:rPr>
          <w:rFonts w:hint="eastAsia"/>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60" w:type="dxa"/>
            <w:noWrap w:val="0"/>
            <w:vAlign w:val="center"/>
          </w:tcPr>
          <w:p>
            <w:pPr>
              <w:spacing w:line="580" w:lineRule="exact"/>
              <w:jc w:val="center"/>
              <w:rPr>
                <w:rFonts w:eastAsia="方正小标宋简体"/>
                <w:bCs/>
                <w:color w:val="000000"/>
                <w:szCs w:val="21"/>
              </w:rPr>
            </w:pPr>
            <w:r>
              <w:rPr>
                <w:rFonts w:hint="eastAsia" w:asciiTheme="majorEastAsia" w:hAnsiTheme="majorEastAsia" w:eastAsiaTheme="majorEastAsia" w:cstheme="majorEastAsia"/>
                <w:b/>
                <w:bCs/>
                <w:color w:val="000000"/>
                <w:sz w:val="28"/>
                <w:szCs w:val="28"/>
              </w:rPr>
              <w:t>专栏5深化医改项目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0" w:type="dxa"/>
            <w:noWrap w:val="0"/>
            <w:vAlign w:val="top"/>
          </w:tcPr>
          <w:p>
            <w:pPr>
              <w:pStyle w:val="19"/>
              <w:keepNext w:val="0"/>
              <w:keepLines w:val="0"/>
              <w:pageBreakBefore w:val="0"/>
              <w:widowControl/>
              <w:kinsoku/>
              <w:wordWrap/>
              <w:overflowPunct/>
              <w:topLinePunct w:val="0"/>
              <w:autoSpaceDE/>
              <w:autoSpaceDN/>
              <w:bidi w:val="0"/>
              <w:spacing w:beforeAutospacing="0" w:afterAutospacing="0" w:line="360" w:lineRule="auto"/>
              <w:ind w:firstLine="422"/>
              <w:jc w:val="both"/>
              <w:textAlignment w:val="auto"/>
              <w:rPr>
                <w:rFonts w:hint="default" w:eastAsia="宋体" w:cs="宋体" w:asciiTheme="minorAscii" w:hAnsiTheme="minorAscii"/>
                <w:color w:val="000000"/>
                <w:kern w:val="2"/>
                <w:sz w:val="24"/>
                <w:szCs w:val="24"/>
              </w:rPr>
            </w:pPr>
            <w:r>
              <w:rPr>
                <w:rFonts w:hint="default" w:eastAsia="宋体" w:cs="宋体" w:asciiTheme="minorAscii" w:hAnsiTheme="minorAscii"/>
                <w:b/>
                <w:bCs/>
                <w:color w:val="000000"/>
                <w:kern w:val="2"/>
                <w:sz w:val="24"/>
                <w:szCs w:val="24"/>
              </w:rPr>
              <w:t>1.卫生综合监督执法能力提升工程</w:t>
            </w:r>
            <w:r>
              <w:rPr>
                <w:rFonts w:hint="default" w:eastAsia="宋体" w:cs="宋体" w:asciiTheme="minorAscii" w:hAnsiTheme="minorAscii"/>
                <w:color w:val="000000"/>
                <w:kern w:val="2"/>
                <w:sz w:val="24"/>
                <w:szCs w:val="24"/>
              </w:rPr>
              <w:t>。加强卫生监督执法机构规范化建设，改善卫生监督执法机构办案办公条件，补充执法设备，提升卫生监督执法能力。建立完善卫生监督执法信息系统，实施封闭公共场所、职业尘毒危害、医疗机构放射、学校采光照明、生活饮用水、餐具饮具集中消毒等10类在线监控工程。推进县级综合监管平台建设，实现医疗卫生行业智慧化监管。</w:t>
            </w:r>
          </w:p>
          <w:p>
            <w:pPr>
              <w:pStyle w:val="20"/>
              <w:keepNext w:val="0"/>
              <w:keepLines w:val="0"/>
              <w:pageBreakBefore w:val="0"/>
              <w:pBdr>
                <w:top w:val="none" w:color="000000" w:sz="0" w:space="0"/>
                <w:left w:val="none" w:color="000000" w:sz="0" w:space="0"/>
                <w:bottom w:val="none" w:color="000000" w:sz="0" w:space="23"/>
                <w:right w:val="none" w:color="000000" w:sz="0" w:space="0"/>
              </w:pBdr>
              <w:tabs>
                <w:tab w:val="left" w:pos="0"/>
                <w:tab w:val="left" w:pos="3225"/>
              </w:tabs>
              <w:kinsoku/>
              <w:wordWrap/>
              <w:overflowPunct/>
              <w:topLinePunct w:val="0"/>
              <w:autoSpaceDE/>
              <w:autoSpaceDN/>
              <w:bidi w:val="0"/>
              <w:adjustRightInd w:val="0"/>
              <w:snapToGrid w:val="0"/>
              <w:spacing w:line="360" w:lineRule="auto"/>
              <w:ind w:firstLine="482" w:firstLineChars="200"/>
              <w:textAlignment w:val="auto"/>
              <w:rPr>
                <w:rFonts w:hint="default" w:eastAsia="宋体" w:cs="宋体" w:asciiTheme="minorAscii" w:hAnsiTheme="minorAscii"/>
                <w:color w:val="000000"/>
                <w:kern w:val="2"/>
                <w:sz w:val="24"/>
                <w:szCs w:val="24"/>
              </w:rPr>
            </w:pPr>
            <w:r>
              <w:rPr>
                <w:rFonts w:hint="default" w:eastAsia="宋体" w:cs="宋体" w:asciiTheme="minorAscii" w:hAnsiTheme="minorAscii"/>
                <w:b/>
                <w:color w:val="000000"/>
                <w:sz w:val="24"/>
                <w:szCs w:val="24"/>
              </w:rPr>
              <w:t>2.药事管理服务改革项目。</w:t>
            </w:r>
            <w:r>
              <w:rPr>
                <w:rFonts w:hint="default" w:eastAsia="宋体" w:cs="宋体" w:asciiTheme="minorAscii" w:hAnsiTheme="minorAscii"/>
                <w:color w:val="000000"/>
                <w:kern w:val="2"/>
                <w:sz w:val="24"/>
                <w:szCs w:val="24"/>
              </w:rPr>
              <w:t>积极开展主动监测与前瞻性评价工作。依托全民健康信息综合管理平台，加强抗菌药物临床使用、感染性疾病、细菌耐药、真菌病等监测，形成“四网联动”，构建多学科协作体系。建立健全远程处方审核机制，依据远程医疗平台，面向基层医疗卫生机构开展远程集中处方前置审核、远程药学会诊等，实施“AI药师”工程，提升基层药师能力。</w:t>
            </w:r>
          </w:p>
          <w:p>
            <w:pPr>
              <w:pStyle w:val="20"/>
              <w:keepNext w:val="0"/>
              <w:keepLines w:val="0"/>
              <w:pageBreakBefore w:val="0"/>
              <w:pBdr>
                <w:top w:val="none" w:color="000000" w:sz="0" w:space="0"/>
                <w:left w:val="none" w:color="000000" w:sz="0" w:space="0"/>
                <w:bottom w:val="none" w:color="000000" w:sz="0" w:space="23"/>
                <w:right w:val="none" w:color="000000" w:sz="0" w:space="0"/>
              </w:pBdr>
              <w:tabs>
                <w:tab w:val="left" w:pos="0"/>
                <w:tab w:val="left" w:pos="3225"/>
              </w:tabs>
              <w:kinsoku/>
              <w:wordWrap/>
              <w:overflowPunct/>
              <w:topLinePunct w:val="0"/>
              <w:autoSpaceDE/>
              <w:autoSpaceDN/>
              <w:bidi w:val="0"/>
              <w:adjustRightInd w:val="0"/>
              <w:snapToGrid w:val="0"/>
              <w:spacing w:line="360" w:lineRule="auto"/>
              <w:ind w:firstLine="482" w:firstLineChars="200"/>
              <w:textAlignment w:val="auto"/>
              <w:rPr>
                <w:rFonts w:hint="default" w:eastAsia="宋体" w:cs="宋体" w:asciiTheme="minorAscii" w:hAnsiTheme="minorAscii"/>
                <w:color w:val="000000"/>
                <w:kern w:val="2"/>
                <w:sz w:val="24"/>
                <w:szCs w:val="24"/>
              </w:rPr>
            </w:pPr>
            <w:r>
              <w:rPr>
                <w:rFonts w:hint="default" w:eastAsia="宋体" w:cs="宋体" w:asciiTheme="minorAscii" w:hAnsiTheme="minorAscii"/>
                <w:b/>
                <w:bCs/>
                <w:color w:val="000000"/>
                <w:kern w:val="2"/>
                <w:sz w:val="24"/>
                <w:szCs w:val="24"/>
                <w:lang w:val="en-US" w:eastAsia="zh-CN"/>
              </w:rPr>
              <w:t>3</w:t>
            </w:r>
            <w:r>
              <w:rPr>
                <w:rFonts w:hint="default" w:eastAsia="宋体" w:cs="宋体" w:asciiTheme="minorAscii" w:hAnsiTheme="minorAscii"/>
                <w:b/>
                <w:bCs/>
                <w:color w:val="000000"/>
                <w:kern w:val="2"/>
                <w:sz w:val="24"/>
                <w:szCs w:val="24"/>
              </w:rPr>
              <w:t>.县域医共体建设工程</w:t>
            </w:r>
            <w:r>
              <w:rPr>
                <w:rFonts w:hint="default" w:eastAsia="宋体" w:cs="宋体" w:asciiTheme="minorAscii" w:hAnsiTheme="minorAscii"/>
                <w:b/>
                <w:bCs/>
                <w:color w:val="000000"/>
                <w:kern w:val="2"/>
                <w:sz w:val="24"/>
                <w:szCs w:val="24"/>
                <w:lang w:eastAsia="zh-CN"/>
              </w:rPr>
              <w:t>。</w:t>
            </w:r>
            <w:r>
              <w:rPr>
                <w:rFonts w:hint="default" w:eastAsia="宋体" w:cs="宋体" w:asciiTheme="minorAscii" w:hAnsiTheme="minorAscii"/>
                <w:color w:val="000000"/>
                <w:kern w:val="2"/>
                <w:sz w:val="24"/>
                <w:szCs w:val="24"/>
              </w:rPr>
              <w:t>全力推进陆河县全面落实统一人事管理、统一财务管理、统一资产管理、统一业务管理、统一药品耗材目录、统一药品耗材企业配送的“六统一”管理。县域医共体紧密型达标率达到100%。强化政府主导的县域医共体外部治理和监管机制，市、县级政府充分下放用人权、管理权、内部分配权至县域医共体；加强绩效考核和效益评价，促进疾病预防、治疗、康复、健康管理相衔接，医共体所在县域内住院率力争达到85%以上。</w:t>
            </w:r>
          </w:p>
          <w:p>
            <w:pPr>
              <w:pStyle w:val="20"/>
              <w:keepNext w:val="0"/>
              <w:keepLines w:val="0"/>
              <w:pageBreakBefore w:val="0"/>
              <w:pBdr>
                <w:top w:val="none" w:color="000000" w:sz="0" w:space="0"/>
                <w:left w:val="none" w:color="000000" w:sz="0" w:space="0"/>
                <w:bottom w:val="none" w:color="000000" w:sz="0" w:space="23"/>
                <w:right w:val="none" w:color="000000" w:sz="0" w:space="0"/>
              </w:pBdr>
              <w:tabs>
                <w:tab w:val="left" w:pos="0"/>
                <w:tab w:val="left" w:pos="3225"/>
              </w:tabs>
              <w:kinsoku/>
              <w:wordWrap/>
              <w:overflowPunct/>
              <w:topLinePunct w:val="0"/>
              <w:autoSpaceDE/>
              <w:autoSpaceDN/>
              <w:bidi w:val="0"/>
              <w:adjustRightInd w:val="0"/>
              <w:snapToGrid w:val="0"/>
              <w:spacing w:line="360" w:lineRule="auto"/>
              <w:ind w:firstLine="482" w:firstLineChars="200"/>
              <w:textAlignment w:val="auto"/>
              <w:rPr>
                <w:rFonts w:hint="default" w:eastAsia="宋体" w:cs="宋体" w:asciiTheme="minorAscii" w:hAnsiTheme="minorAscii"/>
                <w:color w:val="000000"/>
                <w:kern w:val="2"/>
                <w:sz w:val="24"/>
                <w:szCs w:val="24"/>
              </w:rPr>
            </w:pPr>
            <w:r>
              <w:rPr>
                <w:rFonts w:hint="default" w:eastAsia="宋体" w:cs="宋体" w:asciiTheme="minorAscii" w:hAnsiTheme="minorAscii"/>
                <w:b/>
                <w:bCs/>
                <w:color w:val="000000"/>
                <w:kern w:val="2"/>
                <w:sz w:val="24"/>
                <w:szCs w:val="24"/>
                <w:lang w:val="en-US" w:eastAsia="zh-CN"/>
              </w:rPr>
              <w:t>4</w:t>
            </w:r>
            <w:r>
              <w:rPr>
                <w:rFonts w:hint="default" w:eastAsia="宋体" w:cs="宋体" w:asciiTheme="minorAscii" w:hAnsiTheme="minorAscii"/>
                <w:b/>
                <w:bCs/>
                <w:color w:val="000000"/>
                <w:kern w:val="2"/>
                <w:sz w:val="24"/>
                <w:szCs w:val="24"/>
              </w:rPr>
              <w:t>.医保支付方式深化改革工程</w:t>
            </w:r>
            <w:r>
              <w:rPr>
                <w:rFonts w:hint="default" w:eastAsia="宋体" w:cs="宋体" w:asciiTheme="minorAscii" w:hAnsiTheme="minorAscii"/>
                <w:b/>
                <w:bCs/>
                <w:color w:val="000000"/>
                <w:kern w:val="2"/>
                <w:sz w:val="24"/>
                <w:szCs w:val="24"/>
                <w:lang w:eastAsia="zh-CN"/>
              </w:rPr>
              <w:t>。</w:t>
            </w:r>
            <w:r>
              <w:rPr>
                <w:rFonts w:hint="default" w:eastAsia="宋体" w:cs="宋体" w:asciiTheme="minorAscii" w:hAnsiTheme="minorAscii"/>
                <w:color w:val="000000"/>
                <w:kern w:val="2"/>
                <w:sz w:val="24"/>
                <w:szCs w:val="24"/>
              </w:rPr>
              <w:t>按照《汕尾市开展按疾病诊断相关分组（DRG）付费改革试点工作方案》，推行实施总额预算管理下按DRG点数法付费结算为主，病种、床日、日间治疗（手术）、项目付费等相结合的多元复合式医保支付方式，将紧密型县域医共体支付方式纳入DRG付费方式改革。到2025年，按疾病诊断相关分组或按病种付费的医保基金占全部符合条件的住院医保基金支出的比例达到70%。</w:t>
            </w:r>
          </w:p>
          <w:p>
            <w:pPr>
              <w:pStyle w:val="20"/>
              <w:keepNext w:val="0"/>
              <w:keepLines w:val="0"/>
              <w:pageBreakBefore w:val="0"/>
              <w:pBdr>
                <w:top w:val="none" w:color="000000" w:sz="0" w:space="0"/>
                <w:left w:val="none" w:color="000000" w:sz="0" w:space="0"/>
                <w:bottom w:val="none" w:color="000000" w:sz="0" w:space="23"/>
                <w:right w:val="none" w:color="000000" w:sz="0" w:space="0"/>
              </w:pBdr>
              <w:tabs>
                <w:tab w:val="left" w:pos="0"/>
                <w:tab w:val="left" w:pos="3225"/>
              </w:tabs>
              <w:kinsoku/>
              <w:wordWrap/>
              <w:overflowPunct/>
              <w:topLinePunct w:val="0"/>
              <w:autoSpaceDE/>
              <w:autoSpaceDN/>
              <w:bidi w:val="0"/>
              <w:adjustRightInd w:val="0"/>
              <w:snapToGrid w:val="0"/>
              <w:spacing w:line="360" w:lineRule="auto"/>
              <w:ind w:firstLine="482" w:firstLineChars="200"/>
              <w:textAlignment w:val="auto"/>
              <w:rPr>
                <w:rFonts w:hint="default" w:ascii="仿宋_GB2312" w:hAnsi="仿宋_GB2312" w:eastAsia="仿宋_GB2312" w:cs="仿宋_GB2312"/>
                <w:color w:val="000000"/>
                <w:kern w:val="2"/>
                <w:sz w:val="28"/>
                <w:szCs w:val="28"/>
                <w:lang w:val="en-US" w:eastAsia="zh-CN"/>
              </w:rPr>
            </w:pPr>
            <w:r>
              <w:rPr>
                <w:rFonts w:hint="default" w:eastAsia="宋体" w:cs="宋体" w:asciiTheme="minorAscii" w:hAnsiTheme="minorAscii"/>
                <w:b/>
                <w:bCs/>
                <w:color w:val="000000"/>
                <w:kern w:val="2"/>
                <w:sz w:val="24"/>
                <w:szCs w:val="24"/>
                <w:lang w:val="en-US" w:eastAsia="zh-CN"/>
              </w:rPr>
              <w:t>5</w:t>
            </w:r>
            <w:r>
              <w:rPr>
                <w:rFonts w:hint="default" w:eastAsia="宋体" w:cs="宋体" w:asciiTheme="minorAscii" w:hAnsiTheme="minorAscii"/>
                <w:b/>
                <w:bCs/>
                <w:color w:val="000000"/>
                <w:kern w:val="2"/>
                <w:sz w:val="24"/>
                <w:szCs w:val="24"/>
              </w:rPr>
              <w:t>.公立医院薪酬深化改革工程</w:t>
            </w:r>
            <w:r>
              <w:rPr>
                <w:rFonts w:hint="default" w:eastAsia="宋体" w:cs="宋体" w:asciiTheme="minorAscii" w:hAnsiTheme="minorAscii"/>
                <w:b/>
                <w:bCs/>
                <w:color w:val="000000"/>
                <w:kern w:val="2"/>
                <w:sz w:val="24"/>
                <w:szCs w:val="24"/>
                <w:lang w:eastAsia="zh-CN"/>
              </w:rPr>
              <w:t>。</w:t>
            </w:r>
            <w:r>
              <w:rPr>
                <w:rFonts w:hint="default" w:eastAsia="宋体" w:cs="宋体" w:asciiTheme="minorAscii" w:hAnsiTheme="minorAscii"/>
                <w:color w:val="000000"/>
                <w:kern w:val="2"/>
                <w:sz w:val="24"/>
                <w:szCs w:val="24"/>
              </w:rPr>
              <w:t>落实《关于深化公立医院薪酬制度改革的指导意见》（人社部发〔2021〕52号）。推动落实政府办医责任和公立医院投入政策，拓宽深化公立医院薪酬制度改革经费渠道，逐步提高医疗服务收入在医疗收入中的比例。根据当年医疗服务收入扣除成本并按规定提取各项基金后，按照不同层级不同性质医院，根据“两个允许”要求合理增加公立医院薪酬总量，不计入总量核定基数，合理确定人员支出占公立医院业务支出的比重。推动公立医院合理确定内部薪酬结构，注重医务人员的稳定收入，充分发挥薪酬的保障功能。</w:t>
            </w:r>
          </w:p>
        </w:tc>
      </w:tr>
    </w:tbl>
    <w:p>
      <w:pPr>
        <w:pStyle w:val="2"/>
        <w:ind w:left="0" w:leftChars="0" w:firstLine="0" w:firstLineChars="0"/>
      </w:pPr>
    </w:p>
    <w:p>
      <w:pPr>
        <w:keepNext w:val="0"/>
        <w:keepLines w:val="0"/>
        <w:pageBreakBefore w:val="0"/>
        <w:widowControl w:val="0"/>
        <w:numPr>
          <w:ilvl w:val="0"/>
          <w:numId w:val="0"/>
        </w:numPr>
        <w:tabs>
          <w:tab w:val="left" w:pos="2744"/>
        </w:tabs>
        <w:kinsoku/>
        <w:wordWrap/>
        <w:overflowPunct/>
        <w:topLinePunct w:val="0"/>
        <w:autoSpaceDE/>
        <w:autoSpaceDN/>
        <w:bidi w:val="0"/>
        <w:adjustRightInd/>
        <w:snapToGrid/>
        <w:spacing w:before="157" w:beforeLines="50" w:after="157" w:afterLines="50" w:line="560" w:lineRule="exact"/>
        <w:ind w:right="-315" w:rightChars="-150"/>
        <w:jc w:val="center"/>
        <w:textAlignment w:val="auto"/>
        <w:outlineLvl w:val="1"/>
        <w:rPr>
          <w:rFonts w:hint="eastAsia" w:ascii="黑体" w:hAnsi="黑体" w:eastAsia="黑体" w:cs="黑体"/>
          <w:b w:val="0"/>
          <w:bCs/>
          <w:sz w:val="32"/>
          <w:szCs w:val="32"/>
        </w:rPr>
      </w:pPr>
      <w:bookmarkStart w:id="119" w:name="_Toc32284"/>
      <w:bookmarkStart w:id="120" w:name="_Toc23399"/>
      <w:bookmarkStart w:id="121" w:name="_Toc64913605"/>
      <w:bookmarkStart w:id="122" w:name="_Toc23990"/>
      <w:r>
        <w:rPr>
          <w:rFonts w:hint="eastAsia" w:ascii="黑体" w:hAnsi="黑体" w:eastAsia="黑体" w:cs="黑体"/>
          <w:b w:val="0"/>
          <w:bCs/>
          <w:sz w:val="32"/>
          <w:szCs w:val="32"/>
          <w:lang w:eastAsia="zh-CN"/>
        </w:rPr>
        <w:t>第六节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促</w:t>
      </w:r>
      <w:r>
        <w:rPr>
          <w:rFonts w:hint="eastAsia" w:ascii="黑体" w:hAnsi="黑体" w:eastAsia="黑体" w:cs="黑体"/>
          <w:b w:val="0"/>
          <w:bCs/>
          <w:sz w:val="32"/>
          <w:szCs w:val="32"/>
        </w:rPr>
        <w:t>进中医药守正创新发展</w:t>
      </w:r>
      <w:bookmarkEnd w:id="119"/>
      <w:bookmarkEnd w:id="120"/>
      <w:bookmarkEnd w:id="121"/>
      <w:bookmarkEnd w:id="122"/>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sz w:val="32"/>
          <w:szCs w:val="32"/>
        </w:rPr>
      </w:pPr>
      <w:bookmarkStart w:id="123" w:name="_Toc28760"/>
      <w:bookmarkStart w:id="124" w:name="_Toc64913606"/>
      <w:bookmarkStart w:id="125" w:name="_Toc5846"/>
      <w:r>
        <w:rPr>
          <w:rFonts w:hint="eastAsia" w:ascii="黑体" w:hAnsi="黑体" w:eastAsia="黑体" w:cs="黑体"/>
          <w:b w:val="0"/>
          <w:bCs w:val="0"/>
          <w:sz w:val="32"/>
          <w:szCs w:val="32"/>
        </w:rPr>
        <w:t>一、建设优质高效的中医药服务体系</w:t>
      </w:r>
      <w:bookmarkEnd w:id="123"/>
      <w:bookmarkEnd w:id="124"/>
      <w:bookmarkEnd w:id="125"/>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完善县、镇、村三级的中医药健康服务体系。推进县中医院建设，把县中医院建成二级甲等以上（含）中医医院。在公立综合医院、妇幼保健院设置中医科。发挥中医药在治未病中的主导作用，构建中医治未病预防保健新模式，建立健全中医治未病预防保健服务体系。强化中医药服务信息化支撑，构建高质量发展的中医药服务体系。充分发挥中医药特色和优势，实施中医优势病种强优提质工程，提升中医预防、诊疗和康复服务能力，发挥中医药在疫病防治中的独特优势。强化中医药与公共卫生服务、康复护理、健康管理等服务相结合，推进中医药技术和方法融入慢性病患、重点人群健康管理和市民健康生活方式。以中医类医院为主体，综合医院、专科医院等其他类别医院中医药科室为骨干、乡镇卫生院为基础、社会办医疗机构为补充，覆盖城乡、分工明确、功能互补、密切协作的中医医疗服务网络。</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sz w:val="32"/>
          <w:szCs w:val="32"/>
        </w:rPr>
      </w:pPr>
      <w:bookmarkStart w:id="126" w:name="_Toc64913607"/>
      <w:bookmarkStart w:id="127" w:name="_Toc14414"/>
      <w:bookmarkStart w:id="128" w:name="_Toc12813"/>
      <w:r>
        <w:rPr>
          <w:rFonts w:hint="eastAsia" w:ascii="黑体" w:hAnsi="黑体" w:eastAsia="黑体" w:cs="黑体"/>
          <w:b w:val="0"/>
          <w:bCs w:val="0"/>
          <w:sz w:val="32"/>
          <w:szCs w:val="32"/>
        </w:rPr>
        <w:t>二、推进中医药文化传承和现代化创新发展</w:t>
      </w:r>
      <w:bookmarkEnd w:id="126"/>
      <w:bookmarkEnd w:id="127"/>
      <w:bookmarkEnd w:id="128"/>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宋体" w:hAnsi="宋体" w:eastAsia="宋体" w:cs="宋体"/>
          <w:color w:val="000000"/>
          <w:sz w:val="30"/>
          <w:szCs w:val="30"/>
        </w:rPr>
      </w:pPr>
      <w:r>
        <w:rPr>
          <w:rFonts w:hint="eastAsia" w:ascii="仿宋_GB2312" w:hAnsi="仿宋_GB2312" w:eastAsia="仿宋_GB2312" w:cs="仿宋_GB2312"/>
          <w:b w:val="0"/>
          <w:bCs w:val="0"/>
          <w:color w:val="0C0C0C"/>
          <w:kern w:val="0"/>
          <w:sz w:val="32"/>
          <w:szCs w:val="32"/>
          <w:lang w:val="en-US" w:eastAsia="zh-CN" w:bidi="ar-SA"/>
        </w:rPr>
        <w:t>加强中医药文化传播和对外交流合作。持续开展中医药文化科普宣传活动，积极建设中医药文化宣传平台，普及中医药文化和科普宣传。进一步健全和完善中医药传承创新人才培养体系，建成中医药人才终身教育体系。积极探索将互联网技术与中医健康服务相结合，将生物工程技术与中医传统的保健、医疗技术相结合，推动“智慧中医”建设和中医药服务模式创新。促进中医药进农村、社区、机关、校园、企业，提升全县居民中医药健康文化素养。</w:t>
      </w:r>
    </w:p>
    <w:p>
      <w:pPr>
        <w:pStyle w:val="5"/>
        <w:keepNext w:val="0"/>
        <w:keepLines w:val="0"/>
        <w:pageBreakBefore w:val="0"/>
        <w:widowControl w:val="0"/>
        <w:numPr>
          <w:ilvl w:val="0"/>
          <w:numId w:val="7"/>
        </w:numPr>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黑体" w:hAnsi="黑体" w:eastAsia="黑体" w:cs="黑体"/>
          <w:b w:val="0"/>
          <w:bCs w:val="0"/>
          <w:sz w:val="32"/>
          <w:szCs w:val="32"/>
        </w:rPr>
      </w:pPr>
      <w:bookmarkStart w:id="129" w:name="_Toc6417"/>
      <w:bookmarkStart w:id="130" w:name="_Toc64913608"/>
      <w:bookmarkStart w:id="131" w:name="_Toc1369"/>
      <w:r>
        <w:rPr>
          <w:rFonts w:hint="eastAsia" w:ascii="黑体" w:hAnsi="黑体" w:eastAsia="黑体" w:cs="黑体"/>
          <w:b w:val="0"/>
          <w:bCs w:val="0"/>
          <w:sz w:val="32"/>
          <w:szCs w:val="32"/>
        </w:rPr>
        <w:t>提升基层中医药服务能力</w:t>
      </w:r>
      <w:bookmarkEnd w:id="129"/>
      <w:bookmarkEnd w:id="130"/>
      <w:bookmarkEnd w:id="131"/>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支持开展紧密型县域中医医共体建设，加强医共体中医药工作，建立以健康为中心、防治结合的县镇村三级整合型中医药服务新体系。加强以中医类别全科医生培养为主的基层中医药人才队伍建设，乡镇卫生院中医类别执业医师数达到不低于执业医师总数的20%。鼓励高水平中医专家在基层中医医疗卫生机构建设名医工作室。加大基层医疗卫生机构中医药适宜技术推广培训力度，使100%乡镇卫生院能提供中医非药物疗法，80%村卫生站能提供中医非药物疗法。推进家庭医生中医药签约服务，力争中医诊疗人次占基层医疗卫生机构总诊疗量的30%以上。</w:t>
      </w:r>
    </w:p>
    <w:p>
      <w:pPr>
        <w:pStyle w:val="2"/>
        <w:rPr>
          <w:rFonts w:hint="eastAsia"/>
          <w:lang w:val="en-US" w:eastAsia="zh-CN"/>
        </w:rPr>
      </w:pP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55" w:type="dxa"/>
          </w:tcPr>
          <w:p>
            <w:pPr>
              <w:keepNext w:val="0"/>
              <w:keepLines w:val="0"/>
              <w:pageBreakBefore w:val="0"/>
              <w:kinsoku/>
              <w:wordWrap/>
              <w:overflowPunct/>
              <w:topLinePunct w:val="0"/>
              <w:autoSpaceDE/>
              <w:autoSpaceDN/>
              <w:bidi w:val="0"/>
              <w:adjustRightInd/>
              <w:snapToGrid/>
              <w:spacing w:line="540" w:lineRule="exact"/>
              <w:jc w:val="center"/>
              <w:textAlignment w:val="auto"/>
              <w:rPr>
                <w:bCs/>
                <w:sz w:val="24"/>
                <w:szCs w:val="24"/>
              </w:rPr>
            </w:pPr>
            <w:r>
              <w:rPr>
                <w:rFonts w:hint="eastAsia" w:asciiTheme="majorEastAsia" w:hAnsiTheme="majorEastAsia" w:eastAsiaTheme="majorEastAsia" w:cstheme="majorEastAsia"/>
                <w:b/>
                <w:bCs/>
                <w:sz w:val="28"/>
                <w:szCs w:val="28"/>
              </w:rPr>
              <w:t>专栏6 中医药救治能力建设项目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5" w:type="dxa"/>
          </w:tcPr>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heme="minorAscii" w:hAnsiTheme="minorAscii" w:eastAsiaTheme="minorEastAsia" w:cstheme="minorEastAsia"/>
                <w:b/>
                <w:bCs/>
                <w:kern w:val="2"/>
                <w:sz w:val="24"/>
                <w:szCs w:val="24"/>
              </w:rPr>
            </w:pPr>
            <w:r>
              <w:rPr>
                <w:rFonts w:hint="default" w:asciiTheme="minorAscii" w:hAnsiTheme="minorAscii" w:eastAsiaTheme="minorEastAsia" w:cstheme="minorEastAsia"/>
                <w:b/>
                <w:kern w:val="2"/>
                <w:sz w:val="24"/>
                <w:szCs w:val="24"/>
              </w:rPr>
              <w:t>1.实</w:t>
            </w:r>
            <w:r>
              <w:rPr>
                <w:rFonts w:hint="default" w:asciiTheme="minorAscii" w:hAnsiTheme="minorAscii" w:eastAsiaTheme="minorEastAsia" w:cstheme="minorEastAsia"/>
                <w:b/>
                <w:bCs/>
                <w:kern w:val="2"/>
                <w:sz w:val="24"/>
                <w:szCs w:val="24"/>
              </w:rPr>
              <w:t>施中医人才培育项目</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both"/>
              <w:textAlignment w:val="auto"/>
              <w:rPr>
                <w:rFonts w:ascii="Times New Roman" w:hAnsi="Times New Roman" w:cs="Times New Roman"/>
                <w:kern w:val="2"/>
                <w:sz w:val="24"/>
                <w:szCs w:val="24"/>
              </w:rPr>
            </w:pPr>
            <w:r>
              <w:rPr>
                <w:rFonts w:hint="default" w:asciiTheme="minorAscii" w:hAnsiTheme="minorAscii" w:eastAsiaTheme="minorEastAsia" w:cstheme="minorEastAsia"/>
                <w:kern w:val="2"/>
                <w:sz w:val="24"/>
                <w:szCs w:val="24"/>
              </w:rPr>
              <w:t>实施中医师承“薪火工程”，争取</w:t>
            </w:r>
            <w:r>
              <w:rPr>
                <w:rFonts w:hint="default" w:asciiTheme="minorAscii" w:hAnsiTheme="minorAscii" w:eastAsiaTheme="minorEastAsia" w:cstheme="minorEastAsia"/>
                <w:kern w:val="2"/>
                <w:sz w:val="24"/>
                <w:szCs w:val="24"/>
                <w:lang w:eastAsia="zh-CN"/>
              </w:rPr>
              <w:t>上</w:t>
            </w:r>
            <w:r>
              <w:rPr>
                <w:rFonts w:hint="default" w:asciiTheme="minorAscii" w:hAnsiTheme="minorAscii" w:eastAsiaTheme="minorEastAsia" w:cstheme="minorEastAsia"/>
                <w:kern w:val="2"/>
                <w:sz w:val="24"/>
                <w:szCs w:val="24"/>
              </w:rPr>
              <w:t>级名医名家对口带教基层人员，推动名医资源辐射基层。实施基层中医馆能力再提升工程。依托</w:t>
            </w:r>
            <w:r>
              <w:rPr>
                <w:rFonts w:hint="default" w:asciiTheme="minorAscii" w:hAnsiTheme="minorAscii" w:eastAsiaTheme="minorEastAsia" w:cstheme="minorEastAsia"/>
                <w:kern w:val="2"/>
                <w:sz w:val="24"/>
                <w:szCs w:val="24"/>
                <w:lang w:eastAsia="zh-CN"/>
              </w:rPr>
              <w:t>卫生信息</w:t>
            </w:r>
            <w:r>
              <w:rPr>
                <w:rFonts w:hint="default" w:asciiTheme="minorAscii" w:hAnsiTheme="minorAscii" w:eastAsiaTheme="minorEastAsia" w:cstheme="minorEastAsia"/>
                <w:kern w:val="2"/>
                <w:sz w:val="24"/>
                <w:szCs w:val="24"/>
              </w:rPr>
              <w:t>网络平台，对在职在岗基层卫生技术人员进行中医药专业知识与技能的轮训，规范和提高基层中医药医疗水平和服务能力。建设一批基层人才培养基地，提升中医药人才培养能力。</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C0C0C"/>
          <w:kern w:val="0"/>
          <w:sz w:val="30"/>
          <w:szCs w:val="30"/>
          <w:lang w:val="en-US" w:eastAsia="zh-CN" w:bidi="ar-SA"/>
        </w:rPr>
      </w:pPr>
    </w:p>
    <w:p>
      <w:pPr>
        <w:keepNext w:val="0"/>
        <w:keepLines w:val="0"/>
        <w:pageBreakBefore w:val="0"/>
        <w:widowControl w:val="0"/>
        <w:numPr>
          <w:ilvl w:val="0"/>
          <w:numId w:val="0"/>
        </w:numPr>
        <w:tabs>
          <w:tab w:val="left" w:pos="2744"/>
        </w:tabs>
        <w:kinsoku/>
        <w:wordWrap/>
        <w:topLinePunct w:val="0"/>
        <w:autoSpaceDE/>
        <w:autoSpaceDN/>
        <w:bidi w:val="0"/>
        <w:adjustRightInd/>
        <w:snapToGrid/>
        <w:spacing w:before="157" w:beforeLines="50" w:after="157" w:afterLines="50" w:line="560" w:lineRule="exact"/>
        <w:ind w:right="-315" w:rightChars="-150"/>
        <w:jc w:val="center"/>
        <w:textAlignment w:val="auto"/>
        <w:outlineLvl w:val="1"/>
        <w:rPr>
          <w:rFonts w:hint="eastAsia" w:ascii="黑体" w:hAnsi="黑体" w:eastAsia="黑体" w:cs="黑体"/>
          <w:b w:val="0"/>
          <w:bCs/>
          <w:sz w:val="32"/>
          <w:szCs w:val="32"/>
          <w:lang w:eastAsia="zh-CN"/>
        </w:rPr>
      </w:pPr>
      <w:bookmarkStart w:id="132" w:name="_Toc27809"/>
      <w:bookmarkStart w:id="133" w:name="_Toc20281"/>
      <w:r>
        <w:rPr>
          <w:rFonts w:hint="eastAsia" w:ascii="黑体" w:hAnsi="黑体" w:eastAsia="黑体" w:cs="黑体"/>
          <w:b w:val="0"/>
          <w:bCs/>
          <w:sz w:val="32"/>
          <w:szCs w:val="32"/>
          <w:lang w:eastAsia="zh-CN"/>
        </w:rPr>
        <w:t>第七节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大力发展健康服务业</w:t>
      </w:r>
      <w:bookmarkEnd w:id="132"/>
      <w:bookmarkEnd w:id="133"/>
    </w:p>
    <w:p>
      <w:pPr>
        <w:keepNext w:val="0"/>
        <w:keepLines w:val="0"/>
        <w:pageBreakBefore w:val="0"/>
        <w:widowControl w:val="0"/>
        <w:tabs>
          <w:tab w:val="left" w:pos="2744"/>
        </w:tabs>
        <w:kinsoku/>
        <w:wordWrap/>
        <w:topLinePunct w:val="0"/>
        <w:autoSpaceDE/>
        <w:autoSpaceDN/>
        <w:bidi w:val="0"/>
        <w:adjustRightInd/>
        <w:snapToGrid/>
        <w:spacing w:before="157" w:beforeLines="50" w:after="157" w:afterLines="50" w:line="560" w:lineRule="exact"/>
        <w:ind w:right="-315" w:rightChars="-150" w:firstLine="640" w:firstLineChars="200"/>
        <w:jc w:val="both"/>
        <w:textAlignment w:val="auto"/>
        <w:outlineLvl w:val="1"/>
        <w:rPr>
          <w:rFonts w:hint="eastAsia" w:ascii="黑体" w:hAnsi="黑体" w:eastAsia="黑体" w:cs="黑体"/>
          <w:b w:val="0"/>
          <w:bCs/>
          <w:sz w:val="32"/>
          <w:szCs w:val="32"/>
        </w:rPr>
      </w:pPr>
      <w:bookmarkStart w:id="134" w:name="_Toc5714"/>
      <w:bookmarkStart w:id="135" w:name="_Toc27873"/>
      <w:bookmarkStart w:id="136" w:name="_Toc70606325"/>
      <w:bookmarkStart w:id="137" w:name="_Toc64913614"/>
      <w:r>
        <w:rPr>
          <w:rFonts w:hint="eastAsia" w:ascii="黑体" w:hAnsi="黑体" w:eastAsia="黑体" w:cs="黑体"/>
          <w:b w:val="0"/>
          <w:bCs/>
          <w:sz w:val="32"/>
          <w:szCs w:val="32"/>
          <w:lang w:val="en-US" w:eastAsia="zh-CN"/>
        </w:rPr>
        <w:t xml:space="preserve">一、大力发展社会办医 </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rPr>
          <w:rFonts w:hint="eastAsia" w:ascii="宋体" w:hAnsi="宋体" w:eastAsia="宋体" w:cs="宋体"/>
          <w:b w:val="0"/>
          <w:bCs w:val="0"/>
          <w:color w:val="0C0C0C"/>
          <w:kern w:val="0"/>
          <w:sz w:val="30"/>
          <w:szCs w:val="30"/>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 xml:space="preserve">加大政府支持力度，鼓励社会力量举办非营利性医疗机构，推动社会办医向高水平、多元化、集团化方向发展。支持和规范社会办医疗机构与公立医院开展多种类型的医疗业务、学科建设、人才培养等合作。支持社会办非营利性医疗机构加入公立医院牵头组建的城市医疗集团和县域医共体。支持公立医院和社会办医院按照平等自愿原则组建专科联盟。鼓励社会力量建设高水平医院。支持发展高水平、集团化的医学检验、病理诊断、医学影像、消毒供应、血液净化、安宁疗护等第三方专业机构。依法加强对非公立医疗机构服务行为的监管，促进非公立医疗机构依法执业、健康发展。 </w:t>
      </w:r>
    </w:p>
    <w:p>
      <w:pPr>
        <w:keepNext w:val="0"/>
        <w:keepLines w:val="0"/>
        <w:pageBreakBefore w:val="0"/>
        <w:widowControl w:val="0"/>
        <w:tabs>
          <w:tab w:val="left" w:pos="2744"/>
        </w:tabs>
        <w:kinsoku/>
        <w:wordWrap/>
        <w:overflowPunct w:val="0"/>
        <w:topLinePunct w:val="0"/>
        <w:autoSpaceDE/>
        <w:autoSpaceDN/>
        <w:bidi w:val="0"/>
        <w:adjustRightInd/>
        <w:snapToGrid/>
        <w:spacing w:before="157" w:beforeLines="50" w:after="157" w:afterLines="50" w:line="560" w:lineRule="exact"/>
        <w:ind w:left="-315" w:leftChars="-150" w:right="-315" w:rightChars="-150" w:firstLine="960" w:firstLineChars="300"/>
        <w:jc w:val="both"/>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二、深入推进医养康养融合发展 </w:t>
      </w:r>
    </w:p>
    <w:p>
      <w:pPr>
        <w:keepNext w:val="0"/>
        <w:keepLines w:val="0"/>
        <w:pageBreakBefore w:val="0"/>
        <w:widowControl w:val="0"/>
        <w:kinsoku/>
        <w:wordWrap/>
        <w:overflowPunct w:val="0"/>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0C0C0C"/>
          <w:kern w:val="0"/>
          <w:sz w:val="32"/>
          <w:szCs w:val="32"/>
          <w:lang w:val="en-US" w:eastAsia="zh-CN" w:bidi="ar-SA"/>
        </w:rPr>
      </w:pPr>
      <w:r>
        <w:rPr>
          <w:rFonts w:hint="eastAsia" w:ascii="仿宋_GB2312" w:hAnsi="仿宋_GB2312" w:eastAsia="仿宋_GB2312" w:cs="仿宋_GB2312"/>
          <w:b w:val="0"/>
          <w:bCs w:val="0"/>
          <w:color w:val="0C0C0C"/>
          <w:kern w:val="0"/>
          <w:sz w:val="32"/>
          <w:szCs w:val="32"/>
          <w:lang w:val="en-US" w:eastAsia="zh-CN" w:bidi="ar-SA"/>
        </w:rPr>
        <w:t xml:space="preserve">以满足老年人健康养老需求为目标，健全居家社区机构相协调、医康护养相结合的健康养老服务体系。增加医养结合服务供给，合理规划、建设和改造医养结合机构，鼓励社会力量举办医养结合机构，将符合条件的医养结合机构纳入城乡居民基本医疗保险定点范围。全市普遍建立养老机构与医疗机构预约就诊、双向转诊等合作机制，到2025年，养老机构与医疗机构签约合作率达到100%，65 岁及以上老年人医养结合服务率达到 40%以上。强化医疗卫生与养老服务衔接，促进医疗资源与养老资源深度融合，推动医疗卫生机构开展健康养老服务，支持养老机构提供医疗卫生服务，鼓励养老机构与周边的医疗卫生机构开展多种形式的签约合作，所有养老机构能够以不同形式为入住老年人提供医疗卫生服务。推进居家健康养老服务，实施社区医养结合能力提升工程，支持社区医疗服务机构、镇卫生院利用现有资源，内部改扩建社区（乡镇）医养结合服务中心，重点为社区乡镇失能（失智）老年人提供集中或居家医养结合服务。加强医养结合信息化支撑，增加智慧健康养老产品供给。开展医养结合机构服务质量提升工程，加强医养结合机构医疗卫生服务质量监管，规范医养结合机构内部医疗卫生服务，加强医养结合人才队伍建设。 </w:t>
      </w:r>
    </w:p>
    <w:p>
      <w:pPr>
        <w:keepNext w:val="0"/>
        <w:keepLines w:val="0"/>
        <w:pageBreakBefore w:val="0"/>
        <w:tabs>
          <w:tab w:val="left" w:pos="2744"/>
        </w:tabs>
        <w:kinsoku/>
        <w:wordWrap/>
        <w:overflowPunct/>
        <w:topLinePunct w:val="0"/>
        <w:autoSpaceDE/>
        <w:autoSpaceDN/>
        <w:bidi w:val="0"/>
        <w:adjustRightInd/>
        <w:snapToGrid/>
        <w:spacing w:before="157" w:beforeLines="50" w:after="157" w:afterLines="50" w:line="560" w:lineRule="exact"/>
        <w:ind w:left="-315" w:leftChars="-150" w:right="-315" w:rightChars="-150" w:firstLine="960" w:firstLineChars="300"/>
        <w:jc w:val="both"/>
        <w:textAlignment w:val="auto"/>
        <w:outlineLvl w:val="1"/>
        <w:rPr>
          <w:rFonts w:hint="eastAsia" w:ascii="宋体" w:hAnsi="宋体" w:eastAsia="宋体" w:cs="宋体"/>
          <w:b/>
          <w:bCs w:val="0"/>
          <w:sz w:val="30"/>
          <w:szCs w:val="30"/>
          <w:lang w:val="en-US" w:eastAsia="zh-CN"/>
        </w:rPr>
      </w:pPr>
      <w:r>
        <w:rPr>
          <w:rFonts w:hint="eastAsia" w:ascii="黑体" w:hAnsi="黑体" w:eastAsia="黑体" w:cs="黑体"/>
          <w:b w:val="0"/>
          <w:bCs/>
          <w:sz w:val="32"/>
          <w:szCs w:val="32"/>
          <w:lang w:val="en-US" w:eastAsia="zh-CN"/>
        </w:rPr>
        <w:t>三、积极发展多样化健康服务</w:t>
      </w:r>
      <w:r>
        <w:rPr>
          <w:rFonts w:hint="eastAsia" w:ascii="宋体" w:hAnsi="宋体" w:eastAsia="宋体" w:cs="宋体"/>
          <w:b/>
          <w:bCs w:val="0"/>
          <w:sz w:val="30"/>
          <w:szCs w:val="30"/>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加大政府引导和扶持，制定出台促进生物医药与健康产业集群发展的文件，推动健康产业和相关产业集聚发展，重点打造融合健康旅游、健康养老、健身休闲、中医养生保健服务等为一体的智慧型健康服务集聚区。发挥市场机制作用，扩大健康服务供给，创新服务模式。鼓励引进国内外健康服务机构，打造地方健康服务业品牌，大力发展体检、心理咨询、母婴照料、健康咨询、家庭医生等健康服务形式，提供人性化的健康服务。整合当地优势医疗资源、特色养生保健资源、绿色生态旅游资源，发展养生、体育和医疗健康旅游，推出一批以医疗保健养生、中医药文化传播为主题的医疗旅游示范产品。加强体育医疗融合和非医疗健康干预，推动形成体育医疗结合的疾病与健康管理服务模式。培育壮大健康服务支撑产业，积极支持自主知识产权药品、医疗器械、健康信息化服务产品和其他相关健康产品的研发和应用的支持力度。</w:t>
      </w:r>
      <w:bookmarkEnd w:id="134"/>
      <w:bookmarkEnd w:id="135"/>
      <w:bookmarkEnd w:id="136"/>
    </w:p>
    <w:p>
      <w:pPr>
        <w:pStyle w:val="2"/>
        <w:rPr>
          <w:rFonts w:hint="eastAsia"/>
        </w:rPr>
      </w:pPr>
    </w:p>
    <w:p>
      <w:pPr>
        <w:keepNext w:val="0"/>
        <w:keepLines w:val="0"/>
        <w:pageBreakBefore w:val="0"/>
        <w:numPr>
          <w:ilvl w:val="0"/>
          <w:numId w:val="0"/>
        </w:numPr>
        <w:tabs>
          <w:tab w:val="left" w:pos="2744"/>
        </w:tabs>
        <w:kinsoku/>
        <w:wordWrap/>
        <w:topLinePunct w:val="0"/>
        <w:autoSpaceDE/>
        <w:autoSpaceDN/>
        <w:bidi w:val="0"/>
        <w:adjustRightInd/>
        <w:snapToGrid/>
        <w:spacing w:before="157" w:beforeLines="50" w:after="157" w:afterLines="50" w:line="560" w:lineRule="exact"/>
        <w:ind w:right="-315" w:rightChars="-150"/>
        <w:jc w:val="center"/>
        <w:textAlignment w:val="auto"/>
        <w:outlineLvl w:val="1"/>
        <w:rPr>
          <w:rFonts w:hint="eastAsia" w:ascii="黑体" w:hAnsi="黑体" w:eastAsia="黑体" w:cs="黑体"/>
          <w:b w:val="0"/>
          <w:bCs/>
          <w:sz w:val="32"/>
          <w:szCs w:val="32"/>
        </w:rPr>
      </w:pPr>
      <w:bookmarkStart w:id="138" w:name="_Toc15471"/>
      <w:bookmarkStart w:id="139" w:name="_Toc4854"/>
      <w:bookmarkStart w:id="140" w:name="_Toc958"/>
      <w:r>
        <w:rPr>
          <w:rFonts w:hint="eastAsia" w:ascii="黑体" w:hAnsi="黑体" w:eastAsia="黑体" w:cs="黑体"/>
          <w:b w:val="0"/>
          <w:bCs/>
          <w:sz w:val="32"/>
          <w:szCs w:val="32"/>
          <w:lang w:eastAsia="zh-CN"/>
        </w:rPr>
        <w:t>第八节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完善健康优先发展保障体系</w:t>
      </w:r>
      <w:bookmarkEnd w:id="137"/>
      <w:bookmarkEnd w:id="138"/>
      <w:bookmarkEnd w:id="139"/>
      <w:bookmarkEnd w:id="140"/>
    </w:p>
    <w:p>
      <w:pPr>
        <w:keepNext w:val="0"/>
        <w:keepLines w:val="0"/>
        <w:pageBreakBefore w:val="0"/>
        <w:tabs>
          <w:tab w:val="left" w:pos="2744"/>
        </w:tabs>
        <w:kinsoku/>
        <w:wordWrap/>
        <w:topLinePunct w:val="0"/>
        <w:autoSpaceDE/>
        <w:autoSpaceDN/>
        <w:bidi w:val="0"/>
        <w:adjustRightInd/>
        <w:snapToGrid/>
        <w:spacing w:before="157" w:beforeLines="50" w:after="157" w:afterLines="50" w:line="560" w:lineRule="exact"/>
        <w:ind w:right="-315" w:rightChars="-150" w:firstLine="640" w:firstLineChars="200"/>
        <w:jc w:val="both"/>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一、加快推进人才队伍提质增量 </w:t>
      </w:r>
    </w:p>
    <w:p>
      <w:pPr>
        <w:keepNext w:val="0"/>
        <w:keepLines w:val="0"/>
        <w:pageBreakBefore w:val="0"/>
        <w:widowControl w:val="0"/>
        <w:suppressLineNumbers w:val="0"/>
        <w:kinsoku/>
        <w:wordWrap/>
        <w:overflowPunct w:val="0"/>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加强人才队伍建设，加快医学教育创新发展，推动医教协同。建立紧缺急需专业人才预警和管理机制，实行紧缺急需专业人才指导目录定期公布，优化紧缺急需人才招聘程序。实施人才能力提升工程，加强公共卫生、全科、重症、儿科、产科、精神心理科、康复、护理、托幼、老龄健康、职业病监督执法等急需紧缺人才培养培训，强化流行病学调查、实验室检验检测、卫生监督执法人才培养。加大全科医生培训和订单定向免费医学生培养力度。健全住院医师、全科医师、公共卫生医师规范化培训制度，提升全科医师、医防融合规范化培训能力。继续实施全科医生特设岗位计划，设置基层紧缺专业特设岗位，建立人才柔性流动机制，健全执业医师服务基层激励制度。继续推进紧密型人才帮扶政策。开展卫生健康人才帮扶基层项目，结合省人民医院对口帮扶陆河县人民医院的有利契机，通过专科建设帮扶和医疗队伍建设帮扶，迅速提高县人民医院技术服务水平，发挥县级高水平医院辐射带动作用，逐步提高全县医疗技术服务水平。加大高层次、复合型卫生健康宣传教育、卫生管理人才培养力度。探索实施更加开放、灵活和柔性的人才引进、激励政策，采取全职引进和柔性引进等方式，引进高端医学人才团队或紧缺专业人员，构建全生命周期卫生健康人才支撑体系。</w:t>
      </w:r>
      <w:bookmarkStart w:id="141" w:name="_Toc70606331"/>
      <w:bookmarkStart w:id="142" w:name="_Toc22308"/>
      <w:bookmarkStart w:id="143" w:name="_Toc20157"/>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val="0"/>
        <w:numPr>
          <w:ilvl w:val="0"/>
          <w:numId w:val="0"/>
        </w:numPr>
        <w:tabs>
          <w:tab w:val="left" w:pos="2744"/>
        </w:tabs>
        <w:kinsoku/>
        <w:wordWrap/>
        <w:overflowPunct w:val="0"/>
        <w:topLinePunct w:val="0"/>
        <w:autoSpaceDE/>
        <w:autoSpaceDN/>
        <w:bidi w:val="0"/>
        <w:adjustRightInd/>
        <w:snapToGrid/>
        <w:spacing w:before="157" w:beforeLines="50" w:after="157" w:afterLines="50" w:line="560" w:lineRule="exact"/>
        <w:ind w:leftChars="150" w:right="-315" w:rightChars="-150" w:firstLine="320" w:firstLineChars="100"/>
        <w:jc w:val="both"/>
        <w:textAlignment w:val="auto"/>
        <w:outlineLvl w:val="1"/>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b w:val="0"/>
          <w:bCs/>
          <w:sz w:val="32"/>
          <w:szCs w:val="32"/>
          <w:lang w:val="en-US" w:eastAsia="zh-CN"/>
        </w:rPr>
        <w:t>二、提升生物安全治理能力</w:t>
      </w:r>
      <w:r>
        <w:rPr>
          <w:rFonts w:hint="eastAsia" w:ascii="黑体" w:hAnsi="黑体" w:eastAsia="黑体" w:cs="黑体"/>
          <w:b/>
          <w:bCs w:val="0"/>
          <w:sz w:val="32"/>
          <w:szCs w:val="32"/>
          <w:lang w:val="en-US" w:eastAsia="zh-CN"/>
        </w:rPr>
        <w:t xml:space="preserve"> </w:t>
      </w:r>
    </w:p>
    <w:p>
      <w:pPr>
        <w:keepNext w:val="0"/>
        <w:keepLines w:val="0"/>
        <w:pageBreakBefore w:val="0"/>
        <w:widowControl w:val="0"/>
        <w:numPr>
          <w:ilvl w:val="0"/>
          <w:numId w:val="0"/>
        </w:numPr>
        <w:tabs>
          <w:tab w:val="left" w:pos="2744"/>
        </w:tabs>
        <w:kinsoku/>
        <w:wordWrap/>
        <w:overflowPunct w:val="0"/>
        <w:topLinePunct w:val="0"/>
        <w:autoSpaceDE/>
        <w:autoSpaceDN/>
        <w:bidi w:val="0"/>
        <w:adjustRightInd/>
        <w:snapToGrid/>
        <w:spacing w:before="157" w:beforeLines="50" w:after="157" w:afterLines="50" w:line="560" w:lineRule="exact"/>
        <w:ind w:right="0" w:rightChars="0" w:firstLine="640" w:firstLineChars="200"/>
        <w:jc w:val="both"/>
        <w:textAlignment w:val="auto"/>
        <w:outlineLvl w:val="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牢固树立总体国家安全观，做好生物安全风险防控和治理体系建设，严防重大新发突发传染病、动植物疫情。完善生物安全保障体系，健全生物安全管理制度，建立健全生物安全工作协调机制。到2025年，陆河县生物安全风险防控体系和风险防控体制基本建成，生物安全风险防控和治理能力全面提升。强化生物技术研究开发安全管理。提高各类实验室生物安全防护能力。提高生物制品危险废物处置能力，加快补齐危险废物收集处理设施短板。 </w:t>
      </w:r>
    </w:p>
    <w:p>
      <w:pPr>
        <w:keepNext w:val="0"/>
        <w:keepLines w:val="0"/>
        <w:pageBreakBefore w:val="0"/>
        <w:widowControl w:val="0"/>
        <w:numPr>
          <w:ilvl w:val="0"/>
          <w:numId w:val="0"/>
        </w:numPr>
        <w:tabs>
          <w:tab w:val="left" w:pos="2744"/>
        </w:tabs>
        <w:kinsoku/>
        <w:wordWrap/>
        <w:overflowPunct w:val="0"/>
        <w:topLinePunct w:val="0"/>
        <w:autoSpaceDE/>
        <w:autoSpaceDN/>
        <w:bidi w:val="0"/>
        <w:adjustRightInd/>
        <w:snapToGrid/>
        <w:spacing w:before="157" w:beforeLines="50" w:after="157" w:afterLines="50" w:line="480" w:lineRule="auto"/>
        <w:ind w:right="-315" w:rightChars="-150" w:firstLine="640" w:firstLineChars="200"/>
        <w:jc w:val="both"/>
        <w:textAlignment w:val="auto"/>
        <w:outlineLvl w:val="1"/>
        <w:rPr>
          <w:rFonts w:hint="eastAsia" w:ascii="宋体" w:hAnsi="宋体" w:eastAsia="宋体" w:cs="宋体"/>
          <w:color w:val="000000"/>
          <w:kern w:val="0"/>
          <w:sz w:val="30"/>
          <w:szCs w:val="30"/>
          <w:lang w:val="en-US" w:eastAsia="zh-CN" w:bidi="ar"/>
        </w:rPr>
      </w:pPr>
      <w:r>
        <w:rPr>
          <w:rFonts w:hint="eastAsia" w:ascii="黑体" w:hAnsi="黑体" w:eastAsia="黑体" w:cs="黑体"/>
          <w:b w:val="0"/>
          <w:bCs/>
          <w:sz w:val="32"/>
          <w:szCs w:val="32"/>
          <w:lang w:val="en-US" w:eastAsia="zh-CN"/>
        </w:rPr>
        <w:t xml:space="preserve">三、发展数字卫生健康 </w:t>
      </w:r>
    </w:p>
    <w:p>
      <w:pPr>
        <w:keepNext w:val="0"/>
        <w:keepLines w:val="0"/>
        <w:pageBreakBefore w:val="0"/>
        <w:widowControl w:val="0"/>
        <w:numPr>
          <w:ilvl w:val="0"/>
          <w:numId w:val="0"/>
        </w:numPr>
        <w:tabs>
          <w:tab w:val="left" w:pos="2744"/>
        </w:tabs>
        <w:kinsoku/>
        <w:wordWrap/>
        <w:overflowPunct w:val="0"/>
        <w:topLinePunct w:val="0"/>
        <w:autoSpaceDE/>
        <w:autoSpaceDN/>
        <w:bidi w:val="0"/>
        <w:adjustRightInd/>
        <w:snapToGrid/>
        <w:spacing w:before="157" w:beforeLines="50" w:after="157" w:afterLines="50" w:line="560" w:lineRule="exact"/>
        <w:ind w:right="0" w:rightChars="0" w:firstLine="640" w:firstLineChars="200"/>
        <w:jc w:val="both"/>
        <w:textAlignment w:val="auto"/>
        <w:outlineLvl w:val="1"/>
        <w:rPr>
          <w:rFonts w:hint="eastAsia"/>
          <w:lang w:val="en-US" w:eastAsia="zh-CN"/>
        </w:rPr>
      </w:pPr>
      <w:r>
        <w:rPr>
          <w:rFonts w:hint="eastAsia" w:ascii="仿宋_GB2312" w:hAnsi="仿宋_GB2312" w:eastAsia="仿宋_GB2312" w:cs="仿宋_GB2312"/>
          <w:color w:val="000000"/>
          <w:kern w:val="0"/>
          <w:sz w:val="32"/>
          <w:szCs w:val="32"/>
          <w:lang w:val="en-US" w:eastAsia="zh-CN" w:bidi="ar"/>
        </w:rPr>
        <w:t xml:space="preserve">推进健康医疗新型基础设施，增强数字健康发展能力。推进新兴信息技术与医疗卫生的融合创新应用，提升信息化在医疗、疾病监测、防控救治、综合监管、资源调配等方面的支撑能力。加快“民情地图”在卫生健康领域的应用推广，全面实现卫生健康领域民情“大数据”的采集和信息共享。在二级医院普遍开展以数据为核心的智慧医疗建设，推动公立医院数字化转型，以患者为中心，将云、5G、人工智能等新技术应用于医、教、研、管等各个领域，实现医院人、财、物全要素管理协同，持续提高就医体验、诊疗效率和质量以及医院运营管理水平。全领域全流程改造公共卫生服务，加强智能化早期预警能力建设，提高公共卫生服务数字化、智能化水平。创新协同机制，推进医疗、预防与健康管理流程交互、业务协同、信息共享，塑造一体化、数字化健康医疗服务模式。规范和加强健康医疗大数据保障体系建设，推动跨部门健康医疗相关数据共享，推进健康医疗大数据在临床科研、教育培训、行业治理等方面的应用。完善信息标准应用管理机制，推动标准和技术规范在全民健康信息化建设中的应用，从源头落实数据标准，规范数据采集，加强数据管理，保障数据质量，确保健康医疗数据的合法、真实、有效、可用。建立健全网络与信息安全制度和安全管理体系，增强安全技术应用，提升安全运营保障能力。坚持网络安全与信息化同步规划、同步建设、同步使用。充分探索并推广“健康陆河”“善美村居”等网络平台在疫情防控、疫苗接种等公共卫生服务供给的应用。 </w:t>
      </w:r>
    </w:p>
    <w:p>
      <w:pPr>
        <w:keepNext w:val="0"/>
        <w:keepLines w:val="0"/>
        <w:pageBreakBefore w:val="0"/>
        <w:tabs>
          <w:tab w:val="left" w:pos="2744"/>
        </w:tabs>
        <w:kinsoku/>
        <w:wordWrap/>
        <w:overflowPunct w:val="0"/>
        <w:topLinePunct w:val="0"/>
        <w:autoSpaceDE/>
        <w:autoSpaceDN/>
        <w:bidi w:val="0"/>
        <w:adjustRightInd/>
        <w:snapToGrid/>
        <w:spacing w:before="157" w:beforeLines="50" w:after="157" w:afterLines="50" w:line="560" w:lineRule="exact"/>
        <w:ind w:left="-315" w:leftChars="-150" w:right="-315" w:rightChars="-150" w:firstLine="960" w:firstLineChars="300"/>
        <w:jc w:val="both"/>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四、加强卫生健康法治建设 </w:t>
      </w:r>
    </w:p>
    <w:p>
      <w:pPr>
        <w:keepNext w:val="0"/>
        <w:keepLines w:val="0"/>
        <w:pageBreakBefore w:val="0"/>
        <w:widowControl/>
        <w:suppressLineNumbers w:val="0"/>
        <w:kinsoku/>
        <w:wordWrap/>
        <w:overflowPunct w:val="0"/>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配合省制修订卫生健康相关法规制度，不断健全公共卫生、传染病防治和卫生应急管理等方面的制度体系。加强规范性文件的合法性审核（查）和公平竞争审查，定期开展评估清理，维护全省卫生健康法规制度的统一性、协调性。加强依法治理体系和依法治理能力建设，落实行政执法公示制度、执法全过程记录制度和重大执法决定法制审核制度。继续深化“放管服”改革和政府职能转变工作，依法推进政务公开。落实“谁执法谁普法”责任制，加强向社会宣传卫生健康领域的法律法规，推进法治素养</w:t>
      </w:r>
      <w:bookmarkEnd w:id="141"/>
      <w:bookmarkEnd w:id="142"/>
      <w:bookmarkEnd w:id="143"/>
      <w:r>
        <w:rPr>
          <w:rFonts w:hint="eastAsia" w:ascii="仿宋_GB2312" w:hAnsi="仿宋_GB2312" w:eastAsia="仿宋_GB2312" w:cs="仿宋_GB2312"/>
          <w:color w:val="000000"/>
          <w:kern w:val="0"/>
          <w:sz w:val="32"/>
          <w:szCs w:val="32"/>
          <w:lang w:val="en-US" w:eastAsia="zh-CN" w:bidi="ar"/>
        </w:rPr>
        <w:t>建设。</w:t>
      </w:r>
    </w:p>
    <w:p>
      <w:pPr>
        <w:pStyle w:val="2"/>
        <w:rPr>
          <w:rFonts w:hint="eastAsia" w:ascii="仿宋_GB2312" w:hAnsi="仿宋_GB2312" w:eastAsia="仿宋_GB2312" w:cs="仿宋_GB2312"/>
          <w:color w:val="000000"/>
          <w:kern w:val="0"/>
          <w:sz w:val="32"/>
          <w:szCs w:val="32"/>
          <w:lang w:val="en-US" w:eastAsia="zh-CN" w:bidi="ar"/>
        </w:rPr>
      </w:pPr>
    </w:p>
    <w:p>
      <w:pPr>
        <w:rPr>
          <w:rFonts w:hint="eastAsia" w:ascii="仿宋_GB2312" w:hAnsi="仿宋_GB2312" w:eastAsia="仿宋_GB2312" w:cs="仿宋_GB2312"/>
          <w:color w:val="000000"/>
          <w:kern w:val="0"/>
          <w:sz w:val="32"/>
          <w:szCs w:val="32"/>
          <w:lang w:val="en-US" w:eastAsia="zh-CN" w:bidi="ar"/>
        </w:rPr>
      </w:pPr>
    </w:p>
    <w:p>
      <w:pPr>
        <w:pStyle w:val="2"/>
        <w:rPr>
          <w:rFonts w:hint="eastAsia" w:ascii="仿宋_GB2312" w:hAnsi="仿宋_GB2312" w:eastAsia="仿宋_GB2312" w:cs="仿宋_GB2312"/>
          <w:color w:val="000000"/>
          <w:kern w:val="0"/>
          <w:sz w:val="32"/>
          <w:szCs w:val="32"/>
          <w:lang w:val="en-US" w:eastAsia="zh-CN" w:bidi="ar"/>
        </w:rPr>
      </w:pPr>
    </w:p>
    <w:p>
      <w:pPr>
        <w:pStyle w:val="2"/>
        <w:ind w:left="0" w:leftChars="0" w:firstLine="0" w:firstLineChars="0"/>
        <w:rPr>
          <w:rFonts w:hint="eastAsia" w:ascii="仿宋_GB2312" w:hAnsi="仿宋_GB2312" w:eastAsia="仿宋_GB2312" w:cs="仿宋_GB2312"/>
          <w:color w:val="000000"/>
          <w:kern w:val="0"/>
          <w:sz w:val="32"/>
          <w:szCs w:val="32"/>
          <w:lang w:val="en-US" w:eastAsia="zh-CN" w:bidi="ar"/>
        </w:rPr>
      </w:pPr>
    </w:p>
    <w:p>
      <w:pPr>
        <w:rPr>
          <w:rFonts w:hint="eastAsia"/>
          <w:lang w:val="en-US" w:eastAsia="zh-CN"/>
        </w:rPr>
      </w:pPr>
    </w:p>
    <w:tbl>
      <w:tblPr>
        <w:tblStyle w:val="13"/>
        <w:tblpPr w:leftFromText="180" w:rightFromText="180" w:vertAnchor="text" w:horzAnchor="page" w:tblpX="1821" w:tblpY="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19" w:type="dxa"/>
            <w:noWrap w:val="0"/>
            <w:vAlign w:val="center"/>
          </w:tcPr>
          <w:p>
            <w:pPr>
              <w:spacing w:line="580" w:lineRule="exact"/>
              <w:jc w:val="center"/>
              <w:rPr>
                <w:bCs/>
                <w:szCs w:val="21"/>
              </w:rPr>
            </w:pPr>
            <w:r>
              <w:rPr>
                <w:rFonts w:hint="eastAsia" w:asciiTheme="majorEastAsia" w:hAnsiTheme="majorEastAsia" w:eastAsiaTheme="majorEastAsia" w:cstheme="majorEastAsia"/>
                <w:b/>
                <w:bCs/>
                <w:sz w:val="28"/>
                <w:szCs w:val="28"/>
              </w:rPr>
              <w:t>专栏</w:t>
            </w:r>
            <w:r>
              <w:rPr>
                <w:rFonts w:hint="eastAsia" w:asciiTheme="majorEastAsia" w:hAnsiTheme="majorEastAsia" w:eastAsiaTheme="majorEastAsia" w:cstheme="majorEastAsia"/>
                <w:b/>
                <w:bCs/>
                <w:sz w:val="28"/>
                <w:szCs w:val="28"/>
                <w:lang w:val="en-US" w:eastAsia="zh-CN"/>
              </w:rPr>
              <w:t>7</w:t>
            </w:r>
            <w:r>
              <w:rPr>
                <w:rFonts w:hint="eastAsia" w:asciiTheme="majorEastAsia" w:hAnsiTheme="majorEastAsia" w:eastAsiaTheme="majorEastAsia" w:cstheme="majorEastAsia"/>
                <w:b/>
                <w:bCs/>
                <w:sz w:val="28"/>
                <w:szCs w:val="28"/>
              </w:rPr>
              <w:t>卫生健康体系保障项目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exact"/>
        </w:trPr>
        <w:tc>
          <w:tcPr>
            <w:tcW w:w="8719" w:type="dxa"/>
            <w:noWrap w:val="0"/>
            <w:vAlign w:val="top"/>
          </w:tcPr>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2"/>
              <w:jc w:val="both"/>
              <w:textAlignment w:val="auto"/>
              <w:rPr>
                <w:rFonts w:hint="eastAsia" w:asciiTheme="minorEastAsia" w:hAnsiTheme="minorEastAsia" w:eastAsiaTheme="minorEastAsia" w:cstheme="minorEastAsia"/>
                <w:b/>
                <w:color w:val="000000"/>
                <w:kern w:val="2"/>
                <w:sz w:val="24"/>
                <w:szCs w:val="24"/>
              </w:rPr>
            </w:pPr>
            <w:r>
              <w:rPr>
                <w:rFonts w:hint="eastAsia" w:asciiTheme="minorEastAsia" w:hAnsiTheme="minorEastAsia" w:eastAsiaTheme="minorEastAsia" w:cstheme="minorEastAsia"/>
                <w:b/>
                <w:color w:val="000000"/>
                <w:kern w:val="2"/>
                <w:sz w:val="24"/>
                <w:szCs w:val="24"/>
              </w:rPr>
              <w:t>医疗卫生人才队伍建设项目</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2"/>
              <w:jc w:val="both"/>
              <w:textAlignment w:val="auto"/>
              <w:rPr>
                <w:rFonts w:hint="eastAsia" w:asciiTheme="minorEastAsia" w:hAnsiTheme="minorEastAsia" w:eastAsiaTheme="minorEastAsia" w:cstheme="minorEastAsia"/>
                <w:b/>
                <w:color w:val="000000"/>
                <w:kern w:val="2"/>
                <w:sz w:val="24"/>
                <w:szCs w:val="24"/>
              </w:rPr>
            </w:pPr>
            <w:r>
              <w:rPr>
                <w:rFonts w:hint="eastAsia" w:asciiTheme="minorEastAsia" w:hAnsiTheme="minorEastAsia" w:eastAsiaTheme="minorEastAsia" w:cstheme="minorEastAsia"/>
                <w:b/>
                <w:color w:val="000000"/>
                <w:kern w:val="2"/>
                <w:sz w:val="24"/>
                <w:szCs w:val="24"/>
              </w:rPr>
              <w:t>（1）红海扬帆人才引进计划。</w:t>
            </w:r>
            <w:r>
              <w:rPr>
                <w:rFonts w:hint="eastAsia" w:asciiTheme="minorEastAsia" w:hAnsiTheme="minorEastAsia" w:eastAsiaTheme="minorEastAsia" w:cstheme="minorEastAsia"/>
                <w:color w:val="000000"/>
                <w:kern w:val="2"/>
                <w:sz w:val="24"/>
                <w:szCs w:val="24"/>
              </w:rPr>
              <w:t>继续按照市红海扬帆人才引进计划，吸引高、新、尖、缺的国内外高层次人才来</w:t>
            </w:r>
            <w:r>
              <w:rPr>
                <w:rFonts w:hint="eastAsia" w:asciiTheme="minorEastAsia" w:hAnsiTheme="minorEastAsia" w:eastAsiaTheme="minorEastAsia" w:cstheme="minorEastAsia"/>
                <w:color w:val="000000"/>
                <w:kern w:val="2"/>
                <w:sz w:val="24"/>
                <w:szCs w:val="24"/>
                <w:lang w:eastAsia="zh-CN"/>
              </w:rPr>
              <w:t>陆河县</w:t>
            </w:r>
            <w:r>
              <w:rPr>
                <w:rFonts w:hint="eastAsia" w:asciiTheme="minorEastAsia" w:hAnsiTheme="minorEastAsia" w:eastAsiaTheme="minorEastAsia" w:cstheme="minorEastAsia"/>
                <w:color w:val="000000"/>
                <w:kern w:val="2"/>
                <w:sz w:val="24"/>
                <w:szCs w:val="24"/>
              </w:rPr>
              <w:t>就业，加快补齐高层次人才不足的短板。</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2"/>
              <w:jc w:val="both"/>
              <w:textAlignment w:val="auto"/>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b/>
                <w:color w:val="000000"/>
                <w:kern w:val="2"/>
                <w:sz w:val="24"/>
                <w:szCs w:val="24"/>
              </w:rPr>
              <w:t>（2）“县招县管镇用”计划。</w:t>
            </w:r>
            <w:r>
              <w:rPr>
                <w:rFonts w:hint="eastAsia" w:asciiTheme="minorEastAsia" w:hAnsiTheme="minorEastAsia" w:eastAsiaTheme="minorEastAsia" w:cstheme="minorEastAsia"/>
                <w:color w:val="000000"/>
                <w:kern w:val="2"/>
                <w:sz w:val="24"/>
                <w:szCs w:val="24"/>
              </w:rPr>
              <w:t>继续推动县级医院与乡镇卫生院实行一体化管理，推进“县招县管镇用”，补齐基层医疗卫生人员不足的短板。</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firstLine="422"/>
              <w:jc w:val="both"/>
              <w:textAlignment w:val="auto"/>
              <w:rPr>
                <w:rFonts w:hint="eastAsia" w:asciiTheme="minorEastAsia" w:hAnsiTheme="minorEastAsia" w:eastAsiaTheme="minorEastAsia" w:cstheme="minorEastAsia"/>
                <w:b/>
                <w:color w:val="000000"/>
                <w:kern w:val="2"/>
                <w:sz w:val="24"/>
                <w:szCs w:val="24"/>
              </w:rPr>
            </w:pPr>
            <w:r>
              <w:rPr>
                <w:rFonts w:hint="eastAsia" w:asciiTheme="minorEastAsia" w:hAnsiTheme="minorEastAsia" w:eastAsiaTheme="minorEastAsia" w:cstheme="minorEastAsia"/>
                <w:b/>
                <w:color w:val="000000"/>
                <w:kern w:val="2"/>
                <w:sz w:val="24"/>
                <w:szCs w:val="24"/>
              </w:rPr>
              <w:t>（3）订单定向培养计划。</w:t>
            </w:r>
            <w:r>
              <w:rPr>
                <w:rFonts w:hint="eastAsia" w:asciiTheme="minorEastAsia" w:hAnsiTheme="minorEastAsia" w:eastAsiaTheme="minorEastAsia" w:cstheme="minorEastAsia"/>
                <w:color w:val="000000"/>
                <w:kern w:val="2"/>
                <w:sz w:val="24"/>
                <w:szCs w:val="24"/>
              </w:rPr>
              <w:t>委托大学、职业技术院校培养不同层次的医疗卫生人才毕业后服务我市基层卫生机构，充实基层医疗卫生队伍。</w:t>
            </w:r>
          </w:p>
        </w:tc>
      </w:tr>
    </w:tbl>
    <w:p>
      <w:pPr>
        <w:pStyle w:val="2"/>
        <w:ind w:left="0" w:leftChars="0" w:firstLine="0" w:firstLineChars="0"/>
        <w:rPr>
          <w:rFonts w:hint="eastAsia"/>
          <w:lang w:eastAsia="zh-CN"/>
        </w:rPr>
      </w:pPr>
      <w:bookmarkStart w:id="144" w:name="_Toc64913619"/>
      <w:bookmarkStart w:id="145" w:name="_Toc24479"/>
      <w:bookmarkStart w:id="146" w:name="_Toc12362"/>
    </w:p>
    <w:p>
      <w:pPr>
        <w:keepNext w:val="0"/>
        <w:keepLines w:val="0"/>
        <w:pageBreakBefore w:val="0"/>
        <w:widowControl w:val="0"/>
        <w:numPr>
          <w:ilvl w:val="0"/>
          <w:numId w:val="8"/>
        </w:numPr>
        <w:tabs>
          <w:tab w:val="left" w:pos="2744"/>
        </w:tabs>
        <w:kinsoku/>
        <w:wordWrap/>
        <w:overflowPunct/>
        <w:topLinePunct w:val="0"/>
        <w:autoSpaceDE/>
        <w:autoSpaceDN/>
        <w:bidi w:val="0"/>
        <w:adjustRightInd/>
        <w:snapToGrid/>
        <w:spacing w:before="157" w:beforeLines="50" w:after="157" w:afterLines="50" w:line="480" w:lineRule="auto"/>
        <w:ind w:right="-315" w:rightChars="-150"/>
        <w:jc w:val="center"/>
        <w:textAlignment w:val="auto"/>
        <w:outlineLvl w:val="0"/>
        <w:rPr>
          <w:rFonts w:hint="eastAsia" w:ascii="方正小标宋简体" w:hAnsi="方正小标宋简体" w:eastAsia="方正小标宋简体" w:cs="方正小标宋简体"/>
          <w:b w:val="0"/>
          <w:bCs w:val="0"/>
          <w:sz w:val="36"/>
          <w:szCs w:val="36"/>
        </w:rPr>
      </w:pPr>
      <w:bookmarkStart w:id="147" w:name="_Toc15568"/>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保障措施</w:t>
      </w:r>
      <w:bookmarkEnd w:id="144"/>
      <w:bookmarkEnd w:id="145"/>
      <w:bookmarkEnd w:id="146"/>
      <w:bookmarkEnd w:id="147"/>
    </w:p>
    <w:p>
      <w:pPr>
        <w:keepNext w:val="0"/>
        <w:keepLines w:val="0"/>
        <w:pageBreakBefore w:val="0"/>
        <w:widowControl w:val="0"/>
        <w:numPr>
          <w:ilvl w:val="0"/>
          <w:numId w:val="0"/>
        </w:numPr>
        <w:tabs>
          <w:tab w:val="left" w:pos="2744"/>
        </w:tabs>
        <w:kinsoku/>
        <w:wordWrap/>
        <w:overflowPunct/>
        <w:topLinePunct w:val="0"/>
        <w:autoSpaceDE/>
        <w:autoSpaceDN/>
        <w:bidi w:val="0"/>
        <w:adjustRightInd/>
        <w:snapToGrid/>
        <w:spacing w:before="157" w:beforeLines="50" w:after="157" w:afterLines="50" w:line="480" w:lineRule="auto"/>
        <w:ind w:right="-315" w:rightChars="-150"/>
        <w:jc w:val="center"/>
        <w:textAlignment w:val="auto"/>
        <w:outlineLvl w:val="1"/>
        <w:rPr>
          <w:rFonts w:hint="eastAsia" w:ascii="黑体" w:hAnsi="黑体" w:eastAsia="黑体" w:cs="黑体"/>
          <w:b w:val="0"/>
          <w:bCs/>
          <w:sz w:val="32"/>
          <w:szCs w:val="32"/>
          <w:lang w:eastAsia="zh-CN"/>
        </w:rPr>
      </w:pPr>
      <w:bookmarkStart w:id="148" w:name="_Toc10240"/>
      <w:bookmarkStart w:id="149" w:name="_Toc15035"/>
      <w:r>
        <w:rPr>
          <w:rFonts w:hint="eastAsia" w:ascii="黑体" w:hAnsi="黑体" w:eastAsia="黑体" w:cs="黑体"/>
          <w:b w:val="0"/>
          <w:bCs/>
          <w:sz w:val="32"/>
          <w:szCs w:val="32"/>
          <w:lang w:eastAsia="zh-CN"/>
        </w:rPr>
        <w:t>第一节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组织实施</w:t>
      </w:r>
      <w:bookmarkEnd w:id="148"/>
      <w:bookmarkEnd w:id="149"/>
    </w:p>
    <w:p>
      <w:pPr>
        <w:keepNext w:val="0"/>
        <w:keepLines w:val="0"/>
        <w:pageBreakBefore w:val="0"/>
        <w:widowControl w:val="0"/>
        <w:tabs>
          <w:tab w:val="left" w:pos="2744"/>
        </w:tabs>
        <w:kinsoku/>
        <w:wordWrap/>
        <w:overflowPunct/>
        <w:topLinePunct w:val="0"/>
        <w:autoSpaceDE/>
        <w:autoSpaceDN/>
        <w:bidi w:val="0"/>
        <w:adjustRightInd/>
        <w:snapToGrid/>
        <w:spacing w:before="157" w:beforeLines="50" w:after="157" w:afterLines="50" w:line="560" w:lineRule="exact"/>
        <w:ind w:right="0" w:rightChars="0"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组织领导，发挥党组织核心作用，落实各级政府主体责任，将卫生健康工作特别是公共卫生安全与应急工作融入各级、各部门政府工作中，将卫生健康核心指标纳入政府绩效考核。加强医改领导小组和应急指挥领导小组的统筹协调作用，视情况在政府与基层治理组织中增设公共卫生与应急相关部门或岗位，增强政策执行能力，确保任务落实到位。</w:t>
      </w:r>
      <w:bookmarkStart w:id="150" w:name="_Toc5228"/>
      <w:bookmarkStart w:id="151" w:name="_Toc13747"/>
      <w:bookmarkStart w:id="152" w:name="_Toc64913621"/>
      <w:bookmarkStart w:id="153" w:name="_Toc23639"/>
    </w:p>
    <w:p>
      <w:pPr>
        <w:keepNext w:val="0"/>
        <w:keepLines w:val="0"/>
        <w:pageBreakBefore w:val="0"/>
        <w:widowControl w:val="0"/>
        <w:tabs>
          <w:tab w:val="left" w:pos="2744"/>
        </w:tabs>
        <w:kinsoku/>
        <w:wordWrap/>
        <w:overflowPunct/>
        <w:topLinePunct w:val="0"/>
        <w:autoSpaceDE/>
        <w:autoSpaceDN/>
        <w:bidi w:val="0"/>
        <w:adjustRightInd/>
        <w:snapToGrid/>
        <w:spacing w:before="157" w:beforeLines="50" w:after="157" w:afterLines="50" w:line="560" w:lineRule="exact"/>
        <w:ind w:right="-315" w:rightChars="-150" w:firstLine="3200" w:firstLineChars="1000"/>
        <w:jc w:val="both"/>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eastAsia="zh-CN"/>
        </w:rPr>
        <w:t>第二节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完善投入</w:t>
      </w:r>
      <w:bookmarkEnd w:id="150"/>
      <w:bookmarkEnd w:id="151"/>
      <w:bookmarkEnd w:id="152"/>
      <w:bookmarkEnd w:id="153"/>
    </w:p>
    <w:p>
      <w:pPr>
        <w:keepNext w:val="0"/>
        <w:keepLines w:val="0"/>
        <w:pageBreakBefore w:val="0"/>
        <w:widowControl w:val="0"/>
        <w:pBdr>
          <w:bottom w:val="single" w:color="FFFFFF" w:sz="4" w:space="7"/>
        </w:pBdr>
        <w:tabs>
          <w:tab w:val="left" w:pos="1440"/>
        </w:tabs>
        <w:kinsoku/>
        <w:wordWrap/>
        <w:overflowPunct w:val="0"/>
        <w:topLinePunct w:val="0"/>
        <w:autoSpaceDE/>
        <w:autoSpaceDN/>
        <w:bidi w:val="0"/>
        <w:adjustRightInd w:val="0"/>
        <w:snapToGrid w:val="0"/>
        <w:spacing w:before="313" w:beforeLines="100" w:after="157" w:afterLines="50" w:line="560" w:lineRule="exact"/>
        <w:ind w:firstLine="640" w:firstLineChars="200"/>
        <w:textAlignment w:val="auto"/>
        <w:rPr>
          <w:rFonts w:hint="eastAsia" w:ascii="宋体" w:hAnsi="宋体" w:eastAsia="宋体" w:cs="宋体"/>
          <w:sz w:val="30"/>
          <w:szCs w:val="30"/>
        </w:rPr>
      </w:pPr>
      <w:r>
        <w:rPr>
          <w:rFonts w:hint="eastAsia" w:ascii="仿宋_GB2312" w:hAnsi="仿宋_GB2312" w:eastAsia="仿宋_GB2312" w:cs="仿宋_GB2312"/>
          <w:color w:val="000000"/>
          <w:sz w:val="32"/>
          <w:szCs w:val="32"/>
        </w:rPr>
        <w:t>完善政府主导的多元化卫生筹资机制，强化政府对卫生健康基本公共服务的投入责任，引导社会资金参与发展卫生健康事业。县级政府要落实好各项卫生健康投入政策，建立适应医药卫生体制改革的投入机制，保障卫生健康事业发展顺利推进</w:t>
      </w:r>
      <w:r>
        <w:rPr>
          <w:rFonts w:hint="eastAsia" w:ascii="宋体" w:hAnsi="宋体" w:eastAsia="宋体" w:cs="宋体"/>
          <w:color w:val="000000"/>
          <w:sz w:val="30"/>
          <w:szCs w:val="30"/>
        </w:rPr>
        <w:t>。</w:t>
      </w:r>
    </w:p>
    <w:p>
      <w:pPr>
        <w:keepNext w:val="0"/>
        <w:keepLines w:val="0"/>
        <w:pageBreakBefore w:val="0"/>
        <w:widowControl w:val="0"/>
        <w:numPr>
          <w:ilvl w:val="0"/>
          <w:numId w:val="0"/>
        </w:numPr>
        <w:tabs>
          <w:tab w:val="left" w:pos="2744"/>
        </w:tabs>
        <w:kinsoku/>
        <w:wordWrap/>
        <w:overflowPunct/>
        <w:topLinePunct w:val="0"/>
        <w:autoSpaceDE/>
        <w:autoSpaceDN/>
        <w:bidi w:val="0"/>
        <w:spacing w:before="157" w:beforeLines="50" w:after="157" w:afterLines="50" w:line="560" w:lineRule="exact"/>
        <w:ind w:right="-315" w:rightChars="-150"/>
        <w:jc w:val="center"/>
        <w:textAlignment w:val="auto"/>
        <w:outlineLvl w:val="1"/>
        <w:rPr>
          <w:rFonts w:hint="eastAsia" w:ascii="黑体" w:hAnsi="黑体" w:eastAsia="黑体" w:cs="黑体"/>
          <w:b w:val="0"/>
          <w:bCs/>
          <w:sz w:val="32"/>
          <w:szCs w:val="32"/>
        </w:rPr>
      </w:pPr>
      <w:bookmarkStart w:id="154" w:name="_Toc64913623"/>
      <w:bookmarkStart w:id="155" w:name="_Toc28196"/>
      <w:bookmarkStart w:id="156" w:name="_Toc30792"/>
      <w:bookmarkStart w:id="157" w:name="_Toc19622"/>
      <w:r>
        <w:rPr>
          <w:rFonts w:hint="eastAsia" w:ascii="黑体" w:hAnsi="黑体" w:eastAsia="黑体" w:cs="黑体"/>
          <w:b w:val="0"/>
          <w:bCs/>
          <w:sz w:val="32"/>
          <w:szCs w:val="32"/>
          <w:lang w:eastAsia="zh-CN"/>
        </w:rPr>
        <w:t>第三节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监测评估</w:t>
      </w:r>
      <w:bookmarkEnd w:id="154"/>
      <w:bookmarkEnd w:id="155"/>
      <w:bookmarkEnd w:id="156"/>
      <w:bookmarkEnd w:id="157"/>
    </w:p>
    <w:p>
      <w:pPr>
        <w:keepNext w:val="0"/>
        <w:keepLines w:val="0"/>
        <w:pageBreakBefore w:val="0"/>
        <w:widowControl w:val="0"/>
        <w:pBdr>
          <w:bottom w:val="single" w:color="FFFFFF" w:sz="4" w:space="7"/>
        </w:pBdr>
        <w:tabs>
          <w:tab w:val="left" w:pos="1440"/>
        </w:tabs>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规划监测评估机制，定期对规划实施进度和实施效果开展全面评估。监督重大项目的执行情况。完善规划中期和终期评估制度，对监测评估中发现的问题,要加强督导和纠偏，及时研究解决办法，确保规划目标的实现。</w:t>
      </w:r>
    </w:p>
    <w:p>
      <w:pPr>
        <w:keepNext w:val="0"/>
        <w:keepLines w:val="0"/>
        <w:pageBreakBefore w:val="0"/>
        <w:widowControl w:val="0"/>
        <w:numPr>
          <w:ilvl w:val="0"/>
          <w:numId w:val="0"/>
        </w:numPr>
        <w:tabs>
          <w:tab w:val="left" w:pos="2744"/>
        </w:tabs>
        <w:kinsoku/>
        <w:wordWrap/>
        <w:overflowPunct/>
        <w:topLinePunct w:val="0"/>
        <w:autoSpaceDE/>
        <w:autoSpaceDN/>
        <w:bidi w:val="0"/>
        <w:spacing w:before="313" w:beforeLines="100" w:after="157" w:afterLines="50" w:line="560" w:lineRule="exact"/>
        <w:ind w:right="-315" w:rightChars="-150"/>
        <w:jc w:val="center"/>
        <w:textAlignment w:val="auto"/>
        <w:outlineLvl w:val="1"/>
        <w:rPr>
          <w:rFonts w:hint="eastAsia" w:ascii="黑体" w:hAnsi="黑体" w:eastAsia="黑体" w:cs="黑体"/>
          <w:b w:val="0"/>
          <w:bCs/>
          <w:sz w:val="32"/>
          <w:szCs w:val="32"/>
        </w:rPr>
      </w:pPr>
      <w:bookmarkStart w:id="158" w:name="_Toc23996"/>
      <w:bookmarkStart w:id="159" w:name="_Toc21803"/>
      <w:bookmarkStart w:id="160" w:name="_Toc619"/>
      <w:bookmarkStart w:id="161" w:name="_Toc64913624"/>
      <w:r>
        <w:rPr>
          <w:rFonts w:hint="eastAsia" w:ascii="黑体" w:hAnsi="黑体" w:eastAsia="黑体" w:cs="黑体"/>
          <w:b w:val="0"/>
          <w:bCs/>
          <w:sz w:val="32"/>
          <w:szCs w:val="32"/>
          <w:lang w:eastAsia="zh-CN"/>
        </w:rPr>
        <w:t>第四节</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宣传引导</w:t>
      </w:r>
      <w:bookmarkEnd w:id="158"/>
      <w:bookmarkEnd w:id="159"/>
      <w:bookmarkEnd w:id="160"/>
      <w:bookmarkEnd w:id="161"/>
    </w:p>
    <w:p>
      <w:pPr>
        <w:keepNext w:val="0"/>
        <w:keepLines w:val="0"/>
        <w:pageBreakBefore w:val="0"/>
        <w:widowControl w:val="0"/>
        <w:pBdr>
          <w:bottom w:val="single" w:color="FFFFFF" w:sz="4" w:space="7"/>
        </w:pBdr>
        <w:tabs>
          <w:tab w:val="left" w:pos="1440"/>
        </w:tabs>
        <w:kinsoku/>
        <w:wordWrap/>
        <w:overflowPunct/>
        <w:topLinePunct w:val="0"/>
        <w:autoSpaceDE/>
        <w:autoSpaceDN/>
        <w:bidi w:val="0"/>
        <w:adjustRightInd w:val="0"/>
        <w:snapToGrid w:val="0"/>
        <w:spacing w:before="313" w:beforeLines="100" w:after="157" w:afterLines="50" w:line="560" w:lineRule="exact"/>
        <w:ind w:firstLine="640" w:firstLineChars="200"/>
        <w:textAlignment w:val="auto"/>
        <w:rPr>
          <w:rFonts w:hint="eastAsia" w:ascii="宋体" w:hAnsi="宋体" w:eastAsia="宋体" w:cs="宋体"/>
          <w:sz w:val="30"/>
          <w:szCs w:val="30"/>
          <w:lang w:val="en-US" w:eastAsia="zh-CN"/>
        </w:rPr>
      </w:pPr>
      <w:r>
        <w:rPr>
          <w:rFonts w:hint="eastAsia" w:ascii="仿宋_GB2312" w:hAnsi="仿宋_GB2312" w:eastAsia="仿宋_GB2312" w:cs="仿宋_GB2312"/>
          <w:color w:val="000000"/>
          <w:sz w:val="32"/>
          <w:szCs w:val="32"/>
        </w:rPr>
        <w:t>坚持正确的舆论导向，加强政策解读，营造卫生健康发展的良好社会氛围。通过多样化的媒体传播手段，及时宣传各类政策信息，回应社会关切，广泛凝聚社会共识，提高群众对改革的知晓率和参与度，营造全社会关心、理解和支持卫生健康事业的良好氛围。</w:t>
      </w:r>
    </w:p>
    <w:sectPr>
      <w:footerReference r:id="rId4" w:type="default"/>
      <w:pgSz w:w="11906" w:h="16838"/>
      <w:pgMar w:top="2098" w:right="1474" w:bottom="187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E1EFF3-BFAE-4981-8DAF-178561281C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2CF7A14-8268-4657-BEBC-4310AE285202}"/>
  </w:font>
  <w:font w:name="仿宋_GB2312">
    <w:panose1 w:val="02010609030101010101"/>
    <w:charset w:val="86"/>
    <w:family w:val="modern"/>
    <w:pitch w:val="default"/>
    <w:sig w:usb0="00000001" w:usb1="080E0000" w:usb2="00000000" w:usb3="00000000" w:csb0="00040000" w:csb1="00000000"/>
    <w:embedRegular r:id="rId3" w:fontKey="{DDFD0A17-747D-4383-B9AD-4801F8C530B8}"/>
  </w:font>
  <w:font w:name="仿宋">
    <w:panose1 w:val="02010609060101010101"/>
    <w:charset w:val="86"/>
    <w:family w:val="auto"/>
    <w:pitch w:val="default"/>
    <w:sig w:usb0="800002BF" w:usb1="38CF7CFA" w:usb2="00000016" w:usb3="00000000" w:csb0="00040001" w:csb1="00000000"/>
    <w:embedRegular r:id="rId4" w:fontKey="{A565AD3D-2A64-43B3-BE4C-AD2BC896E061}"/>
  </w:font>
  <w:font w:name="方正小标宋简体">
    <w:panose1 w:val="03000509000000000000"/>
    <w:charset w:val="86"/>
    <w:family w:val="script"/>
    <w:pitch w:val="default"/>
    <w:sig w:usb0="00000001" w:usb1="080E0000" w:usb2="00000000" w:usb3="00000000" w:csb0="00040000" w:csb1="00000000"/>
    <w:embedRegular r:id="rId5" w:fontKey="{A4AFA6B2-62A8-4D5B-A746-FAB0ECAF4B74}"/>
  </w:font>
  <w:font w:name="楷体_GB2312">
    <w:panose1 w:val="02010609030101010101"/>
    <w:charset w:val="86"/>
    <w:family w:val="modern"/>
    <w:pitch w:val="default"/>
    <w:sig w:usb0="00000001" w:usb1="080E0000" w:usb2="00000000" w:usb3="00000000" w:csb0="00040000" w:csb1="00000000"/>
    <w:embedRegular r:id="rId6" w:fontKey="{C9DCFCAE-FB2D-4A86-9A29-BEC293B24C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- 2 -</w:t>
                          </w:r>
                          <w:r>
                            <w:rPr>
                              <w:rFonts w:hint="eastAsia" w:asciiTheme="minorEastAsia" w:hAnsiTheme="minorEastAsia" w:eastAsiaTheme="minorEastAsia" w:cstheme="minorEastAsia"/>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- 2 -</w:t>
                    </w:r>
                    <w:r>
                      <w:rPr>
                        <w:rFonts w:hint="eastAsia" w:asciiTheme="minorEastAsia" w:hAnsiTheme="minorEastAsia" w:eastAsiaTheme="minorEastAsia" w:cstheme="minorEastAsia"/>
                        <w:sz w:val="24"/>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28527"/>
    <w:multiLevelType w:val="singleLevel"/>
    <w:tmpl w:val="A3C28527"/>
    <w:lvl w:ilvl="0" w:tentative="0">
      <w:start w:val="1"/>
      <w:numFmt w:val="chineseCounting"/>
      <w:suff w:val="space"/>
      <w:lvlText w:val="第%1章"/>
      <w:lvlJc w:val="left"/>
      <w:rPr>
        <w:rFonts w:hint="eastAsia"/>
      </w:rPr>
    </w:lvl>
  </w:abstractNum>
  <w:abstractNum w:abstractNumId="1">
    <w:nsid w:val="C8C116DE"/>
    <w:multiLevelType w:val="singleLevel"/>
    <w:tmpl w:val="C8C116DE"/>
    <w:lvl w:ilvl="0" w:tentative="0">
      <w:start w:val="4"/>
      <w:numFmt w:val="chineseCounting"/>
      <w:suff w:val="nothing"/>
      <w:lvlText w:val="%1、"/>
      <w:lvlJc w:val="left"/>
      <w:rPr>
        <w:rFonts w:hint="eastAsia"/>
      </w:rPr>
    </w:lvl>
  </w:abstractNum>
  <w:abstractNum w:abstractNumId="2">
    <w:nsid w:val="CC1DBB3C"/>
    <w:multiLevelType w:val="singleLevel"/>
    <w:tmpl w:val="CC1DBB3C"/>
    <w:lvl w:ilvl="0" w:tentative="0">
      <w:start w:val="4"/>
      <w:numFmt w:val="chineseCounting"/>
      <w:suff w:val="space"/>
      <w:lvlText w:val="第%1章"/>
      <w:lvlJc w:val="left"/>
      <w:rPr>
        <w:rFonts w:hint="eastAsia" w:ascii="宋体" w:hAnsi="宋体" w:eastAsia="宋体" w:cs="宋体"/>
        <w:b/>
        <w:bCs/>
        <w:sz w:val="36"/>
        <w:szCs w:val="36"/>
      </w:rPr>
    </w:lvl>
  </w:abstractNum>
  <w:abstractNum w:abstractNumId="3">
    <w:nsid w:val="F2F4A352"/>
    <w:multiLevelType w:val="singleLevel"/>
    <w:tmpl w:val="F2F4A352"/>
    <w:lvl w:ilvl="0" w:tentative="0">
      <w:start w:val="1"/>
      <w:numFmt w:val="chineseCounting"/>
      <w:suff w:val="nothing"/>
      <w:lvlText w:val="（%1）"/>
      <w:lvlJc w:val="left"/>
      <w:rPr>
        <w:rFonts w:hint="eastAsia"/>
        <w:b/>
        <w:bCs/>
      </w:rPr>
    </w:lvl>
  </w:abstractNum>
  <w:abstractNum w:abstractNumId="4">
    <w:nsid w:val="F6C8AA49"/>
    <w:multiLevelType w:val="singleLevel"/>
    <w:tmpl w:val="F6C8AA49"/>
    <w:lvl w:ilvl="0" w:tentative="0">
      <w:start w:val="2"/>
      <w:numFmt w:val="decimal"/>
      <w:suff w:val="nothing"/>
      <w:lvlText w:val="%1、"/>
      <w:lvlJc w:val="left"/>
    </w:lvl>
  </w:abstractNum>
  <w:abstractNum w:abstractNumId="5">
    <w:nsid w:val="FF3C85FD"/>
    <w:multiLevelType w:val="singleLevel"/>
    <w:tmpl w:val="FF3C85FD"/>
    <w:lvl w:ilvl="0" w:tentative="0">
      <w:start w:val="1"/>
      <w:numFmt w:val="chineseCounting"/>
      <w:suff w:val="space"/>
      <w:lvlText w:val="第%1节"/>
      <w:lvlJc w:val="left"/>
      <w:rPr>
        <w:rFonts w:hint="eastAsia"/>
      </w:rPr>
    </w:lvl>
  </w:abstractNum>
  <w:abstractNum w:abstractNumId="6">
    <w:nsid w:val="1E677B7B"/>
    <w:multiLevelType w:val="singleLevel"/>
    <w:tmpl w:val="1E677B7B"/>
    <w:lvl w:ilvl="0" w:tentative="0">
      <w:start w:val="3"/>
      <w:numFmt w:val="chineseCounting"/>
      <w:suff w:val="nothing"/>
      <w:lvlText w:val="%1、"/>
      <w:lvlJc w:val="left"/>
      <w:rPr>
        <w:rFonts w:hint="eastAsia"/>
      </w:rPr>
    </w:lvl>
  </w:abstractNum>
  <w:abstractNum w:abstractNumId="7">
    <w:nsid w:val="2AC65D38"/>
    <w:multiLevelType w:val="singleLevel"/>
    <w:tmpl w:val="2AC65D38"/>
    <w:lvl w:ilvl="0" w:tentative="0">
      <w:start w:val="1"/>
      <w:numFmt w:val="chineseCounting"/>
      <w:suff w:val="nothing"/>
      <w:lvlText w:val="%1、"/>
      <w:lvlJc w:val="left"/>
      <w:rPr>
        <w:rFonts w:hint="eastAsia"/>
      </w:rPr>
    </w:lvl>
  </w:abstractNum>
  <w:num w:numId="1">
    <w:abstractNumId w:val="0"/>
  </w:num>
  <w:num w:numId="2">
    <w:abstractNumId w:val="5"/>
  </w:num>
  <w:num w:numId="3">
    <w:abstractNumId w:val="7"/>
  </w:num>
  <w:num w:numId="4">
    <w:abstractNumId w:val="1"/>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ZjkxZTNhMzNiMDcwODYxZDJiZGYyNDAwODdiYTUifQ=="/>
  </w:docVars>
  <w:rsids>
    <w:rsidRoot w:val="43AA6A2B"/>
    <w:rsid w:val="01AA3877"/>
    <w:rsid w:val="02BC7D06"/>
    <w:rsid w:val="03210B87"/>
    <w:rsid w:val="032A3C59"/>
    <w:rsid w:val="039C407F"/>
    <w:rsid w:val="042E253E"/>
    <w:rsid w:val="047A39D5"/>
    <w:rsid w:val="0542127F"/>
    <w:rsid w:val="05816D3C"/>
    <w:rsid w:val="05982825"/>
    <w:rsid w:val="064C5BC6"/>
    <w:rsid w:val="06680271"/>
    <w:rsid w:val="06693D01"/>
    <w:rsid w:val="069A65B0"/>
    <w:rsid w:val="072132C6"/>
    <w:rsid w:val="07A10E4E"/>
    <w:rsid w:val="07F43A9E"/>
    <w:rsid w:val="080F0E93"/>
    <w:rsid w:val="082E0DDC"/>
    <w:rsid w:val="08634780"/>
    <w:rsid w:val="086C1887"/>
    <w:rsid w:val="08B80F70"/>
    <w:rsid w:val="08F04266"/>
    <w:rsid w:val="0D317FF3"/>
    <w:rsid w:val="0D3634E8"/>
    <w:rsid w:val="0D4A6698"/>
    <w:rsid w:val="0DBA4008"/>
    <w:rsid w:val="0E984C84"/>
    <w:rsid w:val="0ED867C4"/>
    <w:rsid w:val="0F3E007E"/>
    <w:rsid w:val="0F45125C"/>
    <w:rsid w:val="0FDF6DE2"/>
    <w:rsid w:val="105C12ED"/>
    <w:rsid w:val="115E643E"/>
    <w:rsid w:val="11A93B4C"/>
    <w:rsid w:val="1246139A"/>
    <w:rsid w:val="12AD68BC"/>
    <w:rsid w:val="12C87856"/>
    <w:rsid w:val="13C6058A"/>
    <w:rsid w:val="13D247A0"/>
    <w:rsid w:val="13EB21F9"/>
    <w:rsid w:val="14324B4D"/>
    <w:rsid w:val="14753ED6"/>
    <w:rsid w:val="148C6C12"/>
    <w:rsid w:val="14F96B98"/>
    <w:rsid w:val="152F25BA"/>
    <w:rsid w:val="162163A6"/>
    <w:rsid w:val="1679289C"/>
    <w:rsid w:val="16AA5FB0"/>
    <w:rsid w:val="172F4AF3"/>
    <w:rsid w:val="17877C80"/>
    <w:rsid w:val="17A27073"/>
    <w:rsid w:val="17BD5C5B"/>
    <w:rsid w:val="180E4708"/>
    <w:rsid w:val="18ED4F39"/>
    <w:rsid w:val="19601486"/>
    <w:rsid w:val="1966000D"/>
    <w:rsid w:val="1C1801C8"/>
    <w:rsid w:val="1CE9624A"/>
    <w:rsid w:val="1D534C64"/>
    <w:rsid w:val="1D9415CB"/>
    <w:rsid w:val="1DC85359"/>
    <w:rsid w:val="1E320A25"/>
    <w:rsid w:val="1ECA4188"/>
    <w:rsid w:val="1FD50964"/>
    <w:rsid w:val="20207D22"/>
    <w:rsid w:val="20E728B2"/>
    <w:rsid w:val="214D3F8A"/>
    <w:rsid w:val="23CB28C1"/>
    <w:rsid w:val="23E16FE3"/>
    <w:rsid w:val="23E80F0A"/>
    <w:rsid w:val="241B49E1"/>
    <w:rsid w:val="250824DF"/>
    <w:rsid w:val="251A5CCC"/>
    <w:rsid w:val="269D3AB3"/>
    <w:rsid w:val="28131A34"/>
    <w:rsid w:val="28461FCD"/>
    <w:rsid w:val="287E4F92"/>
    <w:rsid w:val="288B76AF"/>
    <w:rsid w:val="29950654"/>
    <w:rsid w:val="2B146CB1"/>
    <w:rsid w:val="2B861A68"/>
    <w:rsid w:val="2C2C4876"/>
    <w:rsid w:val="2C387B4E"/>
    <w:rsid w:val="2C8132A3"/>
    <w:rsid w:val="2CCF6779"/>
    <w:rsid w:val="2CDE6DA8"/>
    <w:rsid w:val="2D4A7B39"/>
    <w:rsid w:val="2DAA05D8"/>
    <w:rsid w:val="2E6801AF"/>
    <w:rsid w:val="2E7E054A"/>
    <w:rsid w:val="2E861045"/>
    <w:rsid w:val="2EA27501"/>
    <w:rsid w:val="30182170"/>
    <w:rsid w:val="312E4D7E"/>
    <w:rsid w:val="319C60F2"/>
    <w:rsid w:val="31B45EC9"/>
    <w:rsid w:val="326851D9"/>
    <w:rsid w:val="32786CD9"/>
    <w:rsid w:val="33ED425B"/>
    <w:rsid w:val="34531AFF"/>
    <w:rsid w:val="349F7CED"/>
    <w:rsid w:val="35683252"/>
    <w:rsid w:val="364249B7"/>
    <w:rsid w:val="3684230E"/>
    <w:rsid w:val="37A61E10"/>
    <w:rsid w:val="37BF1902"/>
    <w:rsid w:val="38811EE6"/>
    <w:rsid w:val="38902B18"/>
    <w:rsid w:val="39B146AC"/>
    <w:rsid w:val="39EB6CE4"/>
    <w:rsid w:val="3A584469"/>
    <w:rsid w:val="3AF332ED"/>
    <w:rsid w:val="3B25480D"/>
    <w:rsid w:val="3B714E2B"/>
    <w:rsid w:val="3B8416F2"/>
    <w:rsid w:val="3B954DB1"/>
    <w:rsid w:val="3BFA4E20"/>
    <w:rsid w:val="3C1001A0"/>
    <w:rsid w:val="3C1F6635"/>
    <w:rsid w:val="3C606318"/>
    <w:rsid w:val="3C9C20C0"/>
    <w:rsid w:val="3CEB7B5E"/>
    <w:rsid w:val="3DCC6348"/>
    <w:rsid w:val="3DF90709"/>
    <w:rsid w:val="3F26205C"/>
    <w:rsid w:val="3F620E8E"/>
    <w:rsid w:val="3F8506BF"/>
    <w:rsid w:val="3FC3709A"/>
    <w:rsid w:val="4066497A"/>
    <w:rsid w:val="406922CA"/>
    <w:rsid w:val="42204EB5"/>
    <w:rsid w:val="427B074B"/>
    <w:rsid w:val="435306CA"/>
    <w:rsid w:val="439462BD"/>
    <w:rsid w:val="43AA6A2B"/>
    <w:rsid w:val="4420421C"/>
    <w:rsid w:val="44E623E5"/>
    <w:rsid w:val="44F24653"/>
    <w:rsid w:val="44F47B33"/>
    <w:rsid w:val="454F5136"/>
    <w:rsid w:val="4568612B"/>
    <w:rsid w:val="458B2010"/>
    <w:rsid w:val="46804174"/>
    <w:rsid w:val="471447CE"/>
    <w:rsid w:val="47946129"/>
    <w:rsid w:val="48397C7F"/>
    <w:rsid w:val="48535EE5"/>
    <w:rsid w:val="48E44E8E"/>
    <w:rsid w:val="49175F10"/>
    <w:rsid w:val="492F7345"/>
    <w:rsid w:val="49DC7913"/>
    <w:rsid w:val="4A0B14C1"/>
    <w:rsid w:val="4A673681"/>
    <w:rsid w:val="4A7F0EDD"/>
    <w:rsid w:val="4AE74049"/>
    <w:rsid w:val="4B3043BA"/>
    <w:rsid w:val="4B4C5859"/>
    <w:rsid w:val="4C03387D"/>
    <w:rsid w:val="4C98387D"/>
    <w:rsid w:val="4D06182C"/>
    <w:rsid w:val="4DC03108"/>
    <w:rsid w:val="4DD965B4"/>
    <w:rsid w:val="4DEA6FCD"/>
    <w:rsid w:val="4E28581D"/>
    <w:rsid w:val="4EB66985"/>
    <w:rsid w:val="4F2F1960"/>
    <w:rsid w:val="4FA01D5A"/>
    <w:rsid w:val="4FB8540C"/>
    <w:rsid w:val="4FCE7570"/>
    <w:rsid w:val="50B82E88"/>
    <w:rsid w:val="51416C73"/>
    <w:rsid w:val="51DC02A9"/>
    <w:rsid w:val="51DF2ACC"/>
    <w:rsid w:val="5259525A"/>
    <w:rsid w:val="52F932E4"/>
    <w:rsid w:val="531F296A"/>
    <w:rsid w:val="53915C12"/>
    <w:rsid w:val="53C9347E"/>
    <w:rsid w:val="53EE4E13"/>
    <w:rsid w:val="53F771A1"/>
    <w:rsid w:val="543A0D2B"/>
    <w:rsid w:val="54557E87"/>
    <w:rsid w:val="54635ADD"/>
    <w:rsid w:val="54AF6645"/>
    <w:rsid w:val="55313209"/>
    <w:rsid w:val="55A17D0E"/>
    <w:rsid w:val="55E331A5"/>
    <w:rsid w:val="575C6D34"/>
    <w:rsid w:val="585B412F"/>
    <w:rsid w:val="58B63596"/>
    <w:rsid w:val="590E1235"/>
    <w:rsid w:val="592B61C1"/>
    <w:rsid w:val="5948767D"/>
    <w:rsid w:val="594A6647"/>
    <w:rsid w:val="597869E9"/>
    <w:rsid w:val="5A715A15"/>
    <w:rsid w:val="5AC95C92"/>
    <w:rsid w:val="5B0F5BAD"/>
    <w:rsid w:val="5BD20B76"/>
    <w:rsid w:val="5C9D73D6"/>
    <w:rsid w:val="5CCE7744"/>
    <w:rsid w:val="5CD275DF"/>
    <w:rsid w:val="5E27705A"/>
    <w:rsid w:val="5E820631"/>
    <w:rsid w:val="5E993219"/>
    <w:rsid w:val="5F21609C"/>
    <w:rsid w:val="5FF82758"/>
    <w:rsid w:val="6039337D"/>
    <w:rsid w:val="62007D41"/>
    <w:rsid w:val="623460E6"/>
    <w:rsid w:val="626B6795"/>
    <w:rsid w:val="62A50D92"/>
    <w:rsid w:val="635A1B7D"/>
    <w:rsid w:val="639925CA"/>
    <w:rsid w:val="63F7408D"/>
    <w:rsid w:val="641C50CD"/>
    <w:rsid w:val="64427EC7"/>
    <w:rsid w:val="644520A8"/>
    <w:rsid w:val="64C878DB"/>
    <w:rsid w:val="65401246"/>
    <w:rsid w:val="65723804"/>
    <w:rsid w:val="66945311"/>
    <w:rsid w:val="67EF3AFA"/>
    <w:rsid w:val="68352E9F"/>
    <w:rsid w:val="684A586B"/>
    <w:rsid w:val="685B748F"/>
    <w:rsid w:val="68635941"/>
    <w:rsid w:val="686B4ECE"/>
    <w:rsid w:val="68833924"/>
    <w:rsid w:val="689A7DBD"/>
    <w:rsid w:val="69164798"/>
    <w:rsid w:val="692769A5"/>
    <w:rsid w:val="69A522EB"/>
    <w:rsid w:val="6A132A85"/>
    <w:rsid w:val="6A493FCB"/>
    <w:rsid w:val="6A853240"/>
    <w:rsid w:val="6BA208B3"/>
    <w:rsid w:val="6BDB75D3"/>
    <w:rsid w:val="6C9F4AA4"/>
    <w:rsid w:val="6CCD4484"/>
    <w:rsid w:val="6D2013E4"/>
    <w:rsid w:val="6D6D6950"/>
    <w:rsid w:val="6DAE63BF"/>
    <w:rsid w:val="6DDD7632"/>
    <w:rsid w:val="6E3030D4"/>
    <w:rsid w:val="6EBD7464"/>
    <w:rsid w:val="6ECF4CBA"/>
    <w:rsid w:val="6F8F4EC7"/>
    <w:rsid w:val="6FFC3A4C"/>
    <w:rsid w:val="7040152F"/>
    <w:rsid w:val="70A10E72"/>
    <w:rsid w:val="70CF4A90"/>
    <w:rsid w:val="70E560D1"/>
    <w:rsid w:val="72707E06"/>
    <w:rsid w:val="72D134DE"/>
    <w:rsid w:val="72D852C3"/>
    <w:rsid w:val="73C54EE2"/>
    <w:rsid w:val="752671C1"/>
    <w:rsid w:val="761659B6"/>
    <w:rsid w:val="762A53DF"/>
    <w:rsid w:val="76393874"/>
    <w:rsid w:val="76F12D02"/>
    <w:rsid w:val="77EE050C"/>
    <w:rsid w:val="785901FD"/>
    <w:rsid w:val="7A552C46"/>
    <w:rsid w:val="7A8C4CBB"/>
    <w:rsid w:val="7AA31C03"/>
    <w:rsid w:val="7AA5388D"/>
    <w:rsid w:val="7ABB6C9D"/>
    <w:rsid w:val="7ACA5B3F"/>
    <w:rsid w:val="7B302A55"/>
    <w:rsid w:val="7B4C5DF7"/>
    <w:rsid w:val="7BAA302D"/>
    <w:rsid w:val="7BC260B9"/>
    <w:rsid w:val="7C484810"/>
    <w:rsid w:val="7C725D31"/>
    <w:rsid w:val="7CE7061C"/>
    <w:rsid w:val="7CEA58C8"/>
    <w:rsid w:val="7CFB7AD5"/>
    <w:rsid w:val="7D8C697F"/>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outlineLvl w:val="0"/>
    </w:pPr>
    <w:rPr>
      <w:rFonts w:eastAsia="黑体"/>
      <w:b/>
      <w:bCs/>
      <w:kern w:val="44"/>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9"/>
    <w:pPr>
      <w:outlineLvl w:val="2"/>
    </w:pPr>
    <w:rPr>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TOC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annotation text"/>
    <w:basedOn w:val="1"/>
    <w:unhideWhenUsed/>
    <w:qFormat/>
    <w:uiPriority w:val="99"/>
  </w:style>
  <w:style w:type="paragraph" w:styleId="7">
    <w:name w:val="Body Text"/>
    <w:basedOn w:val="1"/>
    <w:unhideWhenUsed/>
    <w:qFormat/>
    <w:uiPriority w:val="99"/>
    <w:pPr>
      <w:spacing w:line="600" w:lineRule="exact"/>
      <w:ind w:firstLine="200" w:firstLineChars="200"/>
      <w:jc w:val="left"/>
    </w:pPr>
    <w:rPr>
      <w:rFonts w:ascii="Calibri" w:hAnsi="Calibri" w:eastAsia="仿宋_GB2312"/>
      <w:sz w:val="32"/>
      <w:szCs w:val="24"/>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NormalCharacter"/>
    <w:link w:val="16"/>
    <w:qFormat/>
    <w:uiPriority w:val="0"/>
    <w:rPr>
      <w:kern w:val="0"/>
      <w:sz w:val="20"/>
    </w:rPr>
  </w:style>
  <w:style w:type="paragraph" w:customStyle="1" w:styleId="16">
    <w:name w:val="UserStyle_4"/>
    <w:basedOn w:val="1"/>
    <w:link w:val="15"/>
    <w:qFormat/>
    <w:uiPriority w:val="0"/>
    <w:pPr>
      <w:widowControl/>
      <w:spacing w:after="160" w:line="240" w:lineRule="exact"/>
      <w:ind w:firstLine="200" w:firstLineChars="200"/>
      <w:jc w:val="left"/>
    </w:pPr>
    <w:rPr>
      <w:kern w:val="0"/>
      <w:sz w:val="20"/>
    </w:rPr>
  </w:style>
  <w:style w:type="paragraph" w:customStyle="1" w:styleId="17">
    <w:name w:val="Body Text First Indent 2"/>
    <w:basedOn w:val="18"/>
    <w:qFormat/>
    <w:uiPriority w:val="0"/>
    <w:pPr>
      <w:spacing w:line="360" w:lineRule="auto"/>
    </w:pPr>
    <w:rPr>
      <w:rFonts w:eastAsia="宋体"/>
      <w:sz w:val="24"/>
    </w:rPr>
  </w:style>
  <w:style w:type="paragraph" w:customStyle="1" w:styleId="18">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customStyle="1" w:styleId="19">
    <w:name w:val="普通(网站)1"/>
    <w:basedOn w:val="1"/>
    <w:qFormat/>
    <w:uiPriority w:val="0"/>
    <w:pPr>
      <w:spacing w:beforeAutospacing="1" w:afterAutospacing="1" w:line="580" w:lineRule="exact"/>
      <w:ind w:firstLine="200" w:firstLineChars="200"/>
      <w:jc w:val="left"/>
    </w:pPr>
    <w:rPr>
      <w:rFonts w:ascii="Calibri" w:hAnsi="Calibri" w:eastAsia="仿宋_GB2312" w:cs="黑体"/>
      <w:kern w:val="0"/>
      <w:sz w:val="24"/>
      <w:szCs w:val="22"/>
    </w:rPr>
  </w:style>
  <w:style w:type="paragraph" w:customStyle="1" w:styleId="20">
    <w:name w:val="正文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22904</Words>
  <Characters>23464</Characters>
  <Lines>0</Lines>
  <Paragraphs>0</Paragraphs>
  <TotalTime>1</TotalTime>
  <ScaleCrop>false</ScaleCrop>
  <LinksUpToDate>false</LinksUpToDate>
  <CharactersWithSpaces>23649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2022-10-18T02:47:00Z</dcterms:created>
  <dc:creator>WBY吴炳尧</dc:creator>
  <cp:lastModifiedBy>芬</cp:lastModifiedBy>
  <cp:lastPrinted>2022-11-23T07:39:00Z</cp:lastPrinted>
  <dcterms:modified xsi:type="dcterms:W3CDTF">2023-08-23T03:14:18Z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545C896916564EAB9626C8B4635D4784</vt:lpwstr>
  </property>
</Properties>
</file>