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陆河县食品加工工业园区（一期）建设项目</w:t>
      </w:r>
    </w:p>
    <w:p>
      <w:pPr>
        <w:spacing w:line="560" w:lineRule="exact"/>
        <w:jc w:val="center"/>
        <w:rPr>
          <w:rFonts w:hint="eastAsia" w:ascii="方正小标宋简体" w:hAnsi="方正小标宋简体" w:cs="方正小标宋简体" w:eastAsiaTheme="minorEastAsia"/>
          <w:sz w:val="44"/>
          <w:szCs w:val="44"/>
          <w:lang w:eastAsia="zh-CN"/>
        </w:rPr>
      </w:pPr>
      <w:r>
        <w:rPr>
          <w:rFonts w:hint="eastAsia" w:ascii="方正小标宋简体" w:hAnsi="方正小标宋简体" w:eastAsia="方正小标宋简体" w:cs="方正小标宋简体"/>
          <w:sz w:val="44"/>
          <w:szCs w:val="44"/>
        </w:rPr>
        <w:t>征地拆迁工作实施方案</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征求意见稿</w:t>
      </w:r>
      <w:r>
        <w:rPr>
          <w:rFonts w:hint="eastAsia" w:ascii="方正小标宋简体" w:hAnsi="方正小标宋简体" w:eastAsia="方正小标宋简体" w:cs="方正小标宋简体"/>
          <w:sz w:val="44"/>
          <w:szCs w:val="44"/>
          <w:lang w:eastAsia="zh-CN"/>
        </w:rPr>
        <w:t>）</w:t>
      </w:r>
    </w:p>
    <w:p>
      <w:pPr>
        <w:spacing w:line="560" w:lineRule="exact"/>
        <w:ind w:firstLine="640" w:firstLineChars="200"/>
        <w:jc w:val="center"/>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土地管理法》有关法律法规规定，依据《陆河县征收农用地区片综合地价》（陆河自然资〔2021〕327号）等规定，为切实保障被征地农民的合法权益，促进陆河县经济社会可持续发展，确保陆河县食品加工工业园区（一期）建设项目征地拆迁工作顺利进行，结合本地实际，制定本方案。</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一、征地拆迁范围</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（一）征地范围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项目用地选址位于河田镇砂坑村，</w:t>
      </w:r>
      <w:r>
        <w:rPr>
          <w:rFonts w:hint="eastAsia" w:ascii="仿宋_GB2312" w:hAnsi="仿宋_GB2312" w:eastAsia="仿宋_GB2312" w:cs="仿宋_GB2312"/>
          <w:sz w:val="32"/>
          <w:szCs w:val="32"/>
          <w:lang w:val="en-US" w:eastAsia="zh-CN"/>
        </w:rPr>
        <w:t>西</w:t>
      </w:r>
      <w:r>
        <w:rPr>
          <w:rFonts w:hint="eastAsia" w:ascii="仿宋_GB2312" w:hAnsi="仿宋_GB2312" w:eastAsia="仿宋_GB2312" w:cs="仿宋_GB2312"/>
          <w:sz w:val="32"/>
          <w:szCs w:val="32"/>
        </w:rPr>
        <w:t>至东环路，</w:t>
      </w:r>
      <w:r>
        <w:rPr>
          <w:rFonts w:hint="eastAsia" w:ascii="仿宋_GB2312" w:hAnsi="仿宋_GB2312" w:eastAsia="仿宋_GB2312" w:cs="仿宋_GB2312"/>
          <w:sz w:val="32"/>
          <w:szCs w:val="32"/>
          <w:lang w:val="en-US" w:eastAsia="zh-CN"/>
        </w:rPr>
        <w:t>东</w:t>
      </w:r>
      <w:r>
        <w:rPr>
          <w:rFonts w:hint="eastAsia" w:ascii="仿宋_GB2312" w:hAnsi="仿宋_GB2312" w:eastAsia="仿宋_GB2312" w:cs="仿宋_GB2312"/>
          <w:sz w:val="32"/>
          <w:szCs w:val="32"/>
        </w:rPr>
        <w:t>至外东环路，南至规划一纵路（通新能源技工学校道路），北至砂坑村石地洋。陆河县食品加工工业园区（一期）建设项目预计征地305亩。</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（二）拆迁范围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征地范围</w:t>
      </w:r>
      <w:r>
        <w:rPr>
          <w:rFonts w:hint="eastAsia" w:ascii="仿宋_GB2312" w:hAnsi="仿宋_GB2312" w:eastAsia="仿宋_GB2312" w:cs="仿宋_GB2312"/>
          <w:sz w:val="32"/>
          <w:szCs w:val="32"/>
        </w:rPr>
        <w:t>内的房屋、建筑物、构筑物等地面附着物。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、土地征收政策措施</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（一）土地征收补偿标准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根据《陆河县征收农用地区片综合地价》（陆河自然资〔2021〕327号）执行。</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（二）青苗征收补偿标准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本项目青苗征收补偿</w:t>
      </w:r>
      <w:r>
        <w:rPr>
          <w:rFonts w:hint="eastAsia" w:ascii="仿宋_GB2312" w:hAnsi="仿宋_GB2312" w:eastAsia="仿宋_GB2312" w:cs="仿宋_GB2312"/>
          <w:sz w:val="32"/>
          <w:szCs w:val="32"/>
          <w:lang w:val="en-US" w:eastAsia="zh-CN"/>
        </w:rPr>
        <w:t>标准</w:t>
      </w:r>
      <w:r>
        <w:rPr>
          <w:rFonts w:hint="eastAsia" w:ascii="仿宋_GB2312" w:hAnsi="仿宋_GB2312" w:eastAsia="仿宋_GB2312" w:cs="仿宋_GB2312"/>
          <w:sz w:val="32"/>
          <w:szCs w:val="32"/>
        </w:rPr>
        <w:t>详见附</w:t>
      </w:r>
      <w:r>
        <w:rPr>
          <w:rFonts w:hint="eastAsia" w:ascii="仿宋_GB2312" w:hAnsi="仿宋_GB2312" w:eastAsia="仿宋_GB2312" w:cs="仿宋_GB2312"/>
          <w:sz w:val="32"/>
          <w:szCs w:val="32"/>
          <w:lang w:val="en-US" w:eastAsia="zh-CN"/>
        </w:rPr>
        <w:t>表</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（三）坟墓补偿标准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坟墓迁移补偿按大、中、小三种规格给予补偿，其中：3.6尺（含3.6尺）以上为大坟；2.6尺（含2.6尺）至3.6尺为中坟；2.6尺以下为小坟。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坟墓迁移补偿标准分别为：大坟12000元/穴、中坟8000元/穴、小坟4000元/穴、骨坛（金斗）600元/个。</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（四）留用地安置办法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依据《广东省征收农村集体土地留用地管理办法》等规定，留用地按实际征收面积的12%安排。</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、房屋征收政策措施</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（一）房屋征收补偿方式</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1.货币补偿方式：由实施征收主体单位按法定程序委托有资质的第三方评估机构出具的评估价值对被征收人进行货币补偿。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2.地产安置补偿方式：对持有产权证件住宅户和未取得法定持有产权证件但确为唯一住宅的拆迁户，以被拆迁房屋实际建筑占地面积为准，在本项目安置区规划范围内，按1∶1的比例规划，进行地产安置。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3.安置地点：采用“就近安置”原则，由规划主管部门统一划分确定组团地号进行安置。</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（二）房屋征收补偿标准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1.混凝土钢筋框架结构的楼房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1960.00元/平方米。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2.混合结构的楼房：1500.00元/平方米。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3.砖、瓦、桁结构的瓦房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900.00元/平方米。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4.砖体结构的铁皮房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装饰完善的，按500.00元/平方米计；装饰不完善的，按400.00元/平方米计。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5.简易结构的砖瓦房（含猪舍类，2.2米以下）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450.00元/平方米。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6.简易棚寮（油毡、竹棚类）</w:t>
      </w:r>
      <w:r>
        <w:rPr>
          <w:rFonts w:hint="eastAsia" w:ascii="仿宋_GB2312" w:hAnsi="仿宋_GB2312" w:eastAsia="仿宋_GB2312" w:cs="仿宋_GB2312"/>
          <w:sz w:val="32"/>
          <w:szCs w:val="32"/>
          <w:lang w:eastAsia="zh-CN"/>
        </w:rPr>
        <w:t>：</w:t>
      </w:r>
      <w:bookmarkStart w:id="0" w:name="_GoBack"/>
      <w:bookmarkEnd w:id="0"/>
      <w:r>
        <w:rPr>
          <w:rFonts w:hint="eastAsia" w:ascii="仿宋_GB2312" w:hAnsi="仿宋_GB2312" w:eastAsia="仿宋_GB2312" w:cs="仿宋_GB2312"/>
          <w:sz w:val="32"/>
          <w:szCs w:val="32"/>
        </w:rPr>
        <w:t>100.00元/平方米。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7.围墙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120.00元/平方米。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8.水泥结构（晒谷坪、庭院）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9.化粪池（按平面面积计）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800.00元/平方米。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10.水井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直径1.2米以上的，按3000.00元/个计；直径1.2米以下的，按2000.00元/个计。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11.沼气池：大的，按6000.00元/个；小的，按4000.00元/个计。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搬迁费：按地面附着物补偿总金额的5%计算。如在规定期限内签订拆迁协议，并在签订协议后10天内完成房屋搬迁，可在获得搬迁费补助的基础上，再获得按地面附着物补偿总金额10%的资金奖励补助。没有在规定期限内完成拆（搬）迁的，不给予奖励。</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临时安置补偿费：住房租金标准按8.00元/月/平方米给予补偿，按实际拆迁总面积计算。临时安置补偿的终止时间为安置地放线完成后再给予延续6个月时间终止。（注：非唯一住宅和未持有产权证件住宅户的拆迁户不予补偿。）</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、“两违”建筑的处理办法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凡在本项目范围内属“违法用地、违法建设”的建筑物、构筑物（含高度低于2.2米以下的建筑物、构筑物以及临时搭建的铁皮房、猪舍、厕所及其它构筑物），一律按相关法律、法规处理。</w:t>
      </w:r>
    </w:p>
    <w:p>
      <w:pPr>
        <w:spacing w:line="560" w:lineRule="exact"/>
        <w:ind w:firstLine="640" w:firstLineChars="200"/>
        <w:rPr>
          <w:rFonts w:hint="eastAsia" w:ascii="仿宋_GB2312" w:hAnsi="仿宋_GB2312" w:eastAsia="仿宋_GB2312" w:cs="仿宋_GB2312"/>
          <w:sz w:val="32"/>
          <w:szCs w:val="32"/>
          <w:lang w:val="en-US" w:eastAsia="zh-CN"/>
        </w:rPr>
      </w:pP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附件：征地青苗补偿标准</w:t>
      </w:r>
    </w:p>
    <w:p>
      <w:pPr>
        <w:spacing w:line="240" w:lineRule="auto"/>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02605" cy="7924800"/>
            <wp:effectExtent l="0" t="0" r="17145" b="0"/>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5"/>
                    <a:stretch>
                      <a:fillRect/>
                    </a:stretch>
                  </pic:blipFill>
                  <pic:spPr>
                    <a:xfrm>
                      <a:off x="0" y="0"/>
                      <a:ext cx="5602605" cy="792480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602605" cy="7924800"/>
            <wp:effectExtent l="0" t="0" r="17145" b="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6"/>
                    <a:stretch>
                      <a:fillRect/>
                    </a:stretch>
                  </pic:blipFill>
                  <pic:spPr>
                    <a:xfrm>
                      <a:off x="0" y="0"/>
                      <a:ext cx="5602605" cy="7924800"/>
                    </a:xfrm>
                    <a:prstGeom prst="rect">
                      <a:avLst/>
                    </a:prstGeom>
                  </pic:spPr>
                </pic:pic>
              </a:graphicData>
            </a:graphic>
          </wp:inline>
        </w:drawing>
      </w:r>
    </w:p>
    <w:sectPr>
      <w:footerReference r:id="rId3" w:type="default"/>
      <w:pgSz w:w="11906" w:h="16838"/>
      <w:pgMar w:top="2098" w:right="1531" w:bottom="1984"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-495300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39pt;height:144pt;width:144pt;mso-position-horizontal:outside;mso-position-horizontal-relative:margin;mso-wrap-style:none;z-index:251659264;mso-width-relative:page;mso-height-relative:page;" filled="f" stroked="f" coordsize="21600,21600" o:gfxdata="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yYBW3UAAAACAEAAA8AAAAAAAAAAQAgAAAAIgAAAGRycy9kb3ducmV2LnhtbFBLAQIUABQAAAAI&#10;AIdO4kCM1w58KgIAAFUEAAAOAAAAAAAAAAEAIAAAACMBAABkcnMvZTJvRG9jLnhtbFBLBQYAAAAA&#10;BgAGAFkBAAC/BQAAAAA=&#10;">
              <v:fill on="f" focussize="0,0"/>
              <v:stroke on="f" weight="0.5pt"/>
              <v:imagedata o:title=""/>
              <o:lock v:ext="edit" aspectratio="f"/>
              <v:textbox inset="0mm,0mm,0mm,0mm" style="mso-fit-shape-to-text:t;">
                <w:txbxContent>
                  <w:p>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5YzkwZjg2ZmI4NDA5MWUyMWJlNDJhZTQ3Y2VhNGQifQ=="/>
  </w:docVars>
  <w:rsids>
    <w:rsidRoot w:val="3AFB76A6"/>
    <w:rsid w:val="00263594"/>
    <w:rsid w:val="00323163"/>
    <w:rsid w:val="0057209F"/>
    <w:rsid w:val="00581D73"/>
    <w:rsid w:val="005E20DF"/>
    <w:rsid w:val="008527C5"/>
    <w:rsid w:val="00905020"/>
    <w:rsid w:val="00AF3E89"/>
    <w:rsid w:val="00C5515C"/>
    <w:rsid w:val="00FB3FC1"/>
    <w:rsid w:val="00FC1EEA"/>
    <w:rsid w:val="09C83435"/>
    <w:rsid w:val="0ABC7EA7"/>
    <w:rsid w:val="0E70711F"/>
    <w:rsid w:val="0F204303"/>
    <w:rsid w:val="106D0892"/>
    <w:rsid w:val="12506DF7"/>
    <w:rsid w:val="12940A36"/>
    <w:rsid w:val="13D51C16"/>
    <w:rsid w:val="13DF1D1A"/>
    <w:rsid w:val="1A2A31D8"/>
    <w:rsid w:val="2F627F88"/>
    <w:rsid w:val="2FFF7EAD"/>
    <w:rsid w:val="3063072F"/>
    <w:rsid w:val="375612CC"/>
    <w:rsid w:val="39EE2B9C"/>
    <w:rsid w:val="3AFB76A6"/>
    <w:rsid w:val="3D8C600D"/>
    <w:rsid w:val="42F64DCC"/>
    <w:rsid w:val="46753A21"/>
    <w:rsid w:val="48C90346"/>
    <w:rsid w:val="4EAA113E"/>
    <w:rsid w:val="4EE024A2"/>
    <w:rsid w:val="50AF79F4"/>
    <w:rsid w:val="52D8530C"/>
    <w:rsid w:val="5A3D700E"/>
    <w:rsid w:val="5B0311A3"/>
    <w:rsid w:val="655D5954"/>
    <w:rsid w:val="671D35ED"/>
    <w:rsid w:val="6FA041EF"/>
    <w:rsid w:val="6FD41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annotation subject"/>
    <w:basedOn w:val="2"/>
    <w:next w:val="2"/>
    <w:link w:val="12"/>
    <w:qFormat/>
    <w:uiPriority w:val="0"/>
    <w:rPr>
      <w:b/>
      <w:bCs/>
    </w:rPr>
  </w:style>
  <w:style w:type="character" w:styleId="9">
    <w:name w:val="Strong"/>
    <w:basedOn w:val="8"/>
    <w:qFormat/>
    <w:uiPriority w:val="0"/>
    <w:rPr>
      <w:b/>
    </w:rPr>
  </w:style>
  <w:style w:type="character" w:styleId="10">
    <w:name w:val="annotation reference"/>
    <w:basedOn w:val="8"/>
    <w:qFormat/>
    <w:uiPriority w:val="0"/>
    <w:rPr>
      <w:sz w:val="21"/>
      <w:szCs w:val="21"/>
    </w:rPr>
  </w:style>
  <w:style w:type="character" w:customStyle="1" w:styleId="11">
    <w:name w:val="批注文字 字符"/>
    <w:basedOn w:val="8"/>
    <w:link w:val="2"/>
    <w:qFormat/>
    <w:uiPriority w:val="0"/>
    <w:rPr>
      <w:kern w:val="2"/>
      <w:sz w:val="21"/>
      <w:szCs w:val="24"/>
    </w:rPr>
  </w:style>
  <w:style w:type="character" w:customStyle="1" w:styleId="12">
    <w:name w:val="批注主题 字符"/>
    <w:basedOn w:val="11"/>
    <w:link w:val="6"/>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1333</Words>
  <Characters>1487</Characters>
  <Lines>22</Lines>
  <Paragraphs>6</Paragraphs>
  <TotalTime>10</TotalTime>
  <ScaleCrop>false</ScaleCrop>
  <LinksUpToDate>false</LinksUpToDate>
  <CharactersWithSpaces>1489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2023-04-06T15:37:00Z</dcterms:created>
  <dc:creator>WPS_140847119</dc:creator>
  <cp:lastModifiedBy>Aghooo</cp:lastModifiedBy>
  <dcterms:modified xsi:type="dcterms:W3CDTF">2023-04-21T02:03:08Z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AD93888F807348BCA0A878CEB9E214A3_13</vt:lpwstr>
  </property>
</Properties>
</file>