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陆河县机动车停放服务差异化收费方案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方正小标宋简体" w:eastAsia="方正小标宋简体"/>
          <w:sz w:val="44"/>
          <w:szCs w:val="44"/>
          <w:lang w:val="en-US" w:eastAsia="zh-CN"/>
        </w:rPr>
        <w:t>（第二次征求意见稿）</w:t>
      </w:r>
    </w:p>
    <w:p>
      <w:pPr>
        <w:spacing w:line="360" w:lineRule="auto"/>
        <w:ind w:firstLine="640" w:firstLineChars="200"/>
        <w:rPr>
          <w:rFonts w:hint="eastAsia" w:ascii="仿宋" w:hAnsi="仿宋" w:eastAsia="仿宋" w:cs="仿宋"/>
          <w:sz w:val="32"/>
          <w:szCs w:val="32"/>
          <w:lang w:val="en-US" w:eastAsia="zh-CN"/>
        </w:rPr>
      </w:pP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为构建我县完善的停车治理体系，不断提升城市道路出行品质，引导存量机动车合理使用，提高停车资源使用效率，根据《广东省人民政府办公厅关于印发&lt;广东省定价目录（2022年版）&gt;的通知》（粤府办</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2022</w:t>
      </w:r>
      <w:r>
        <w:rPr>
          <w:rFonts w:hint="eastAsia" w:ascii="仿宋" w:hAnsi="仿宋" w:eastAsia="仿宋" w:cs="仿宋"/>
          <w:sz w:val="32"/>
          <w:szCs w:val="32"/>
          <w:lang w:val="en-US" w:eastAsia="zh-CN"/>
        </w:rPr>
        <w:t>〕5</w:t>
      </w:r>
      <w:r>
        <w:rPr>
          <w:rFonts w:hint="eastAsia" w:ascii="仿宋_GB2312" w:hAnsi="仿宋_GB2312" w:eastAsia="仿宋_GB2312" w:cs="仿宋_GB2312"/>
          <w:sz w:val="32"/>
          <w:szCs w:val="32"/>
          <w:lang w:val="en-US" w:eastAsia="zh-CN"/>
        </w:rPr>
        <w:t>号）、《广东省发展改革委 广东省住房和城乡建设厅 广东省交通运输厅关于进一步完善机动车停放服务收费政策的实施意见》（粤发改规</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2017</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5号）和《汕尾市人民政府办公室关于印发加强和改进全市城市停车管理工作实施意见的通知》（汕府办〔2021〕7号）等文件规定，按照“路内高于路外、拥堵时段高于空闲时段”的原则，结合不同区域、位置、车型、时段停车服务差别，制定陆河县城机动车停放服务差异化收费方案。</w:t>
      </w:r>
    </w:p>
    <w:p>
      <w:pPr>
        <w:numPr>
          <w:ilvl w:val="0"/>
          <w:numId w:val="0"/>
        </w:num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一、调整定价形式。</w:t>
      </w:r>
      <w:r>
        <w:rPr>
          <w:rFonts w:hint="eastAsia" w:ascii="仿宋_GB2312" w:hAnsi="仿宋_GB2312" w:eastAsia="仿宋_GB2312" w:cs="仿宋_GB2312"/>
          <w:sz w:val="32"/>
          <w:szCs w:val="32"/>
          <w:lang w:val="en-US" w:eastAsia="zh-CN"/>
        </w:rPr>
        <w:t>将原实行政府定价管理的各类停车设施机动车停放服务收费调整为政府指导价管理。停车设施经营者可在政府指导价范围内根据停车供需状况自行确定具体收费标准，无须报价格主管部门审批。</w:t>
      </w:r>
    </w:p>
    <w:p>
      <w:pPr>
        <w:numPr>
          <w:ilvl w:val="0"/>
          <w:numId w:val="0"/>
        </w:num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二、制定政府指导价。</w:t>
      </w:r>
      <w:r>
        <w:rPr>
          <w:rFonts w:hint="eastAsia" w:ascii="仿宋_GB2312" w:hAnsi="仿宋_GB2312" w:eastAsia="仿宋_GB2312" w:cs="仿宋_GB2312"/>
          <w:sz w:val="32"/>
          <w:szCs w:val="32"/>
          <w:lang w:val="en-US" w:eastAsia="zh-CN"/>
        </w:rPr>
        <w:t>对具有自然垄断经营和公益性特征的停车设施（依法施划的道路人工或自动停车设施；非营利性医疗机构配套停车设施；社会公共公益性配套停车设施；旅游景点、车站、公交枢纽站等配套停车设施）机动车停放服务收费按照政府指导价（最高限价）管理，下浮不限。（具体标准详见附表1）</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（一）县、镇人民政府财政性资金、城市建设投资（交通投资）公司投资建设的室内专业停车设施机动车停放服务收费参照旅游景点和汽车站配套停车设施标准执行。 </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（二）机械化立体停车设施可在同类别停车设施机动车停放服务收费标准基础上上浮不超过20%。</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停车设施场地施划受限、停车需求严重紧缺、供需矛盾相当突出等原因，需突破政府指导价的，由经营者提出申请。除路内停车设施外的其他类别停车设施，按不高于路内停车设施重点区域机动车停放服务收费政府指导价标准，由县价格主管部门按规定审批后执行。</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（四）完善机动车停放服务计费时限、免收（优惠）对象、车型计收方式等配套措施，具体如下：</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1.对军警车辆、实施救助的医院救护车辆、市政工程抢修车辆以及法律法规规定的免费车辆免收机动车停放服务费。</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２.未明确大车、超大型车等机动车辆停放服务收费的按实际占用小车泊位数对应标准计费。</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3.对装有公安交通管理部门核（换）发的新能源汽车号牌机动车辆按应缴纳停放服务费的9折计收。</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４.以“30 分钟”为计费单位计算停放时间的，不足一个计费单位的按一个计费单位计算。</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５.除上述停车设施以外的其他停车设施机动车停放服务收费实行市场调节价，由停车设施经营者依据法律法规和相关规定，根据市场供求和竞争状况自主制定。</w:t>
      </w:r>
    </w:p>
    <w:p>
      <w:pPr>
        <w:numPr>
          <w:ilvl w:val="0"/>
          <w:numId w:val="0"/>
        </w:num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三、加强明码标价管理。</w:t>
      </w:r>
      <w:r>
        <w:rPr>
          <w:rFonts w:hint="eastAsia" w:ascii="仿宋_GB2312" w:hAnsi="仿宋_GB2312" w:eastAsia="仿宋_GB2312" w:cs="仿宋_GB2312"/>
          <w:sz w:val="32"/>
          <w:szCs w:val="32"/>
          <w:lang w:eastAsia="zh-CN"/>
        </w:rPr>
        <w:t>各停车设施经营者应按规定实行明码标价，在停车设施入口及缴费点的显著位置设置标价牌，标明停放服务收费的定价主体、收费标准、计费方法、收费依据、投诉举报电话等，接受社会各界监督。</w:t>
      </w:r>
      <w:bookmarkStart w:id="0" w:name="_GoBack"/>
      <w:bookmarkEnd w:id="0"/>
      <w:r>
        <w:rPr>
          <w:rFonts w:hint="eastAsia" w:ascii="仿宋_GB2312" w:hAnsi="仿宋_GB2312" w:eastAsia="仿宋_GB2312" w:cs="仿宋_GB2312"/>
          <w:sz w:val="32"/>
          <w:szCs w:val="32"/>
          <w:lang w:eastAsia="zh-CN"/>
        </w:rPr>
        <w:t>调整收费的应提前15天向社会公示，并做好实施前的宣传解释工作。对不执行政府指导价政策、未按规定明码标价以及价格欺诈等价格违法行为，由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市场监管部门依法查处。</w:t>
      </w:r>
    </w:p>
    <w:p>
      <w:pPr>
        <w:numPr>
          <w:ilvl w:val="0"/>
          <w:numId w:val="0"/>
        </w:num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四、实行收费信息采集。</w:t>
      </w:r>
      <w:r>
        <w:rPr>
          <w:rFonts w:hint="eastAsia" w:ascii="仿宋_GB2312" w:hAnsi="仿宋_GB2312" w:eastAsia="仿宋_GB2312" w:cs="仿宋_GB2312"/>
          <w:sz w:val="32"/>
          <w:szCs w:val="32"/>
          <w:lang w:eastAsia="zh-CN"/>
        </w:rPr>
        <w:t>实行政府指导价管理的停车设施经营者应于实施或调整收费10个工作日前按附表2的要求，将相关收费信息通过电子邮件方式报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发展改革局价格</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eastAsia="zh-CN"/>
        </w:rPr>
        <w:t>。（邮箱地址：lhxfgjgg</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163</w:t>
      </w:r>
      <w:r>
        <w:rPr>
          <w:rFonts w:hint="eastAsia" w:ascii="仿宋_GB2312" w:hAnsi="仿宋_GB2312" w:eastAsia="仿宋_GB2312" w:cs="仿宋_GB2312"/>
          <w:color w:val="auto"/>
          <w:sz w:val="32"/>
          <w:szCs w:val="32"/>
          <w:u w:val="none"/>
          <w:lang w:eastAsia="zh-CN"/>
        </w:rPr>
        <w:t>.com）</w:t>
      </w:r>
    </w:p>
    <w:p>
      <w:pPr>
        <w:numPr>
          <w:ilvl w:val="0"/>
          <w:numId w:val="0"/>
        </w:numPr>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、此前规定与本方案不一致的，以本方案为准。</w:t>
      </w:r>
    </w:p>
    <w:p>
      <w:pPr>
        <w:numPr>
          <w:ilvl w:val="0"/>
          <w:numId w:val="0"/>
        </w:numPr>
        <w:spacing w:line="360" w:lineRule="auto"/>
        <w:rPr>
          <w:rFonts w:hint="eastAsia" w:ascii="仿宋_GB2312" w:hAnsi="仿宋_GB2312" w:eastAsia="仿宋_GB2312" w:cs="仿宋_GB2312"/>
          <w:b/>
          <w:bCs/>
          <w:sz w:val="32"/>
          <w:szCs w:val="32"/>
          <w:lang w:eastAsia="zh-CN"/>
        </w:rPr>
      </w:pPr>
    </w:p>
    <w:p>
      <w:pPr>
        <w:numPr>
          <w:ilvl w:val="0"/>
          <w:numId w:val="0"/>
        </w:numPr>
        <w:spacing w:line="360" w:lineRule="auto"/>
        <w:ind w:left="1991" w:leftChars="304" w:hanging="1353" w:hangingChars="42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lang w:val="en-US" w:eastAsia="zh-CN"/>
        </w:rPr>
        <w:t>1.陆河县城机动车停放服务收费政府指导价（最高限价）</w:t>
      </w:r>
    </w:p>
    <w:p>
      <w:pPr>
        <w:numPr>
          <w:ilvl w:val="0"/>
          <w:numId w:val="0"/>
        </w:numPr>
        <w:spacing w:line="360" w:lineRule="auto"/>
        <w:ind w:firstLine="1600" w:firstLineChars="500"/>
        <w:rPr>
          <w:rFonts w:hint="eastAsia" w:ascii="仿宋" w:hAnsi="仿宋" w:eastAsia="仿宋" w:cs="仿宋"/>
          <w:sz w:val="32"/>
          <w:szCs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sz w:val="32"/>
          <w:szCs w:val="32"/>
          <w:lang w:val="en-US" w:eastAsia="zh-CN"/>
        </w:rPr>
        <w:t>2.机动车停放服务收费信息</w:t>
      </w:r>
    </w:p>
    <w:p>
      <w:pPr>
        <w:spacing w:line="360" w:lineRule="auto"/>
        <w:jc w:val="left"/>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附表1：</w:t>
      </w:r>
    </w:p>
    <w:p>
      <w:pPr>
        <w:spacing w:line="360" w:lineRule="auto"/>
        <w:jc w:val="center"/>
        <w:rPr>
          <w:rFonts w:hint="eastAsia" w:ascii="方正小标宋简体" w:eastAsia="方正小标宋简体"/>
          <w:sz w:val="44"/>
          <w:szCs w:val="44"/>
          <w:lang w:val="en-US" w:eastAsia="zh-CN"/>
        </w:rPr>
      </w:pPr>
    </w:p>
    <w:p>
      <w:pPr>
        <w:spacing w:line="360" w:lineRule="auto"/>
        <w:jc w:val="center"/>
        <w:rPr>
          <w:rFonts w:hint="eastAsia" w:ascii="仿宋" w:hAnsi="仿宋" w:eastAsia="仿宋" w:cs="仿宋"/>
          <w:sz w:val="32"/>
          <w:szCs w:val="32"/>
          <w:lang w:eastAsia="zh-CN"/>
        </w:rPr>
      </w:pPr>
      <w:r>
        <w:rPr>
          <w:rFonts w:hint="eastAsia" w:ascii="方正小标宋简体" w:eastAsia="方正小标宋简体"/>
          <w:sz w:val="44"/>
          <w:szCs w:val="44"/>
          <w:lang w:val="en-US" w:eastAsia="zh-CN"/>
        </w:rPr>
        <w:t>陆河县城机动车停放服务收费政府指导价（最高限价）</w:t>
      </w:r>
    </w:p>
    <w:p>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依法施划的道路人工或自动停车设施</w:t>
      </w:r>
    </w:p>
    <w:p>
      <w:pPr>
        <w:numPr>
          <w:ilvl w:val="0"/>
          <w:numId w:val="0"/>
        </w:num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单位：元</w:t>
      </w:r>
      <w:r>
        <w:rPr>
          <w:rFonts w:hint="eastAsia" w:ascii="仿宋" w:hAnsi="仿宋" w:eastAsia="仿宋" w:cs="仿宋"/>
          <w:sz w:val="28"/>
          <w:szCs w:val="28"/>
          <w:lang w:val="en-US" w:eastAsia="zh-CN"/>
        </w:rPr>
        <w:t>/辆（政府指导价）</w:t>
      </w:r>
    </w:p>
    <w:tbl>
      <w:tblPr>
        <w:tblStyle w:val="5"/>
        <w:tblpPr w:leftFromText="180" w:rightFromText="180" w:vertAnchor="text" w:horzAnchor="page" w:tblpX="1810" w:tblpY="61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3485"/>
        <w:gridCol w:w="147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gridSpan w:val="2"/>
            <w:vMerge w:val="restart"/>
            <w:vAlign w:val="center"/>
          </w:tcPr>
          <w:p>
            <w:pPr>
              <w:spacing w:line="360" w:lineRule="auto"/>
              <w:jc w:val="center"/>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时段</w:t>
            </w:r>
          </w:p>
        </w:tc>
        <w:tc>
          <w:tcPr>
            <w:tcW w:w="1910" w:type="pct"/>
            <w:gridSpan w:val="2"/>
            <w:vAlign w:val="center"/>
          </w:tcPr>
          <w:p>
            <w:pPr>
              <w:spacing w:line="360" w:lineRule="auto"/>
              <w:jc w:val="center"/>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gridSpan w:val="2"/>
            <w:vMerge w:val="continue"/>
            <w:vAlign w:val="center"/>
          </w:tcPr>
          <w:p>
            <w:pPr>
              <w:spacing w:line="360" w:lineRule="auto"/>
              <w:jc w:val="center"/>
              <w:rPr>
                <w:rFonts w:hint="eastAsia" w:ascii="仿宋" w:hAnsi="仿宋" w:eastAsia="仿宋" w:cs="仿宋"/>
                <w:b w:val="0"/>
                <w:bCs w:val="0"/>
                <w:sz w:val="28"/>
                <w:szCs w:val="28"/>
                <w:vertAlign w:val="baseline"/>
              </w:rPr>
            </w:pPr>
          </w:p>
        </w:tc>
        <w:tc>
          <w:tcPr>
            <w:tcW w:w="863"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重点区域</w:t>
            </w:r>
          </w:p>
        </w:tc>
        <w:tc>
          <w:tcPr>
            <w:tcW w:w="1047"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非重点区域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restar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8:00-20:00</w:t>
            </w:r>
          </w:p>
        </w:tc>
        <w:tc>
          <w:tcPr>
            <w:tcW w:w="2045"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首小时以内</w:t>
            </w:r>
          </w:p>
        </w:tc>
        <w:tc>
          <w:tcPr>
            <w:tcW w:w="863"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047"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vAlign w:val="center"/>
          </w:tcPr>
          <w:p>
            <w:pPr>
              <w:spacing w:line="360" w:lineRule="auto"/>
              <w:jc w:val="center"/>
              <w:rPr>
                <w:rFonts w:hint="eastAsia" w:ascii="仿宋" w:hAnsi="仿宋" w:eastAsia="仿宋" w:cs="仿宋"/>
                <w:b w:val="0"/>
                <w:bCs w:val="0"/>
                <w:sz w:val="28"/>
                <w:szCs w:val="28"/>
                <w:vertAlign w:val="baseline"/>
                <w:lang w:val="en-US" w:eastAsia="zh-CN"/>
              </w:rPr>
            </w:pPr>
          </w:p>
        </w:tc>
        <w:tc>
          <w:tcPr>
            <w:tcW w:w="2045"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超过</w:t>
            </w:r>
            <w:r>
              <w:rPr>
                <w:rFonts w:hint="eastAsia" w:ascii="仿宋" w:hAnsi="仿宋" w:eastAsia="仿宋" w:cs="仿宋"/>
                <w:b w:val="0"/>
                <w:bCs w:val="0"/>
                <w:sz w:val="28"/>
                <w:szCs w:val="28"/>
                <w:vertAlign w:val="baseline"/>
                <w:lang w:val="en-US" w:eastAsia="zh-CN"/>
              </w:rPr>
              <w:t>1</w:t>
            </w:r>
            <w:r>
              <w:rPr>
                <w:rFonts w:hint="eastAsia" w:ascii="仿宋" w:hAnsi="仿宋" w:eastAsia="仿宋" w:cs="仿宋"/>
                <w:b w:val="0"/>
                <w:bCs w:val="0"/>
                <w:sz w:val="28"/>
                <w:szCs w:val="28"/>
                <w:vertAlign w:val="baseline"/>
                <w:lang w:eastAsia="zh-CN"/>
              </w:rPr>
              <w:t>小时</w:t>
            </w:r>
            <w:r>
              <w:rPr>
                <w:rFonts w:hint="eastAsia" w:ascii="仿宋" w:hAnsi="仿宋" w:eastAsia="仿宋" w:cs="仿宋"/>
                <w:b w:val="0"/>
                <w:bCs w:val="0"/>
                <w:sz w:val="28"/>
                <w:szCs w:val="28"/>
                <w:vertAlign w:val="baseline"/>
                <w:lang w:val="en-US" w:eastAsia="zh-CN"/>
              </w:rPr>
              <w:t>后每30分钟</w:t>
            </w:r>
          </w:p>
        </w:tc>
        <w:tc>
          <w:tcPr>
            <w:tcW w:w="863"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047"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vAlign w:val="center"/>
          </w:tcPr>
          <w:p>
            <w:pPr>
              <w:spacing w:line="360" w:lineRule="auto"/>
              <w:jc w:val="center"/>
              <w:rPr>
                <w:rFonts w:hint="eastAsia" w:ascii="仿宋" w:hAnsi="仿宋" w:eastAsia="仿宋" w:cs="仿宋"/>
                <w:b w:val="0"/>
                <w:bCs w:val="0"/>
                <w:sz w:val="28"/>
                <w:szCs w:val="28"/>
                <w:vertAlign w:val="baseline"/>
              </w:rPr>
            </w:pPr>
          </w:p>
        </w:tc>
        <w:tc>
          <w:tcPr>
            <w:tcW w:w="2045" w:type="pct"/>
            <w:vAlign w:val="center"/>
          </w:tcPr>
          <w:p>
            <w:pPr>
              <w:spacing w:line="360" w:lineRule="auto"/>
              <w:jc w:val="center"/>
              <w:rPr>
                <w:rFonts w:hint="eastAsia" w:ascii="仿宋" w:hAnsi="仿宋" w:eastAsia="仿宋" w:cs="仿宋"/>
                <w:b w:val="0"/>
                <w:bCs w:val="0"/>
                <w:sz w:val="28"/>
                <w:szCs w:val="28"/>
                <w:vertAlign w:val="baseline"/>
                <w:lang w:eastAsia="zh-CN"/>
              </w:rPr>
            </w:pPr>
            <w:r>
              <w:rPr>
                <w:rFonts w:hint="eastAsia" w:ascii="仿宋" w:hAnsi="仿宋" w:eastAsia="仿宋" w:cs="仿宋"/>
                <w:sz w:val="28"/>
                <w:szCs w:val="28"/>
                <w:vertAlign w:val="baseline"/>
                <w:lang w:val="en-US" w:eastAsia="zh-CN"/>
              </w:rPr>
              <w:t>24小时内最高限价</w:t>
            </w:r>
          </w:p>
        </w:tc>
        <w:tc>
          <w:tcPr>
            <w:tcW w:w="863"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w:t>
            </w:r>
          </w:p>
        </w:tc>
        <w:tc>
          <w:tcPr>
            <w:tcW w:w="1047" w:type="pct"/>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gridSpan w:val="2"/>
            <w:vAlign w:val="center"/>
          </w:tcPr>
          <w:p>
            <w:pPr>
              <w:spacing w:line="36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20:00-次日8:00</w:t>
            </w:r>
          </w:p>
        </w:tc>
        <w:tc>
          <w:tcPr>
            <w:tcW w:w="1910" w:type="pct"/>
            <w:gridSpan w:val="2"/>
            <w:vAlign w:val="center"/>
          </w:tcPr>
          <w:p>
            <w:pPr>
              <w:spacing w:line="360" w:lineRule="auto"/>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免费</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停车不超过 </w:t>
      </w:r>
      <w:r>
        <w:rPr>
          <w:rFonts w:hint="eastAsia" w:ascii="仿宋" w:hAnsi="仿宋" w:eastAsia="仿宋" w:cs="仿宋"/>
          <w:sz w:val="32"/>
          <w:szCs w:val="32"/>
          <w:lang w:val="en-US" w:eastAsia="zh-CN"/>
        </w:rPr>
        <w:t>30</w:t>
      </w:r>
      <w:r>
        <w:rPr>
          <w:rFonts w:hint="eastAsia" w:ascii="仿宋" w:hAnsi="仿宋" w:eastAsia="仿宋" w:cs="仿宋"/>
          <w:sz w:val="32"/>
          <w:szCs w:val="32"/>
        </w:rPr>
        <w:t>分钟的免费，超过免费时限的按实际停放时间计费。</w:t>
      </w:r>
    </w:p>
    <w:p>
      <w:pPr>
        <w:numPr>
          <w:ilvl w:val="0"/>
          <w:numId w:val="0"/>
        </w:num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2.超过30分钟的，</w:t>
      </w:r>
      <w:r>
        <w:rPr>
          <w:rFonts w:hint="eastAsia" w:ascii="仿宋_GB2312" w:hAnsi="仿宋_GB2312" w:eastAsia="仿宋_GB2312" w:cs="仿宋_GB2312"/>
          <w:sz w:val="32"/>
          <w:szCs w:val="32"/>
          <w:lang w:val="en-US" w:eastAsia="zh-CN"/>
        </w:rPr>
        <w:t>不足30分钟的按30分钟计算，收费金额按上述标准累加计算。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重点区域是指由</w:t>
      </w:r>
      <w:r>
        <w:rPr>
          <w:rFonts w:hint="eastAsia" w:ascii="仿宋" w:hAnsi="仿宋" w:eastAsia="仿宋" w:cs="仿宋"/>
          <w:sz w:val="32"/>
          <w:szCs w:val="32"/>
          <w:lang w:eastAsia="zh-CN"/>
        </w:rPr>
        <w:t>公安</w:t>
      </w:r>
      <w:r>
        <w:rPr>
          <w:rFonts w:hint="eastAsia" w:ascii="仿宋" w:hAnsi="仿宋" w:eastAsia="仿宋" w:cs="仿宋"/>
          <w:sz w:val="32"/>
          <w:szCs w:val="32"/>
        </w:rPr>
        <w:t>交通</w:t>
      </w:r>
      <w:r>
        <w:rPr>
          <w:rFonts w:hint="eastAsia" w:ascii="仿宋" w:hAnsi="仿宋" w:eastAsia="仿宋" w:cs="仿宋"/>
          <w:sz w:val="32"/>
          <w:szCs w:val="32"/>
          <w:lang w:eastAsia="zh-CN"/>
        </w:rPr>
        <w:t>管理</w:t>
      </w:r>
      <w:r>
        <w:rPr>
          <w:rFonts w:hint="eastAsia" w:ascii="仿宋" w:hAnsi="仿宋" w:eastAsia="仿宋" w:cs="仿宋"/>
          <w:sz w:val="32"/>
          <w:szCs w:val="32"/>
        </w:rPr>
        <w:t>部门核准在</w:t>
      </w:r>
      <w:r>
        <w:rPr>
          <w:rFonts w:hint="eastAsia" w:ascii="仿宋" w:hAnsi="仿宋" w:eastAsia="仿宋" w:cs="仿宋"/>
          <w:sz w:val="32"/>
          <w:szCs w:val="32"/>
          <w:lang w:val="en-US" w:eastAsia="zh-CN"/>
        </w:rPr>
        <w:t>县城</w:t>
      </w:r>
      <w:r>
        <w:rPr>
          <w:rFonts w:hint="eastAsia" w:ascii="仿宋" w:hAnsi="仿宋" w:eastAsia="仿宋" w:cs="仿宋"/>
          <w:sz w:val="32"/>
          <w:szCs w:val="32"/>
        </w:rPr>
        <w:t>内医院、政务（办证）中心、资源交易中心、大型商场、批发市场以及重点经济商圈等车辆临时停放需求大且要求泊位使用周转快的场所周边的城市道路路段，非重点区域是指重点区域以外的其他道路路段。</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highlight w:val="none"/>
        </w:rPr>
        <w:t>非营利性医疗机构</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rPr>
        <w:t>公交枢纽站</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社会公共（公益）性</w:t>
      </w:r>
      <w:r>
        <w:rPr>
          <w:rFonts w:hint="eastAsia" w:ascii="仿宋" w:hAnsi="仿宋" w:eastAsia="仿宋" w:cs="仿宋"/>
          <w:b/>
          <w:bCs/>
          <w:sz w:val="32"/>
          <w:szCs w:val="32"/>
          <w:highlight w:val="none"/>
        </w:rPr>
        <w:t>配套停车设施</w:t>
      </w:r>
    </w:p>
    <w:p>
      <w:pPr>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eastAsia="zh-CN"/>
        </w:rPr>
        <w:t>单位：元</w:t>
      </w:r>
      <w:r>
        <w:rPr>
          <w:rFonts w:hint="eastAsia" w:ascii="仿宋" w:hAnsi="仿宋" w:eastAsia="仿宋" w:cs="仿宋"/>
          <w:sz w:val="28"/>
          <w:szCs w:val="28"/>
          <w:lang w:val="en-US" w:eastAsia="zh-CN"/>
        </w:rPr>
        <w:t>/辆（政府指导价）</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6"/>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1" w:type="pct"/>
          </w:tcPr>
          <w:p>
            <w:pPr>
              <w:spacing w:line="360" w:lineRule="auto"/>
              <w:jc w:val="center"/>
              <w:rPr>
                <w:rFonts w:hint="eastAsia" w:ascii="仿宋" w:hAnsi="仿宋" w:eastAsia="仿宋" w:cs="仿宋"/>
                <w:sz w:val="32"/>
                <w:szCs w:val="32"/>
                <w:vertAlign w:val="baseline"/>
              </w:rPr>
            </w:pPr>
            <w:r>
              <w:rPr>
                <w:rFonts w:hint="eastAsia" w:ascii="仿宋" w:hAnsi="仿宋" w:eastAsia="仿宋" w:cs="仿宋"/>
                <w:sz w:val="28"/>
                <w:szCs w:val="28"/>
                <w:vertAlign w:val="baseline"/>
                <w:lang w:val="en-US" w:eastAsia="zh-CN"/>
              </w:rPr>
              <w:t>计费时段</w:t>
            </w:r>
          </w:p>
        </w:tc>
        <w:tc>
          <w:tcPr>
            <w:tcW w:w="1668" w:type="pct"/>
            <w:vAlign w:val="center"/>
          </w:tcPr>
          <w:p>
            <w:pPr>
              <w:spacing w:line="360" w:lineRule="auto"/>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1" w:type="pct"/>
          </w:tcPr>
          <w:p>
            <w:pPr>
              <w:spacing w:line="360" w:lineRule="auto"/>
              <w:jc w:val="center"/>
              <w:rPr>
                <w:rFonts w:hint="eastAsia" w:ascii="仿宋" w:hAnsi="仿宋" w:eastAsia="仿宋" w:cs="仿宋"/>
                <w:sz w:val="32"/>
                <w:szCs w:val="32"/>
                <w:vertAlign w:val="baseline"/>
              </w:rPr>
            </w:pPr>
            <w:r>
              <w:rPr>
                <w:rFonts w:hint="eastAsia" w:ascii="仿宋" w:hAnsi="仿宋" w:eastAsia="仿宋" w:cs="仿宋"/>
                <w:b w:val="0"/>
                <w:bCs w:val="0"/>
                <w:sz w:val="28"/>
                <w:szCs w:val="28"/>
                <w:vertAlign w:val="baseline"/>
                <w:lang w:val="en-US" w:eastAsia="zh-CN"/>
              </w:rPr>
              <w:t>首小时以内</w:t>
            </w:r>
          </w:p>
        </w:tc>
        <w:tc>
          <w:tcPr>
            <w:tcW w:w="1668" w:type="pct"/>
          </w:tcPr>
          <w:p>
            <w:pPr>
              <w:spacing w:line="360" w:lineRule="auto"/>
              <w:jc w:val="center"/>
              <w:rPr>
                <w:rFonts w:hint="eastAsia" w:ascii="仿宋" w:hAnsi="仿宋" w:eastAsia="仿宋" w:cs="仿宋"/>
                <w:sz w:val="32"/>
                <w:szCs w:val="32"/>
                <w:vertAlign w:val="baseline"/>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331" w:type="pct"/>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超1小时后每30分钟</w:t>
            </w:r>
          </w:p>
        </w:tc>
        <w:tc>
          <w:tcPr>
            <w:tcW w:w="1668" w:type="pct"/>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1" w:type="pct"/>
            <w:vAlign w:val="center"/>
          </w:tcPr>
          <w:p>
            <w:pPr>
              <w:spacing w:line="36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24小时内最高限价</w:t>
            </w:r>
          </w:p>
        </w:tc>
        <w:tc>
          <w:tcPr>
            <w:tcW w:w="1668" w:type="pct"/>
            <w:vAlign w:val="center"/>
          </w:tcPr>
          <w:p>
            <w:pPr>
              <w:spacing w:line="36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注：1.停车不超过</w:t>
      </w:r>
      <w:r>
        <w:rPr>
          <w:rFonts w:hint="eastAsia" w:ascii="仿宋" w:hAnsi="仿宋" w:eastAsia="仿宋" w:cs="仿宋"/>
          <w:sz w:val="32"/>
          <w:szCs w:val="32"/>
          <w:lang w:val="en-US" w:eastAsia="zh-CN"/>
        </w:rPr>
        <w:t>30</w:t>
      </w:r>
      <w:r>
        <w:rPr>
          <w:rFonts w:hint="eastAsia" w:ascii="仿宋" w:hAnsi="仿宋" w:eastAsia="仿宋" w:cs="仿宋"/>
          <w:sz w:val="32"/>
          <w:szCs w:val="32"/>
        </w:rPr>
        <w:t>分钟的免费，超过免费时限的按实际停放时间计费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其中，摩托车（电动车）24小时内最高限价2元。</w:t>
      </w:r>
      <w:r>
        <w:rPr>
          <w:rFonts w:hint="eastAsia" w:ascii="仿宋" w:hAnsi="仿宋" w:eastAsia="仿宋" w:cs="仿宋"/>
          <w:sz w:val="32"/>
          <w:szCs w:val="32"/>
        </w:rPr>
        <w:t>24 小时内同一车辆多次进出不高于最高限价</w:t>
      </w:r>
      <w:r>
        <w:rPr>
          <w:rFonts w:hint="eastAsia" w:ascii="仿宋" w:hAnsi="仿宋" w:eastAsia="仿宋" w:cs="仿宋"/>
          <w:sz w:val="32"/>
          <w:szCs w:val="32"/>
          <w:lang w:eastAsia="zh-CN"/>
        </w:rPr>
        <w:t>。</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公共（</w:t>
      </w:r>
      <w:r>
        <w:rPr>
          <w:rFonts w:hint="eastAsia" w:ascii="仿宋" w:hAnsi="仿宋" w:eastAsia="仿宋" w:cs="仿宋"/>
          <w:sz w:val="32"/>
          <w:szCs w:val="32"/>
          <w:lang w:eastAsia="zh-CN"/>
        </w:rPr>
        <w:t>公</w:t>
      </w:r>
      <w:r>
        <w:rPr>
          <w:rFonts w:hint="eastAsia" w:ascii="仿宋" w:hAnsi="仿宋" w:eastAsia="仿宋" w:cs="仿宋"/>
          <w:sz w:val="32"/>
          <w:szCs w:val="32"/>
        </w:rPr>
        <w:t>益）性停车设施指党政机关、事业单位（不含公办医疗机构）、公办学校、政府建设的博物馆、图书馆、青少年宫、文化宫</w:t>
      </w:r>
      <w:r>
        <w:rPr>
          <w:rFonts w:hint="eastAsia" w:ascii="仿宋" w:hAnsi="仿宋" w:eastAsia="仿宋" w:cs="仿宋"/>
          <w:sz w:val="32"/>
          <w:szCs w:val="32"/>
          <w:lang w:eastAsia="zh-CN"/>
        </w:rPr>
        <w:t>、体育馆</w:t>
      </w:r>
      <w:r>
        <w:rPr>
          <w:rFonts w:hint="eastAsia" w:ascii="仿宋" w:hAnsi="仿宋" w:eastAsia="仿宋" w:cs="仿宋"/>
          <w:sz w:val="32"/>
          <w:szCs w:val="32"/>
        </w:rPr>
        <w:t>等单位</w:t>
      </w:r>
      <w:r>
        <w:rPr>
          <w:rFonts w:hint="eastAsia" w:ascii="仿宋" w:hAnsi="仿宋" w:eastAsia="仿宋" w:cs="仿宋"/>
          <w:sz w:val="32"/>
          <w:szCs w:val="32"/>
          <w:lang w:eastAsia="zh-CN"/>
        </w:rPr>
        <w:t>配套</w:t>
      </w:r>
      <w:r>
        <w:rPr>
          <w:rFonts w:hint="eastAsia" w:ascii="仿宋" w:hAnsi="仿宋" w:eastAsia="仿宋" w:cs="仿宋"/>
          <w:sz w:val="32"/>
          <w:szCs w:val="32"/>
        </w:rPr>
        <w:t>停车设施。</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旅游景点、汽车站等配套停车设施</w:t>
      </w:r>
    </w:p>
    <w:p>
      <w:pPr>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eastAsia="zh-CN"/>
        </w:rPr>
        <w:t>单位：元</w:t>
      </w:r>
      <w:r>
        <w:rPr>
          <w:rFonts w:hint="eastAsia" w:ascii="仿宋" w:hAnsi="仿宋" w:eastAsia="仿宋" w:cs="仿宋"/>
          <w:sz w:val="28"/>
          <w:szCs w:val="28"/>
          <w:lang w:val="en-US" w:eastAsia="zh-CN"/>
        </w:rPr>
        <w:t>/辆（政府指导价）</w:t>
      </w:r>
    </w:p>
    <w:tbl>
      <w:tblPr>
        <w:tblStyle w:val="5"/>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2" w:type="pct"/>
            <w:vAlign w:val="center"/>
          </w:tcPr>
          <w:p>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车型及计费方式</w:t>
            </w:r>
          </w:p>
        </w:tc>
        <w:tc>
          <w:tcPr>
            <w:tcW w:w="1827" w:type="pct"/>
            <w:vAlign w:val="center"/>
          </w:tcPr>
          <w:p>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172"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b w:val="0"/>
                <w:bCs w:val="0"/>
                <w:sz w:val="28"/>
                <w:szCs w:val="28"/>
                <w:vertAlign w:val="baseline"/>
                <w:lang w:val="en-US" w:eastAsia="zh-CN"/>
              </w:rPr>
              <w:t>首小时以内</w:t>
            </w:r>
          </w:p>
        </w:tc>
        <w:tc>
          <w:tcPr>
            <w:tcW w:w="1827"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172" w:type="pct"/>
            <w:vAlign w:val="center"/>
          </w:tcPr>
          <w:p>
            <w:p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超1小时后每30分钟</w:t>
            </w:r>
          </w:p>
        </w:tc>
        <w:tc>
          <w:tcPr>
            <w:tcW w:w="1827"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2" w:type="pct"/>
            <w:vAlign w:val="center"/>
          </w:tcPr>
          <w:p>
            <w:p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24小时内最高限价</w:t>
            </w:r>
          </w:p>
        </w:tc>
        <w:tc>
          <w:tcPr>
            <w:tcW w:w="1827" w:type="pct"/>
            <w:vAlign w:val="center"/>
          </w:tcPr>
          <w:p>
            <w:pPr>
              <w:spacing w:line="360" w:lineRule="auto"/>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15</w:t>
            </w:r>
          </w:p>
        </w:tc>
      </w:tr>
    </w:tbl>
    <w:p>
      <w:pPr>
        <w:spacing w:line="360" w:lineRule="auto"/>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rPr>
        <w:t>注：</w:t>
      </w:r>
      <w:r>
        <w:rPr>
          <w:rFonts w:hint="eastAsia" w:ascii="仿宋" w:hAnsi="仿宋" w:eastAsia="仿宋" w:cs="仿宋"/>
          <w:sz w:val="32"/>
          <w:szCs w:val="32"/>
          <w:lang w:val="en-US" w:eastAsia="zh-CN"/>
        </w:rPr>
        <w:t>1.</w:t>
      </w:r>
      <w:r>
        <w:rPr>
          <w:rFonts w:hint="eastAsia" w:ascii="仿宋" w:hAnsi="仿宋" w:eastAsia="仿宋" w:cs="仿宋"/>
          <w:sz w:val="32"/>
          <w:szCs w:val="32"/>
        </w:rPr>
        <w:t>停车不超过</w:t>
      </w:r>
      <w:r>
        <w:rPr>
          <w:rFonts w:hint="eastAsia" w:ascii="仿宋" w:hAnsi="仿宋" w:eastAsia="仿宋" w:cs="仿宋"/>
          <w:sz w:val="32"/>
          <w:szCs w:val="32"/>
          <w:lang w:val="en-US" w:eastAsia="zh-CN"/>
        </w:rPr>
        <w:t>30</w:t>
      </w:r>
      <w:r>
        <w:rPr>
          <w:rFonts w:hint="eastAsia" w:ascii="仿宋" w:hAnsi="仿宋" w:eastAsia="仿宋" w:cs="仿宋"/>
          <w:sz w:val="32"/>
          <w:szCs w:val="32"/>
        </w:rPr>
        <w:t>分钟的免费，超过免费时限的按实际停放时间计费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其中，摩托车（电动车）24小时内最高限价5元。</w:t>
      </w:r>
    </w:p>
    <w:p>
      <w:pPr>
        <w:numPr>
          <w:ilvl w:val="0"/>
          <w:numId w:val="0"/>
        </w:numPr>
        <w:spacing w:line="360" w:lineRule="auto"/>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节假日期间（零时起）24 小时最高限价可上浮 30%</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br w:type="page"/>
      </w:r>
      <w:r>
        <w:rPr>
          <w:rFonts w:hint="eastAsia" w:ascii="仿宋" w:hAnsi="仿宋" w:eastAsia="仿宋" w:cs="仿宋"/>
          <w:sz w:val="32"/>
          <w:szCs w:val="32"/>
          <w:lang w:val="en-US" w:eastAsia="zh-CN"/>
        </w:rPr>
        <w:t xml:space="preserve">附表2 </w:t>
      </w:r>
    </w:p>
    <w:p>
      <w:pPr>
        <w:jc w:val="center"/>
        <w:rPr>
          <w:rFonts w:hint="eastAsia" w:ascii="仿宋" w:hAnsi="仿宋" w:eastAsia="仿宋" w:cs="仿宋"/>
          <w:sz w:val="32"/>
          <w:szCs w:val="32"/>
          <w:lang w:eastAsia="zh-CN"/>
        </w:rPr>
      </w:pPr>
      <w:r>
        <w:rPr>
          <w:rFonts w:eastAsia="方正小标宋简体"/>
          <w:sz w:val="44"/>
          <w:szCs w:val="44"/>
        </w:rPr>
        <w:t>机动车停放服务收费</w:t>
      </w:r>
      <w:r>
        <w:rPr>
          <w:rFonts w:hint="eastAsia" w:eastAsia="方正小标宋简体"/>
          <w:sz w:val="44"/>
          <w:szCs w:val="44"/>
          <w:lang w:eastAsia="zh-CN"/>
        </w:rPr>
        <w:t>信息</w:t>
      </w:r>
      <w:r>
        <w:rPr>
          <w:rFonts w:eastAsia="方正小标宋简体"/>
          <w:sz w:val="44"/>
          <w:szCs w:val="44"/>
        </w:rPr>
        <w:t>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20"/>
        <w:gridCol w:w="1952"/>
        <w:gridCol w:w="1251"/>
        <w:gridCol w:w="125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lang w:eastAsia="zh-CN"/>
              </w:rPr>
            </w:pPr>
            <w:r>
              <w:rPr>
                <w:rFonts w:hint="eastAsia" w:ascii="黑体" w:hAnsi="黑体" w:eastAsia="黑体" w:cs="黑体"/>
                <w:kern w:val="2"/>
                <w:sz w:val="24"/>
                <w:szCs w:val="24"/>
                <w:lang w:val="en-US" w:eastAsia="zh-CN" w:bidi="ar-SA"/>
              </w:rPr>
              <w:t>经营者基本情况</w:t>
            </w: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企业名称</w:t>
            </w:r>
          </w:p>
        </w:tc>
        <w:tc>
          <w:tcPr>
            <w:tcW w:w="1879"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统一社会信用代码</w:t>
            </w:r>
          </w:p>
        </w:tc>
        <w:tc>
          <w:tcPr>
            <w:tcW w:w="72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具体地址</w:t>
            </w:r>
          </w:p>
        </w:tc>
        <w:tc>
          <w:tcPr>
            <w:tcW w:w="1879"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负责人</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手机号</w:t>
            </w:r>
          </w:p>
        </w:tc>
        <w:tc>
          <w:tcPr>
            <w:tcW w:w="1456"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经办人</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手机号</w:t>
            </w:r>
          </w:p>
        </w:tc>
        <w:tc>
          <w:tcPr>
            <w:tcW w:w="1456"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lang w:eastAsia="zh-CN"/>
              </w:rPr>
            </w:pPr>
            <w:r>
              <w:rPr>
                <w:rFonts w:hint="eastAsia" w:ascii="黑体" w:hAnsi="黑体" w:eastAsia="黑体" w:cs="黑体"/>
                <w:kern w:val="2"/>
                <w:sz w:val="24"/>
                <w:szCs w:val="24"/>
                <w:lang w:val="en-US" w:eastAsia="zh-CN" w:bidi="ar-SA"/>
              </w:rPr>
              <w:t>项目情况及收费标准</w:t>
            </w: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停车场设施名称及类别</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停车设施（路内泊位）具体地址（收费路段）</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计费方式及标准（元）</w:t>
            </w: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免费时限</w:t>
            </w: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最高限价</w:t>
            </w: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收费路段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预开征时间</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469"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停车设施车位数（个）</w:t>
            </w: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公共公益停车设施、非营利性医疗机构</w:t>
            </w: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上级</w:t>
            </w:r>
            <w:r>
              <w:rPr>
                <w:rFonts w:hint="eastAsia" w:asciiTheme="minorEastAsia" w:hAnsiTheme="minorEastAsia" w:eastAsiaTheme="minorEastAsia" w:cstheme="minorEastAsia"/>
                <w:b w:val="0"/>
                <w:bCs/>
                <w:sz w:val="24"/>
                <w:szCs w:val="24"/>
                <w:shd w:val="clear" w:color="auto" w:fill="FFFFFF"/>
                <w:vertAlign w:val="baseline"/>
                <w:lang w:val="en-US" w:eastAsia="zh-CN"/>
              </w:rPr>
              <w:t>(</w:t>
            </w:r>
            <w:r>
              <w:rPr>
                <w:rFonts w:hint="eastAsia" w:asciiTheme="minorEastAsia" w:hAnsiTheme="minorEastAsia" w:eastAsiaTheme="minorEastAsia" w:cstheme="minorEastAsia"/>
                <w:b w:val="0"/>
                <w:bCs/>
                <w:sz w:val="24"/>
                <w:szCs w:val="24"/>
                <w:shd w:val="clear" w:color="auto" w:fill="FFFFFF"/>
                <w:vertAlign w:val="baseline"/>
                <w:lang w:eastAsia="zh-CN"/>
              </w:rPr>
              <w:t>权属</w:t>
            </w:r>
            <w:r>
              <w:rPr>
                <w:rFonts w:hint="eastAsia" w:asciiTheme="minorEastAsia" w:hAnsiTheme="minorEastAsia" w:eastAsiaTheme="minorEastAsia" w:cstheme="minorEastAsia"/>
                <w:b w:val="0"/>
                <w:bCs/>
                <w:sz w:val="24"/>
                <w:szCs w:val="24"/>
                <w:shd w:val="clear" w:color="auto" w:fill="FFFFFF"/>
                <w:vertAlign w:val="baseline"/>
                <w:lang w:val="en-US" w:eastAsia="zh-CN"/>
              </w:rPr>
              <w:t>)</w:t>
            </w:r>
            <w:r>
              <w:rPr>
                <w:rFonts w:hint="eastAsia" w:asciiTheme="minorEastAsia" w:hAnsiTheme="minorEastAsia" w:eastAsiaTheme="minorEastAsia" w:cstheme="minorEastAsia"/>
                <w:b w:val="0"/>
                <w:bCs/>
                <w:sz w:val="24"/>
                <w:szCs w:val="24"/>
                <w:shd w:val="clear" w:color="auto" w:fill="FFFFFF"/>
                <w:vertAlign w:val="baseline"/>
                <w:lang w:eastAsia="zh-CN"/>
              </w:rPr>
              <w:t>部门</w:t>
            </w: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bCs w:val="0"/>
                <w:sz w:val="24"/>
                <w:szCs w:val="24"/>
                <w:shd w:val="clear" w:color="auto" w:fill="FFFFFF"/>
                <w:vertAlign w:val="baseline"/>
              </w:rPr>
            </w:pPr>
          </w:p>
        </w:tc>
        <w:tc>
          <w:tcPr>
            <w:tcW w:w="833"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1145"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lang w:eastAsia="zh-CN"/>
              </w:rPr>
              <w:t>是否实行特定人群优惠（是</w:t>
            </w:r>
            <w:r>
              <w:rPr>
                <w:rFonts w:hint="eastAsia" w:asciiTheme="minorEastAsia" w:hAnsiTheme="minorEastAsia" w:eastAsiaTheme="minorEastAsia" w:cstheme="minorEastAsia"/>
                <w:b w:val="0"/>
                <w:bCs/>
                <w:sz w:val="24"/>
                <w:szCs w:val="24"/>
                <w:shd w:val="clear" w:color="auto" w:fill="FFFFFF"/>
                <w:vertAlign w:val="baseline"/>
                <w:lang w:val="en-US" w:eastAsia="zh-CN"/>
              </w:rPr>
              <w:t>/</w:t>
            </w:r>
            <w:r>
              <w:rPr>
                <w:rFonts w:hint="eastAsia" w:asciiTheme="minorEastAsia" w:hAnsiTheme="minorEastAsia" w:eastAsiaTheme="minorEastAsia" w:cstheme="minorEastAsia"/>
                <w:b w:val="0"/>
                <w:bCs/>
                <w:sz w:val="24"/>
                <w:szCs w:val="24"/>
                <w:shd w:val="clear" w:color="auto" w:fill="FFFFFF"/>
                <w:vertAlign w:val="baseline"/>
                <w:lang w:eastAsia="zh-CN"/>
              </w:rPr>
              <w:t>否）、若“是”请详细说明方案</w:t>
            </w:r>
          </w:p>
        </w:tc>
        <w:tc>
          <w:tcPr>
            <w:tcW w:w="733"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36"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c>
          <w:tcPr>
            <w:tcW w:w="72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restar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路内停车设施（选填）</w:t>
            </w: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收费方式</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val="en-US" w:eastAsia="zh-CN"/>
              </w:rPr>
            </w:pPr>
            <w:r>
              <w:rPr>
                <w:rFonts w:hint="eastAsia" w:asciiTheme="minorEastAsia" w:hAnsiTheme="minorEastAsia" w:eastAsiaTheme="minorEastAsia" w:cstheme="minorEastAsia"/>
                <w:b w:val="0"/>
                <w:bCs/>
                <w:sz w:val="24"/>
                <w:szCs w:val="24"/>
                <w:shd w:val="clear" w:color="auto" w:fill="FFFFFF"/>
                <w:vertAlign w:val="baseline"/>
              </w:rPr>
              <w:sym w:font="Wingdings" w:char="00A8"/>
            </w:r>
            <w:r>
              <w:rPr>
                <w:rFonts w:hint="eastAsia" w:asciiTheme="minorEastAsia" w:hAnsiTheme="minorEastAsia" w:eastAsiaTheme="minorEastAsia" w:cstheme="minorEastAsia"/>
                <w:b w:val="0"/>
                <w:bCs/>
                <w:sz w:val="24"/>
                <w:szCs w:val="24"/>
                <w:shd w:val="clear" w:color="auto" w:fill="FFFFFF"/>
                <w:vertAlign w:val="baseline"/>
                <w:lang w:eastAsia="zh-CN"/>
              </w:rPr>
              <w:t>人工</w:t>
            </w:r>
            <w:r>
              <w:rPr>
                <w:rFonts w:hint="eastAsia" w:asciiTheme="minorEastAsia" w:hAnsiTheme="minorEastAsia" w:eastAsiaTheme="minorEastAsia" w:cstheme="minorEastAsia"/>
                <w:b w:val="0"/>
                <w:bCs/>
                <w:sz w:val="24"/>
                <w:szCs w:val="24"/>
                <w:shd w:val="clear" w:color="auto" w:fill="FFFFFF"/>
                <w:vertAlign w:val="baseline"/>
                <w:lang w:val="en-US" w:eastAsia="zh-CN"/>
              </w:rPr>
              <w:t xml:space="preserve">  </w:t>
            </w:r>
            <w:r>
              <w:rPr>
                <w:rFonts w:hint="eastAsia" w:asciiTheme="minorEastAsia" w:hAnsiTheme="minorEastAsia" w:eastAsiaTheme="minorEastAsia" w:cstheme="minorEastAsia"/>
                <w:b w:val="0"/>
                <w:bCs/>
                <w:sz w:val="24"/>
                <w:szCs w:val="24"/>
                <w:shd w:val="clear" w:color="auto" w:fill="FFFFFF"/>
                <w:vertAlign w:val="baseline"/>
                <w:lang w:val="en-US" w:eastAsia="zh-CN"/>
              </w:rPr>
              <w:sym w:font="Wingdings" w:char="00A8"/>
            </w:r>
            <w:r>
              <w:rPr>
                <w:rFonts w:hint="eastAsia" w:asciiTheme="minorEastAsia" w:hAnsiTheme="minorEastAsia" w:eastAsiaTheme="minorEastAsia" w:cstheme="minorEastAsia"/>
                <w:b w:val="0"/>
                <w:bCs/>
                <w:sz w:val="24"/>
                <w:szCs w:val="24"/>
                <w:shd w:val="clear" w:color="auto" w:fill="FFFFFF"/>
                <w:vertAlign w:val="baseline"/>
                <w:lang w:val="en-US" w:eastAsia="zh-CN"/>
              </w:rPr>
              <w:t>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p>
        </w:tc>
        <w:tc>
          <w:tcPr>
            <w:tcW w:w="1978" w:type="pct"/>
            <w:gridSpan w:val="2"/>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r>
              <w:rPr>
                <w:rFonts w:hint="eastAsia" w:asciiTheme="minorEastAsia" w:hAnsiTheme="minorEastAsia" w:eastAsiaTheme="minorEastAsia" w:cstheme="minorEastAsia"/>
                <w:b w:val="0"/>
                <w:bCs/>
                <w:sz w:val="24"/>
                <w:szCs w:val="24"/>
                <w:shd w:val="clear" w:color="auto" w:fill="FFFFFF"/>
                <w:vertAlign w:val="baseline"/>
                <w:lang w:eastAsia="zh-CN"/>
              </w:rPr>
              <w:t>路内是否增设</w:t>
            </w:r>
          </w:p>
        </w:tc>
        <w:tc>
          <w:tcPr>
            <w:tcW w:w="2190" w:type="pct"/>
            <w:gridSpan w:val="3"/>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val="en-US" w:eastAsia="zh-CN"/>
              </w:rPr>
            </w:pPr>
            <w:r>
              <w:rPr>
                <w:rFonts w:hint="eastAsia" w:asciiTheme="minorEastAsia" w:hAnsiTheme="minorEastAsia" w:eastAsiaTheme="minorEastAsia" w:cstheme="minorEastAsia"/>
                <w:b w:val="0"/>
                <w:bCs/>
                <w:sz w:val="24"/>
                <w:szCs w:val="24"/>
                <w:shd w:val="clear" w:color="auto" w:fill="FFFFFF"/>
                <w:vertAlign w:val="baseline"/>
              </w:rPr>
              <w:sym w:font="Wingdings" w:char="00A8"/>
            </w:r>
            <w:r>
              <w:rPr>
                <w:rFonts w:hint="eastAsia" w:asciiTheme="minorEastAsia" w:hAnsiTheme="minorEastAsia" w:eastAsiaTheme="minorEastAsia" w:cstheme="minorEastAsia"/>
                <w:b w:val="0"/>
                <w:bCs/>
                <w:sz w:val="24"/>
                <w:szCs w:val="24"/>
                <w:shd w:val="clear" w:color="auto" w:fill="FFFFFF"/>
                <w:vertAlign w:val="baseline"/>
                <w:lang w:eastAsia="zh-CN"/>
              </w:rPr>
              <w:t>是</w:t>
            </w:r>
            <w:r>
              <w:rPr>
                <w:rFonts w:hint="eastAsia" w:asciiTheme="minorEastAsia" w:hAnsiTheme="minorEastAsia" w:eastAsiaTheme="minorEastAsia" w:cstheme="minorEastAsia"/>
                <w:b w:val="0"/>
                <w:bCs/>
                <w:sz w:val="24"/>
                <w:szCs w:val="24"/>
                <w:shd w:val="clear" w:color="auto" w:fill="FFFFFF"/>
                <w:vertAlign w:val="baseline"/>
                <w:lang w:val="en-US" w:eastAsia="zh-CN"/>
              </w:rPr>
              <w:t xml:space="preserve">     </w:t>
            </w:r>
            <w:r>
              <w:rPr>
                <w:rFonts w:hint="eastAsia" w:asciiTheme="minorEastAsia" w:hAnsiTheme="minorEastAsia" w:eastAsiaTheme="minorEastAsia" w:cstheme="minorEastAsia"/>
                <w:b w:val="0"/>
                <w:bCs/>
                <w:sz w:val="24"/>
                <w:szCs w:val="24"/>
                <w:shd w:val="clear" w:color="auto" w:fill="FFFFFF"/>
                <w:vertAlign w:val="baseline"/>
                <w:lang w:val="en-US" w:eastAsia="zh-CN"/>
              </w:rPr>
              <w:sym w:font="Wingdings" w:char="00A8"/>
            </w:r>
            <w:r>
              <w:rPr>
                <w:rFonts w:hint="eastAsia" w:asciiTheme="minorEastAsia" w:hAnsiTheme="minorEastAsia" w:eastAsiaTheme="minorEastAsia" w:cstheme="minorEastAsia"/>
                <w:b w:val="0"/>
                <w:bCs/>
                <w:sz w:val="24"/>
                <w:szCs w:val="24"/>
                <w:shd w:val="clear" w:color="auto" w:fill="FFFFFF"/>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Merge w:val="continue"/>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p>
        </w:tc>
        <w:tc>
          <w:tcPr>
            <w:tcW w:w="4169" w:type="pct"/>
            <w:gridSpan w:val="5"/>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lang w:eastAsia="zh-CN"/>
              </w:rPr>
            </w:pPr>
            <w:r>
              <w:rPr>
                <w:rFonts w:hint="eastAsia" w:asciiTheme="minorEastAsia" w:hAnsiTheme="minorEastAsia" w:eastAsiaTheme="minorEastAsia" w:cstheme="minorEastAsia"/>
                <w:b w:val="0"/>
                <w:bCs/>
                <w:sz w:val="24"/>
                <w:szCs w:val="24"/>
                <w:shd w:val="clear" w:color="auto" w:fill="FFFFFF"/>
                <w:vertAlign w:val="baseline"/>
              </w:rPr>
              <w:sym w:font="Wingdings" w:char="00A8"/>
            </w:r>
            <w:r>
              <w:rPr>
                <w:rFonts w:hint="eastAsia" w:asciiTheme="minorEastAsia" w:hAnsiTheme="minorEastAsia" w:eastAsiaTheme="minorEastAsia" w:cstheme="minorEastAsia"/>
                <w:b w:val="0"/>
                <w:bCs/>
                <w:sz w:val="24"/>
                <w:szCs w:val="24"/>
                <w:shd w:val="clear" w:color="auto" w:fill="FFFFFF"/>
                <w:vertAlign w:val="baseline"/>
                <w:lang w:eastAsia="zh-CN"/>
              </w:rPr>
              <w:t>涉及医院路段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pct"/>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tc>
        <w:tc>
          <w:tcPr>
            <w:tcW w:w="4169" w:type="pct"/>
            <w:gridSpan w:val="5"/>
            <w:vAlign w:val="center"/>
          </w:tcPr>
          <w:p>
            <w:pPr>
              <w:pStyle w:val="8"/>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heme="minorEastAsia" w:hAnsiTheme="minorEastAsia" w:eastAsiaTheme="minorEastAsia" w:cstheme="minorEastAsia"/>
                <w:b w:val="0"/>
                <w:bCs/>
                <w:sz w:val="24"/>
                <w:szCs w:val="24"/>
                <w:shd w:val="clear" w:color="auto" w:fill="FFFFFF"/>
                <w:vertAlign w:val="baseline"/>
              </w:rPr>
            </w:pPr>
          </w:p>
        </w:tc>
      </w:tr>
    </w:tbl>
    <w:p>
      <w:pPr>
        <w:spacing w:line="360" w:lineRule="auto"/>
        <w:rPr>
          <w:rFonts w:hint="eastAsia" w:ascii="仿宋" w:hAnsi="仿宋" w:eastAsia="仿宋" w:cs="仿宋"/>
          <w:sz w:val="32"/>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OGJjZDI3ZjM3YWVhYjNmODhhMTJhMDU1YzE5YzUifQ=="/>
  </w:docVars>
  <w:rsids>
    <w:rsidRoot w:val="00A020D5"/>
    <w:rsid w:val="00412FE1"/>
    <w:rsid w:val="00A020D5"/>
    <w:rsid w:val="01880104"/>
    <w:rsid w:val="02181D15"/>
    <w:rsid w:val="0286591E"/>
    <w:rsid w:val="039A167F"/>
    <w:rsid w:val="0445212C"/>
    <w:rsid w:val="06096447"/>
    <w:rsid w:val="06A0320E"/>
    <w:rsid w:val="08306F1A"/>
    <w:rsid w:val="08BF0F78"/>
    <w:rsid w:val="09DE65D3"/>
    <w:rsid w:val="0ABF61FC"/>
    <w:rsid w:val="0AC43590"/>
    <w:rsid w:val="0C4862C2"/>
    <w:rsid w:val="132E580D"/>
    <w:rsid w:val="16692E0C"/>
    <w:rsid w:val="17D8129D"/>
    <w:rsid w:val="1B8301DF"/>
    <w:rsid w:val="1E8F7D10"/>
    <w:rsid w:val="1EBB0D98"/>
    <w:rsid w:val="202B7E11"/>
    <w:rsid w:val="22FB3C4B"/>
    <w:rsid w:val="26E52DF6"/>
    <w:rsid w:val="27DF3775"/>
    <w:rsid w:val="29296478"/>
    <w:rsid w:val="2EE93DB6"/>
    <w:rsid w:val="301C31B2"/>
    <w:rsid w:val="34DE0303"/>
    <w:rsid w:val="36392755"/>
    <w:rsid w:val="37717A7D"/>
    <w:rsid w:val="37802B49"/>
    <w:rsid w:val="39E3795E"/>
    <w:rsid w:val="3ABD3ECF"/>
    <w:rsid w:val="3B5C32FA"/>
    <w:rsid w:val="3C111903"/>
    <w:rsid w:val="423A474E"/>
    <w:rsid w:val="425C31D6"/>
    <w:rsid w:val="468A35BE"/>
    <w:rsid w:val="4764165A"/>
    <w:rsid w:val="47C618EC"/>
    <w:rsid w:val="49FE3A0D"/>
    <w:rsid w:val="4A531608"/>
    <w:rsid w:val="4B5C2DDC"/>
    <w:rsid w:val="4DAA1C26"/>
    <w:rsid w:val="4E8132F4"/>
    <w:rsid w:val="4F690259"/>
    <w:rsid w:val="54B822C7"/>
    <w:rsid w:val="567F2ECA"/>
    <w:rsid w:val="56BA22B1"/>
    <w:rsid w:val="589D0A9E"/>
    <w:rsid w:val="58F4528D"/>
    <w:rsid w:val="5D795D30"/>
    <w:rsid w:val="5EFE2F54"/>
    <w:rsid w:val="62422FE9"/>
    <w:rsid w:val="62514EFB"/>
    <w:rsid w:val="627E155F"/>
    <w:rsid w:val="67583529"/>
    <w:rsid w:val="67D63972"/>
    <w:rsid w:val="67EE6F9B"/>
    <w:rsid w:val="69DD65DE"/>
    <w:rsid w:val="6B6728CF"/>
    <w:rsid w:val="6E1116E0"/>
    <w:rsid w:val="6EC2696A"/>
    <w:rsid w:val="73AE05A6"/>
    <w:rsid w:val="774330E8"/>
    <w:rsid w:val="784A7C18"/>
    <w:rsid w:val="7AA607EF"/>
    <w:rsid w:val="7B3F2487"/>
    <w:rsid w:val="7D373377"/>
    <w:rsid w:val="7E2235A9"/>
    <w:rsid w:val="7E3F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2244</Words>
  <Characters>2325</Characters>
  <Lines>0</Lines>
  <Paragraphs>0</Paragraphs>
  <TotalTime>10</TotalTime>
  <ScaleCrop>false</ScaleCrop>
  <LinksUpToDate>false</LinksUpToDate>
  <CharactersWithSpaces>2344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2021-07-27T06:48:00Z</dcterms:created>
  <dc:creator>Administrator</dc:creator>
  <cp:lastModifiedBy></cp:lastModifiedBy>
  <cp:lastPrinted>2022-12-27T09:10:08Z</cp:lastPrinted>
  <dcterms:modified xsi:type="dcterms:W3CDTF">2022-12-27T09:10:36Z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241C47C348954F7DA55C42C3E3AC0B41</vt:lpwstr>
  </property>
</Properties>
</file>