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陆河审</w:t>
      </w:r>
      <w:r>
        <w:rPr>
          <w:rFonts w:hint="eastAsia" w:asciiTheme="minorEastAsia" w:hAnsiTheme="minorEastAsia" w:eastAsiaTheme="minorEastAsia"/>
          <w:color w:val="000000"/>
          <w:szCs w:val="21"/>
        </w:rPr>
        <w:t>〔202</w:t>
      </w: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 xml:space="preserve">号                     </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24"/>
        <w:gridCol w:w="2301"/>
        <w:gridCol w:w="1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3875"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陆河县柏森兴电器厂年产单面电路板30万m</w:t>
            </w:r>
            <w:r>
              <w:rPr>
                <w:rFonts w:hint="eastAsia" w:ascii="宋体" w:hAnsi="宋体" w:eastAsia="宋体" w:cs="宋体"/>
                <w:color w:val="000000"/>
                <w:szCs w:val="21"/>
                <w:vertAlign w:val="superscript"/>
              </w:rPr>
              <w:t>2</w:t>
            </w:r>
            <w:r>
              <w:rPr>
                <w:rFonts w:hint="eastAsia" w:ascii="宋体" w:hAnsi="宋体" w:eastAsia="宋体" w:cs="宋体"/>
                <w:color w:val="000000"/>
                <w:szCs w:val="21"/>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陆河县河田镇昂湖凹</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占地（建筑、营业）面积（m</w:t>
            </w:r>
            <w:r>
              <w:rPr>
                <w:rFonts w:hint="eastAsia" w:ascii="宋体" w:hAnsi="宋体" w:cs="宋体"/>
                <w:color w:val="000000"/>
                <w:szCs w:val="21"/>
                <w:vertAlign w:val="superscript"/>
                <w:lang w:val="en-US" w:eastAsia="zh-CN"/>
              </w:rPr>
              <w:t>2</w:t>
            </w:r>
            <w:r>
              <w:rPr>
                <w:rFonts w:hint="eastAsia" w:ascii="宋体" w:hAnsi="宋体" w:cs="宋体"/>
                <w:color w:val="000000"/>
                <w:szCs w:val="21"/>
                <w:lang w:val="en-US" w:eastAsia="zh-CN"/>
              </w:rPr>
              <w:t>）</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占地面积</w:t>
            </w:r>
            <w:r>
              <w:rPr>
                <w:rFonts w:hint="eastAsia" w:ascii="宋体" w:hAnsi="宋体" w:eastAsia="宋体" w:cs="宋体"/>
                <w:color w:val="000000"/>
                <w:sz w:val="21"/>
                <w:szCs w:val="21"/>
                <w:lang w:val="en-US" w:eastAsia="zh-CN"/>
              </w:rPr>
              <w:t xml:space="preserve"> 3620</w:t>
            </w:r>
            <w:r>
              <w:rPr>
                <w:rFonts w:hint="eastAsia" w:ascii="宋体" w:hAnsi="宋体" w:cs="宋体"/>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建筑面积约3000</w:t>
            </w:r>
            <w:r>
              <w:rPr>
                <w:rFonts w:hint="eastAsia" w:ascii="宋体" w:hAnsi="宋体" w:eastAsia="宋体" w:cs="宋体"/>
                <w:color w:val="000000"/>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建设单位</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陆河县柏森兴电器厂</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法定代表人或者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主要负责人</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陈文昭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李锡汉</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联系电话</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1331818****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项目投资(万元)</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default" w:ascii="宋体" w:hAnsi="宋体" w:cs="宋体"/>
                <w:color w:val="000000"/>
                <w:szCs w:val="21"/>
                <w:lang w:val="en-US" w:eastAsia="zh-CN"/>
              </w:rPr>
              <w:t>3600</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环保投资(万元)</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default" w:ascii="宋体" w:hAnsi="宋体" w:cs="宋体"/>
                <w:color w:val="000000"/>
                <w:szCs w:val="21"/>
                <w:lang w:val="en-US" w:eastAsia="zh-CN"/>
              </w:rPr>
              <w:t>159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运营日期</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highlight w:val="none"/>
              </w:rPr>
              <w:t>202</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告知承诺制</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审批依据</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根据《生态环境部关于统筹做好疫情防控和经济社会发展生态环保工作的指导意见》（环综合〔2020〕13号）文件规定，该项目属于《环境影响评价审批正面清单》中的“二十八、计算机、通信 和其他电子设备制造业-电子元件及电子专用材料制造”属于环评告知承诺制审批改革试点范围，适用告知承诺制审批。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建设内容及规模</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陆河县柏森兴电器厂选址于陆河县河田镇昂湖凹（项目地理坐标为N23°16′27.062″； E115°39′19.181″）建设陆河县柏森兴电器厂年产单面电路板30万㎡建设项目，项目总占地面积为3620平方米，主建筑系一栋1层高的厂房以及一栋2层高配套建筑，总建筑面积约 3000平方米。项目总投资3600万元，其中环保投资159万元，本项目建成后年生产单面电路 板30万㎡。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lang w:val="en-US" w:eastAsia="zh-CN"/>
              </w:rPr>
            </w:pPr>
            <w:r>
              <w:rPr>
                <w:rFonts w:hint="eastAsia"/>
                <w:lang w:val="en-US" w:eastAsia="zh-CN"/>
              </w:rPr>
              <w:t>该项目环境影响报告表已经完成告知承诺制审批。你单位应严格落实生态环境保护主体责任，在项目建设、运营期间，应按照建设项目环境影响报告表及承诺书内容要求，严格落实防治污染、防止生态破坏的措施，并按相关法律法规标准程序开展项目环保竣工验收，依法办理排污许可或登记手续。</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lang w:val="en-US" w:eastAsia="zh-CN"/>
              </w:rPr>
            </w:pPr>
            <w:r>
              <w:rPr>
                <w:rFonts w:hint="eastAsia"/>
                <w:lang w:val="en-US" w:eastAsia="zh-CN"/>
              </w:rPr>
              <w:t>你单位应当对环境影响报告表的内容和结论负责。若违反承诺事项，我局将依法作出不限于撤销本批复的处理。</w:t>
            </w:r>
          </w:p>
          <w:p>
            <w:pPr>
              <w:pStyle w:val="2"/>
              <w:rPr>
                <w:rFonts w:hint="eastAsia"/>
              </w:rPr>
            </w:pPr>
          </w:p>
          <w:p>
            <w:pPr>
              <w:pStyle w:val="2"/>
              <w:rPr>
                <w:rFonts w:hint="eastAsia"/>
              </w:rPr>
            </w:pPr>
          </w:p>
          <w:p>
            <w:pPr>
              <w:adjustRightInd w:val="0"/>
              <w:snapToGrid w:val="0"/>
              <w:spacing w:line="400" w:lineRule="exact"/>
              <w:ind w:firstLine="420" w:firstLineChars="200"/>
              <w:jc w:val="center"/>
              <w:rPr>
                <w:rFonts w:hint="eastAsia"/>
                <w:lang w:val="en-US" w:eastAsia="zh-CN"/>
              </w:rPr>
            </w:pPr>
            <w:r>
              <w:rPr>
                <w:rFonts w:hint="eastAsia"/>
                <w:lang w:val="en-US" w:eastAsia="zh-CN"/>
              </w:rPr>
              <w:t xml:space="preserve">                                          汕尾市生态环境局（盖章）</w:t>
            </w:r>
          </w:p>
          <w:p>
            <w:pPr>
              <w:adjustRightInd w:val="0"/>
              <w:snapToGrid w:val="0"/>
              <w:spacing w:line="400" w:lineRule="exact"/>
              <w:ind w:firstLine="420" w:firstLineChars="200"/>
              <w:jc w:val="both"/>
              <w:rPr>
                <w:rFonts w:hint="eastAsia"/>
                <w:lang w:val="en-US" w:eastAsia="zh-CN"/>
              </w:rPr>
            </w:pPr>
            <w:r>
              <w:rPr>
                <w:rFonts w:hint="eastAsia"/>
                <w:lang w:val="en-US" w:eastAsia="zh-CN"/>
              </w:rPr>
              <w:t>　　　　　　　　　　　　　　　　　　　　　　　　  2022年5月9日</w:t>
            </w:r>
          </w:p>
          <w:p>
            <w:pPr>
              <w:pStyle w:val="2"/>
              <w:rPr>
                <w:rFonts w:hint="eastAsia"/>
                <w:lang w:val="en-US" w:eastAsia="zh-CN"/>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2E5652C"/>
    <w:rsid w:val="05CE4CFE"/>
    <w:rsid w:val="08982A5C"/>
    <w:rsid w:val="0ACC3102"/>
    <w:rsid w:val="0CEA5E8B"/>
    <w:rsid w:val="16F22873"/>
    <w:rsid w:val="19294549"/>
    <w:rsid w:val="22D54404"/>
    <w:rsid w:val="27C27BAA"/>
    <w:rsid w:val="2DE50987"/>
    <w:rsid w:val="2E3A51C8"/>
    <w:rsid w:val="318227D3"/>
    <w:rsid w:val="354055E5"/>
    <w:rsid w:val="36A76248"/>
    <w:rsid w:val="3E596090"/>
    <w:rsid w:val="3F866E5B"/>
    <w:rsid w:val="4395291E"/>
    <w:rsid w:val="481C3E68"/>
    <w:rsid w:val="4A0574B0"/>
    <w:rsid w:val="4A5C4277"/>
    <w:rsid w:val="4E38350D"/>
    <w:rsid w:val="4FB302C1"/>
    <w:rsid w:val="56DF380F"/>
    <w:rsid w:val="5AB320C2"/>
    <w:rsid w:val="69E63D5D"/>
    <w:rsid w:val="6C3554C8"/>
    <w:rsid w:val="6C935C32"/>
    <w:rsid w:val="6F971785"/>
    <w:rsid w:val="724406A0"/>
    <w:rsid w:val="78CA2C3E"/>
    <w:rsid w:val="7B232B3E"/>
    <w:rsid w:val="7F255299"/>
    <w:rsid w:val="7FF5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snapToGrid/>
      <w:spacing w:line="240" w:lineRule="auto"/>
    </w:pPr>
    <w:rPr>
      <w:rFonts w:ascii="宋体" w:hAnsi="Courier New"/>
      <w:sz w:val="21"/>
    </w:rPr>
  </w:style>
  <w:style w:type="paragraph" w:styleId="3">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2"/>
    <w:basedOn w:val="1"/>
    <w:next w:val="1"/>
    <w:qFormat/>
    <w:uiPriority w:val="0"/>
    <w:pPr>
      <w:ind w:left="420" w:leftChars="200"/>
    </w:pPr>
  </w:style>
  <w:style w:type="character" w:styleId="10">
    <w:name w:val="annotation reference"/>
    <w:basedOn w:val="9"/>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678</Words>
  <Characters>745</Characters>
  <Lines>4</Lines>
  <Paragraphs>1</Paragraphs>
  <TotalTime>76</TotalTime>
  <ScaleCrop>false</ScaleCrop>
  <LinksUpToDate>false</LinksUpToDate>
  <CharactersWithSpaces>840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2022-05-09T06:27:00Z</cp:lastPrinted>
  <dcterms:modified xsi:type="dcterms:W3CDTF">2022-10-13T04:00:37Z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