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eastAsia="仿宋_GB2312"/>
          <w:sz w:val="36"/>
          <w:szCs w:val="36"/>
        </w:rPr>
      </w:pPr>
    </w:p>
    <w:p>
      <w:pPr>
        <w:rPr>
          <w:rFonts w:eastAsia="仿宋_GB2312"/>
          <w:sz w:val="36"/>
          <w:szCs w:val="36"/>
        </w:rPr>
      </w:pPr>
    </w:p>
    <w:p>
      <w:pPr>
        <w:rPr>
          <w:rFonts w:eastAsia="仿宋_GB2312"/>
          <w:sz w:val="36"/>
          <w:szCs w:val="36"/>
        </w:rPr>
      </w:pPr>
    </w:p>
    <w:p>
      <w:pPr>
        <w:spacing w:line="240" w:lineRule="auto"/>
        <w:jc w:val="center"/>
        <w:outlineLvl w:val="0"/>
        <w:rPr>
          <w:rFonts w:eastAsia="方正小标宋_GBK"/>
          <w:bCs/>
          <w:sz w:val="72"/>
          <w:szCs w:val="72"/>
        </w:rPr>
      </w:pPr>
      <w:r>
        <w:rPr>
          <w:rFonts w:eastAsia="方正小标宋_GBK"/>
          <w:bCs/>
          <w:sz w:val="72"/>
          <w:szCs w:val="72"/>
        </w:rPr>
        <w:t>建设项目环境影响报告表</w:t>
      </w:r>
    </w:p>
    <w:p>
      <w:pPr>
        <w:spacing w:beforeLines="80" w:line="240" w:lineRule="auto"/>
        <w:jc w:val="center"/>
        <w:rPr>
          <w:rFonts w:eastAsia="楷体_GB2312"/>
          <w:bCs/>
          <w:sz w:val="48"/>
          <w:szCs w:val="48"/>
        </w:rPr>
      </w:pPr>
      <w:r>
        <w:rPr>
          <w:rFonts w:eastAsia="楷体_GB2312"/>
          <w:bCs/>
          <w:sz w:val="48"/>
          <w:szCs w:val="48"/>
        </w:rPr>
        <w:t>（污染影响类）</w:t>
      </w: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pStyle w:val="2"/>
      </w:pPr>
    </w:p>
    <w:p>
      <w:pPr>
        <w:pStyle w:val="2"/>
      </w:pPr>
    </w:p>
    <w:p>
      <w:pPr>
        <w:pStyle w:val="2"/>
        <w:rPr>
          <w:rFonts w:ascii="Times New Roman" w:hAnsi="Times New Roman"/>
        </w:rPr>
      </w:pPr>
    </w:p>
    <w:p>
      <w:pPr>
        <w:ind w:firstLine="1040"/>
        <w:rPr>
          <w:rFonts w:eastAsia="仿宋"/>
          <w:sz w:val="44"/>
          <w:szCs w:val="44"/>
        </w:rPr>
      </w:pPr>
    </w:p>
    <w:p>
      <w:pPr>
        <w:spacing w:line="288" w:lineRule="auto"/>
        <w:ind w:left="2160" w:right="1440" w:hanging="2160" w:hangingChars="600"/>
        <w:jc w:val="left"/>
        <w:rPr>
          <w:rFonts w:eastAsia="仿宋_GB2312"/>
          <w:sz w:val="36"/>
          <w:szCs w:val="36"/>
          <w:u w:val="single"/>
        </w:rPr>
      </w:pPr>
      <w:r>
        <w:rPr>
          <w:rFonts w:eastAsia="仿宋_GB2312"/>
          <w:sz w:val="36"/>
          <w:szCs w:val="36"/>
        </w:rPr>
        <w:t>项目名称：</w:t>
      </w:r>
      <w:r>
        <w:rPr>
          <w:rFonts w:eastAsia="仿宋_GB2312"/>
          <w:sz w:val="36"/>
          <w:szCs w:val="36"/>
          <w:u w:val="single"/>
        </w:rPr>
        <w:t>汕尾陆河储能</w:t>
      </w:r>
      <w:r>
        <w:rPr>
          <w:rFonts w:hint="eastAsia" w:eastAsia="仿宋_GB2312"/>
          <w:sz w:val="36"/>
          <w:szCs w:val="36"/>
          <w:u w:val="single"/>
        </w:rPr>
        <w:t>（储电）</w:t>
      </w:r>
      <w:r>
        <w:rPr>
          <w:rFonts w:eastAsia="仿宋_GB2312"/>
          <w:sz w:val="36"/>
          <w:szCs w:val="36"/>
          <w:u w:val="single"/>
        </w:rPr>
        <w:t>集装箱生产制造</w:t>
      </w:r>
      <w:r>
        <w:rPr>
          <w:rFonts w:hint="eastAsia" w:eastAsia="仿宋_GB2312"/>
          <w:sz w:val="36"/>
          <w:szCs w:val="36"/>
          <w:u w:val="single"/>
        </w:rPr>
        <w:t>项目</w:t>
      </w:r>
    </w:p>
    <w:p>
      <w:pPr>
        <w:spacing w:line="288" w:lineRule="auto"/>
        <w:ind w:right="1440"/>
        <w:jc w:val="left"/>
        <w:rPr>
          <w:rFonts w:eastAsia="仿宋_GB2312"/>
          <w:sz w:val="36"/>
          <w:szCs w:val="36"/>
          <w:u w:val="single"/>
        </w:rPr>
      </w:pPr>
      <w:r>
        <w:rPr>
          <w:rFonts w:eastAsia="仿宋_GB2312"/>
          <w:sz w:val="36"/>
          <w:szCs w:val="36"/>
        </w:rPr>
        <w:t>建设单位（盖章）：</w:t>
      </w:r>
      <w:r>
        <w:rPr>
          <w:rFonts w:eastAsia="仿宋_GB2312"/>
          <w:sz w:val="36"/>
          <w:szCs w:val="36"/>
          <w:u w:val="single"/>
        </w:rPr>
        <w:t xml:space="preserve"> </w:t>
      </w:r>
      <w:r>
        <w:rPr>
          <w:rFonts w:hint="eastAsia" w:eastAsia="仿宋_GB2312"/>
          <w:sz w:val="36"/>
          <w:szCs w:val="36"/>
          <w:u w:val="single"/>
        </w:rPr>
        <w:t xml:space="preserve">汕尾弗迪电池有限公司 </w:t>
      </w:r>
      <w:r>
        <w:rPr>
          <w:rFonts w:eastAsia="仿宋_GB2312"/>
          <w:sz w:val="36"/>
          <w:szCs w:val="36"/>
          <w:u w:val="single"/>
        </w:rPr>
        <w:t xml:space="preserve">  </w:t>
      </w:r>
    </w:p>
    <w:p>
      <w:pPr>
        <w:spacing w:line="288" w:lineRule="auto"/>
        <w:ind w:right="1440"/>
        <w:jc w:val="left"/>
        <w:rPr>
          <w:rFonts w:eastAsia="仿宋_GB2312"/>
          <w:sz w:val="36"/>
          <w:szCs w:val="36"/>
          <w:u w:val="single"/>
        </w:rPr>
      </w:pPr>
      <w:r>
        <w:rPr>
          <w:rFonts w:eastAsia="仿宋_GB2312"/>
          <w:sz w:val="36"/>
          <w:szCs w:val="36"/>
        </w:rPr>
        <w:t>编制日期：</w:t>
      </w:r>
      <w:r>
        <w:rPr>
          <w:rFonts w:eastAsia="仿宋_GB2312"/>
          <w:sz w:val="36"/>
          <w:szCs w:val="36"/>
          <w:u w:val="single"/>
        </w:rPr>
        <w:t xml:space="preserve">         2021年</w:t>
      </w:r>
      <w:r>
        <w:rPr>
          <w:rFonts w:hint="eastAsia" w:eastAsia="仿宋_GB2312"/>
          <w:sz w:val="36"/>
          <w:szCs w:val="36"/>
          <w:u w:val="single"/>
        </w:rPr>
        <w:t>12</w:t>
      </w:r>
      <w:r>
        <w:rPr>
          <w:rFonts w:eastAsia="仿宋_GB2312"/>
          <w:sz w:val="36"/>
          <w:szCs w:val="36"/>
          <w:u w:val="single"/>
        </w:rPr>
        <w:t>月</w:t>
      </w:r>
      <w:bookmarkStart w:id="0" w:name="_Hlk57884087"/>
      <w:r>
        <w:rPr>
          <w:rFonts w:eastAsia="仿宋_GB2312"/>
          <w:sz w:val="36"/>
          <w:szCs w:val="36"/>
          <w:u w:val="single"/>
        </w:rPr>
        <w:t xml:space="preserve">               </w:t>
      </w:r>
    </w:p>
    <w:p>
      <w:pPr>
        <w:spacing w:line="288" w:lineRule="auto"/>
        <w:ind w:firstLine="1040"/>
        <w:rPr>
          <w:rFonts w:eastAsia="仿宋_GB2312"/>
          <w:sz w:val="36"/>
          <w:szCs w:val="36"/>
        </w:rPr>
      </w:pPr>
    </w:p>
    <w:p>
      <w:pPr>
        <w:pStyle w:val="49"/>
        <w:rPr>
          <w:rFonts w:hint="default" w:ascii="Times New Roman" w:hAnsi="Times New Roman"/>
          <w:color w:val="auto"/>
        </w:rPr>
      </w:pPr>
    </w:p>
    <w:p>
      <w:pPr>
        <w:pStyle w:val="51"/>
        <w:outlineLvl w:val="9"/>
        <w:rPr>
          <w:rFonts w:ascii="Times New Roman" w:hAnsi="Times New Roman"/>
        </w:rPr>
      </w:pPr>
    </w:p>
    <w:p>
      <w:pPr>
        <w:spacing w:line="288" w:lineRule="auto"/>
        <w:ind w:firstLine="1040"/>
        <w:rPr>
          <w:rFonts w:eastAsia="仿宋_GB2312"/>
          <w:sz w:val="36"/>
          <w:szCs w:val="36"/>
        </w:rPr>
      </w:pPr>
    </w:p>
    <w:p>
      <w:pPr>
        <w:pStyle w:val="2"/>
      </w:pPr>
    </w:p>
    <w:p>
      <w:pPr>
        <w:spacing w:line="288" w:lineRule="auto"/>
        <w:ind w:firstLine="1040"/>
        <w:rPr>
          <w:rFonts w:eastAsia="仿宋_GB2312"/>
          <w:sz w:val="36"/>
          <w:szCs w:val="36"/>
        </w:rPr>
      </w:pPr>
    </w:p>
    <w:bookmarkEnd w:id="0"/>
    <w:p>
      <w:pPr>
        <w:spacing w:line="288" w:lineRule="auto"/>
        <w:jc w:val="center"/>
        <w:rPr>
          <w:rFonts w:eastAsia="楷体_GB2312"/>
          <w:sz w:val="36"/>
          <w:szCs w:val="36"/>
        </w:rPr>
      </w:pPr>
      <w:r>
        <w:rPr>
          <w:rFonts w:eastAsia="楷体_GB2312"/>
          <w:sz w:val="36"/>
          <w:szCs w:val="36"/>
        </w:rPr>
        <w:t>中华人民共和国生态环境部制</w:t>
      </w:r>
    </w:p>
    <w:p>
      <w:pPr>
        <w:spacing w:line="288" w:lineRule="auto"/>
        <w:ind w:firstLine="1040"/>
        <w:rPr>
          <w:rFonts w:eastAsia="仿宋_GB2312"/>
          <w:sz w:val="36"/>
          <w:szCs w:val="36"/>
        </w:rPr>
        <w:sectPr>
          <w:footerReference r:id="rId5" w:type="default"/>
          <w:footerReference r:id="rId6" w:type="even"/>
          <w:pgSz w:w="11906" w:h="16838"/>
          <w:pgMar w:top="1418" w:right="1418" w:bottom="1418" w:left="1418" w:header="851" w:footer="992" w:gutter="0"/>
          <w:pgNumType w:start="3"/>
          <w:cols w:space="720" w:num="1"/>
          <w:docGrid w:linePitch="381" w:charSpace="0"/>
        </w:sectPr>
      </w:pPr>
    </w:p>
    <w:p>
      <w:pPr>
        <w:pStyle w:val="36"/>
        <w:spacing w:beforeLines="100" w:beforeAutospacing="0" w:afterLines="100" w:afterAutospacing="0"/>
        <w:jc w:val="center"/>
        <w:outlineLvl w:val="0"/>
        <w:rPr>
          <w:rFonts w:ascii="Times New Roman" w:hAnsi="Times New Roman" w:eastAsia="黑体" w:cs="Times New Roman"/>
          <w:snapToGrid w:val="0"/>
          <w:sz w:val="30"/>
          <w:szCs w:val="30"/>
        </w:rPr>
      </w:pPr>
      <w:r>
        <w:rPr>
          <w:rFonts w:ascii="Times New Roman" w:hAnsi="Times New Roman" w:eastAsia="黑体" w:cs="Times New Roman"/>
          <w:snapToGrid w:val="0"/>
          <w:sz w:val="30"/>
          <w:szCs w:val="30"/>
        </w:rPr>
        <w:t>一、建设项目基本情况</w:t>
      </w:r>
    </w:p>
    <w:tbl>
      <w:tblPr>
        <w:tblStyle w:val="40"/>
        <w:tblW w:w="974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582"/>
        <w:gridCol w:w="2869"/>
        <w:gridCol w:w="1985"/>
        <w:gridCol w:w="331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82" w:type="dxa"/>
            <w:tcMar>
              <w:top w:w="16" w:type="dxa"/>
              <w:left w:w="16" w:type="dxa"/>
              <w:right w:w="16" w:type="dxa"/>
            </w:tcMar>
            <w:vAlign w:val="center"/>
          </w:tcPr>
          <w:p>
            <w:pPr>
              <w:spacing w:line="240" w:lineRule="auto"/>
              <w:jc w:val="center"/>
              <w:rPr>
                <w:b/>
                <w:bCs/>
                <w:sz w:val="24"/>
              </w:rPr>
            </w:pPr>
            <w:r>
              <w:rPr>
                <w:b/>
                <w:bCs/>
                <w:sz w:val="24"/>
              </w:rPr>
              <w:t>建设项目名称</w:t>
            </w:r>
          </w:p>
        </w:tc>
        <w:tc>
          <w:tcPr>
            <w:tcW w:w="8167" w:type="dxa"/>
            <w:gridSpan w:val="3"/>
            <w:vAlign w:val="center"/>
          </w:tcPr>
          <w:p>
            <w:pPr>
              <w:spacing w:line="240" w:lineRule="auto"/>
              <w:jc w:val="center"/>
              <w:rPr>
                <w:sz w:val="24"/>
              </w:rPr>
            </w:pPr>
            <w:r>
              <w:rPr>
                <w:sz w:val="24"/>
              </w:rPr>
              <w:t>汕尾陆河储能（储电）集装箱生产制造项目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82" w:type="dxa"/>
            <w:tcMar>
              <w:top w:w="16" w:type="dxa"/>
              <w:left w:w="16" w:type="dxa"/>
              <w:right w:w="16" w:type="dxa"/>
            </w:tcMar>
            <w:vAlign w:val="center"/>
          </w:tcPr>
          <w:p>
            <w:pPr>
              <w:spacing w:line="240" w:lineRule="auto"/>
              <w:jc w:val="center"/>
              <w:rPr>
                <w:b/>
                <w:bCs/>
                <w:sz w:val="24"/>
              </w:rPr>
            </w:pPr>
            <w:r>
              <w:rPr>
                <w:b/>
                <w:bCs/>
                <w:sz w:val="24"/>
              </w:rPr>
              <w:t>项目代码</w:t>
            </w:r>
          </w:p>
        </w:tc>
        <w:tc>
          <w:tcPr>
            <w:tcW w:w="8167" w:type="dxa"/>
            <w:gridSpan w:val="3"/>
            <w:vAlign w:val="center"/>
          </w:tcPr>
          <w:p>
            <w:pPr>
              <w:spacing w:line="240" w:lineRule="auto"/>
              <w:jc w:val="center"/>
              <w:rPr>
                <w:sz w:val="24"/>
              </w:rPr>
            </w:pPr>
            <w:r>
              <w:rPr>
                <w:rFonts w:hint="eastAsia"/>
                <w:sz w:val="24"/>
              </w:rPr>
              <w:t>2110-441523-04-01-671014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82" w:type="dxa"/>
            <w:tcMar>
              <w:top w:w="16" w:type="dxa"/>
              <w:left w:w="16" w:type="dxa"/>
              <w:right w:w="16" w:type="dxa"/>
            </w:tcMar>
            <w:vAlign w:val="center"/>
          </w:tcPr>
          <w:p>
            <w:pPr>
              <w:spacing w:line="240" w:lineRule="auto"/>
              <w:jc w:val="center"/>
              <w:rPr>
                <w:b/>
                <w:bCs/>
                <w:sz w:val="24"/>
              </w:rPr>
            </w:pPr>
            <w:r>
              <w:rPr>
                <w:b/>
                <w:bCs/>
                <w:sz w:val="24"/>
              </w:rPr>
              <w:t>建设单位联系人</w:t>
            </w:r>
          </w:p>
        </w:tc>
        <w:tc>
          <w:tcPr>
            <w:tcW w:w="2869" w:type="dxa"/>
            <w:vAlign w:val="center"/>
          </w:tcPr>
          <w:p>
            <w:pPr>
              <w:spacing w:line="240" w:lineRule="auto"/>
              <w:jc w:val="center"/>
              <w:rPr>
                <w:sz w:val="24"/>
              </w:rPr>
            </w:pPr>
            <w:r>
              <w:rPr>
                <w:sz w:val="24"/>
              </w:rPr>
              <w:t>赵永志</w:t>
            </w:r>
          </w:p>
        </w:tc>
        <w:tc>
          <w:tcPr>
            <w:tcW w:w="1985" w:type="dxa"/>
            <w:vAlign w:val="center"/>
          </w:tcPr>
          <w:p>
            <w:pPr>
              <w:spacing w:line="240" w:lineRule="auto"/>
              <w:jc w:val="center"/>
              <w:rPr>
                <w:b/>
                <w:bCs/>
                <w:sz w:val="24"/>
              </w:rPr>
            </w:pPr>
            <w:r>
              <w:rPr>
                <w:b/>
                <w:bCs/>
                <w:sz w:val="24"/>
              </w:rPr>
              <w:t>联系方式</w:t>
            </w:r>
          </w:p>
        </w:tc>
        <w:tc>
          <w:tcPr>
            <w:tcW w:w="3313" w:type="dxa"/>
            <w:vAlign w:val="center"/>
          </w:tcPr>
          <w:p>
            <w:pPr>
              <w:spacing w:line="240" w:lineRule="auto"/>
              <w:jc w:val="center"/>
              <w:rPr>
                <w:rFonts w:hint="default" w:eastAsia="宋体"/>
                <w:sz w:val="24"/>
                <w:lang w:val="en-US" w:eastAsia="zh-CN"/>
              </w:rPr>
            </w:pPr>
            <w:r>
              <w:rPr>
                <w:sz w:val="24"/>
              </w:rPr>
              <w:t>1893886</w:t>
            </w:r>
            <w:r>
              <w:rPr>
                <w:rFonts w:hint="eastAsia"/>
                <w:sz w:val="24"/>
                <w:lang w:val="en-US" w:eastAsia="zh-CN"/>
              </w:rPr>
              <w:t>****</w:t>
            </w:r>
            <w:bookmarkStart w:id="3" w:name="_GoBack"/>
            <w:bookmarkEnd w:id="3"/>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82" w:type="dxa"/>
            <w:tcMar>
              <w:top w:w="16" w:type="dxa"/>
              <w:left w:w="16" w:type="dxa"/>
              <w:right w:w="16" w:type="dxa"/>
            </w:tcMar>
            <w:vAlign w:val="center"/>
          </w:tcPr>
          <w:p>
            <w:pPr>
              <w:spacing w:line="240" w:lineRule="auto"/>
              <w:jc w:val="center"/>
              <w:rPr>
                <w:b/>
                <w:bCs/>
                <w:sz w:val="24"/>
              </w:rPr>
            </w:pPr>
            <w:r>
              <w:rPr>
                <w:b/>
                <w:bCs/>
                <w:sz w:val="24"/>
              </w:rPr>
              <w:t>建设地点</w:t>
            </w:r>
          </w:p>
        </w:tc>
        <w:tc>
          <w:tcPr>
            <w:tcW w:w="8167" w:type="dxa"/>
            <w:gridSpan w:val="3"/>
            <w:vAlign w:val="center"/>
          </w:tcPr>
          <w:p>
            <w:pPr>
              <w:spacing w:line="240" w:lineRule="auto"/>
              <w:jc w:val="center"/>
              <w:rPr>
                <w:sz w:val="24"/>
              </w:rPr>
            </w:pPr>
            <w:r>
              <w:rPr>
                <w:sz w:val="24"/>
              </w:rPr>
              <w:t>广东陆河县产业转移工业园区陆河比亚迪车工业园1号厂房1-2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82" w:type="dxa"/>
            <w:tcMar>
              <w:top w:w="16" w:type="dxa"/>
              <w:left w:w="16" w:type="dxa"/>
              <w:right w:w="16" w:type="dxa"/>
            </w:tcMar>
            <w:vAlign w:val="center"/>
          </w:tcPr>
          <w:p>
            <w:pPr>
              <w:spacing w:line="240" w:lineRule="auto"/>
              <w:jc w:val="center"/>
              <w:rPr>
                <w:b/>
                <w:bCs/>
                <w:sz w:val="24"/>
              </w:rPr>
            </w:pPr>
            <w:r>
              <w:rPr>
                <w:b/>
                <w:bCs/>
                <w:sz w:val="24"/>
              </w:rPr>
              <w:t>地理坐标</w:t>
            </w:r>
          </w:p>
        </w:tc>
        <w:tc>
          <w:tcPr>
            <w:tcW w:w="8167" w:type="dxa"/>
            <w:gridSpan w:val="3"/>
            <w:vAlign w:val="center"/>
          </w:tcPr>
          <w:p>
            <w:pPr>
              <w:spacing w:line="240" w:lineRule="auto"/>
              <w:jc w:val="center"/>
              <w:rPr>
                <w:sz w:val="24"/>
              </w:rPr>
            </w:pPr>
            <w:r>
              <w:rPr>
                <w:sz w:val="24"/>
              </w:rPr>
              <w:t>（</w:t>
            </w:r>
            <w:r>
              <w:rPr>
                <w:sz w:val="24"/>
                <w:u w:val="single"/>
              </w:rPr>
              <w:t>115</w:t>
            </w:r>
            <w:r>
              <w:rPr>
                <w:sz w:val="24"/>
              </w:rPr>
              <w:t>度</w:t>
            </w:r>
            <w:r>
              <w:rPr>
                <w:sz w:val="24"/>
                <w:u w:val="single"/>
              </w:rPr>
              <w:t>35</w:t>
            </w:r>
            <w:r>
              <w:rPr>
                <w:sz w:val="24"/>
              </w:rPr>
              <w:t>分</w:t>
            </w:r>
            <w:r>
              <w:rPr>
                <w:sz w:val="24"/>
                <w:u w:val="single"/>
              </w:rPr>
              <w:t>15.417</w:t>
            </w:r>
            <w:r>
              <w:rPr>
                <w:sz w:val="24"/>
              </w:rPr>
              <w:t>秒，</w:t>
            </w:r>
            <w:r>
              <w:rPr>
                <w:sz w:val="24"/>
                <w:u w:val="single"/>
              </w:rPr>
              <w:t>23</w:t>
            </w:r>
            <w:r>
              <w:rPr>
                <w:sz w:val="24"/>
              </w:rPr>
              <w:t>度</w:t>
            </w:r>
            <w:r>
              <w:rPr>
                <w:sz w:val="24"/>
                <w:u w:val="single"/>
              </w:rPr>
              <w:t>11</w:t>
            </w:r>
            <w:r>
              <w:rPr>
                <w:sz w:val="24"/>
              </w:rPr>
              <w:t>分</w:t>
            </w:r>
            <w:r>
              <w:rPr>
                <w:sz w:val="24"/>
                <w:u w:val="single"/>
              </w:rPr>
              <w:t>50.429</w:t>
            </w:r>
            <w:r>
              <w:rPr>
                <w:sz w:val="24"/>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82" w:type="dxa"/>
            <w:tcMar>
              <w:top w:w="16" w:type="dxa"/>
              <w:left w:w="16" w:type="dxa"/>
              <w:right w:w="16" w:type="dxa"/>
            </w:tcMar>
            <w:vAlign w:val="center"/>
          </w:tcPr>
          <w:p>
            <w:pPr>
              <w:spacing w:line="240" w:lineRule="auto"/>
              <w:jc w:val="center"/>
              <w:rPr>
                <w:b/>
                <w:bCs/>
                <w:sz w:val="24"/>
              </w:rPr>
            </w:pPr>
            <w:r>
              <w:rPr>
                <w:b/>
                <w:bCs/>
                <w:sz w:val="24"/>
              </w:rPr>
              <w:t>国民经济</w:t>
            </w:r>
          </w:p>
          <w:p>
            <w:pPr>
              <w:spacing w:line="240" w:lineRule="auto"/>
              <w:jc w:val="center"/>
              <w:rPr>
                <w:b/>
                <w:bCs/>
                <w:sz w:val="24"/>
              </w:rPr>
            </w:pPr>
            <w:r>
              <w:rPr>
                <w:b/>
                <w:bCs/>
                <w:sz w:val="24"/>
              </w:rPr>
              <w:t>行业类别</w:t>
            </w:r>
          </w:p>
        </w:tc>
        <w:tc>
          <w:tcPr>
            <w:tcW w:w="2869" w:type="dxa"/>
            <w:vAlign w:val="center"/>
          </w:tcPr>
          <w:p>
            <w:pPr>
              <w:spacing w:line="240" w:lineRule="auto"/>
              <w:jc w:val="center"/>
              <w:rPr>
                <w:sz w:val="24"/>
              </w:rPr>
            </w:pPr>
            <w:r>
              <w:rPr>
                <w:rFonts w:hint="eastAsia"/>
                <w:sz w:val="24"/>
              </w:rPr>
              <w:t>C3969其他智能消费设备制造</w:t>
            </w:r>
          </w:p>
        </w:tc>
        <w:tc>
          <w:tcPr>
            <w:tcW w:w="1985" w:type="dxa"/>
            <w:vAlign w:val="center"/>
          </w:tcPr>
          <w:p>
            <w:pPr>
              <w:spacing w:line="240" w:lineRule="auto"/>
              <w:jc w:val="center"/>
              <w:rPr>
                <w:b/>
                <w:bCs/>
                <w:sz w:val="24"/>
              </w:rPr>
            </w:pPr>
            <w:bookmarkStart w:id="1" w:name="_Hlk49843745"/>
            <w:r>
              <w:rPr>
                <w:b/>
                <w:bCs/>
                <w:sz w:val="24"/>
              </w:rPr>
              <w:t>建设项目</w:t>
            </w:r>
          </w:p>
          <w:p>
            <w:pPr>
              <w:spacing w:line="240" w:lineRule="auto"/>
              <w:jc w:val="center"/>
              <w:rPr>
                <w:b/>
                <w:bCs/>
                <w:sz w:val="24"/>
              </w:rPr>
            </w:pPr>
            <w:r>
              <w:rPr>
                <w:b/>
                <w:bCs/>
                <w:sz w:val="24"/>
              </w:rPr>
              <w:t>行业类别</w:t>
            </w:r>
            <w:bookmarkEnd w:id="1"/>
          </w:p>
        </w:tc>
        <w:tc>
          <w:tcPr>
            <w:tcW w:w="3313" w:type="dxa"/>
            <w:vAlign w:val="center"/>
          </w:tcPr>
          <w:p>
            <w:pPr>
              <w:spacing w:line="240" w:lineRule="auto"/>
              <w:rPr>
                <w:sz w:val="24"/>
              </w:rPr>
            </w:pPr>
            <w:r>
              <w:rPr>
                <w:sz w:val="24"/>
              </w:rPr>
              <w:t>三十</w:t>
            </w:r>
            <w:r>
              <w:rPr>
                <w:rFonts w:hint="eastAsia"/>
                <w:sz w:val="24"/>
              </w:rPr>
              <w:t>六</w:t>
            </w:r>
            <w:r>
              <w:rPr>
                <w:sz w:val="24"/>
              </w:rPr>
              <w:t>、</w:t>
            </w:r>
            <w:r>
              <w:rPr>
                <w:rFonts w:hint="eastAsia"/>
                <w:sz w:val="24"/>
              </w:rPr>
              <w:t>计算机、</w:t>
            </w:r>
            <w:r>
              <w:rPr>
                <w:sz w:val="24"/>
              </w:rPr>
              <w:t>通信和其他电子设备制造业</w:t>
            </w:r>
            <w:r>
              <w:rPr>
                <w:rFonts w:hint="eastAsia"/>
                <w:sz w:val="24"/>
              </w:rPr>
              <w:t>39</w:t>
            </w:r>
            <w:r>
              <w:rPr>
                <w:rStyle w:val="48"/>
                <w:sz w:val="24"/>
                <w:szCs w:val="24"/>
              </w:rPr>
              <w:t>-</w:t>
            </w:r>
            <w:r>
              <w:rPr>
                <w:rStyle w:val="48"/>
                <w:rFonts w:hint="eastAsia"/>
                <w:sz w:val="24"/>
                <w:szCs w:val="24"/>
              </w:rPr>
              <w:t>396智能消费设备制造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82" w:type="dxa"/>
            <w:tcMar>
              <w:top w:w="16" w:type="dxa"/>
              <w:left w:w="16" w:type="dxa"/>
              <w:right w:w="16" w:type="dxa"/>
            </w:tcMar>
            <w:vAlign w:val="center"/>
          </w:tcPr>
          <w:p>
            <w:pPr>
              <w:spacing w:line="240" w:lineRule="auto"/>
              <w:jc w:val="center"/>
              <w:rPr>
                <w:b/>
                <w:bCs/>
                <w:sz w:val="24"/>
              </w:rPr>
            </w:pPr>
            <w:r>
              <w:rPr>
                <w:b/>
                <w:bCs/>
                <w:sz w:val="24"/>
              </w:rPr>
              <w:t>建设性质</w:t>
            </w:r>
          </w:p>
        </w:tc>
        <w:tc>
          <w:tcPr>
            <w:tcW w:w="2869" w:type="dxa"/>
            <w:vAlign w:val="center"/>
          </w:tcPr>
          <w:p>
            <w:pPr>
              <w:spacing w:line="240" w:lineRule="auto"/>
              <w:jc w:val="left"/>
              <w:rPr>
                <w:sz w:val="24"/>
              </w:rPr>
            </w:pPr>
            <w:r>
              <w:rPr>
                <w:sz w:val="24"/>
              </w:rPr>
              <w:sym w:font="Wingdings 2" w:char="0052"/>
            </w:r>
            <w:r>
              <w:rPr>
                <w:sz w:val="24"/>
              </w:rPr>
              <w:t>新建（迁建）</w:t>
            </w:r>
          </w:p>
          <w:p>
            <w:pPr>
              <w:spacing w:line="240" w:lineRule="auto"/>
              <w:jc w:val="left"/>
              <w:rPr>
                <w:sz w:val="24"/>
              </w:rPr>
            </w:pPr>
            <w:r>
              <w:rPr>
                <w:sz w:val="24"/>
              </w:rPr>
              <w:sym w:font="Wingdings 2" w:char="00A3"/>
            </w:r>
            <w:r>
              <w:rPr>
                <w:sz w:val="24"/>
              </w:rPr>
              <w:t>改建</w:t>
            </w:r>
          </w:p>
          <w:p>
            <w:pPr>
              <w:spacing w:line="240" w:lineRule="auto"/>
              <w:jc w:val="left"/>
              <w:rPr>
                <w:sz w:val="24"/>
              </w:rPr>
            </w:pPr>
            <w:r>
              <w:rPr>
                <w:sz w:val="24"/>
              </w:rPr>
              <w:sym w:font="Wingdings 2" w:char="00A3"/>
            </w:r>
            <w:r>
              <w:rPr>
                <w:sz w:val="24"/>
              </w:rPr>
              <w:t>扩建</w:t>
            </w:r>
          </w:p>
          <w:p>
            <w:pPr>
              <w:spacing w:line="240" w:lineRule="auto"/>
              <w:jc w:val="left"/>
              <w:rPr>
                <w:sz w:val="24"/>
              </w:rPr>
            </w:pPr>
            <w:r>
              <w:rPr>
                <w:sz w:val="24"/>
              </w:rPr>
              <w:sym w:font="Wingdings 2" w:char="00A3"/>
            </w:r>
            <w:r>
              <w:rPr>
                <w:sz w:val="24"/>
              </w:rPr>
              <w:t>技术改造</w:t>
            </w:r>
          </w:p>
        </w:tc>
        <w:tc>
          <w:tcPr>
            <w:tcW w:w="1985" w:type="dxa"/>
            <w:vAlign w:val="center"/>
          </w:tcPr>
          <w:p>
            <w:pPr>
              <w:spacing w:line="240" w:lineRule="auto"/>
              <w:jc w:val="center"/>
              <w:rPr>
                <w:b/>
                <w:bCs/>
                <w:sz w:val="24"/>
              </w:rPr>
            </w:pPr>
            <w:r>
              <w:rPr>
                <w:b/>
                <w:bCs/>
                <w:sz w:val="24"/>
              </w:rPr>
              <w:t>建设项目</w:t>
            </w:r>
          </w:p>
          <w:p>
            <w:pPr>
              <w:spacing w:line="240" w:lineRule="auto"/>
              <w:jc w:val="center"/>
              <w:rPr>
                <w:b/>
                <w:bCs/>
                <w:sz w:val="24"/>
              </w:rPr>
            </w:pPr>
            <w:r>
              <w:rPr>
                <w:b/>
                <w:bCs/>
                <w:sz w:val="24"/>
              </w:rPr>
              <w:t>申报情形</w:t>
            </w:r>
          </w:p>
        </w:tc>
        <w:tc>
          <w:tcPr>
            <w:tcW w:w="3313" w:type="dxa"/>
            <w:vAlign w:val="center"/>
          </w:tcPr>
          <w:p>
            <w:pPr>
              <w:spacing w:line="240" w:lineRule="auto"/>
              <w:jc w:val="left"/>
              <w:rPr>
                <w:sz w:val="24"/>
              </w:rPr>
            </w:pPr>
            <w:r>
              <w:rPr>
                <w:sz w:val="24"/>
              </w:rPr>
              <w:sym w:font="Wingdings 2" w:char="0052"/>
            </w:r>
            <w:r>
              <w:rPr>
                <w:sz w:val="24"/>
              </w:rPr>
              <w:t xml:space="preserve">首次申报项目             </w:t>
            </w:r>
          </w:p>
          <w:p>
            <w:pPr>
              <w:spacing w:line="240" w:lineRule="auto"/>
              <w:jc w:val="left"/>
              <w:rPr>
                <w:sz w:val="24"/>
              </w:rPr>
            </w:pPr>
            <w:r>
              <w:rPr>
                <w:sz w:val="24"/>
              </w:rPr>
              <w:sym w:font="Wingdings 2" w:char="00A3"/>
            </w:r>
            <w:r>
              <w:rPr>
                <w:sz w:val="24"/>
              </w:rPr>
              <w:t>不予批准后再次申报项目</w:t>
            </w:r>
          </w:p>
          <w:p>
            <w:pPr>
              <w:spacing w:line="240" w:lineRule="auto"/>
              <w:jc w:val="left"/>
              <w:rPr>
                <w:sz w:val="24"/>
              </w:rPr>
            </w:pPr>
            <w:r>
              <w:rPr>
                <w:sz w:val="24"/>
              </w:rPr>
              <w:sym w:font="Wingdings 2" w:char="00A3"/>
            </w:r>
            <w:r>
              <w:rPr>
                <w:sz w:val="24"/>
              </w:rPr>
              <w:t xml:space="preserve">超五年重新审核项目     </w:t>
            </w:r>
          </w:p>
          <w:p>
            <w:pPr>
              <w:spacing w:line="240" w:lineRule="auto"/>
              <w:jc w:val="left"/>
              <w:rPr>
                <w:sz w:val="24"/>
              </w:rPr>
            </w:pPr>
            <w:r>
              <w:rPr>
                <w:sz w:val="24"/>
              </w:rPr>
              <w:sym w:font="Wingdings 2" w:char="00A3"/>
            </w:r>
            <w:r>
              <w:rPr>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82" w:type="dxa"/>
            <w:tcMar>
              <w:top w:w="16" w:type="dxa"/>
              <w:left w:w="16" w:type="dxa"/>
              <w:right w:w="16" w:type="dxa"/>
            </w:tcMar>
            <w:vAlign w:val="center"/>
          </w:tcPr>
          <w:p>
            <w:pPr>
              <w:spacing w:line="240" w:lineRule="auto"/>
              <w:jc w:val="center"/>
              <w:rPr>
                <w:b/>
                <w:bCs/>
                <w:sz w:val="24"/>
              </w:rPr>
            </w:pPr>
            <w:r>
              <w:rPr>
                <w:b/>
                <w:bCs/>
                <w:sz w:val="24"/>
              </w:rPr>
              <w:t>项目审批（核准/备案）部门</w:t>
            </w:r>
          </w:p>
        </w:tc>
        <w:tc>
          <w:tcPr>
            <w:tcW w:w="2869" w:type="dxa"/>
            <w:vAlign w:val="center"/>
          </w:tcPr>
          <w:p>
            <w:pPr>
              <w:spacing w:line="240" w:lineRule="auto"/>
              <w:jc w:val="center"/>
              <w:rPr>
                <w:sz w:val="24"/>
              </w:rPr>
            </w:pPr>
            <w:r>
              <w:rPr>
                <w:sz w:val="24"/>
              </w:rPr>
              <w:t>/</w:t>
            </w:r>
          </w:p>
        </w:tc>
        <w:tc>
          <w:tcPr>
            <w:tcW w:w="1985" w:type="dxa"/>
            <w:vAlign w:val="center"/>
          </w:tcPr>
          <w:p>
            <w:pPr>
              <w:spacing w:line="240" w:lineRule="auto"/>
              <w:jc w:val="center"/>
              <w:rPr>
                <w:b/>
                <w:bCs/>
                <w:sz w:val="24"/>
              </w:rPr>
            </w:pPr>
            <w:r>
              <w:rPr>
                <w:b/>
                <w:bCs/>
                <w:sz w:val="24"/>
              </w:rPr>
              <w:t>项目审批（核准/</w:t>
            </w:r>
          </w:p>
          <w:p>
            <w:pPr>
              <w:spacing w:line="240" w:lineRule="auto"/>
              <w:jc w:val="center"/>
              <w:rPr>
                <w:b/>
                <w:bCs/>
                <w:sz w:val="24"/>
              </w:rPr>
            </w:pPr>
            <w:r>
              <w:rPr>
                <w:b/>
                <w:bCs/>
                <w:sz w:val="24"/>
              </w:rPr>
              <w:t>备案）文号</w:t>
            </w:r>
          </w:p>
        </w:tc>
        <w:tc>
          <w:tcPr>
            <w:tcW w:w="3313" w:type="dxa"/>
            <w:vAlign w:val="center"/>
          </w:tcPr>
          <w:p>
            <w:pPr>
              <w:spacing w:line="240" w:lineRule="auto"/>
              <w:jc w:val="center"/>
              <w:rPr>
                <w:sz w:val="24"/>
              </w:rPr>
            </w:pPr>
            <w:r>
              <w:rPr>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82" w:type="dxa"/>
            <w:tcMar>
              <w:top w:w="16" w:type="dxa"/>
              <w:left w:w="16" w:type="dxa"/>
              <w:right w:w="16" w:type="dxa"/>
            </w:tcMar>
            <w:vAlign w:val="center"/>
          </w:tcPr>
          <w:p>
            <w:pPr>
              <w:spacing w:line="240" w:lineRule="auto"/>
              <w:jc w:val="center"/>
              <w:rPr>
                <w:b/>
                <w:bCs/>
                <w:sz w:val="24"/>
              </w:rPr>
            </w:pPr>
            <w:r>
              <w:rPr>
                <w:b/>
                <w:bCs/>
                <w:sz w:val="24"/>
              </w:rPr>
              <w:t>总投资（万元）</w:t>
            </w:r>
          </w:p>
        </w:tc>
        <w:tc>
          <w:tcPr>
            <w:tcW w:w="2869" w:type="dxa"/>
            <w:vAlign w:val="center"/>
          </w:tcPr>
          <w:p>
            <w:pPr>
              <w:spacing w:line="240" w:lineRule="auto"/>
              <w:jc w:val="center"/>
              <w:rPr>
                <w:sz w:val="24"/>
              </w:rPr>
            </w:pPr>
            <w:r>
              <w:rPr>
                <w:sz w:val="24"/>
              </w:rPr>
              <w:t>2020.9</w:t>
            </w:r>
          </w:p>
        </w:tc>
        <w:tc>
          <w:tcPr>
            <w:tcW w:w="1985" w:type="dxa"/>
            <w:tcMar>
              <w:top w:w="16" w:type="dxa"/>
              <w:left w:w="16" w:type="dxa"/>
              <w:right w:w="16" w:type="dxa"/>
            </w:tcMar>
            <w:vAlign w:val="center"/>
          </w:tcPr>
          <w:p>
            <w:pPr>
              <w:spacing w:line="240" w:lineRule="auto"/>
              <w:jc w:val="center"/>
              <w:rPr>
                <w:b/>
                <w:bCs/>
                <w:sz w:val="24"/>
              </w:rPr>
            </w:pPr>
            <w:r>
              <w:rPr>
                <w:b/>
                <w:bCs/>
                <w:sz w:val="24"/>
              </w:rPr>
              <w:t>环保投资（万元）</w:t>
            </w:r>
          </w:p>
        </w:tc>
        <w:tc>
          <w:tcPr>
            <w:tcW w:w="3313" w:type="dxa"/>
            <w:vAlign w:val="center"/>
          </w:tcPr>
          <w:p>
            <w:pPr>
              <w:spacing w:line="240" w:lineRule="auto"/>
              <w:jc w:val="center"/>
              <w:rPr>
                <w:sz w:val="24"/>
              </w:rPr>
            </w:pPr>
            <w:r>
              <w:rPr>
                <w:sz w:val="24"/>
              </w:rPr>
              <w:t>150.00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82" w:type="dxa"/>
            <w:tcMar>
              <w:top w:w="16" w:type="dxa"/>
              <w:left w:w="16" w:type="dxa"/>
              <w:right w:w="16" w:type="dxa"/>
            </w:tcMar>
            <w:vAlign w:val="center"/>
          </w:tcPr>
          <w:p>
            <w:pPr>
              <w:spacing w:line="240" w:lineRule="auto"/>
              <w:jc w:val="center"/>
              <w:rPr>
                <w:b/>
                <w:bCs/>
                <w:sz w:val="24"/>
              </w:rPr>
            </w:pPr>
            <w:r>
              <w:rPr>
                <w:b/>
                <w:bCs/>
                <w:sz w:val="24"/>
              </w:rPr>
              <w:t>环保投资占比（%）</w:t>
            </w:r>
          </w:p>
        </w:tc>
        <w:tc>
          <w:tcPr>
            <w:tcW w:w="2869" w:type="dxa"/>
            <w:vAlign w:val="center"/>
          </w:tcPr>
          <w:p>
            <w:pPr>
              <w:spacing w:line="240" w:lineRule="auto"/>
              <w:jc w:val="center"/>
              <w:rPr>
                <w:sz w:val="24"/>
              </w:rPr>
            </w:pPr>
            <w:r>
              <w:rPr>
                <w:sz w:val="24"/>
              </w:rPr>
              <w:t>7.4</w:t>
            </w:r>
            <w:r>
              <w:rPr>
                <w:rFonts w:hint="eastAsia"/>
                <w:sz w:val="24"/>
              </w:rPr>
              <w:t>2</w:t>
            </w:r>
          </w:p>
        </w:tc>
        <w:tc>
          <w:tcPr>
            <w:tcW w:w="1985" w:type="dxa"/>
            <w:tcMar>
              <w:top w:w="16" w:type="dxa"/>
              <w:left w:w="16" w:type="dxa"/>
              <w:right w:w="16" w:type="dxa"/>
            </w:tcMar>
            <w:vAlign w:val="center"/>
          </w:tcPr>
          <w:p>
            <w:pPr>
              <w:spacing w:line="240" w:lineRule="auto"/>
              <w:jc w:val="center"/>
              <w:rPr>
                <w:b/>
                <w:bCs/>
                <w:sz w:val="24"/>
              </w:rPr>
            </w:pPr>
            <w:r>
              <w:rPr>
                <w:b/>
                <w:bCs/>
                <w:sz w:val="24"/>
              </w:rPr>
              <w:t>施工工期</w:t>
            </w:r>
          </w:p>
        </w:tc>
        <w:tc>
          <w:tcPr>
            <w:tcW w:w="3313" w:type="dxa"/>
            <w:vAlign w:val="center"/>
          </w:tcPr>
          <w:p>
            <w:pPr>
              <w:spacing w:line="240" w:lineRule="auto"/>
              <w:jc w:val="center"/>
              <w:rPr>
                <w:sz w:val="24"/>
              </w:rPr>
            </w:pPr>
            <w:r>
              <w:rPr>
                <w:sz w:val="24"/>
              </w:rPr>
              <w:t>3个月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82" w:type="dxa"/>
            <w:tcMar>
              <w:top w:w="16" w:type="dxa"/>
              <w:left w:w="16" w:type="dxa"/>
              <w:right w:w="16" w:type="dxa"/>
            </w:tcMar>
            <w:vAlign w:val="center"/>
          </w:tcPr>
          <w:p>
            <w:pPr>
              <w:spacing w:line="240" w:lineRule="auto"/>
              <w:jc w:val="center"/>
              <w:rPr>
                <w:b/>
                <w:bCs/>
                <w:sz w:val="24"/>
              </w:rPr>
            </w:pPr>
            <w:r>
              <w:rPr>
                <w:b/>
                <w:bCs/>
                <w:sz w:val="24"/>
              </w:rPr>
              <w:t>是否开工建设</w:t>
            </w:r>
          </w:p>
        </w:tc>
        <w:tc>
          <w:tcPr>
            <w:tcW w:w="2869" w:type="dxa"/>
            <w:vAlign w:val="center"/>
          </w:tcPr>
          <w:p>
            <w:pPr>
              <w:spacing w:line="240" w:lineRule="auto"/>
              <w:rPr>
                <w:sz w:val="24"/>
              </w:rPr>
            </w:pPr>
            <w:r>
              <w:rPr>
                <w:sz w:val="24"/>
              </w:rPr>
              <w:sym w:font="Wingdings 2" w:char="0052"/>
            </w:r>
            <w:r>
              <w:rPr>
                <w:sz w:val="24"/>
              </w:rPr>
              <w:t>否</w:t>
            </w:r>
          </w:p>
          <w:p>
            <w:pPr>
              <w:spacing w:line="240" w:lineRule="auto"/>
              <w:rPr>
                <w:sz w:val="24"/>
              </w:rPr>
            </w:pPr>
            <w:r>
              <w:rPr>
                <w:sz w:val="24"/>
              </w:rPr>
              <w:sym w:font="Wingdings 2" w:char="00A3"/>
            </w:r>
            <w:r>
              <w:rPr>
                <w:sz w:val="24"/>
              </w:rPr>
              <w:t>是：</w:t>
            </w:r>
            <w:r>
              <w:rPr>
                <w:sz w:val="24"/>
                <w:u w:val="single"/>
              </w:rPr>
              <w:t xml:space="preserve">        </w:t>
            </w:r>
            <w:r>
              <w:rPr>
                <w:sz w:val="24"/>
              </w:rPr>
              <w:t xml:space="preserve"> </w:t>
            </w:r>
          </w:p>
        </w:tc>
        <w:tc>
          <w:tcPr>
            <w:tcW w:w="1985" w:type="dxa"/>
            <w:tcMar>
              <w:top w:w="16" w:type="dxa"/>
              <w:left w:w="16" w:type="dxa"/>
              <w:right w:w="16" w:type="dxa"/>
            </w:tcMar>
            <w:vAlign w:val="center"/>
          </w:tcPr>
          <w:p>
            <w:pPr>
              <w:spacing w:line="240" w:lineRule="auto"/>
              <w:jc w:val="center"/>
              <w:rPr>
                <w:b/>
                <w:bCs/>
                <w:spacing w:val="-6"/>
                <w:sz w:val="24"/>
              </w:rPr>
            </w:pPr>
            <w:r>
              <w:rPr>
                <w:b/>
                <w:bCs/>
                <w:spacing w:val="-6"/>
                <w:sz w:val="24"/>
              </w:rPr>
              <w:t>用地（用海）</w:t>
            </w:r>
          </w:p>
          <w:p>
            <w:pPr>
              <w:spacing w:line="240" w:lineRule="auto"/>
              <w:jc w:val="center"/>
              <w:rPr>
                <w:b/>
                <w:bCs/>
                <w:sz w:val="24"/>
              </w:rPr>
            </w:pPr>
            <w:r>
              <w:rPr>
                <w:b/>
                <w:bCs/>
                <w:spacing w:val="-6"/>
                <w:sz w:val="24"/>
              </w:rPr>
              <w:t>面积（m</w:t>
            </w:r>
            <w:r>
              <w:rPr>
                <w:b/>
                <w:bCs/>
                <w:spacing w:val="-6"/>
                <w:sz w:val="24"/>
                <w:vertAlign w:val="superscript"/>
              </w:rPr>
              <w:t>2</w:t>
            </w:r>
            <w:r>
              <w:rPr>
                <w:b/>
                <w:bCs/>
                <w:spacing w:val="-6"/>
                <w:sz w:val="24"/>
              </w:rPr>
              <w:t>）</w:t>
            </w:r>
          </w:p>
        </w:tc>
        <w:tc>
          <w:tcPr>
            <w:tcW w:w="3313" w:type="dxa"/>
            <w:vAlign w:val="center"/>
          </w:tcPr>
          <w:p>
            <w:pPr>
              <w:spacing w:line="240" w:lineRule="auto"/>
              <w:jc w:val="center"/>
              <w:rPr>
                <w:sz w:val="24"/>
              </w:rPr>
            </w:pPr>
            <w:r>
              <w:rPr>
                <w:sz w:val="24"/>
              </w:rPr>
              <w:t>22000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582" w:type="dxa"/>
            <w:vAlign w:val="center"/>
          </w:tcPr>
          <w:p>
            <w:pPr>
              <w:autoSpaceDE w:val="0"/>
              <w:autoSpaceDN w:val="0"/>
              <w:spacing w:line="240" w:lineRule="auto"/>
              <w:jc w:val="center"/>
              <w:rPr>
                <w:b/>
                <w:bCs/>
                <w:kern w:val="0"/>
                <w:sz w:val="24"/>
              </w:rPr>
            </w:pPr>
            <w:r>
              <w:rPr>
                <w:b/>
                <w:bCs/>
                <w:kern w:val="0"/>
                <w:sz w:val="24"/>
              </w:rPr>
              <w:t>专项评价设置情况</w:t>
            </w:r>
          </w:p>
        </w:tc>
        <w:tc>
          <w:tcPr>
            <w:tcW w:w="8167" w:type="dxa"/>
            <w:gridSpan w:val="3"/>
            <w:vAlign w:val="center"/>
          </w:tcPr>
          <w:p>
            <w:pPr>
              <w:autoSpaceDE w:val="0"/>
              <w:autoSpaceDN w:val="0"/>
              <w:spacing w:line="240" w:lineRule="auto"/>
              <w:jc w:val="center"/>
              <w:rPr>
                <w:kern w:val="0"/>
                <w:sz w:val="24"/>
              </w:rPr>
            </w:pPr>
            <w:r>
              <w:rPr>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582" w:type="dxa"/>
            <w:vAlign w:val="center"/>
          </w:tcPr>
          <w:p>
            <w:pPr>
              <w:autoSpaceDE w:val="0"/>
              <w:autoSpaceDN w:val="0"/>
              <w:spacing w:line="240" w:lineRule="auto"/>
              <w:jc w:val="center"/>
              <w:rPr>
                <w:b/>
                <w:bCs/>
                <w:kern w:val="0"/>
                <w:sz w:val="24"/>
              </w:rPr>
            </w:pPr>
            <w:r>
              <w:rPr>
                <w:b/>
                <w:bCs/>
                <w:sz w:val="24"/>
              </w:rPr>
              <w:t>规划情况</w:t>
            </w:r>
          </w:p>
        </w:tc>
        <w:tc>
          <w:tcPr>
            <w:tcW w:w="8167" w:type="dxa"/>
            <w:gridSpan w:val="3"/>
            <w:vAlign w:val="center"/>
          </w:tcPr>
          <w:p>
            <w:pPr>
              <w:autoSpaceDE w:val="0"/>
              <w:autoSpaceDN w:val="0"/>
              <w:spacing w:line="240" w:lineRule="auto"/>
              <w:jc w:val="left"/>
              <w:rPr>
                <w:kern w:val="0"/>
                <w:sz w:val="24"/>
              </w:rPr>
            </w:pPr>
            <w:r>
              <w:rPr>
                <w:kern w:val="0"/>
                <w:sz w:val="24"/>
              </w:rPr>
              <w:t>《广东陆河县产业转移工业园区规划》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582" w:type="dxa"/>
            <w:vAlign w:val="center"/>
          </w:tcPr>
          <w:p>
            <w:pPr>
              <w:spacing w:line="240" w:lineRule="auto"/>
              <w:jc w:val="center"/>
              <w:rPr>
                <w:b/>
                <w:bCs/>
                <w:kern w:val="0"/>
                <w:sz w:val="24"/>
              </w:rPr>
            </w:pPr>
            <w:r>
              <w:rPr>
                <w:b/>
                <w:bCs/>
                <w:sz w:val="24"/>
              </w:rPr>
              <w:t>规划环境影响评价情况</w:t>
            </w:r>
          </w:p>
        </w:tc>
        <w:tc>
          <w:tcPr>
            <w:tcW w:w="8167" w:type="dxa"/>
            <w:gridSpan w:val="3"/>
            <w:vAlign w:val="center"/>
          </w:tcPr>
          <w:p>
            <w:pPr>
              <w:autoSpaceDE w:val="0"/>
              <w:autoSpaceDN w:val="0"/>
              <w:jc w:val="left"/>
              <w:rPr>
                <w:kern w:val="0"/>
                <w:sz w:val="24"/>
              </w:rPr>
            </w:pPr>
            <w:r>
              <w:rPr>
                <w:kern w:val="0"/>
                <w:sz w:val="24"/>
              </w:rPr>
              <w:t>规划环评：《广东陆河县产业转移工业园区规划环境影响报告书》</w:t>
            </w:r>
          </w:p>
          <w:p>
            <w:pPr>
              <w:autoSpaceDE w:val="0"/>
              <w:autoSpaceDN w:val="0"/>
              <w:jc w:val="left"/>
              <w:rPr>
                <w:kern w:val="0"/>
                <w:sz w:val="24"/>
              </w:rPr>
            </w:pPr>
            <w:r>
              <w:rPr>
                <w:kern w:val="0"/>
                <w:sz w:val="24"/>
              </w:rPr>
              <w:t>规划环评批复：《广东省生态环境厅关于印发＜广东陆河县产业转移工业园区规划环境影响报告书审查意见＞的函》（粵环审〔2021〕132号）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582" w:type="dxa"/>
            <w:vAlign w:val="center"/>
          </w:tcPr>
          <w:p>
            <w:pPr>
              <w:autoSpaceDE w:val="0"/>
              <w:autoSpaceDN w:val="0"/>
              <w:spacing w:line="240" w:lineRule="auto"/>
              <w:jc w:val="center"/>
              <w:rPr>
                <w:b/>
                <w:bCs/>
                <w:kern w:val="0"/>
                <w:sz w:val="24"/>
              </w:rPr>
            </w:pPr>
            <w:r>
              <w:rPr>
                <w:b/>
                <w:bCs/>
                <w:kern w:val="0"/>
                <w:sz w:val="24"/>
              </w:rPr>
              <w:t>规划及规划环境影响评价符合性分析</w:t>
            </w:r>
          </w:p>
        </w:tc>
        <w:tc>
          <w:tcPr>
            <w:tcW w:w="8167" w:type="dxa"/>
            <w:gridSpan w:val="3"/>
            <w:vAlign w:val="center"/>
          </w:tcPr>
          <w:p>
            <w:pPr>
              <w:autoSpaceDE w:val="0"/>
              <w:autoSpaceDN w:val="0"/>
              <w:ind w:firstLine="480" w:firstLineChars="200"/>
              <w:jc w:val="left"/>
              <w:rPr>
                <w:kern w:val="0"/>
                <w:sz w:val="24"/>
              </w:rPr>
            </w:pPr>
            <w:r>
              <w:rPr>
                <w:kern w:val="0"/>
                <w:sz w:val="24"/>
              </w:rPr>
              <w:t>根据《广东陆河县产业转移工业园区规划》及《广东陆河县产业转移工业园区规划环境影响报告书》要求：陆河县产业转移工业园主片区工业用地主要位于主片区东部，主片区西部规划为居住兼商住用地。主片区东部现有企业新能源汽车类（比亚迪）、建材类（维业、伟泰、华南金属）、轻工（中深爱的）、机械设备类（南方机械铸造、铨镒铸造）以及拟引进医药产业（芝中皇生物科技、金辰药业）。基于现有产业基础以及企业入驻情况两方面的因素，主片区规划发展新能源汽车类、建材类、机械设备类以及轻工、医药类产业较为合理。园区不可引入外排一类水污染物、重金属、持久性有机污染物废水的项目。</w:t>
            </w:r>
          </w:p>
          <w:p>
            <w:pPr>
              <w:autoSpaceDE w:val="0"/>
              <w:autoSpaceDN w:val="0"/>
              <w:ind w:firstLine="480" w:firstLineChars="200"/>
              <w:jc w:val="left"/>
              <w:rPr>
                <w:kern w:val="0"/>
                <w:sz w:val="24"/>
              </w:rPr>
            </w:pPr>
            <w:r>
              <w:rPr>
                <w:kern w:val="0"/>
                <w:sz w:val="24"/>
              </w:rPr>
              <w:t>根据《广东省生态环境厅关于印发＜广东陆河县产业转移工业园区规划环境影响报告书审查意见＞的函》（粵环审〔2021〕132 号）：园区产业以重点发展新能源汽车、建材产业、机械设备制造为主，兼顾发展轻污染的轻工产业及医药产业。</w:t>
            </w:r>
          </w:p>
          <w:p>
            <w:pPr>
              <w:autoSpaceDE w:val="0"/>
              <w:autoSpaceDN w:val="0"/>
              <w:ind w:firstLine="480" w:firstLineChars="200"/>
              <w:jc w:val="left"/>
              <w:rPr>
                <w:kern w:val="0"/>
                <w:sz w:val="24"/>
              </w:rPr>
            </w:pPr>
            <w:r>
              <w:rPr>
                <w:rFonts w:hint="eastAsia"/>
                <w:kern w:val="0"/>
                <w:sz w:val="24"/>
              </w:rPr>
              <w:t>项目从事储能集装箱生产</w:t>
            </w:r>
            <w:r>
              <w:rPr>
                <w:kern w:val="0"/>
                <w:sz w:val="24"/>
              </w:rPr>
              <w:t>，属新能源</w:t>
            </w:r>
            <w:r>
              <w:rPr>
                <w:rFonts w:hint="eastAsia"/>
                <w:kern w:val="0"/>
                <w:sz w:val="24"/>
              </w:rPr>
              <w:t>储电</w:t>
            </w:r>
            <w:r>
              <w:rPr>
                <w:kern w:val="0"/>
                <w:sz w:val="24"/>
              </w:rPr>
              <w:t>配套产业，营运期不产生一类水污染物、重金属、持久性有机污染物废水，与广东陆河县产业转移工业园区规划</w:t>
            </w:r>
            <w:r>
              <w:rPr>
                <w:rStyle w:val="48"/>
                <w:sz w:val="24"/>
                <w:szCs w:val="24"/>
              </w:rPr>
              <w:t>相符。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34" w:hRule="atLeast"/>
          <w:jc w:val="center"/>
        </w:trPr>
        <w:tc>
          <w:tcPr>
            <w:tcW w:w="1582" w:type="dxa"/>
            <w:vAlign w:val="center"/>
          </w:tcPr>
          <w:p>
            <w:pPr>
              <w:autoSpaceDE w:val="0"/>
              <w:autoSpaceDN w:val="0"/>
              <w:spacing w:line="240" w:lineRule="auto"/>
              <w:jc w:val="center"/>
              <w:rPr>
                <w:b/>
                <w:bCs/>
                <w:kern w:val="0"/>
                <w:sz w:val="24"/>
              </w:rPr>
            </w:pPr>
            <w:r>
              <w:rPr>
                <w:b/>
                <w:bCs/>
                <w:kern w:val="0"/>
                <w:sz w:val="24"/>
              </w:rPr>
              <w:t>其他符合性分析</w:t>
            </w:r>
          </w:p>
        </w:tc>
        <w:tc>
          <w:tcPr>
            <w:tcW w:w="8167" w:type="dxa"/>
            <w:gridSpan w:val="3"/>
            <w:vAlign w:val="center"/>
          </w:tcPr>
          <w:p>
            <w:pPr>
              <w:ind w:firstLine="482"/>
              <w:rPr>
                <w:rFonts w:eastAsia="新宋体"/>
                <w:b/>
                <w:bCs/>
                <w:sz w:val="24"/>
              </w:rPr>
            </w:pPr>
            <w:r>
              <w:rPr>
                <w:rFonts w:eastAsia="新宋体"/>
                <w:b/>
                <w:bCs/>
                <w:sz w:val="24"/>
              </w:rPr>
              <w:t>1、产业政策符合性分析</w:t>
            </w:r>
          </w:p>
          <w:p>
            <w:pPr>
              <w:pStyle w:val="49"/>
              <w:ind w:firstLine="480" w:firstLineChars="200"/>
              <w:jc w:val="left"/>
              <w:rPr>
                <w:rFonts w:hint="default" w:ascii="Times New Roman" w:hAnsi="Times New Roman" w:eastAsia="新宋体"/>
                <w:color w:val="auto"/>
                <w:szCs w:val="24"/>
              </w:rPr>
            </w:pPr>
            <w:r>
              <w:rPr>
                <w:rFonts w:hint="default" w:ascii="Times New Roman" w:hAnsi="Times New Roman" w:eastAsia="新宋体"/>
                <w:color w:val="auto"/>
                <w:szCs w:val="24"/>
              </w:rPr>
              <w:t>项目属于</w:t>
            </w:r>
            <w:r>
              <w:rPr>
                <w:rFonts w:ascii="Times New Roman" w:hAnsi="Times New Roman" w:eastAsia="新宋体"/>
                <w:snapToGrid w:val="0"/>
                <w:color w:val="auto"/>
                <w:kern w:val="0"/>
                <w:szCs w:val="24"/>
              </w:rPr>
              <w:t>C3969其他智能消费设备制造</w:t>
            </w:r>
            <w:r>
              <w:rPr>
                <w:rFonts w:hint="default" w:ascii="Times New Roman" w:hAnsi="Times New Roman" w:eastAsia="新宋体"/>
                <w:color w:val="auto"/>
                <w:szCs w:val="24"/>
              </w:rPr>
              <w:t>，产品为储能集装箱，</w:t>
            </w:r>
            <w:r>
              <w:rPr>
                <w:rFonts w:hint="default" w:ascii="Times New Roman" w:hAnsi="Times New Roman"/>
                <w:color w:val="auto"/>
                <w:szCs w:val="24"/>
              </w:rPr>
              <w:t>不属于《产业结构调整指导目录（2019年本）》（发改委令2019第29号）中所规定的淘汰类和限制类。项目所使用的生产设备、生产工艺均不属于《产业结构调整指导目录（2019年本）》（发改委令2019第29号）中所列的淘汰落后生产工艺装备和产品。项目不属于《市场准入负面清单（2020年版）》中的禁止准入类，符合国家产业政策及地方相关要求。</w:t>
            </w:r>
          </w:p>
          <w:p>
            <w:pPr>
              <w:ind w:firstLine="482"/>
              <w:rPr>
                <w:rFonts w:eastAsia="新宋体"/>
                <w:b/>
                <w:bCs/>
                <w:sz w:val="24"/>
              </w:rPr>
            </w:pPr>
            <w:r>
              <w:rPr>
                <w:rFonts w:eastAsia="新宋体"/>
                <w:b/>
                <w:bCs/>
                <w:sz w:val="24"/>
              </w:rPr>
              <w:t>2、选址合理性分析</w:t>
            </w:r>
          </w:p>
          <w:p>
            <w:pPr>
              <w:ind w:firstLine="483"/>
              <w:rPr>
                <w:rFonts w:eastAsia="新宋体"/>
                <w:b/>
                <w:bCs/>
                <w:sz w:val="24"/>
              </w:rPr>
            </w:pPr>
            <w:r>
              <w:rPr>
                <w:rFonts w:eastAsia="新宋体"/>
                <w:b/>
                <w:bCs/>
                <w:sz w:val="24"/>
              </w:rPr>
              <w:t>（1）用地性质相符性分析</w:t>
            </w:r>
          </w:p>
          <w:p>
            <w:pPr>
              <w:ind w:firstLine="483"/>
              <w:rPr>
                <w:rFonts w:eastAsia="新宋体"/>
                <w:sz w:val="24"/>
              </w:rPr>
            </w:pPr>
            <w:r>
              <w:rPr>
                <w:rFonts w:eastAsia="新宋体"/>
                <w:sz w:val="24"/>
              </w:rPr>
              <w:t>项目位于</w:t>
            </w:r>
            <w:r>
              <w:rPr>
                <w:sz w:val="24"/>
              </w:rPr>
              <w:t>广东陆河县产业转移工业园区</w:t>
            </w:r>
            <w:r>
              <w:rPr>
                <w:rFonts w:eastAsia="新宋体"/>
                <w:snapToGrid w:val="0"/>
                <w:kern w:val="0"/>
                <w:sz w:val="24"/>
              </w:rPr>
              <w:t>陆河比亚迪车工业园1号厂房1-2</w:t>
            </w:r>
            <w:r>
              <w:rPr>
                <w:rFonts w:hint="eastAsia" w:eastAsia="新宋体"/>
                <w:snapToGrid w:val="0"/>
                <w:kern w:val="0"/>
                <w:sz w:val="24"/>
              </w:rPr>
              <w:t>进行建设</w:t>
            </w:r>
            <w:r>
              <w:rPr>
                <w:rFonts w:eastAsia="新宋体"/>
                <w:sz w:val="24"/>
              </w:rPr>
              <w:t>，用途为工业用地</w:t>
            </w:r>
            <w:r>
              <w:rPr>
                <w:rFonts w:eastAsia="新宋体"/>
                <w:snapToGrid w:val="0"/>
                <w:kern w:val="0"/>
                <w:sz w:val="24"/>
              </w:rPr>
              <w:t>（不动产权证见附件5，证书编号为粤（2018）陆河县不动产权第0000410号）</w:t>
            </w:r>
            <w:r>
              <w:rPr>
                <w:rFonts w:hint="eastAsia" w:eastAsia="新宋体"/>
                <w:snapToGrid w:val="0"/>
                <w:kern w:val="0"/>
                <w:sz w:val="24"/>
              </w:rPr>
              <w:t>，系</w:t>
            </w:r>
            <w:r>
              <w:rPr>
                <w:rFonts w:hint="eastAsia" w:eastAsia="新宋体"/>
                <w:sz w:val="24"/>
              </w:rPr>
              <w:t>租赁于汕尾比亚迪汽车有限公司</w:t>
            </w:r>
            <w:r>
              <w:rPr>
                <w:rFonts w:eastAsia="新宋体"/>
                <w:sz w:val="24"/>
              </w:rPr>
              <w:t>；根据《汕尾市陆河县土地利用总体规划（2010-2020年）》（见附图4），项目所在地为城镇用地。</w:t>
            </w:r>
          </w:p>
          <w:p>
            <w:pPr>
              <w:ind w:firstLine="483"/>
              <w:rPr>
                <w:rFonts w:eastAsia="新宋体"/>
                <w:sz w:val="24"/>
              </w:rPr>
            </w:pPr>
            <w:r>
              <w:rPr>
                <w:rFonts w:eastAsia="新宋体"/>
                <w:sz w:val="24"/>
              </w:rPr>
              <w:t>因此，项目选址合理。</w:t>
            </w:r>
          </w:p>
          <w:p>
            <w:pPr>
              <w:ind w:firstLine="483"/>
              <w:rPr>
                <w:rFonts w:eastAsia="新宋体"/>
                <w:b/>
                <w:bCs/>
                <w:sz w:val="24"/>
              </w:rPr>
            </w:pPr>
            <w:r>
              <w:rPr>
                <w:rFonts w:eastAsia="新宋体"/>
                <w:b/>
                <w:bCs/>
                <w:sz w:val="24"/>
              </w:rPr>
              <w:t>（2）与功能区划相符性分析</w:t>
            </w:r>
          </w:p>
          <w:p>
            <w:pPr>
              <w:ind w:firstLine="480" w:firstLineChars="200"/>
              <w:rPr>
                <w:rFonts w:eastAsia="新宋体"/>
                <w:sz w:val="24"/>
              </w:rPr>
            </w:pPr>
            <w:r>
              <w:rPr>
                <w:rStyle w:val="76"/>
                <w:rFonts w:ascii="Times New Roman" w:eastAsia="新宋体"/>
                <w:bCs/>
              </w:rPr>
              <w:t>根据建设单位提供的资料及工艺流程分析，项目污废水经预处理达到河口镇污水处理厂接管标准与广东省《水污染物排放限值》（DB44/26-2001）第二时段三级标准较严值后经市政污水管网排入河口镇污水处理厂；</w:t>
            </w:r>
            <w:r>
              <w:rPr>
                <w:rFonts w:eastAsia="新宋体"/>
                <w:sz w:val="24"/>
              </w:rPr>
              <w:t>河口镇污水处理厂</w:t>
            </w:r>
            <w:r>
              <w:rPr>
                <w:rStyle w:val="76"/>
                <w:rFonts w:ascii="Times New Roman"/>
                <w:bCs/>
              </w:rPr>
              <w:t>尾水达到《城镇污水处理厂污染物排放标准》（GB18918-2002）一级标准的A标准和广东省《水污染物排放限值》（DB44/26-2001）第二时段一级标准较严者后排入南北溪，然后汇入螺河（陆河市村~陆丰河二段）</w:t>
            </w:r>
            <w:r>
              <w:rPr>
                <w:rFonts w:eastAsia="新宋体"/>
                <w:sz w:val="24"/>
              </w:rPr>
              <w:t>。根据</w:t>
            </w:r>
            <w:r>
              <w:rPr>
                <w:sz w:val="24"/>
                <w:lang w:val="zh-CN"/>
              </w:rPr>
              <w:t>《</w:t>
            </w:r>
            <w:r>
              <w:rPr>
                <w:sz w:val="24"/>
              </w:rPr>
              <w:t>关于印发〈广东省地表水功能区划〉的通知</w:t>
            </w:r>
            <w:r>
              <w:rPr>
                <w:sz w:val="24"/>
                <w:lang w:val="zh-CN"/>
              </w:rPr>
              <w:t>》（粤府函</w:t>
            </w:r>
            <w:r>
              <w:rPr>
                <w:rFonts w:eastAsia="新宋体"/>
                <w:bCs/>
                <w:sz w:val="24"/>
              </w:rPr>
              <w:t>〔</w:t>
            </w:r>
            <w:r>
              <w:rPr>
                <w:sz w:val="24"/>
                <w:lang w:val="zh-CN"/>
              </w:rPr>
              <w:t>2011</w:t>
            </w:r>
            <w:r>
              <w:rPr>
                <w:rFonts w:eastAsia="新宋体"/>
                <w:bCs/>
                <w:sz w:val="24"/>
              </w:rPr>
              <w:t>〕</w:t>
            </w:r>
            <w:r>
              <w:rPr>
                <w:sz w:val="24"/>
                <w:lang w:val="zh-CN"/>
              </w:rPr>
              <w:t>14号），</w:t>
            </w:r>
            <w:r>
              <w:rPr>
                <w:rFonts w:eastAsia="新宋体"/>
                <w:sz w:val="24"/>
              </w:rPr>
              <w:t>螺河（陆河市村~陆丰河二段）为Ⅱ类水体，水质执行《地表水环境质量标准》（GB3838-2002）Ⅱ类标准；南北溪为Ⅲ类水体，水质执行《地表水环境质量标准》（GB3838-2002）Ⅲ类标准。项目运营期污废水预处理达标后排入河口镇污水处理厂进一步处理</w:t>
            </w:r>
            <w:r>
              <w:rPr>
                <w:rFonts w:hint="eastAsia" w:eastAsia="新宋体"/>
                <w:sz w:val="24"/>
              </w:rPr>
              <w:t>达标后排放</w:t>
            </w:r>
            <w:r>
              <w:rPr>
                <w:rFonts w:eastAsia="新宋体"/>
                <w:sz w:val="24"/>
              </w:rPr>
              <w:t>，不直接排入周边水体，与水环境功能区划不冲突。</w:t>
            </w:r>
          </w:p>
          <w:p>
            <w:pPr>
              <w:pStyle w:val="106"/>
              <w:spacing w:line="360" w:lineRule="auto"/>
              <w:ind w:firstLine="480" w:firstLineChars="200"/>
              <w:rPr>
                <w:rFonts w:eastAsia="新宋体"/>
                <w:sz w:val="24"/>
              </w:rPr>
            </w:pPr>
            <w:r>
              <w:rPr>
                <w:sz w:val="24"/>
              </w:rPr>
              <w:t>根据《陆河县环境保护规划暨陆河县重点生态功能区保护与建设规划（2017-2030年）》，项目选址属于环境空气二类功能区（见附图7），不在环境空气质量一类功能区范围内；</w:t>
            </w:r>
            <w:r>
              <w:rPr>
                <w:rFonts w:hint="eastAsia"/>
                <w:sz w:val="24"/>
              </w:rPr>
              <w:t>根据《汕尾市声环境功能区划方案》（汕环（2021）109号）</w:t>
            </w:r>
            <w:r>
              <w:rPr>
                <w:sz w:val="24"/>
              </w:rPr>
              <w:t>，项目所在区域为声环境3类区，不属于声环境1类区。因此，项目的建设符合当地的环境功能区划的要求</w:t>
            </w:r>
            <w:r>
              <w:rPr>
                <w:rFonts w:eastAsia="新宋体"/>
                <w:sz w:val="24"/>
              </w:rPr>
              <w:t>。</w:t>
            </w:r>
          </w:p>
          <w:p>
            <w:pPr>
              <w:ind w:firstLine="483"/>
              <w:rPr>
                <w:rFonts w:eastAsia="新宋体"/>
                <w:b/>
                <w:bCs/>
                <w:sz w:val="24"/>
              </w:rPr>
            </w:pPr>
            <w:r>
              <w:rPr>
                <w:rFonts w:eastAsia="新宋体"/>
                <w:b/>
                <w:bCs/>
                <w:sz w:val="24"/>
              </w:rPr>
              <w:t>（3）与饮用水源保护区相符性分析</w:t>
            </w:r>
          </w:p>
          <w:p>
            <w:pPr>
              <w:pStyle w:val="49"/>
              <w:ind w:firstLine="480" w:firstLineChars="200"/>
              <w:rPr>
                <w:rFonts w:hint="default" w:ascii="Times New Roman" w:hAnsi="Times New Roman" w:eastAsia="新宋体"/>
                <w:color w:val="auto"/>
                <w:szCs w:val="24"/>
              </w:rPr>
            </w:pPr>
            <w:r>
              <w:rPr>
                <w:rFonts w:hint="default" w:ascii="Times New Roman" w:hAnsi="Times New Roman"/>
                <w:color w:val="auto"/>
                <w:szCs w:val="24"/>
              </w:rPr>
              <w:t>项目选址</w:t>
            </w:r>
            <w:r>
              <w:rPr>
                <w:rFonts w:ascii="Times New Roman" w:hAnsi="Times New Roman"/>
                <w:color w:val="auto"/>
                <w:szCs w:val="24"/>
              </w:rPr>
              <w:t>位于</w:t>
            </w:r>
            <w:r>
              <w:t>广东陆河县产业转移工业园区</w:t>
            </w:r>
            <w:r>
              <w:rPr>
                <w:rFonts w:hint="default" w:ascii="Times New Roman" w:hAnsi="Times New Roman" w:eastAsia="新宋体"/>
                <w:snapToGrid w:val="0"/>
                <w:color w:val="auto"/>
                <w:kern w:val="0"/>
                <w:szCs w:val="24"/>
              </w:rPr>
              <w:t>陆河比亚迪车工业园1号厂房1-2</w:t>
            </w:r>
            <w:r>
              <w:rPr>
                <w:rFonts w:hint="default" w:ascii="Times New Roman" w:hAnsi="Times New Roman"/>
                <w:color w:val="auto"/>
                <w:szCs w:val="24"/>
              </w:rPr>
              <w:t>，根据《陆河县环境保护规划暨陆河县重点生态功能区保护与建设规划（2017-2030年）》中陆河县饮用水区划图</w:t>
            </w:r>
            <w:r>
              <w:rPr>
                <w:rFonts w:hint="default" w:ascii="Times New Roman" w:hAnsi="Times New Roman"/>
                <w:color w:val="auto"/>
                <w:szCs w:val="24"/>
                <w:lang w:val="zh-CN"/>
              </w:rPr>
              <w:t>（见</w:t>
            </w:r>
            <w:r>
              <w:rPr>
                <w:rFonts w:hint="default" w:ascii="Times New Roman" w:hAnsi="Times New Roman"/>
                <w:color w:val="auto"/>
                <w:szCs w:val="24"/>
              </w:rPr>
              <w:t>附图9</w:t>
            </w:r>
            <w:r>
              <w:rPr>
                <w:rFonts w:hint="default" w:ascii="Times New Roman" w:hAnsi="Times New Roman"/>
                <w:color w:val="auto"/>
                <w:szCs w:val="24"/>
                <w:lang w:val="zh-CN"/>
              </w:rPr>
              <w:t>），项目</w:t>
            </w:r>
            <w:r>
              <w:rPr>
                <w:rFonts w:hint="default" w:ascii="Times New Roman" w:hAnsi="Times New Roman"/>
                <w:color w:val="auto"/>
                <w:szCs w:val="24"/>
              </w:rPr>
              <w:t>选址不在饮用水源保护区内。</w:t>
            </w:r>
          </w:p>
          <w:p>
            <w:pPr>
              <w:pStyle w:val="49"/>
              <w:ind w:firstLine="482" w:firstLineChars="200"/>
              <w:rPr>
                <w:rFonts w:hint="default" w:ascii="Times New Roman" w:hAnsi="Times New Roman" w:eastAsia="新宋体"/>
                <w:b/>
                <w:bCs/>
                <w:color w:val="auto"/>
                <w:szCs w:val="24"/>
              </w:rPr>
            </w:pPr>
            <w:r>
              <w:rPr>
                <w:rFonts w:hint="default" w:ascii="Times New Roman" w:hAnsi="Times New Roman" w:eastAsia="新宋体"/>
                <w:b/>
                <w:bCs/>
                <w:color w:val="auto"/>
                <w:szCs w:val="24"/>
              </w:rPr>
              <w:t>（4）与生态相符性分析</w:t>
            </w:r>
          </w:p>
          <w:p>
            <w:pPr>
              <w:ind w:firstLine="480" w:firstLineChars="200"/>
              <w:rPr>
                <w:rFonts w:eastAsiaTheme="minorEastAsia"/>
                <w:sz w:val="24"/>
              </w:rPr>
            </w:pPr>
            <w:r>
              <w:rPr>
                <w:rFonts w:eastAsiaTheme="minorEastAsia"/>
                <w:sz w:val="24"/>
              </w:rPr>
              <w:t>陆河县花鳗鲡自然保护区成立于2004年12月，根据《关于同意广东陆河花鳗鲡自然保护区升格为省级自然保护区的复函》（粤办函〔2009〕201号），于2009年4月升格为广东省省级自然保护区，主要保护对象是花鳗鲡及其栖息生态环境。</w:t>
            </w:r>
          </w:p>
          <w:p>
            <w:pPr>
              <w:ind w:firstLine="480" w:firstLineChars="200"/>
            </w:pPr>
            <w:r>
              <w:rPr>
                <w:rFonts w:eastAsiaTheme="minorEastAsia"/>
                <w:sz w:val="24"/>
              </w:rPr>
              <w:t>根据广东陆河花鳗鲡省级自然保护区的功能区划，保护区</w:t>
            </w:r>
            <w:r>
              <w:rPr>
                <w:kern w:val="0"/>
                <w:sz w:val="24"/>
              </w:rPr>
              <w:t>地理坐标为</w:t>
            </w:r>
            <w:r>
              <w:rPr>
                <w:sz w:val="24"/>
              </w:rPr>
              <w:t>东经</w:t>
            </w:r>
            <w:r>
              <w:rPr>
                <w:rStyle w:val="168"/>
                <w:sz w:val="24"/>
              </w:rPr>
              <w:t>115°27′</w:t>
            </w:r>
            <w:r>
              <w:rPr>
                <w:rStyle w:val="168"/>
                <w:rFonts w:eastAsiaTheme="minorEastAsia"/>
                <w:sz w:val="24"/>
              </w:rPr>
              <w:t>～</w:t>
            </w:r>
            <w:r>
              <w:rPr>
                <w:rStyle w:val="168"/>
                <w:sz w:val="24"/>
              </w:rPr>
              <w:t>115°45′、北纬 23°8′</w:t>
            </w:r>
            <w:r>
              <w:rPr>
                <w:rStyle w:val="168"/>
                <w:rFonts w:eastAsiaTheme="minorEastAsia"/>
                <w:sz w:val="24"/>
              </w:rPr>
              <w:t>～</w:t>
            </w:r>
            <w:r>
              <w:rPr>
                <w:rStyle w:val="168"/>
                <w:sz w:val="24"/>
              </w:rPr>
              <w:t>23°26′</w:t>
            </w:r>
            <w:r>
              <w:rPr>
                <w:kern w:val="0"/>
                <w:sz w:val="24"/>
              </w:rPr>
              <w:t>之间</w:t>
            </w:r>
            <w:r>
              <w:rPr>
                <w:sz w:val="24"/>
              </w:rPr>
              <w:t>，由螺河路河段干流、南北溪、吉石溪、螺溪及部分支流组成。螺河干流从咸宜到南告水库，全长40.88km，南溪打鼓潭到</w:t>
            </w:r>
            <w:r>
              <w:rPr>
                <w:rFonts w:eastAsiaTheme="minorEastAsia"/>
                <w:sz w:val="24"/>
              </w:rPr>
              <w:t>螺河</w:t>
            </w:r>
            <w:r>
              <w:rPr>
                <w:sz w:val="24"/>
              </w:rPr>
              <w:t>干流全长26km，北溪从北龙到</w:t>
            </w:r>
            <w:r>
              <w:rPr>
                <w:rFonts w:eastAsiaTheme="minorEastAsia"/>
                <w:sz w:val="24"/>
              </w:rPr>
              <w:t>螺河</w:t>
            </w:r>
            <w:r>
              <w:rPr>
                <w:sz w:val="24"/>
              </w:rPr>
              <w:t>干流全长10km，激石溪从上宫排到咸宜，全长30km，螺溪从沥背到干流全长20km。樟河水8.8km，河东水10km。保护区总面积为1865.6ha，其中核心区面积660ha，缓冲区面积817.6ha，试验区面积388ha。保护区以</w:t>
            </w:r>
            <w:r>
              <w:rPr>
                <w:rFonts w:eastAsiaTheme="minorEastAsia"/>
                <w:sz w:val="24"/>
              </w:rPr>
              <w:t>螺河</w:t>
            </w:r>
            <w:r>
              <w:rPr>
                <w:sz w:val="24"/>
              </w:rPr>
              <w:t>干流作为缓冲区，全长40.88km，面积817.6ha，以南北溪、激石溪为核心区，全长66km，面积660ha，螺溪、樟河水、河东水为实验区，全长38.8km，面积388ha。</w:t>
            </w:r>
          </w:p>
          <w:p>
            <w:pPr>
              <w:pStyle w:val="169"/>
              <w:spacing w:line="240" w:lineRule="auto"/>
              <w:rPr>
                <w:rFonts w:hint="default" w:hAnsi="Times New Roman" w:eastAsiaTheme="minorEastAsia"/>
                <w:sz w:val="24"/>
                <w:szCs w:val="24"/>
              </w:rPr>
            </w:pPr>
            <w:r>
              <w:rPr>
                <w:rFonts w:hint="default" w:hAnsi="Times New Roman" w:eastAsiaTheme="minorEastAsia"/>
                <w:sz w:val="24"/>
                <w:szCs w:val="24"/>
              </w:rPr>
              <w:t>表1-1 广东陆河花鳗鲡省级自然保护区功能区划</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04"/>
              <w:gridCol w:w="1060"/>
              <w:gridCol w:w="1214"/>
              <w:gridCol w:w="871"/>
              <w:gridCol w:w="39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68"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b/>
                      <w:bCs/>
                      <w:sz w:val="21"/>
                      <w:szCs w:val="21"/>
                    </w:rPr>
                  </w:pPr>
                  <w:r>
                    <w:rPr>
                      <w:b/>
                      <w:bCs/>
                      <w:sz w:val="21"/>
                      <w:szCs w:val="21"/>
                    </w:rPr>
                    <w:t>功能区</w:t>
                  </w:r>
                </w:p>
              </w:tc>
              <w:tc>
                <w:tcPr>
                  <w:tcW w:w="666"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b/>
                      <w:bCs/>
                      <w:sz w:val="21"/>
                      <w:szCs w:val="21"/>
                    </w:rPr>
                  </w:pPr>
                  <w:r>
                    <w:rPr>
                      <w:b/>
                      <w:bCs/>
                      <w:sz w:val="21"/>
                      <w:szCs w:val="21"/>
                    </w:rPr>
                    <w:t>面积</w:t>
                  </w:r>
                </w:p>
              </w:tc>
              <w:tc>
                <w:tcPr>
                  <w:tcW w:w="763" w:type="pct"/>
                  <w:tcBorders>
                    <w:tl2br w:val="nil"/>
                    <w:tr2bl w:val="nil"/>
                  </w:tcBorders>
                  <w:tcMar>
                    <w:top w:w="15" w:type="dxa"/>
                    <w:left w:w="15" w:type="dxa"/>
                    <w:bottom w:w="0" w:type="dxa"/>
                    <w:right w:w="15" w:type="dxa"/>
                  </w:tcMar>
                  <w:vAlign w:val="center"/>
                </w:tcPr>
                <w:p>
                  <w:pPr>
                    <w:pStyle w:val="20"/>
                    <w:adjustRightInd w:val="0"/>
                    <w:snapToGrid w:val="0"/>
                    <w:spacing w:after="0"/>
                    <w:ind w:firstLine="0"/>
                    <w:jc w:val="center"/>
                    <w:rPr>
                      <w:b/>
                      <w:bCs/>
                      <w:sz w:val="21"/>
                      <w:szCs w:val="21"/>
                    </w:rPr>
                  </w:pPr>
                  <w:r>
                    <w:rPr>
                      <w:b/>
                      <w:bCs/>
                      <w:sz w:val="21"/>
                      <w:szCs w:val="21"/>
                    </w:rPr>
                    <w:t>河流长度</w:t>
                  </w:r>
                </w:p>
              </w:tc>
              <w:tc>
                <w:tcPr>
                  <w:tcW w:w="548"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b/>
                      <w:bCs/>
                      <w:sz w:val="21"/>
                      <w:szCs w:val="21"/>
                    </w:rPr>
                  </w:pPr>
                  <w:r>
                    <w:rPr>
                      <w:b/>
                      <w:bCs/>
                      <w:sz w:val="21"/>
                      <w:szCs w:val="21"/>
                    </w:rPr>
                    <w:t>比例</w:t>
                  </w:r>
                </w:p>
              </w:tc>
              <w:tc>
                <w:tcPr>
                  <w:tcW w:w="2454"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b/>
                      <w:bCs/>
                      <w:sz w:val="21"/>
                      <w:szCs w:val="21"/>
                    </w:rPr>
                  </w:pPr>
                  <w:r>
                    <w:rPr>
                      <w:b/>
                      <w:bCs/>
                      <w:sz w:val="21"/>
                      <w:szCs w:val="21"/>
                    </w:rPr>
                    <w:t>区域功能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68"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sz w:val="21"/>
                      <w:szCs w:val="21"/>
                    </w:rPr>
                    <w:t>核心区</w:t>
                  </w:r>
                </w:p>
              </w:tc>
              <w:tc>
                <w:tcPr>
                  <w:tcW w:w="666"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sz w:val="21"/>
                      <w:szCs w:val="21"/>
                    </w:rPr>
                    <w:t>660ha</w:t>
                  </w:r>
                </w:p>
              </w:tc>
              <w:tc>
                <w:tcPr>
                  <w:tcW w:w="763" w:type="pct"/>
                  <w:tcBorders>
                    <w:tl2br w:val="nil"/>
                    <w:tr2bl w:val="nil"/>
                  </w:tcBorders>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sz w:val="21"/>
                      <w:szCs w:val="21"/>
                    </w:rPr>
                    <w:t>66m</w:t>
                  </w:r>
                </w:p>
              </w:tc>
              <w:tc>
                <w:tcPr>
                  <w:tcW w:w="548"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sz w:val="21"/>
                      <w:szCs w:val="21"/>
                    </w:rPr>
                    <w:t>35.38%</w:t>
                  </w:r>
                </w:p>
              </w:tc>
              <w:tc>
                <w:tcPr>
                  <w:tcW w:w="2454"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sz w:val="21"/>
                      <w:szCs w:val="21"/>
                    </w:rPr>
                    <w:t>除必要的船只通行外，实行绝对保护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68"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sz w:val="21"/>
                      <w:szCs w:val="21"/>
                    </w:rPr>
                    <w:t>缓冲区</w:t>
                  </w:r>
                </w:p>
              </w:tc>
              <w:tc>
                <w:tcPr>
                  <w:tcW w:w="666"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sz w:val="21"/>
                      <w:szCs w:val="21"/>
                    </w:rPr>
                    <w:t>817.6ha</w:t>
                  </w:r>
                </w:p>
              </w:tc>
              <w:tc>
                <w:tcPr>
                  <w:tcW w:w="763" w:type="pct"/>
                  <w:tcBorders>
                    <w:tl2br w:val="nil"/>
                    <w:tr2bl w:val="nil"/>
                  </w:tcBorders>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sz w:val="21"/>
                      <w:szCs w:val="21"/>
                    </w:rPr>
                    <w:t>40.88m</w:t>
                  </w:r>
                </w:p>
              </w:tc>
              <w:tc>
                <w:tcPr>
                  <w:tcW w:w="548"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sz w:val="21"/>
                      <w:szCs w:val="21"/>
                    </w:rPr>
                    <w:t>43.83%</w:t>
                  </w:r>
                </w:p>
              </w:tc>
              <w:tc>
                <w:tcPr>
                  <w:tcW w:w="2454"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sz w:val="21"/>
                      <w:szCs w:val="21"/>
                    </w:rPr>
                    <w:t>重点保护和适当的科学研究等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68"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sz w:val="21"/>
                      <w:szCs w:val="21"/>
                    </w:rPr>
                    <w:t>实验区</w:t>
                  </w:r>
                </w:p>
              </w:tc>
              <w:tc>
                <w:tcPr>
                  <w:tcW w:w="666"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sz w:val="21"/>
                      <w:szCs w:val="21"/>
                    </w:rPr>
                    <w:t>388ha</w:t>
                  </w:r>
                </w:p>
              </w:tc>
              <w:tc>
                <w:tcPr>
                  <w:tcW w:w="763" w:type="pct"/>
                  <w:tcBorders>
                    <w:tl2br w:val="nil"/>
                    <w:tr2bl w:val="nil"/>
                  </w:tcBorders>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sz w:val="21"/>
                      <w:szCs w:val="21"/>
                    </w:rPr>
                    <w:t>3808m</w:t>
                  </w:r>
                </w:p>
              </w:tc>
              <w:tc>
                <w:tcPr>
                  <w:tcW w:w="548"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sz w:val="21"/>
                      <w:szCs w:val="21"/>
                    </w:rPr>
                    <w:t>20.80%</w:t>
                  </w:r>
                </w:p>
              </w:tc>
              <w:tc>
                <w:tcPr>
                  <w:tcW w:w="2454" w:type="pct"/>
                  <w:tcBorders>
                    <w:tl2br w:val="nil"/>
                    <w:tr2bl w:val="nil"/>
                  </w:tcBorders>
                  <w:noWrap/>
                  <w:tcMar>
                    <w:top w:w="15" w:type="dxa"/>
                    <w:left w:w="15" w:type="dxa"/>
                    <w:bottom w:w="0" w:type="dxa"/>
                    <w:right w:w="15" w:type="dxa"/>
                  </w:tcMar>
                  <w:vAlign w:val="center"/>
                </w:tcPr>
                <w:p>
                  <w:pPr>
                    <w:pStyle w:val="20"/>
                    <w:adjustRightInd w:val="0"/>
                    <w:snapToGrid w:val="0"/>
                    <w:spacing w:after="0"/>
                    <w:ind w:firstLine="0"/>
                    <w:jc w:val="center"/>
                    <w:rPr>
                      <w:sz w:val="21"/>
                      <w:szCs w:val="21"/>
                    </w:rPr>
                  </w:pPr>
                  <w:r>
                    <w:rPr>
                      <w:sz w:val="21"/>
                      <w:szCs w:val="21"/>
                    </w:rPr>
                    <w:t>一般性保护、适度合理开发</w:t>
                  </w:r>
                </w:p>
              </w:tc>
            </w:tr>
          </w:tbl>
          <w:p>
            <w:pPr>
              <w:pStyle w:val="49"/>
              <w:ind w:firstLine="480" w:firstLineChars="200"/>
              <w:rPr>
                <w:rFonts w:hint="default" w:ascii="Times New Roman" w:hAnsi="Times New Roman" w:eastAsia="新宋体"/>
                <w:color w:val="auto"/>
                <w:szCs w:val="24"/>
              </w:rPr>
            </w:pPr>
            <w:r>
              <w:rPr>
                <w:rFonts w:hint="default" w:ascii="Times New Roman" w:hAnsi="Times New Roman" w:eastAsia="新宋体"/>
                <w:color w:val="auto"/>
                <w:szCs w:val="24"/>
              </w:rPr>
              <w:t>项目用地红线与最近的花鳗鲡保护核心区（西北面新田河河段）距离约2921m，与最近的花鳗鲡保护缓冲区（东面螺河）距离约650m，具体</w:t>
            </w:r>
            <w:r>
              <w:rPr>
                <w:rFonts w:hint="default" w:ascii="Times New Roman" w:hAnsi="Times New Roman"/>
                <w:color w:val="auto"/>
                <w:szCs w:val="24"/>
              </w:rPr>
              <w:t>见附图12</w:t>
            </w:r>
            <w:r>
              <w:rPr>
                <w:rFonts w:hint="default" w:ascii="Times New Roman" w:hAnsi="Times New Roman" w:eastAsia="新宋体"/>
                <w:color w:val="auto"/>
                <w:szCs w:val="24"/>
              </w:rPr>
              <w:t>。项目选址不在广东陆河花鳗鲡省级自然保护区内，符合</w:t>
            </w:r>
            <w:r>
              <w:rPr>
                <w:rFonts w:hint="default" w:ascii="Times New Roman" w:hAnsi="Times New Roman" w:eastAsiaTheme="minorEastAsia"/>
                <w:color w:val="auto"/>
                <w:szCs w:val="24"/>
              </w:rPr>
              <w:t>自然保护区相关规定要求</w:t>
            </w:r>
            <w:r>
              <w:rPr>
                <w:rFonts w:hint="default" w:ascii="Times New Roman" w:hAnsi="Times New Roman" w:eastAsia="新宋体"/>
                <w:color w:val="auto"/>
                <w:szCs w:val="24"/>
              </w:rPr>
              <w:t>。</w:t>
            </w:r>
          </w:p>
          <w:p>
            <w:pPr>
              <w:autoSpaceDE w:val="0"/>
              <w:autoSpaceDN w:val="0"/>
              <w:ind w:firstLine="482" w:firstLineChars="200"/>
              <w:rPr>
                <w:rFonts w:eastAsia="新宋体"/>
                <w:b/>
                <w:bCs/>
                <w:sz w:val="24"/>
              </w:rPr>
            </w:pPr>
            <w:r>
              <w:rPr>
                <w:b/>
                <w:bCs/>
                <w:sz w:val="24"/>
              </w:rPr>
              <w:t>3、与广东省</w:t>
            </w:r>
            <w:r>
              <w:rPr>
                <w:rFonts w:hint="eastAsia"/>
                <w:b/>
                <w:bCs/>
                <w:sz w:val="24"/>
              </w:rPr>
              <w:t>“</w:t>
            </w:r>
            <w:r>
              <w:rPr>
                <w:b/>
                <w:bCs/>
                <w:sz w:val="24"/>
              </w:rPr>
              <w:t>三线一单</w:t>
            </w:r>
            <w:r>
              <w:rPr>
                <w:rFonts w:hint="eastAsia"/>
                <w:b/>
                <w:bCs/>
                <w:sz w:val="24"/>
              </w:rPr>
              <w:t>”</w:t>
            </w:r>
            <w:r>
              <w:rPr>
                <w:b/>
                <w:bCs/>
                <w:sz w:val="24"/>
              </w:rPr>
              <w:t>相符性分</w:t>
            </w:r>
            <w:r>
              <w:rPr>
                <w:rFonts w:eastAsia="新宋体"/>
                <w:b/>
                <w:bCs/>
                <w:sz w:val="24"/>
              </w:rPr>
              <w:t>析</w:t>
            </w:r>
          </w:p>
          <w:p>
            <w:pPr>
              <w:autoSpaceDE w:val="0"/>
              <w:autoSpaceDN w:val="0"/>
              <w:ind w:firstLine="480" w:firstLineChars="200"/>
              <w:rPr>
                <w:rFonts w:eastAsia="新宋体"/>
                <w:sz w:val="24"/>
              </w:rPr>
            </w:pPr>
            <w:r>
              <w:rPr>
                <w:rFonts w:eastAsia="新宋体"/>
                <w:sz w:val="24"/>
              </w:rPr>
              <w:t>根据《广东省人民政府关于印发广东省三线一单生态环境分区管控方案的通知》（粤府〔2020〕71号），环境管控单元分为优先保护、重点管控和一般管控单元三类，详细要求详见下表。</w:t>
            </w:r>
          </w:p>
          <w:p>
            <w:pPr>
              <w:widowControl/>
              <w:tabs>
                <w:tab w:val="left" w:pos="1081"/>
              </w:tabs>
              <w:spacing w:beforeLines="50" w:line="240" w:lineRule="auto"/>
              <w:jc w:val="center"/>
              <w:rPr>
                <w:rFonts w:eastAsia="新宋体"/>
                <w:b/>
                <w:sz w:val="24"/>
              </w:rPr>
            </w:pPr>
            <w:r>
              <w:rPr>
                <w:rFonts w:eastAsia="新宋体"/>
                <w:b/>
                <w:sz w:val="24"/>
              </w:rPr>
              <w:t>表1-2 项目与广东省</w:t>
            </w:r>
            <w:r>
              <w:rPr>
                <w:rFonts w:hint="eastAsia" w:eastAsia="新宋体"/>
                <w:b/>
                <w:sz w:val="24"/>
              </w:rPr>
              <w:t>“</w:t>
            </w:r>
            <w:r>
              <w:rPr>
                <w:rFonts w:eastAsia="新宋体"/>
                <w:b/>
                <w:sz w:val="24"/>
              </w:rPr>
              <w:t>三线一单</w:t>
            </w:r>
            <w:r>
              <w:rPr>
                <w:rFonts w:hint="eastAsia" w:eastAsia="新宋体"/>
                <w:b/>
                <w:sz w:val="24"/>
              </w:rPr>
              <w:t>”</w:t>
            </w:r>
            <w:r>
              <w:rPr>
                <w:rFonts w:eastAsia="新宋体"/>
                <w:b/>
                <w:sz w:val="24"/>
              </w:rPr>
              <w:t>符合性分析</w:t>
            </w:r>
          </w:p>
          <w:tbl>
            <w:tblPr>
              <w:tblStyle w:val="40"/>
              <w:tblW w:w="791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8"/>
              <w:gridCol w:w="70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08" w:type="dxa"/>
                  <w:vAlign w:val="center"/>
                </w:tcPr>
                <w:p>
                  <w:pPr>
                    <w:pStyle w:val="20"/>
                    <w:adjustRightInd w:val="0"/>
                    <w:snapToGrid w:val="0"/>
                    <w:spacing w:after="0"/>
                    <w:ind w:firstLine="0"/>
                    <w:jc w:val="center"/>
                    <w:rPr>
                      <w:b/>
                      <w:bCs/>
                      <w:sz w:val="21"/>
                      <w:szCs w:val="21"/>
                    </w:rPr>
                  </w:pPr>
                  <w:r>
                    <w:rPr>
                      <w:b/>
                      <w:bCs/>
                      <w:sz w:val="21"/>
                      <w:szCs w:val="21"/>
                    </w:rPr>
                    <w:t>内容</w:t>
                  </w:r>
                </w:p>
              </w:tc>
              <w:tc>
                <w:tcPr>
                  <w:tcW w:w="7005" w:type="dxa"/>
                  <w:vAlign w:val="center"/>
                </w:tcPr>
                <w:p>
                  <w:pPr>
                    <w:pStyle w:val="20"/>
                    <w:adjustRightInd w:val="0"/>
                    <w:snapToGrid w:val="0"/>
                    <w:spacing w:after="0"/>
                    <w:ind w:firstLine="0"/>
                    <w:jc w:val="center"/>
                    <w:rPr>
                      <w:b/>
                      <w:bCs/>
                      <w:sz w:val="21"/>
                      <w:szCs w:val="21"/>
                    </w:rPr>
                  </w:pPr>
                  <w:r>
                    <w:rPr>
                      <w:b/>
                      <w:bCs/>
                      <w:sz w:val="21"/>
                      <w:szCs w:val="21"/>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908" w:type="dxa"/>
                  <w:vAlign w:val="center"/>
                </w:tcPr>
                <w:p>
                  <w:pPr>
                    <w:pStyle w:val="20"/>
                    <w:adjustRightInd w:val="0"/>
                    <w:snapToGrid w:val="0"/>
                    <w:spacing w:after="0"/>
                    <w:ind w:firstLine="0"/>
                    <w:jc w:val="center"/>
                    <w:rPr>
                      <w:sz w:val="21"/>
                      <w:szCs w:val="21"/>
                    </w:rPr>
                  </w:pPr>
                  <w:r>
                    <w:rPr>
                      <w:sz w:val="21"/>
                      <w:szCs w:val="21"/>
                    </w:rPr>
                    <w:t>生态保护红线</w:t>
                  </w:r>
                </w:p>
              </w:tc>
              <w:tc>
                <w:tcPr>
                  <w:tcW w:w="7005" w:type="dxa"/>
                  <w:vAlign w:val="center"/>
                </w:tcPr>
                <w:p>
                  <w:pPr>
                    <w:pStyle w:val="20"/>
                    <w:ind w:firstLine="420" w:firstLineChars="200"/>
                    <w:rPr>
                      <w:sz w:val="21"/>
                      <w:szCs w:val="21"/>
                    </w:rPr>
                  </w:pPr>
                  <w:r>
                    <w:rPr>
                      <w:rFonts w:hint="eastAsia"/>
                      <w:sz w:val="21"/>
                      <w:szCs w:val="21"/>
                    </w:rPr>
                    <w:t>根据《陆河县环境保护规划暨陆河县重点生态功能区保护与建设规划》（2017-2030年），本项目所在区域位于城市-农业经济生态区，选址不涉及生态严格控制区，</w:t>
                  </w:r>
                  <w:r>
                    <w:rPr>
                      <w:sz w:val="21"/>
                      <w:szCs w:val="21"/>
                    </w:rPr>
                    <w:t>不涉及生态保护红线</w:t>
                  </w:r>
                  <w:r>
                    <w:rPr>
                      <w:rFonts w:hint="eastAsia"/>
                      <w:sz w:val="21"/>
                      <w:szCs w:val="21"/>
                    </w:rPr>
                    <w:t>区域</w:t>
                  </w: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08" w:type="dxa"/>
                  <w:vAlign w:val="center"/>
                </w:tcPr>
                <w:p>
                  <w:pPr>
                    <w:pStyle w:val="20"/>
                    <w:adjustRightInd w:val="0"/>
                    <w:snapToGrid w:val="0"/>
                    <w:spacing w:after="0"/>
                    <w:ind w:firstLine="0"/>
                    <w:jc w:val="center"/>
                    <w:rPr>
                      <w:sz w:val="21"/>
                      <w:szCs w:val="21"/>
                    </w:rPr>
                  </w:pPr>
                  <w:r>
                    <w:rPr>
                      <w:sz w:val="21"/>
                      <w:szCs w:val="21"/>
                    </w:rPr>
                    <w:t>资源利用上线</w:t>
                  </w:r>
                </w:p>
              </w:tc>
              <w:tc>
                <w:tcPr>
                  <w:tcW w:w="7005" w:type="dxa"/>
                  <w:vAlign w:val="center"/>
                </w:tcPr>
                <w:p>
                  <w:pPr>
                    <w:pStyle w:val="20"/>
                    <w:adjustRightInd w:val="0"/>
                    <w:snapToGrid w:val="0"/>
                    <w:spacing w:after="0"/>
                    <w:ind w:firstLine="420" w:firstLineChars="200"/>
                    <w:rPr>
                      <w:sz w:val="21"/>
                      <w:szCs w:val="21"/>
                    </w:rPr>
                  </w:pPr>
                  <w:r>
                    <w:rPr>
                      <w:sz w:val="21"/>
                      <w:szCs w:val="21"/>
                    </w:rPr>
                    <w:t>企业从事储能集装箱制造，用水、用电均为市政提供。企业用地类型为工业用地，不涉及基本农田，土地资源消耗符合要求，不突破当地的能源、水、土地等资源消耗不得突破的</w:t>
                  </w:r>
                  <w:r>
                    <w:rPr>
                      <w:rFonts w:hint="eastAsia"/>
                      <w:sz w:val="21"/>
                      <w:szCs w:val="21"/>
                    </w:rPr>
                    <w:t>“天花板”</w:t>
                  </w: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08" w:type="dxa"/>
                  <w:vAlign w:val="center"/>
                </w:tcPr>
                <w:p>
                  <w:pPr>
                    <w:pStyle w:val="20"/>
                    <w:adjustRightInd w:val="0"/>
                    <w:snapToGrid w:val="0"/>
                    <w:spacing w:after="0"/>
                    <w:ind w:firstLine="0"/>
                    <w:jc w:val="center"/>
                    <w:rPr>
                      <w:sz w:val="21"/>
                      <w:szCs w:val="21"/>
                    </w:rPr>
                  </w:pPr>
                  <w:r>
                    <w:rPr>
                      <w:sz w:val="21"/>
                      <w:szCs w:val="21"/>
                    </w:rPr>
                    <w:t>环境质量底线</w:t>
                  </w:r>
                </w:p>
              </w:tc>
              <w:tc>
                <w:tcPr>
                  <w:tcW w:w="7005" w:type="dxa"/>
                  <w:vAlign w:val="center"/>
                </w:tcPr>
                <w:p>
                  <w:pPr>
                    <w:pStyle w:val="20"/>
                    <w:adjustRightInd w:val="0"/>
                    <w:snapToGrid w:val="0"/>
                    <w:spacing w:after="0"/>
                    <w:ind w:firstLine="420" w:firstLineChars="200"/>
                    <w:rPr>
                      <w:sz w:val="21"/>
                      <w:szCs w:val="21"/>
                    </w:rPr>
                  </w:pPr>
                  <w:r>
                    <w:rPr>
                      <w:sz w:val="21"/>
                      <w:szCs w:val="21"/>
                    </w:rPr>
                    <w:t>根据收集的监测数据显示，螺河各指标均能达到《地表水环境质量标准》（GB3838-2002）Ⅱ类标准，南北溪各指标均能达到《地表水环境质量标准》（GB3838-2002）Ⅲ类标准，区域水环境质量现状良好</w:t>
                  </w:r>
                  <w:r>
                    <w:rPr>
                      <w:rFonts w:hint="eastAsia"/>
                      <w:sz w:val="21"/>
                      <w:szCs w:val="21"/>
                    </w:rPr>
                    <w:t>；</w:t>
                  </w:r>
                  <w:r>
                    <w:rPr>
                      <w:sz w:val="21"/>
                      <w:szCs w:val="21"/>
                    </w:rPr>
                    <w:t>根据《2019年汕尾市生态环境状况公报》，项目所在区域为达标区</w:t>
                  </w:r>
                  <w:r>
                    <w:rPr>
                      <w:rFonts w:hint="eastAsia"/>
                      <w:sz w:val="21"/>
                      <w:szCs w:val="21"/>
                    </w:rPr>
                    <w:t>。根据工程分析，项目生活污水、近期生产废水分别经预处理达到河口镇污水处理厂接管标准及广东省《水污染物排放限值》（DB44/26-2001）第二时段三级标准两者较严值后经市政污水管网排入河口镇污水处理厂；项目废气排放对周边环境影响较小；项目平面布置较为合理，经隔声、衰减后厂界噪声能够满足相关要求；针对不同固体废物采取不同措施，使固体废物得到妥善处理。在落实本评价提出的污染防治措施后，</w:t>
                  </w:r>
                  <w:r>
                    <w:rPr>
                      <w:sz w:val="21"/>
                      <w:szCs w:val="21"/>
                    </w:rPr>
                    <w:t>项目的建设符合环境质量底线要求。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08" w:type="dxa"/>
                  <w:vAlign w:val="center"/>
                </w:tcPr>
                <w:p>
                  <w:pPr>
                    <w:pStyle w:val="20"/>
                    <w:adjustRightInd w:val="0"/>
                    <w:snapToGrid w:val="0"/>
                    <w:spacing w:after="0"/>
                    <w:ind w:firstLine="0"/>
                    <w:jc w:val="center"/>
                    <w:rPr>
                      <w:sz w:val="21"/>
                      <w:szCs w:val="21"/>
                    </w:rPr>
                  </w:pPr>
                  <w:r>
                    <w:rPr>
                      <w:sz w:val="21"/>
                      <w:szCs w:val="21"/>
                    </w:rPr>
                    <w:t>负面清单</w:t>
                  </w:r>
                </w:p>
              </w:tc>
              <w:tc>
                <w:tcPr>
                  <w:tcW w:w="7005" w:type="dxa"/>
                  <w:vAlign w:val="center"/>
                </w:tcPr>
                <w:p>
                  <w:pPr>
                    <w:pStyle w:val="20"/>
                    <w:adjustRightInd w:val="0"/>
                    <w:snapToGrid w:val="0"/>
                    <w:spacing w:after="0"/>
                    <w:ind w:firstLine="420" w:firstLineChars="200"/>
                    <w:rPr>
                      <w:sz w:val="21"/>
                      <w:szCs w:val="21"/>
                    </w:rPr>
                  </w:pPr>
                  <w:r>
                    <w:rPr>
                      <w:rFonts w:hint="eastAsia"/>
                      <w:sz w:val="21"/>
                      <w:szCs w:val="21"/>
                    </w:rPr>
                    <w:t>根据《广东省“三线一单”生态环境分区管控方案》（粤府〔</w:t>
                  </w:r>
                  <w:r>
                    <w:rPr>
                      <w:sz w:val="21"/>
                      <w:szCs w:val="21"/>
                    </w:rPr>
                    <w:t>2020</w:t>
                  </w:r>
                  <w:r>
                    <w:rPr>
                      <w:rFonts w:hint="eastAsia"/>
                      <w:sz w:val="21"/>
                      <w:szCs w:val="21"/>
                    </w:rPr>
                    <w:t>〕</w:t>
                  </w:r>
                  <w:r>
                    <w:rPr>
                      <w:sz w:val="21"/>
                      <w:szCs w:val="21"/>
                    </w:rPr>
                    <w:t>71</w:t>
                  </w:r>
                  <w:r>
                    <w:rPr>
                      <w:rFonts w:hint="eastAsia"/>
                      <w:sz w:val="21"/>
                      <w:szCs w:val="21"/>
                    </w:rPr>
                    <w:t>号），从区域布局管控、能源资源利用、污染物排放管控和环境风险防控等方面明确准入要求，建立“</w:t>
                  </w:r>
                  <w:r>
                    <w:rPr>
                      <w:sz w:val="21"/>
                      <w:szCs w:val="21"/>
                    </w:rPr>
                    <w:t>1+3+N</w:t>
                  </w:r>
                  <w:r>
                    <w:rPr>
                      <w:rFonts w:hint="eastAsia"/>
                      <w:sz w:val="21"/>
                      <w:szCs w:val="21"/>
                    </w:rPr>
                    <w:t>”三级生态环境准入清单体系。“</w:t>
                  </w:r>
                  <w:r>
                    <w:rPr>
                      <w:sz w:val="21"/>
                      <w:szCs w:val="21"/>
                    </w:rPr>
                    <w:t>1</w:t>
                  </w:r>
                  <w:r>
                    <w:rPr>
                      <w:rFonts w:hint="eastAsia"/>
                      <w:sz w:val="21"/>
                      <w:szCs w:val="21"/>
                    </w:rPr>
                    <w:t>”为全省总体管控要求，“</w:t>
                  </w:r>
                  <w:r>
                    <w:rPr>
                      <w:sz w:val="21"/>
                      <w:szCs w:val="21"/>
                    </w:rPr>
                    <w:t>3</w:t>
                  </w:r>
                  <w:r>
                    <w:rPr>
                      <w:rFonts w:hint="eastAsia"/>
                      <w:sz w:val="21"/>
                      <w:szCs w:val="21"/>
                    </w:rPr>
                    <w:t>”为“一核一带一区”区域管控要求，“</w:t>
                  </w:r>
                  <w:r>
                    <w:rPr>
                      <w:sz w:val="21"/>
                      <w:szCs w:val="21"/>
                    </w:rPr>
                    <w:t>N</w:t>
                  </w:r>
                  <w:r>
                    <w:rPr>
                      <w:rFonts w:hint="eastAsia"/>
                      <w:sz w:val="21"/>
                      <w:szCs w:val="21"/>
                    </w:rPr>
                    <w:t>”为</w:t>
                  </w:r>
                  <w:r>
                    <w:rPr>
                      <w:sz w:val="21"/>
                      <w:szCs w:val="21"/>
                    </w:rPr>
                    <w:t>1912</w:t>
                  </w:r>
                  <w:r>
                    <w:rPr>
                      <w:rFonts w:hint="eastAsia"/>
                      <w:sz w:val="21"/>
                      <w:szCs w:val="21"/>
                    </w:rPr>
                    <w:t>个陆域环境管控单元和</w:t>
                  </w:r>
                  <w:r>
                    <w:rPr>
                      <w:sz w:val="21"/>
                      <w:szCs w:val="21"/>
                    </w:rPr>
                    <w:t>471</w:t>
                  </w:r>
                  <w:r>
                    <w:rPr>
                      <w:rFonts w:hint="eastAsia"/>
                      <w:sz w:val="21"/>
                      <w:szCs w:val="21"/>
                    </w:rPr>
                    <w:t>个海域环境管控单元的管控要求。项目不属于区域布局管控、能源资源利用、污染物排放管控和环境风险防控等方面明确禁止准入项目。</w:t>
                  </w:r>
                </w:p>
              </w:tc>
            </w:tr>
          </w:tbl>
          <w:p>
            <w:pPr>
              <w:ind w:firstLine="483"/>
              <w:rPr>
                <w:sz w:val="24"/>
              </w:rPr>
            </w:pPr>
            <w:r>
              <w:rPr>
                <w:sz w:val="24"/>
              </w:rPr>
              <w:t>根据上表分析，项目的建设与广东省</w:t>
            </w:r>
            <w:r>
              <w:rPr>
                <w:rFonts w:hint="eastAsia"/>
                <w:sz w:val="24"/>
              </w:rPr>
              <w:t>“</w:t>
            </w:r>
            <w:r>
              <w:rPr>
                <w:sz w:val="24"/>
              </w:rPr>
              <w:t>三线一单</w:t>
            </w:r>
            <w:r>
              <w:rPr>
                <w:rFonts w:hint="eastAsia"/>
                <w:sz w:val="24"/>
              </w:rPr>
              <w:t>”</w:t>
            </w:r>
            <w:r>
              <w:rPr>
                <w:sz w:val="24"/>
              </w:rPr>
              <w:t>相关要求相符。</w:t>
            </w:r>
          </w:p>
          <w:p>
            <w:pPr>
              <w:autoSpaceDE w:val="0"/>
              <w:autoSpaceDN w:val="0"/>
              <w:ind w:firstLine="482" w:firstLineChars="200"/>
              <w:rPr>
                <w:b/>
                <w:bCs/>
                <w:sz w:val="24"/>
              </w:rPr>
            </w:pPr>
            <w:r>
              <w:rPr>
                <w:b/>
                <w:bCs/>
                <w:sz w:val="24"/>
              </w:rPr>
              <w:t>4、与汕尾市</w:t>
            </w:r>
            <w:r>
              <w:rPr>
                <w:rFonts w:hint="eastAsia"/>
                <w:b/>
                <w:bCs/>
                <w:sz w:val="24"/>
              </w:rPr>
              <w:t>“</w:t>
            </w:r>
            <w:r>
              <w:rPr>
                <w:b/>
                <w:bCs/>
                <w:sz w:val="24"/>
              </w:rPr>
              <w:t>三线一单</w:t>
            </w:r>
            <w:r>
              <w:rPr>
                <w:rFonts w:hint="eastAsia"/>
                <w:b/>
                <w:bCs/>
                <w:sz w:val="24"/>
              </w:rPr>
              <w:t>”</w:t>
            </w:r>
            <w:r>
              <w:rPr>
                <w:b/>
                <w:bCs/>
                <w:sz w:val="24"/>
              </w:rPr>
              <w:t>相符性分析</w:t>
            </w:r>
          </w:p>
          <w:p>
            <w:pPr>
              <w:ind w:firstLine="483"/>
              <w:rPr>
                <w:sz w:val="24"/>
              </w:rPr>
            </w:pPr>
            <w:r>
              <w:rPr>
                <w:sz w:val="24"/>
              </w:rPr>
              <w:t>根据《汕尾市人民政府关于印发汕尾市</w:t>
            </w:r>
            <w:r>
              <w:rPr>
                <w:rFonts w:hint="eastAsia"/>
                <w:sz w:val="24"/>
              </w:rPr>
              <w:t>“</w:t>
            </w:r>
            <w:r>
              <w:rPr>
                <w:sz w:val="24"/>
              </w:rPr>
              <w:t>三线一单</w:t>
            </w:r>
            <w:r>
              <w:rPr>
                <w:rFonts w:hint="eastAsia"/>
                <w:sz w:val="24"/>
              </w:rPr>
              <w:t>”</w:t>
            </w:r>
            <w:r>
              <w:rPr>
                <w:sz w:val="24"/>
              </w:rPr>
              <w:t>生态环境分区管控方案的通知》可知，项目选址属于陆河县一般管控单元</w:t>
            </w:r>
            <w:r>
              <w:rPr>
                <w:rFonts w:hint="eastAsia"/>
                <w:sz w:val="24"/>
              </w:rPr>
              <w:t>（见附图1</w:t>
            </w:r>
            <w:r>
              <w:rPr>
                <w:sz w:val="24"/>
              </w:rPr>
              <w:t>3</w:t>
            </w:r>
            <w:r>
              <w:rPr>
                <w:rFonts w:hint="eastAsia"/>
                <w:sz w:val="24"/>
              </w:rPr>
              <w:t>）</w:t>
            </w:r>
            <w:r>
              <w:rPr>
                <w:sz w:val="24"/>
              </w:rPr>
              <w:t>，环境管控单元编码为ZH44152330008，管控单元分类为一般管控单元。</w:t>
            </w:r>
          </w:p>
          <w:p>
            <w:pPr>
              <w:ind w:firstLine="483"/>
              <w:rPr>
                <w:sz w:val="24"/>
              </w:rPr>
            </w:pPr>
            <w:r>
              <w:rPr>
                <w:rFonts w:hint="eastAsia"/>
                <w:sz w:val="24"/>
              </w:rPr>
              <w:t>项目所在区域环境管控要求见表1</w:t>
            </w:r>
            <w:r>
              <w:rPr>
                <w:sz w:val="24"/>
              </w:rPr>
              <w:t>-3。</w:t>
            </w:r>
          </w:p>
          <w:p>
            <w:pPr>
              <w:widowControl/>
              <w:tabs>
                <w:tab w:val="left" w:pos="1081"/>
              </w:tabs>
              <w:spacing w:beforeLines="50" w:line="240" w:lineRule="auto"/>
              <w:jc w:val="center"/>
            </w:pPr>
            <w:r>
              <w:rPr>
                <w:rFonts w:eastAsia="新宋体"/>
                <w:b/>
                <w:sz w:val="24"/>
              </w:rPr>
              <w:t>表1-3 项目</w:t>
            </w:r>
            <w:r>
              <w:rPr>
                <w:rFonts w:hint="eastAsia" w:eastAsia="新宋体"/>
                <w:b/>
                <w:sz w:val="24"/>
              </w:rPr>
              <w:t>项目所在区域环境管控要求</w:t>
            </w:r>
            <w:r>
              <w:rPr>
                <w:rFonts w:eastAsia="新宋体"/>
                <w:b/>
                <w:sz w:val="24"/>
              </w:rPr>
              <w:t>符合性</w:t>
            </w:r>
            <w:r>
              <w:rPr>
                <w:rFonts w:hint="eastAsia" w:eastAsia="新宋体"/>
                <w:b/>
                <w:sz w:val="24"/>
              </w:rPr>
              <w:t>一览表</w:t>
            </w:r>
          </w:p>
          <w:tbl>
            <w:tblPr>
              <w:tblStyle w:val="40"/>
              <w:tblW w:w="800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6" w:type="dxa"/>
                <w:bottom w:w="0" w:type="dxa"/>
                <w:right w:w="6" w:type="dxa"/>
              </w:tblCellMar>
            </w:tblPr>
            <w:tblGrid>
              <w:gridCol w:w="522"/>
              <w:gridCol w:w="5856"/>
              <w:gridCol w:w="16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20" w:hRule="atLeast"/>
                <w:jc w:val="center"/>
              </w:trPr>
              <w:tc>
                <w:tcPr>
                  <w:tcW w:w="326" w:type="pct"/>
                  <w:tcMar>
                    <w:top w:w="15" w:type="dxa"/>
                    <w:left w:w="15" w:type="dxa"/>
                    <w:right w:w="15" w:type="dxa"/>
                  </w:tcMar>
                  <w:vAlign w:val="center"/>
                </w:tcPr>
                <w:p>
                  <w:pPr>
                    <w:pStyle w:val="20"/>
                    <w:adjustRightInd w:val="0"/>
                    <w:snapToGrid w:val="0"/>
                    <w:spacing w:after="0"/>
                    <w:ind w:firstLine="0"/>
                    <w:jc w:val="center"/>
                    <w:rPr>
                      <w:b/>
                      <w:bCs/>
                      <w:sz w:val="21"/>
                      <w:szCs w:val="21"/>
                    </w:rPr>
                  </w:pPr>
                  <w:r>
                    <w:rPr>
                      <w:b/>
                      <w:bCs/>
                      <w:sz w:val="21"/>
                      <w:szCs w:val="21"/>
                    </w:rPr>
                    <w:t>管控维度</w:t>
                  </w:r>
                </w:p>
              </w:tc>
              <w:tc>
                <w:tcPr>
                  <w:tcW w:w="3657" w:type="pct"/>
                  <w:tcMar>
                    <w:top w:w="15" w:type="dxa"/>
                    <w:left w:w="15" w:type="dxa"/>
                    <w:right w:w="15" w:type="dxa"/>
                  </w:tcMar>
                  <w:vAlign w:val="center"/>
                </w:tcPr>
                <w:p>
                  <w:pPr>
                    <w:pStyle w:val="20"/>
                    <w:adjustRightInd w:val="0"/>
                    <w:snapToGrid w:val="0"/>
                    <w:spacing w:after="0"/>
                    <w:ind w:firstLine="0"/>
                    <w:jc w:val="center"/>
                    <w:rPr>
                      <w:b/>
                      <w:bCs/>
                      <w:sz w:val="21"/>
                      <w:szCs w:val="21"/>
                    </w:rPr>
                  </w:pPr>
                  <w:r>
                    <w:rPr>
                      <w:b/>
                      <w:bCs/>
                      <w:sz w:val="21"/>
                      <w:szCs w:val="21"/>
                    </w:rPr>
                    <w:t>管控要求</w:t>
                  </w:r>
                </w:p>
              </w:tc>
              <w:tc>
                <w:tcPr>
                  <w:tcW w:w="1017" w:type="pct"/>
                  <w:vAlign w:val="center"/>
                </w:tcPr>
                <w:p>
                  <w:pPr>
                    <w:pStyle w:val="20"/>
                    <w:adjustRightInd w:val="0"/>
                    <w:snapToGrid w:val="0"/>
                    <w:spacing w:after="0"/>
                    <w:ind w:firstLine="0"/>
                    <w:jc w:val="center"/>
                    <w:rPr>
                      <w:b/>
                      <w:bCs/>
                      <w:sz w:val="21"/>
                      <w:szCs w:val="21"/>
                    </w:rPr>
                  </w:pPr>
                  <w:r>
                    <w:rPr>
                      <w:rFonts w:hint="eastAsia"/>
                      <w:b/>
                      <w:bCs/>
                      <w:sz w:val="21"/>
                      <w:szCs w:val="21"/>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1368" w:hRule="atLeast"/>
                <w:jc w:val="center"/>
              </w:trPr>
              <w:tc>
                <w:tcPr>
                  <w:tcW w:w="326" w:type="pct"/>
                  <w:vMerge w:val="restart"/>
                  <w:tcMar>
                    <w:top w:w="15" w:type="dxa"/>
                    <w:left w:w="15" w:type="dxa"/>
                    <w:right w:w="15" w:type="dxa"/>
                  </w:tcMar>
                  <w:vAlign w:val="center"/>
                </w:tcPr>
                <w:p>
                  <w:pPr>
                    <w:pStyle w:val="20"/>
                    <w:adjustRightInd w:val="0"/>
                    <w:snapToGrid w:val="0"/>
                    <w:spacing w:after="0"/>
                    <w:ind w:firstLine="420" w:firstLineChars="200"/>
                    <w:rPr>
                      <w:sz w:val="21"/>
                      <w:szCs w:val="21"/>
                    </w:rPr>
                  </w:pPr>
                  <w:r>
                    <w:rPr>
                      <w:sz w:val="21"/>
                      <w:szCs w:val="21"/>
                    </w:rPr>
                    <w:t>区域布局管控</w:t>
                  </w:r>
                </w:p>
              </w:tc>
              <w:tc>
                <w:tcPr>
                  <w:tcW w:w="3657" w:type="pc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1-1.单元内以河田镇为主体重点发展现代商贸、现代物流及居民服务业，新田镇和河口镇发展汽车装备制造业、电子信息、生物医药、机械制造等产业，以东坑镇、水唇镇、上护镇为主体重点发展生态农业、生态旅游业、养生度假、生态居住、高新产业、文化创意等产业；以螺溪镇为主体发展生态林业、休闲度假、现代生态农业、生态居住等生态经济产业。优化单元内产业布局，引导单元内产业集聚发展，形成规模化、集群化的产业聚集区。</w:t>
                  </w:r>
                </w:p>
              </w:tc>
              <w:tc>
                <w:tcPr>
                  <w:tcW w:w="1017" w:type="pct"/>
                  <w:vAlign w:val="center"/>
                </w:tcPr>
                <w:p>
                  <w:pPr>
                    <w:pStyle w:val="20"/>
                    <w:adjustRightInd w:val="0"/>
                    <w:snapToGrid w:val="0"/>
                    <w:spacing w:after="0"/>
                    <w:ind w:firstLine="0"/>
                    <w:jc w:val="center"/>
                    <w:rPr>
                      <w:sz w:val="21"/>
                      <w:szCs w:val="21"/>
                    </w:rPr>
                  </w:pPr>
                  <w:r>
                    <w:rPr>
                      <w:rFonts w:hint="eastAsia"/>
                      <w:sz w:val="21"/>
                      <w:szCs w:val="21"/>
                    </w:rPr>
                    <w:t>项目位于河口镇，</w:t>
                  </w:r>
                  <w:r>
                    <w:rPr>
                      <w:sz w:val="21"/>
                      <w:szCs w:val="21"/>
                    </w:rPr>
                    <w:t>从事储能集装箱制</w:t>
                  </w:r>
                  <w:r>
                    <w:rPr>
                      <w:rFonts w:hint="eastAsia"/>
                      <w:sz w:val="21"/>
                      <w:szCs w:val="21"/>
                    </w:rPr>
                    <w:t>，属新能源储电配套产业，符合要求。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41" w:hRule="atLeast"/>
                <w:jc w:val="center"/>
              </w:trPr>
              <w:tc>
                <w:tcPr>
                  <w:tcW w:w="326" w:type="pct"/>
                  <w:vMerge w:val="continue"/>
                  <w:tcMar>
                    <w:top w:w="15" w:type="dxa"/>
                    <w:left w:w="15" w:type="dxa"/>
                    <w:right w:w="15" w:type="dxa"/>
                  </w:tcMar>
                  <w:vAlign w:val="center"/>
                </w:tcPr>
                <w:p>
                  <w:pPr>
                    <w:pStyle w:val="20"/>
                    <w:adjustRightInd w:val="0"/>
                    <w:snapToGrid w:val="0"/>
                    <w:spacing w:after="0"/>
                    <w:ind w:firstLine="420" w:firstLineChars="200"/>
                    <w:rPr>
                      <w:sz w:val="21"/>
                      <w:szCs w:val="21"/>
                    </w:rPr>
                  </w:pPr>
                </w:p>
              </w:tc>
              <w:tc>
                <w:tcPr>
                  <w:tcW w:w="3657" w:type="pc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1-2.任何单位和个人不得在江河、水库集水区域栽种速生丰产桉树等不利于水源涵养和生物多样性保护的树种。</w:t>
                  </w:r>
                </w:p>
              </w:tc>
              <w:tc>
                <w:tcPr>
                  <w:tcW w:w="1017" w:type="pct"/>
                  <w:vAlign w:val="center"/>
                </w:tcPr>
                <w:p>
                  <w:pPr>
                    <w:pStyle w:val="20"/>
                    <w:adjustRightInd w:val="0"/>
                    <w:snapToGrid w:val="0"/>
                    <w:spacing w:after="0"/>
                    <w:ind w:firstLine="0"/>
                    <w:jc w:val="center"/>
                    <w:rPr>
                      <w:sz w:val="21"/>
                      <w:szCs w:val="21"/>
                    </w:rPr>
                  </w:pPr>
                  <w:r>
                    <w:rPr>
                      <w:rFonts w:hint="eastAsia"/>
                      <w:sz w:val="21"/>
                      <w:szCs w:val="21"/>
                    </w:rPr>
                    <w:t>项目不位于</w:t>
                  </w:r>
                  <w:r>
                    <w:rPr>
                      <w:sz w:val="21"/>
                      <w:szCs w:val="21"/>
                    </w:rPr>
                    <w:t>江河、水库集水区域</w:t>
                  </w:r>
                  <w:r>
                    <w:rPr>
                      <w:rFonts w:hint="eastAsia"/>
                      <w:sz w:val="21"/>
                      <w:szCs w:val="21"/>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41" w:hRule="atLeast"/>
                <w:jc w:val="center"/>
              </w:trPr>
              <w:tc>
                <w:tcPr>
                  <w:tcW w:w="326" w:type="pct"/>
                  <w:vMerge w:val="continue"/>
                  <w:tcMar>
                    <w:top w:w="15" w:type="dxa"/>
                    <w:left w:w="15" w:type="dxa"/>
                    <w:right w:w="15" w:type="dxa"/>
                  </w:tcMar>
                  <w:vAlign w:val="center"/>
                </w:tcPr>
                <w:p>
                  <w:pPr>
                    <w:pStyle w:val="20"/>
                    <w:adjustRightInd w:val="0"/>
                    <w:snapToGrid w:val="0"/>
                    <w:spacing w:after="0"/>
                    <w:ind w:firstLine="420" w:firstLineChars="200"/>
                    <w:rPr>
                      <w:sz w:val="21"/>
                      <w:szCs w:val="21"/>
                    </w:rPr>
                  </w:pPr>
                </w:p>
              </w:tc>
              <w:tc>
                <w:tcPr>
                  <w:tcW w:w="3657" w:type="pc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1-3.单元内的生态保护红线区域，严格禁止开发性、生产性建设活动（在符合现行法律法规前提下，除国家重大战略项目外，仅允许对生态功能不造成破坏的有限人为活动）。</w:t>
                  </w:r>
                </w:p>
              </w:tc>
              <w:tc>
                <w:tcPr>
                  <w:tcW w:w="1017" w:type="pct"/>
                  <w:vAlign w:val="center"/>
                </w:tcPr>
                <w:p>
                  <w:pPr>
                    <w:pStyle w:val="20"/>
                    <w:adjustRightInd w:val="0"/>
                    <w:snapToGrid w:val="0"/>
                    <w:spacing w:after="0"/>
                    <w:ind w:firstLine="0"/>
                    <w:jc w:val="center"/>
                    <w:rPr>
                      <w:sz w:val="21"/>
                      <w:szCs w:val="21"/>
                    </w:rPr>
                  </w:pPr>
                  <w:r>
                    <w:rPr>
                      <w:rFonts w:hint="eastAsia"/>
                      <w:sz w:val="21"/>
                      <w:szCs w:val="21"/>
                    </w:rPr>
                    <w:t>项目不位于</w:t>
                  </w:r>
                  <w:r>
                    <w:rPr>
                      <w:sz w:val="21"/>
                      <w:szCs w:val="21"/>
                    </w:rPr>
                    <w:t>生态保护红线区域</w:t>
                  </w:r>
                  <w:r>
                    <w:rPr>
                      <w:rFonts w:hint="eastAsia"/>
                      <w:sz w:val="21"/>
                      <w:szCs w:val="21"/>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1355" w:hRule="atLeast"/>
                <w:jc w:val="center"/>
              </w:trPr>
              <w:tc>
                <w:tcPr>
                  <w:tcW w:w="326" w:type="pct"/>
                  <w:vMerge w:val="continue"/>
                  <w:tcMar>
                    <w:top w:w="15" w:type="dxa"/>
                    <w:left w:w="15" w:type="dxa"/>
                    <w:right w:w="15" w:type="dxa"/>
                  </w:tcMar>
                  <w:vAlign w:val="center"/>
                </w:tcPr>
                <w:p>
                  <w:pPr>
                    <w:pStyle w:val="20"/>
                    <w:adjustRightInd w:val="0"/>
                    <w:snapToGrid w:val="0"/>
                    <w:spacing w:after="0"/>
                    <w:ind w:firstLine="420" w:firstLineChars="200"/>
                    <w:rPr>
                      <w:sz w:val="21"/>
                      <w:szCs w:val="21"/>
                    </w:rPr>
                  </w:pPr>
                </w:p>
              </w:tc>
              <w:tc>
                <w:tcPr>
                  <w:tcW w:w="3657" w:type="pc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1-4.单元内的一般生态空间，不得从事影响主导生态功能的建设活动，主导功能为水源涵养的区域，禁止毁林开荒、烧山开荒、开垦等活动；坚持自然恢复为主，严格限制在水源涵养区大规模人工造林。主导功能为水土保持的区域，禁止在崩塌、滑坡危险区和泥石流易发区从事取土、挖砂、采石等可能造成水土流失的活动，禁止毁林开荒、烧山开荒，保护和恢复自然生态系统。</w:t>
                  </w:r>
                </w:p>
              </w:tc>
              <w:tc>
                <w:tcPr>
                  <w:tcW w:w="1017" w:type="pct"/>
                  <w:vAlign w:val="center"/>
                </w:tcPr>
                <w:p>
                  <w:pPr>
                    <w:pStyle w:val="20"/>
                    <w:adjustRightInd w:val="0"/>
                    <w:snapToGrid w:val="0"/>
                    <w:spacing w:after="0"/>
                    <w:ind w:firstLine="0"/>
                    <w:jc w:val="center"/>
                    <w:rPr>
                      <w:sz w:val="21"/>
                      <w:szCs w:val="21"/>
                    </w:rPr>
                  </w:pPr>
                  <w:r>
                    <w:rPr>
                      <w:rFonts w:hint="eastAsia"/>
                      <w:sz w:val="21"/>
                      <w:szCs w:val="21"/>
                    </w:rPr>
                    <w:t>项目利用现有厂房进行建设，不新增用地，不涉及开垦等活动，符合要求。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502" w:hRule="atLeast"/>
                <w:jc w:val="center"/>
              </w:trPr>
              <w:tc>
                <w:tcPr>
                  <w:tcW w:w="326" w:type="pct"/>
                  <w:vMerge w:val="continue"/>
                  <w:tcMar>
                    <w:top w:w="15" w:type="dxa"/>
                    <w:left w:w="15" w:type="dxa"/>
                    <w:right w:w="15" w:type="dxa"/>
                  </w:tcMar>
                  <w:vAlign w:val="center"/>
                </w:tcPr>
                <w:p>
                  <w:pPr>
                    <w:pStyle w:val="20"/>
                    <w:adjustRightInd w:val="0"/>
                    <w:snapToGrid w:val="0"/>
                    <w:spacing w:after="0"/>
                    <w:ind w:firstLine="420" w:firstLineChars="200"/>
                    <w:rPr>
                      <w:sz w:val="21"/>
                      <w:szCs w:val="21"/>
                    </w:rPr>
                  </w:pPr>
                </w:p>
              </w:tc>
              <w:tc>
                <w:tcPr>
                  <w:tcW w:w="3657" w:type="pc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1-5.单元内涉及广东火山峰森林公园的区域禁止毁林开垦和毁林采石、采砂、采土以及其他毁林行为；在珍贵景物、重要景点和核心景区，除必要的保护和附属设施外，不得建设宾馆、招待所、疗养院和其他工程设施。</w:t>
                  </w:r>
                </w:p>
              </w:tc>
              <w:tc>
                <w:tcPr>
                  <w:tcW w:w="1017" w:type="pct"/>
                  <w:vAlign w:val="center"/>
                </w:tcPr>
                <w:p>
                  <w:pPr>
                    <w:pStyle w:val="20"/>
                    <w:adjustRightInd w:val="0"/>
                    <w:snapToGrid w:val="0"/>
                    <w:spacing w:after="0"/>
                    <w:ind w:firstLine="0"/>
                    <w:jc w:val="center"/>
                    <w:rPr>
                      <w:sz w:val="21"/>
                      <w:szCs w:val="21"/>
                    </w:rPr>
                  </w:pPr>
                  <w:r>
                    <w:rPr>
                      <w:rFonts w:hint="eastAsia"/>
                      <w:sz w:val="21"/>
                      <w:szCs w:val="21"/>
                    </w:rPr>
                    <w:t>项目不位于风景名胜区，符合要求。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1355" w:hRule="atLeast"/>
                <w:jc w:val="center"/>
              </w:trPr>
              <w:tc>
                <w:tcPr>
                  <w:tcW w:w="326" w:type="pct"/>
                  <w:vMerge w:val="continue"/>
                  <w:tcMar>
                    <w:top w:w="15" w:type="dxa"/>
                    <w:left w:w="15" w:type="dxa"/>
                    <w:right w:w="15" w:type="dxa"/>
                  </w:tcMar>
                  <w:vAlign w:val="center"/>
                </w:tcPr>
                <w:p>
                  <w:pPr>
                    <w:pStyle w:val="20"/>
                    <w:adjustRightInd w:val="0"/>
                    <w:snapToGrid w:val="0"/>
                    <w:spacing w:after="0"/>
                    <w:ind w:firstLine="420" w:firstLineChars="200"/>
                    <w:rPr>
                      <w:sz w:val="21"/>
                      <w:szCs w:val="21"/>
                    </w:rPr>
                  </w:pPr>
                </w:p>
              </w:tc>
              <w:tc>
                <w:tcPr>
                  <w:tcW w:w="3657" w:type="pc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1-6.单元内涉及的广东陆河花鳗鲡省级自然保护区核心区禁止任何单位和个人进入（按要求经批准进入从事科学研究观测、调查活动除外），缓冲区内禁止开展旅游和生产经营活动，实验区内严禁开设与自然保护区保护方向不一致的参观、旅游项目；在自然保护区的核心区和缓冲区内，不得建设任何生产设施，实验区内，不得建设污染环境、破坏资源或者景观的生产设施，建设其他项目，其污染物排放不得超过国家和地方规定的污染物排放标准；禁止在保护区内进行砍伐、放牧、狩猎、捕捞、采药、开垦、烧荒、开矿、采石、挖沙等活动，但法律、行政法规另有规定的除外。</w:t>
                  </w:r>
                </w:p>
              </w:tc>
              <w:tc>
                <w:tcPr>
                  <w:tcW w:w="1017" w:type="pct"/>
                  <w:vAlign w:val="center"/>
                </w:tcPr>
                <w:p>
                  <w:pPr>
                    <w:pStyle w:val="20"/>
                    <w:adjustRightInd w:val="0"/>
                    <w:snapToGrid w:val="0"/>
                    <w:spacing w:after="0"/>
                    <w:ind w:firstLine="0"/>
                    <w:jc w:val="center"/>
                    <w:rPr>
                      <w:sz w:val="21"/>
                      <w:szCs w:val="21"/>
                    </w:rPr>
                  </w:pPr>
                  <w:r>
                    <w:rPr>
                      <w:rFonts w:hint="eastAsia"/>
                      <w:sz w:val="21"/>
                      <w:szCs w:val="21"/>
                    </w:rPr>
                    <w:t>项目选址不在广东陆河花鳗鲡省级自然保护区内，符合要求。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1229" w:hRule="atLeast"/>
                <w:jc w:val="center"/>
              </w:trPr>
              <w:tc>
                <w:tcPr>
                  <w:tcW w:w="326" w:type="pct"/>
                  <w:vMerge w:val="continue"/>
                  <w:tcMar>
                    <w:top w:w="15" w:type="dxa"/>
                    <w:left w:w="15" w:type="dxa"/>
                    <w:right w:w="15" w:type="dxa"/>
                  </w:tcMar>
                  <w:vAlign w:val="center"/>
                </w:tcPr>
                <w:p>
                  <w:pPr>
                    <w:pStyle w:val="20"/>
                    <w:adjustRightInd w:val="0"/>
                    <w:snapToGrid w:val="0"/>
                    <w:spacing w:after="0"/>
                    <w:ind w:firstLine="420" w:firstLineChars="200"/>
                    <w:rPr>
                      <w:sz w:val="21"/>
                      <w:szCs w:val="21"/>
                    </w:rPr>
                  </w:pPr>
                </w:p>
              </w:tc>
              <w:tc>
                <w:tcPr>
                  <w:tcW w:w="3657" w:type="pc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1-7.竹园村老虎窝、杨梅滩石子跳、茶山嶂水源地，绿寨坑水库、马善皮水库饮用水水源一级保护区内禁止新建、改建、扩建与供水设施和保护水源无关的建设项目，已建成的与供水设施和保护水源无关的建设项目，由县级以上人民政府责令拆除或者关闭。</w:t>
                  </w:r>
                </w:p>
              </w:tc>
              <w:tc>
                <w:tcPr>
                  <w:tcW w:w="1017" w:type="pct"/>
                  <w:vAlign w:val="center"/>
                </w:tcPr>
                <w:p>
                  <w:pPr>
                    <w:pStyle w:val="20"/>
                    <w:adjustRightInd w:val="0"/>
                    <w:snapToGrid w:val="0"/>
                    <w:spacing w:after="0"/>
                    <w:ind w:firstLine="0"/>
                    <w:jc w:val="center"/>
                    <w:rPr>
                      <w:sz w:val="21"/>
                      <w:szCs w:val="21"/>
                    </w:rPr>
                  </w:pPr>
                  <w:r>
                    <w:rPr>
                      <w:rFonts w:hint="eastAsia"/>
                      <w:sz w:val="21"/>
                      <w:szCs w:val="21"/>
                    </w:rPr>
                    <w:t>项目选址不在饮用水源一级保护区，符合要求。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41" w:hRule="atLeast"/>
                <w:jc w:val="center"/>
              </w:trPr>
              <w:tc>
                <w:tcPr>
                  <w:tcW w:w="326" w:type="pct"/>
                  <w:vMerge w:val="continue"/>
                  <w:tcMar>
                    <w:top w:w="15" w:type="dxa"/>
                    <w:left w:w="15" w:type="dxa"/>
                    <w:right w:w="15" w:type="dxa"/>
                  </w:tcMar>
                  <w:vAlign w:val="center"/>
                </w:tcPr>
                <w:p>
                  <w:pPr>
                    <w:pStyle w:val="20"/>
                    <w:adjustRightInd w:val="0"/>
                    <w:snapToGrid w:val="0"/>
                    <w:spacing w:after="0"/>
                    <w:ind w:firstLine="420" w:firstLineChars="200"/>
                    <w:rPr>
                      <w:sz w:val="21"/>
                      <w:szCs w:val="21"/>
                    </w:rPr>
                  </w:pPr>
                </w:p>
              </w:tc>
              <w:tc>
                <w:tcPr>
                  <w:tcW w:w="3657" w:type="pc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1-8.饮用水水源保护区及</w:t>
                  </w:r>
                  <w:r>
                    <w:rPr>
                      <w:rFonts w:hint="eastAsia"/>
                      <w:sz w:val="21"/>
                      <w:szCs w:val="21"/>
                    </w:rPr>
                    <w:t>大气环境优先保护区内</w:t>
                  </w:r>
                  <w:r>
                    <w:rPr>
                      <w:sz w:val="21"/>
                      <w:szCs w:val="21"/>
                    </w:rPr>
                    <w:t>实施严格保护，禁止新建、扩建排放大气污染物的工业项目。</w:t>
                  </w:r>
                </w:p>
              </w:tc>
              <w:tc>
                <w:tcPr>
                  <w:tcW w:w="1017" w:type="pct"/>
                  <w:vAlign w:val="center"/>
                </w:tcPr>
                <w:p>
                  <w:pPr>
                    <w:pStyle w:val="20"/>
                    <w:adjustRightInd w:val="0"/>
                    <w:snapToGrid w:val="0"/>
                    <w:spacing w:after="0"/>
                    <w:ind w:firstLine="0"/>
                    <w:jc w:val="center"/>
                    <w:rPr>
                      <w:sz w:val="21"/>
                      <w:szCs w:val="21"/>
                    </w:rPr>
                  </w:pPr>
                  <w:r>
                    <w:rPr>
                      <w:rFonts w:hint="eastAsia"/>
                      <w:sz w:val="21"/>
                      <w:szCs w:val="21"/>
                    </w:rPr>
                    <w:t>项目选址不在</w:t>
                  </w:r>
                  <w:r>
                    <w:rPr>
                      <w:sz w:val="21"/>
                      <w:szCs w:val="21"/>
                    </w:rPr>
                    <w:t>饮用水水源保护区及</w:t>
                  </w:r>
                  <w:r>
                    <w:rPr>
                      <w:rFonts w:hint="eastAsia"/>
                      <w:sz w:val="21"/>
                      <w:szCs w:val="21"/>
                    </w:rPr>
                    <w:t>大气环境优先保护区，符合要求。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1355" w:hRule="atLeast"/>
                <w:jc w:val="center"/>
              </w:trPr>
              <w:tc>
                <w:tcPr>
                  <w:tcW w:w="326" w:type="pct"/>
                  <w:vMerge w:val="continue"/>
                  <w:tcMar>
                    <w:top w:w="15" w:type="dxa"/>
                    <w:left w:w="15" w:type="dxa"/>
                    <w:right w:w="15" w:type="dxa"/>
                  </w:tcMar>
                  <w:vAlign w:val="center"/>
                </w:tcPr>
                <w:p>
                  <w:pPr>
                    <w:pStyle w:val="20"/>
                    <w:adjustRightInd w:val="0"/>
                    <w:snapToGrid w:val="0"/>
                    <w:spacing w:after="0"/>
                    <w:ind w:firstLine="420" w:firstLineChars="200"/>
                    <w:rPr>
                      <w:sz w:val="21"/>
                      <w:szCs w:val="21"/>
                    </w:rPr>
                  </w:pPr>
                </w:p>
              </w:tc>
              <w:tc>
                <w:tcPr>
                  <w:tcW w:w="3657" w:type="pc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1-9.大气环境受体敏感重点管控区内严格限制新建钢铁、燃煤燃油火电、石化、储油库等项目，产生和排放有毒有害大气污染物项目，以及</w:t>
                  </w:r>
                  <w:r>
                    <w:rPr>
                      <w:rFonts w:hint="eastAsia"/>
                      <w:sz w:val="21"/>
                      <w:szCs w:val="21"/>
                    </w:rPr>
                    <w:t>生产和</w:t>
                  </w:r>
                  <w:r>
                    <w:rPr>
                      <w:sz w:val="21"/>
                      <w:szCs w:val="21"/>
                    </w:rPr>
                    <w:t>使用溶剂型油墨、涂料、清洗剂、胶黏剂等高挥发性有机物原辅材料的项目；鼓励现有该类项目逐步搬迁退出。</w:t>
                  </w:r>
                </w:p>
              </w:tc>
              <w:tc>
                <w:tcPr>
                  <w:tcW w:w="1017" w:type="pct"/>
                  <w:vAlign w:val="center"/>
                </w:tcPr>
                <w:p>
                  <w:pPr>
                    <w:pStyle w:val="20"/>
                    <w:adjustRightInd w:val="0"/>
                    <w:snapToGrid w:val="0"/>
                    <w:spacing w:after="0"/>
                    <w:ind w:firstLine="0"/>
                    <w:jc w:val="center"/>
                    <w:rPr>
                      <w:sz w:val="21"/>
                      <w:szCs w:val="21"/>
                    </w:rPr>
                  </w:pPr>
                  <w:r>
                    <w:rPr>
                      <w:rFonts w:hint="eastAsia"/>
                      <w:sz w:val="21"/>
                      <w:szCs w:val="21"/>
                    </w:rPr>
                    <w:t>项目选址不在大</w:t>
                  </w:r>
                  <w:r>
                    <w:rPr>
                      <w:sz w:val="21"/>
                      <w:szCs w:val="21"/>
                    </w:rPr>
                    <w:t>气环境受体敏感重点管控区</w:t>
                  </w:r>
                  <w:r>
                    <w:rPr>
                      <w:rFonts w:hint="eastAsia"/>
                      <w:sz w:val="21"/>
                      <w:szCs w:val="21"/>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41" w:hRule="atLeast"/>
                <w:jc w:val="center"/>
              </w:trPr>
              <w:tc>
                <w:tcPr>
                  <w:tcW w:w="326" w:type="pct"/>
                  <w:vMerge w:val="continue"/>
                  <w:tcMar>
                    <w:top w:w="15" w:type="dxa"/>
                    <w:left w:w="15" w:type="dxa"/>
                    <w:right w:w="15" w:type="dxa"/>
                  </w:tcMar>
                  <w:vAlign w:val="center"/>
                </w:tcPr>
                <w:p>
                  <w:pPr>
                    <w:pStyle w:val="20"/>
                    <w:adjustRightInd w:val="0"/>
                    <w:snapToGrid w:val="0"/>
                    <w:spacing w:after="0"/>
                    <w:ind w:firstLine="420" w:firstLineChars="200"/>
                    <w:rPr>
                      <w:sz w:val="21"/>
                      <w:szCs w:val="21"/>
                    </w:rPr>
                  </w:pPr>
                </w:p>
              </w:tc>
              <w:tc>
                <w:tcPr>
                  <w:tcW w:w="3657" w:type="pc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1-10.大气环境高排放重点管控区内强化达标监管，引导工业项目落地集聚发展，有序推进区域内行业企业提标改造。</w:t>
                  </w:r>
                </w:p>
              </w:tc>
              <w:tc>
                <w:tcPr>
                  <w:tcW w:w="1017" w:type="pct"/>
                  <w:vAlign w:val="center"/>
                </w:tcPr>
                <w:p>
                  <w:pPr>
                    <w:pStyle w:val="20"/>
                    <w:adjustRightInd w:val="0"/>
                    <w:snapToGrid w:val="0"/>
                    <w:spacing w:after="0"/>
                    <w:ind w:firstLine="0"/>
                    <w:jc w:val="center"/>
                    <w:rPr>
                      <w:sz w:val="21"/>
                      <w:szCs w:val="21"/>
                    </w:rPr>
                  </w:pPr>
                  <w:r>
                    <w:rPr>
                      <w:rFonts w:hint="eastAsia"/>
                      <w:sz w:val="21"/>
                      <w:szCs w:val="21"/>
                    </w:rPr>
                    <w:t>项目选址位于现有工业园，符合要求。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41" w:hRule="atLeast"/>
                <w:jc w:val="center"/>
              </w:trPr>
              <w:tc>
                <w:tcPr>
                  <w:tcW w:w="326" w:type="pct"/>
                  <w:vMerge w:val="continue"/>
                  <w:tcMar>
                    <w:top w:w="15" w:type="dxa"/>
                    <w:left w:w="15" w:type="dxa"/>
                    <w:right w:w="15" w:type="dxa"/>
                  </w:tcMar>
                  <w:vAlign w:val="center"/>
                </w:tcPr>
                <w:p>
                  <w:pPr>
                    <w:pStyle w:val="20"/>
                    <w:adjustRightInd w:val="0"/>
                    <w:snapToGrid w:val="0"/>
                    <w:spacing w:after="0"/>
                    <w:ind w:firstLine="420" w:firstLineChars="200"/>
                    <w:rPr>
                      <w:sz w:val="21"/>
                      <w:szCs w:val="21"/>
                    </w:rPr>
                  </w:pPr>
                </w:p>
              </w:tc>
              <w:tc>
                <w:tcPr>
                  <w:tcW w:w="3657" w:type="pc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1-11.大气环境弱扩散重点管控区，加大区域内大气污染物减排力度，限制引入大气污染物排放较大的建设项目。</w:t>
                  </w:r>
                </w:p>
              </w:tc>
              <w:tc>
                <w:tcPr>
                  <w:tcW w:w="1017" w:type="pct"/>
                  <w:vAlign w:val="center"/>
                </w:tcPr>
                <w:p>
                  <w:pPr>
                    <w:pStyle w:val="20"/>
                    <w:adjustRightInd w:val="0"/>
                    <w:snapToGrid w:val="0"/>
                    <w:spacing w:after="0"/>
                    <w:ind w:firstLine="0"/>
                    <w:jc w:val="center"/>
                    <w:rPr>
                      <w:sz w:val="21"/>
                      <w:szCs w:val="21"/>
                    </w:rPr>
                  </w:pPr>
                  <w:r>
                    <w:rPr>
                      <w:rFonts w:hint="eastAsia"/>
                      <w:sz w:val="21"/>
                      <w:szCs w:val="21"/>
                    </w:rPr>
                    <w:t>项目废气排放量小，符合要求。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41" w:hRule="atLeast"/>
                <w:jc w:val="center"/>
              </w:trPr>
              <w:tc>
                <w:tcPr>
                  <w:tcW w:w="326" w:type="pct"/>
                  <w:vMerge w:val="continue"/>
                  <w:tcMar>
                    <w:top w:w="15" w:type="dxa"/>
                    <w:left w:w="15" w:type="dxa"/>
                    <w:right w:w="15" w:type="dxa"/>
                  </w:tcMar>
                  <w:vAlign w:val="center"/>
                </w:tcPr>
                <w:p>
                  <w:pPr>
                    <w:pStyle w:val="20"/>
                    <w:adjustRightInd w:val="0"/>
                    <w:snapToGrid w:val="0"/>
                    <w:spacing w:after="0"/>
                    <w:ind w:firstLine="420" w:firstLineChars="200"/>
                    <w:rPr>
                      <w:sz w:val="21"/>
                      <w:szCs w:val="21"/>
                    </w:rPr>
                  </w:pPr>
                </w:p>
              </w:tc>
              <w:tc>
                <w:tcPr>
                  <w:tcW w:w="3657" w:type="pc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1-12.严禁以任何形式侵占河道、围垦水库、非法采砂。河道管理单位组织营造和管理河东水库、北龙水库、螺河、新田河、水东河等岸线护堤护岸林木，其他任何单位和个人不得侵占、砍伐或者破坏。</w:t>
                  </w:r>
                </w:p>
              </w:tc>
              <w:tc>
                <w:tcPr>
                  <w:tcW w:w="1017" w:type="pct"/>
                  <w:vAlign w:val="center"/>
                </w:tcPr>
                <w:p>
                  <w:pPr>
                    <w:pStyle w:val="20"/>
                    <w:adjustRightInd w:val="0"/>
                    <w:snapToGrid w:val="0"/>
                    <w:spacing w:after="0"/>
                    <w:ind w:firstLine="0"/>
                    <w:jc w:val="center"/>
                    <w:rPr>
                      <w:sz w:val="21"/>
                      <w:szCs w:val="21"/>
                    </w:rPr>
                  </w:pPr>
                  <w:r>
                    <w:rPr>
                      <w:rFonts w:hint="eastAsia"/>
                      <w:sz w:val="21"/>
                      <w:szCs w:val="21"/>
                    </w:rPr>
                    <w:t>项目不涉及占用</w:t>
                  </w:r>
                  <w:r>
                    <w:rPr>
                      <w:sz w:val="21"/>
                      <w:szCs w:val="21"/>
                    </w:rPr>
                    <w:t>河道、围垦水库、采砂</w:t>
                  </w:r>
                  <w:r>
                    <w:rPr>
                      <w:rFonts w:hint="eastAsia"/>
                      <w:sz w:val="21"/>
                      <w:szCs w:val="21"/>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46" w:hRule="atLeast"/>
                <w:jc w:val="center"/>
              </w:trPr>
              <w:tc>
                <w:tcPr>
                  <w:tcW w:w="326" w:type="pct"/>
                  <w:vMerge w:val="continue"/>
                  <w:tcMar>
                    <w:top w:w="15" w:type="dxa"/>
                    <w:left w:w="15" w:type="dxa"/>
                    <w:right w:w="15" w:type="dxa"/>
                  </w:tcMar>
                  <w:vAlign w:val="center"/>
                </w:tcPr>
                <w:p>
                  <w:pPr>
                    <w:pStyle w:val="20"/>
                    <w:adjustRightInd w:val="0"/>
                    <w:snapToGrid w:val="0"/>
                    <w:spacing w:after="0"/>
                    <w:ind w:firstLine="420" w:firstLineChars="200"/>
                    <w:rPr>
                      <w:sz w:val="21"/>
                      <w:szCs w:val="21"/>
                    </w:rPr>
                  </w:pPr>
                </w:p>
              </w:tc>
              <w:tc>
                <w:tcPr>
                  <w:tcW w:w="3657" w:type="pc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1-13.严格控制跨库、穿库、临库建筑物和设施建设，确需建设的重大项目和民生工程，要优化工程建设方案，采取科学合理的恢复和补救措施，最大限度减少对水库的不利影响。严格管控库区围网养殖等活动。</w:t>
                  </w:r>
                </w:p>
              </w:tc>
              <w:tc>
                <w:tcPr>
                  <w:tcW w:w="1017" w:type="pct"/>
                  <w:vAlign w:val="center"/>
                </w:tcPr>
                <w:p>
                  <w:pPr>
                    <w:pStyle w:val="20"/>
                    <w:adjustRightInd w:val="0"/>
                    <w:snapToGrid w:val="0"/>
                    <w:spacing w:after="0"/>
                    <w:ind w:firstLine="0"/>
                    <w:jc w:val="center"/>
                    <w:rPr>
                      <w:sz w:val="21"/>
                      <w:szCs w:val="21"/>
                    </w:rPr>
                  </w:pPr>
                  <w:r>
                    <w:rPr>
                      <w:rFonts w:hint="eastAsia"/>
                      <w:sz w:val="21"/>
                      <w:szCs w:val="21"/>
                    </w:rPr>
                    <w:t>项目不涉及</w:t>
                  </w:r>
                  <w:r>
                    <w:rPr>
                      <w:sz w:val="21"/>
                      <w:szCs w:val="21"/>
                    </w:rPr>
                    <w:t>跨库、穿库、临库建筑物和设施建设</w:t>
                  </w:r>
                  <w:r>
                    <w:rPr>
                      <w:rFonts w:hint="eastAsia"/>
                      <w:sz w:val="21"/>
                      <w:szCs w:val="21"/>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1355" w:hRule="atLeast"/>
                <w:jc w:val="center"/>
              </w:trPr>
              <w:tc>
                <w:tcPr>
                  <w:tcW w:w="326" w:type="pct"/>
                  <w:vMerge w:val="continue"/>
                  <w:tcMar>
                    <w:top w:w="15" w:type="dxa"/>
                    <w:left w:w="15" w:type="dxa"/>
                    <w:right w:w="15" w:type="dxa"/>
                  </w:tcMar>
                  <w:vAlign w:val="center"/>
                </w:tcPr>
                <w:p>
                  <w:pPr>
                    <w:pStyle w:val="20"/>
                    <w:adjustRightInd w:val="0"/>
                    <w:snapToGrid w:val="0"/>
                    <w:spacing w:after="0"/>
                    <w:ind w:firstLine="420" w:firstLineChars="200"/>
                    <w:rPr>
                      <w:sz w:val="21"/>
                      <w:szCs w:val="21"/>
                    </w:rPr>
                  </w:pPr>
                </w:p>
              </w:tc>
              <w:tc>
                <w:tcPr>
                  <w:tcW w:w="3657" w:type="pc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1-14.河道管理范围内应当严格限制建设项目和生产经营活动，禁止非法占用水利设施和水域。利用河道进行灌溉、航运、供水、水力发电、渔业养殖等活动，应当符合河道整治规划、河道岸线保护和开发利用规划、水功能区保护要求，统筹兼顾，合理利用，发挥河道的综合效益。</w:t>
                  </w:r>
                </w:p>
              </w:tc>
              <w:tc>
                <w:tcPr>
                  <w:tcW w:w="1017" w:type="pct"/>
                  <w:vAlign w:val="center"/>
                </w:tcPr>
                <w:p>
                  <w:pPr>
                    <w:pStyle w:val="20"/>
                    <w:adjustRightInd w:val="0"/>
                    <w:snapToGrid w:val="0"/>
                    <w:spacing w:after="0"/>
                    <w:ind w:firstLine="0"/>
                    <w:jc w:val="center"/>
                    <w:rPr>
                      <w:sz w:val="21"/>
                      <w:szCs w:val="21"/>
                    </w:rPr>
                  </w:pPr>
                  <w:r>
                    <w:rPr>
                      <w:rFonts w:hint="eastAsia"/>
                      <w:sz w:val="21"/>
                      <w:szCs w:val="21"/>
                    </w:rPr>
                    <w:t>项目不涉及</w:t>
                  </w:r>
                  <w:r>
                    <w:rPr>
                      <w:sz w:val="21"/>
                      <w:szCs w:val="21"/>
                    </w:rPr>
                    <w:t>河道管理范围</w:t>
                  </w:r>
                  <w:r>
                    <w:rPr>
                      <w:rFonts w:hint="eastAsia"/>
                      <w:sz w:val="21"/>
                      <w:szCs w:val="21"/>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41" w:hRule="atLeast"/>
                <w:jc w:val="center"/>
              </w:trPr>
              <w:tc>
                <w:tcPr>
                  <w:tcW w:w="326" w:type="pct"/>
                  <w:vMerge w:val="restar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能源资源利用</w:t>
                  </w:r>
                </w:p>
              </w:tc>
              <w:tc>
                <w:tcPr>
                  <w:tcW w:w="3657" w:type="pc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2-1.继续推进灌区续建配套与节水改造，逐步提高农业用水计量率。结合高标准农田建设，加快田间节水设施建设。</w:t>
                  </w:r>
                </w:p>
              </w:tc>
              <w:tc>
                <w:tcPr>
                  <w:tcW w:w="1017" w:type="pct"/>
                  <w:vAlign w:val="center"/>
                </w:tcPr>
                <w:p>
                  <w:pPr>
                    <w:pStyle w:val="20"/>
                    <w:adjustRightInd w:val="0"/>
                    <w:snapToGrid w:val="0"/>
                    <w:spacing w:after="0"/>
                    <w:ind w:firstLine="0"/>
                    <w:jc w:val="center"/>
                    <w:rPr>
                      <w:sz w:val="21"/>
                      <w:szCs w:val="21"/>
                    </w:rPr>
                  </w:pPr>
                  <w:r>
                    <w:rPr>
                      <w:rFonts w:hint="eastAsia"/>
                      <w:sz w:val="21"/>
                      <w:szCs w:val="21"/>
                    </w:rPr>
                    <w:t>项目不涉及</w:t>
                  </w:r>
                  <w:r>
                    <w:rPr>
                      <w:sz w:val="21"/>
                      <w:szCs w:val="21"/>
                    </w:rPr>
                    <w:t>灌区</w:t>
                  </w:r>
                  <w:r>
                    <w:rPr>
                      <w:rFonts w:hint="eastAsia"/>
                      <w:sz w:val="21"/>
                      <w:szCs w:val="21"/>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41" w:hRule="atLeast"/>
                <w:jc w:val="center"/>
              </w:trPr>
              <w:tc>
                <w:tcPr>
                  <w:tcW w:w="326" w:type="pct"/>
                  <w:vMerge w:val="continue"/>
                  <w:tcMar>
                    <w:top w:w="15" w:type="dxa"/>
                    <w:left w:w="15" w:type="dxa"/>
                    <w:right w:w="15" w:type="dxa"/>
                  </w:tcMar>
                  <w:vAlign w:val="center"/>
                </w:tcPr>
                <w:p>
                  <w:pPr>
                    <w:pStyle w:val="20"/>
                    <w:adjustRightInd w:val="0"/>
                    <w:snapToGrid w:val="0"/>
                    <w:spacing w:after="0"/>
                    <w:ind w:firstLine="0"/>
                    <w:jc w:val="center"/>
                    <w:rPr>
                      <w:sz w:val="21"/>
                      <w:szCs w:val="21"/>
                    </w:rPr>
                  </w:pPr>
                </w:p>
              </w:tc>
              <w:tc>
                <w:tcPr>
                  <w:tcW w:w="3657" w:type="pc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2-2.严格保护永久基本农田，严格控制非农业建设占用农用地；提高土地节约集约利用水平。</w:t>
                  </w:r>
                </w:p>
              </w:tc>
              <w:tc>
                <w:tcPr>
                  <w:tcW w:w="1017" w:type="pct"/>
                  <w:vAlign w:val="center"/>
                </w:tcPr>
                <w:p>
                  <w:pPr>
                    <w:pStyle w:val="20"/>
                    <w:adjustRightInd w:val="0"/>
                    <w:snapToGrid w:val="0"/>
                    <w:spacing w:after="0"/>
                    <w:ind w:firstLine="0"/>
                    <w:jc w:val="center"/>
                    <w:rPr>
                      <w:sz w:val="21"/>
                      <w:szCs w:val="21"/>
                    </w:rPr>
                  </w:pPr>
                  <w:r>
                    <w:rPr>
                      <w:rFonts w:hint="eastAsia"/>
                      <w:sz w:val="21"/>
                      <w:szCs w:val="21"/>
                    </w:rPr>
                    <w:t>项目不涉及</w:t>
                  </w:r>
                  <w:r>
                    <w:rPr>
                      <w:sz w:val="21"/>
                      <w:szCs w:val="21"/>
                    </w:rPr>
                    <w:t>永久基本农田</w:t>
                  </w:r>
                  <w:r>
                    <w:rPr>
                      <w:rFonts w:hint="eastAsia"/>
                      <w:sz w:val="21"/>
                      <w:szCs w:val="21"/>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830" w:hRule="atLeast"/>
                <w:jc w:val="center"/>
              </w:trPr>
              <w:tc>
                <w:tcPr>
                  <w:tcW w:w="326" w:type="pct"/>
                  <w:vMerge w:val="continue"/>
                  <w:tcMar>
                    <w:top w:w="15" w:type="dxa"/>
                    <w:left w:w="15" w:type="dxa"/>
                    <w:right w:w="15" w:type="dxa"/>
                  </w:tcMar>
                  <w:vAlign w:val="center"/>
                </w:tcPr>
                <w:p>
                  <w:pPr>
                    <w:pStyle w:val="20"/>
                    <w:adjustRightInd w:val="0"/>
                    <w:snapToGrid w:val="0"/>
                    <w:spacing w:after="0"/>
                    <w:ind w:firstLine="0"/>
                    <w:jc w:val="center"/>
                    <w:rPr>
                      <w:sz w:val="21"/>
                      <w:szCs w:val="21"/>
                    </w:rPr>
                  </w:pPr>
                </w:p>
              </w:tc>
              <w:tc>
                <w:tcPr>
                  <w:tcW w:w="3657" w:type="pc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2-3.禁止任何单位和个人在基本农田保护区内建窑、建房、建坟、挖砂、采石、采矿、取土、堆放固体废弃物或者进行其他破坏基本农田的活动。禁止任何单位和个人占用基本农田发展林果业和挖塘养鱼。</w:t>
                  </w:r>
                </w:p>
              </w:tc>
              <w:tc>
                <w:tcPr>
                  <w:tcW w:w="1017" w:type="pct"/>
                  <w:vAlign w:val="center"/>
                </w:tcPr>
                <w:p>
                  <w:pPr>
                    <w:pStyle w:val="20"/>
                    <w:adjustRightInd w:val="0"/>
                    <w:snapToGrid w:val="0"/>
                    <w:spacing w:after="0"/>
                    <w:ind w:firstLine="0"/>
                    <w:jc w:val="center"/>
                    <w:rPr>
                      <w:sz w:val="21"/>
                      <w:szCs w:val="21"/>
                    </w:rPr>
                  </w:pPr>
                  <w:r>
                    <w:rPr>
                      <w:rFonts w:hint="eastAsia"/>
                      <w:sz w:val="21"/>
                      <w:szCs w:val="21"/>
                    </w:rPr>
                    <w:t>项目不涉及</w:t>
                  </w:r>
                  <w:r>
                    <w:rPr>
                      <w:sz w:val="21"/>
                      <w:szCs w:val="21"/>
                    </w:rPr>
                    <w:t>永久基本农田</w:t>
                  </w:r>
                  <w:r>
                    <w:rPr>
                      <w:rFonts w:hint="eastAsia"/>
                      <w:sz w:val="21"/>
                      <w:szCs w:val="21"/>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810" w:hRule="atLeast"/>
                <w:jc w:val="center"/>
              </w:trPr>
              <w:tc>
                <w:tcPr>
                  <w:tcW w:w="326" w:type="pct"/>
                  <w:vMerge w:val="restar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污染物排放管控</w:t>
                  </w:r>
                </w:p>
              </w:tc>
              <w:tc>
                <w:tcPr>
                  <w:tcW w:w="3657" w:type="pc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3-1.加快单元内陆河县城镇污水管网排查和修复，完善污水管网建设，推进雨污分流；加快推进单元内陆河县污水处理设施建设，确保已建农村生活污水处理设施正常运营。</w:t>
                  </w:r>
                </w:p>
              </w:tc>
              <w:tc>
                <w:tcPr>
                  <w:tcW w:w="1017" w:type="pct"/>
                  <w:vAlign w:val="center"/>
                </w:tcPr>
                <w:p>
                  <w:pPr>
                    <w:pStyle w:val="20"/>
                    <w:adjustRightInd w:val="0"/>
                    <w:snapToGrid w:val="0"/>
                    <w:spacing w:after="0"/>
                    <w:ind w:firstLine="0"/>
                    <w:jc w:val="center"/>
                    <w:rPr>
                      <w:sz w:val="21"/>
                      <w:szCs w:val="21"/>
                    </w:rPr>
                  </w:pPr>
                  <w:r>
                    <w:rPr>
                      <w:rFonts w:hint="eastAsia"/>
                      <w:sz w:val="21"/>
                      <w:szCs w:val="21"/>
                    </w:rPr>
                    <w:t>项目所在园区已雨污分流，属于河口镇污水处理厂接管范围，符合要求。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809" w:hRule="atLeast"/>
                <w:jc w:val="center"/>
              </w:trPr>
              <w:tc>
                <w:tcPr>
                  <w:tcW w:w="326" w:type="pct"/>
                  <w:vMerge w:val="continue"/>
                  <w:tcMar>
                    <w:top w:w="15" w:type="dxa"/>
                    <w:left w:w="15" w:type="dxa"/>
                    <w:right w:w="15" w:type="dxa"/>
                  </w:tcMar>
                  <w:vAlign w:val="center"/>
                </w:tcPr>
                <w:p>
                  <w:pPr>
                    <w:pStyle w:val="20"/>
                    <w:adjustRightInd w:val="0"/>
                    <w:snapToGrid w:val="0"/>
                    <w:spacing w:after="0"/>
                    <w:ind w:firstLine="0"/>
                    <w:jc w:val="center"/>
                    <w:rPr>
                      <w:sz w:val="21"/>
                      <w:szCs w:val="21"/>
                    </w:rPr>
                  </w:pPr>
                </w:p>
              </w:tc>
              <w:tc>
                <w:tcPr>
                  <w:tcW w:w="3657" w:type="pc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3-2.加强单元内禁养区畜禽养殖排查，严厉打击非法养殖行为，现有规模化畜禽养殖场（小区）100%配套建设粪便污水贮存、处理与利用设施，提高畜禽养殖废弃物资源化利用率；加强河道内外水产养殖尾水污染治理，实施养殖尾水达标排放。</w:t>
                  </w:r>
                </w:p>
              </w:tc>
              <w:tc>
                <w:tcPr>
                  <w:tcW w:w="1017" w:type="pct"/>
                  <w:vAlign w:val="center"/>
                </w:tcPr>
                <w:p>
                  <w:pPr>
                    <w:pStyle w:val="20"/>
                    <w:adjustRightInd w:val="0"/>
                    <w:snapToGrid w:val="0"/>
                    <w:spacing w:after="0"/>
                    <w:ind w:firstLine="0"/>
                    <w:jc w:val="center"/>
                    <w:rPr>
                      <w:sz w:val="21"/>
                      <w:szCs w:val="21"/>
                    </w:rPr>
                  </w:pPr>
                  <w:r>
                    <w:rPr>
                      <w:rFonts w:hint="eastAsia"/>
                      <w:sz w:val="21"/>
                      <w:szCs w:val="21"/>
                    </w:rPr>
                    <w:t>项目不涉及</w:t>
                  </w:r>
                  <w:r>
                    <w:rPr>
                      <w:sz w:val="21"/>
                      <w:szCs w:val="21"/>
                    </w:rPr>
                    <w:t>畜禽养殖</w:t>
                  </w:r>
                  <w:r>
                    <w:rPr>
                      <w:rFonts w:hint="eastAsia"/>
                      <w:sz w:val="21"/>
                      <w:szCs w:val="21"/>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241" w:hRule="atLeast"/>
                <w:jc w:val="center"/>
              </w:trPr>
              <w:tc>
                <w:tcPr>
                  <w:tcW w:w="326" w:type="pct"/>
                  <w:vMerge w:val="continue"/>
                  <w:tcMar>
                    <w:top w:w="15" w:type="dxa"/>
                    <w:left w:w="15" w:type="dxa"/>
                    <w:right w:w="15" w:type="dxa"/>
                  </w:tcMar>
                  <w:vAlign w:val="center"/>
                </w:tcPr>
                <w:p>
                  <w:pPr>
                    <w:pStyle w:val="20"/>
                    <w:adjustRightInd w:val="0"/>
                    <w:snapToGrid w:val="0"/>
                    <w:spacing w:after="0"/>
                    <w:ind w:firstLine="0"/>
                    <w:jc w:val="center"/>
                    <w:rPr>
                      <w:sz w:val="21"/>
                      <w:szCs w:val="21"/>
                    </w:rPr>
                  </w:pPr>
                </w:p>
              </w:tc>
              <w:tc>
                <w:tcPr>
                  <w:tcW w:w="3657" w:type="pc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3-3.推广生态种植、配方施肥、保护性耕作等措施，实现农业面源污染综合控制。</w:t>
                  </w:r>
                </w:p>
              </w:tc>
              <w:tc>
                <w:tcPr>
                  <w:tcW w:w="1017" w:type="pct"/>
                  <w:vAlign w:val="center"/>
                </w:tcPr>
                <w:p>
                  <w:pPr>
                    <w:pStyle w:val="20"/>
                    <w:adjustRightInd w:val="0"/>
                    <w:snapToGrid w:val="0"/>
                    <w:spacing w:after="0"/>
                    <w:ind w:firstLine="0"/>
                    <w:jc w:val="center"/>
                    <w:rPr>
                      <w:sz w:val="21"/>
                      <w:szCs w:val="21"/>
                    </w:rPr>
                  </w:pPr>
                  <w:r>
                    <w:rPr>
                      <w:rFonts w:hint="eastAsia"/>
                      <w:sz w:val="21"/>
                      <w:szCs w:val="21"/>
                    </w:rPr>
                    <w:t>项目不涉及种植，符合要求。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809" w:hRule="atLeast"/>
                <w:jc w:val="center"/>
              </w:trPr>
              <w:tc>
                <w:tcPr>
                  <w:tcW w:w="326" w:type="pct"/>
                  <w:vMerge w:val="continue"/>
                  <w:tcMar>
                    <w:top w:w="15" w:type="dxa"/>
                    <w:left w:w="15" w:type="dxa"/>
                    <w:right w:w="15" w:type="dxa"/>
                  </w:tcMar>
                  <w:vAlign w:val="center"/>
                </w:tcPr>
                <w:p>
                  <w:pPr>
                    <w:pStyle w:val="20"/>
                    <w:adjustRightInd w:val="0"/>
                    <w:snapToGrid w:val="0"/>
                    <w:spacing w:after="0"/>
                    <w:ind w:firstLine="0"/>
                    <w:jc w:val="center"/>
                    <w:rPr>
                      <w:sz w:val="21"/>
                      <w:szCs w:val="21"/>
                    </w:rPr>
                  </w:pPr>
                </w:p>
              </w:tc>
              <w:tc>
                <w:tcPr>
                  <w:tcW w:w="3657" w:type="pc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3-4.大力推进螺河流域干流入河排污口“查、测、溯、治”，形成明晰规范的入河排污口监管体系。</w:t>
                  </w:r>
                </w:p>
              </w:tc>
              <w:tc>
                <w:tcPr>
                  <w:tcW w:w="1017" w:type="pct"/>
                  <w:vAlign w:val="center"/>
                </w:tcPr>
                <w:p>
                  <w:pPr>
                    <w:pStyle w:val="20"/>
                    <w:adjustRightInd w:val="0"/>
                    <w:snapToGrid w:val="0"/>
                    <w:spacing w:after="0"/>
                    <w:ind w:firstLine="0"/>
                    <w:jc w:val="center"/>
                    <w:rPr>
                      <w:sz w:val="21"/>
                      <w:szCs w:val="21"/>
                    </w:rPr>
                  </w:pPr>
                  <w:r>
                    <w:rPr>
                      <w:rFonts w:hint="eastAsia"/>
                      <w:sz w:val="21"/>
                      <w:szCs w:val="21"/>
                    </w:rPr>
                    <w:t>项目不直接向河里排放废水，符合要求。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233" w:hRule="atLeast"/>
                <w:jc w:val="center"/>
              </w:trPr>
              <w:tc>
                <w:tcPr>
                  <w:tcW w:w="326" w:type="pct"/>
                  <w:vMerge w:val="continue"/>
                  <w:tcMar>
                    <w:top w:w="15" w:type="dxa"/>
                    <w:left w:w="15" w:type="dxa"/>
                    <w:right w:w="15" w:type="dxa"/>
                  </w:tcMar>
                  <w:vAlign w:val="center"/>
                </w:tcPr>
                <w:p>
                  <w:pPr>
                    <w:pStyle w:val="20"/>
                    <w:adjustRightInd w:val="0"/>
                    <w:snapToGrid w:val="0"/>
                    <w:spacing w:after="0"/>
                    <w:ind w:firstLine="0"/>
                    <w:jc w:val="center"/>
                    <w:rPr>
                      <w:sz w:val="21"/>
                      <w:szCs w:val="21"/>
                    </w:rPr>
                  </w:pPr>
                </w:p>
              </w:tc>
              <w:tc>
                <w:tcPr>
                  <w:tcW w:w="3657" w:type="pc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3-5.禁止向河东水库、北龙水库、螺河、新田河、水东河等水体排放、倾倒生活垃圾、建筑垃圾或者其他废弃物。</w:t>
                  </w:r>
                </w:p>
              </w:tc>
              <w:tc>
                <w:tcPr>
                  <w:tcW w:w="1017" w:type="pct"/>
                  <w:vAlign w:val="center"/>
                </w:tcPr>
                <w:p>
                  <w:pPr>
                    <w:pStyle w:val="20"/>
                    <w:adjustRightInd w:val="0"/>
                    <w:snapToGrid w:val="0"/>
                    <w:spacing w:after="0"/>
                    <w:ind w:firstLine="0"/>
                    <w:jc w:val="center"/>
                    <w:rPr>
                      <w:sz w:val="21"/>
                      <w:szCs w:val="21"/>
                    </w:rPr>
                  </w:pPr>
                  <w:r>
                    <w:rPr>
                      <w:rFonts w:hint="eastAsia"/>
                      <w:sz w:val="21"/>
                      <w:szCs w:val="21"/>
                    </w:rPr>
                    <w:t>项目生活垃圾集中收集后由环卫部门清运，废包装材料收集后交由相关资源回收单位回收，废冷却液桶交由供应商回收，含油抹布等危废交由有相关危废处理资质单位处置，符合要求。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41" w:hRule="atLeast"/>
                <w:jc w:val="center"/>
              </w:trPr>
              <w:tc>
                <w:tcPr>
                  <w:tcW w:w="326" w:type="pct"/>
                  <w:vMerge w:val="restar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环境风险防控</w:t>
                  </w:r>
                </w:p>
              </w:tc>
              <w:tc>
                <w:tcPr>
                  <w:tcW w:w="3657" w:type="pc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4-1.禁止在江河、水库集水区域使用剧毒和高残留农药。</w:t>
                  </w:r>
                </w:p>
              </w:tc>
              <w:tc>
                <w:tcPr>
                  <w:tcW w:w="1017" w:type="pct"/>
                  <w:vAlign w:val="center"/>
                </w:tcPr>
                <w:p>
                  <w:pPr>
                    <w:pStyle w:val="20"/>
                    <w:adjustRightInd w:val="0"/>
                    <w:snapToGrid w:val="0"/>
                    <w:spacing w:after="0"/>
                    <w:ind w:firstLine="0"/>
                    <w:jc w:val="center"/>
                    <w:rPr>
                      <w:sz w:val="21"/>
                      <w:szCs w:val="21"/>
                    </w:rPr>
                  </w:pPr>
                  <w:r>
                    <w:rPr>
                      <w:rFonts w:hint="eastAsia"/>
                      <w:sz w:val="21"/>
                      <w:szCs w:val="21"/>
                    </w:rPr>
                    <w:t>项目不涉及使用农药，符合要求。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1400" w:hRule="atLeast"/>
                <w:jc w:val="center"/>
              </w:trPr>
              <w:tc>
                <w:tcPr>
                  <w:tcW w:w="326" w:type="pct"/>
                  <w:vMerge w:val="continue"/>
                  <w:tcMar>
                    <w:top w:w="15" w:type="dxa"/>
                    <w:left w:w="15" w:type="dxa"/>
                    <w:right w:w="15" w:type="dxa"/>
                  </w:tcMar>
                  <w:vAlign w:val="center"/>
                </w:tcPr>
                <w:p>
                  <w:pPr>
                    <w:pStyle w:val="20"/>
                    <w:adjustRightInd w:val="0"/>
                    <w:snapToGrid w:val="0"/>
                    <w:spacing w:after="0"/>
                    <w:ind w:firstLine="420" w:firstLineChars="200"/>
                    <w:rPr>
                      <w:sz w:val="21"/>
                      <w:szCs w:val="21"/>
                    </w:rPr>
                  </w:pPr>
                </w:p>
              </w:tc>
              <w:tc>
                <w:tcPr>
                  <w:tcW w:w="3657" w:type="pct"/>
                  <w:tcMar>
                    <w:top w:w="15" w:type="dxa"/>
                    <w:left w:w="15" w:type="dxa"/>
                    <w:right w:w="15" w:type="dxa"/>
                  </w:tcMar>
                  <w:vAlign w:val="center"/>
                </w:tcPr>
                <w:p>
                  <w:pPr>
                    <w:pStyle w:val="20"/>
                    <w:adjustRightInd w:val="0"/>
                    <w:snapToGrid w:val="0"/>
                    <w:spacing w:after="0"/>
                    <w:ind w:firstLine="0"/>
                    <w:jc w:val="center"/>
                    <w:rPr>
                      <w:sz w:val="21"/>
                      <w:szCs w:val="21"/>
                    </w:rPr>
                  </w:pPr>
                  <w:r>
                    <w:rPr>
                      <w:sz w:val="21"/>
                      <w:szCs w:val="21"/>
                    </w:rPr>
                    <w:t>4-</w:t>
                  </w:r>
                  <w:r>
                    <w:rPr>
                      <w:rFonts w:hint="eastAsia"/>
                      <w:sz w:val="21"/>
                      <w:szCs w:val="21"/>
                    </w:rPr>
                    <w:t>2</w:t>
                  </w:r>
                  <w:r>
                    <w:rPr>
                      <w:sz w:val="21"/>
                      <w:szCs w:val="21"/>
                    </w:rPr>
                    <w:t>.生产经营活动涉及有毒有害物质的企业需持续防止有毒有害物质渗漏、流失、扬散。土壤环境污染重点监管单位涉及有毒有害物质的生产装置、储罐和管道，或者建设污水处理池、应急池等存在土壤污染风险的设施，应当按照国家有关标准和规范的要求，设计、建设和安装有关防腐蚀、防泄漏设施和泄漏监测装置，防止有毒有害物质污染土壤和地下水，并应定期对重点区域、重点设施开展隐患排查，发现污染隐患的，及时采取技术、管理措施消除隐患。</w:t>
                  </w:r>
                </w:p>
              </w:tc>
              <w:tc>
                <w:tcPr>
                  <w:tcW w:w="1017" w:type="pct"/>
                  <w:vAlign w:val="center"/>
                </w:tcPr>
                <w:p>
                  <w:pPr>
                    <w:pStyle w:val="20"/>
                    <w:adjustRightInd w:val="0"/>
                    <w:snapToGrid w:val="0"/>
                    <w:spacing w:after="0"/>
                    <w:ind w:firstLine="0"/>
                    <w:jc w:val="center"/>
                    <w:rPr>
                      <w:sz w:val="21"/>
                      <w:szCs w:val="21"/>
                    </w:rPr>
                  </w:pPr>
                  <w:r>
                    <w:rPr>
                      <w:rFonts w:hint="eastAsia"/>
                      <w:sz w:val="21"/>
                      <w:szCs w:val="21"/>
                    </w:rPr>
                    <w:t>项目</w:t>
                  </w:r>
                  <w:r>
                    <w:rPr>
                      <w:sz w:val="21"/>
                      <w:szCs w:val="21"/>
                    </w:rPr>
                    <w:t>涉及有毒有害物质的生产装置、储罐和管道按照国家有关标准和规范的要求，设计、建设和安装有关防腐蚀、防泄漏设施</w:t>
                  </w:r>
                  <w:r>
                    <w:rPr>
                      <w:rFonts w:hint="eastAsia"/>
                      <w:sz w:val="21"/>
                      <w:szCs w:val="21"/>
                    </w:rPr>
                    <w:t>，符合要求。</w:t>
                  </w:r>
                </w:p>
              </w:tc>
            </w:tr>
          </w:tbl>
          <w:p>
            <w:pPr>
              <w:ind w:firstLine="483"/>
              <w:rPr>
                <w:sz w:val="24"/>
              </w:rPr>
            </w:pPr>
            <w:r>
              <w:rPr>
                <w:rFonts w:hint="eastAsia"/>
                <w:sz w:val="24"/>
              </w:rPr>
              <w:t>由表1</w:t>
            </w:r>
            <w:r>
              <w:rPr>
                <w:sz w:val="24"/>
              </w:rPr>
              <w:t>-3</w:t>
            </w:r>
            <w:r>
              <w:rPr>
                <w:rFonts w:hint="eastAsia"/>
                <w:sz w:val="24"/>
              </w:rPr>
              <w:t>可知，</w:t>
            </w:r>
            <w:r>
              <w:rPr>
                <w:sz w:val="24"/>
              </w:rPr>
              <w:t>因此项目的建设符合全市生态环境准入清单中的区域布局管控</w:t>
            </w:r>
            <w:r>
              <w:rPr>
                <w:rFonts w:hint="eastAsia"/>
                <w:sz w:val="24"/>
              </w:rPr>
              <w:t>，</w:t>
            </w:r>
            <w:r>
              <w:rPr>
                <w:sz w:val="24"/>
              </w:rPr>
              <w:t>与汕尾市“三线一单”相关要求相符。</w:t>
            </w:r>
          </w:p>
          <w:p>
            <w:pPr>
              <w:ind w:firstLine="482" w:firstLineChars="200"/>
              <w:rPr>
                <w:b/>
                <w:bCs/>
                <w:sz w:val="24"/>
              </w:rPr>
            </w:pPr>
            <w:r>
              <w:rPr>
                <w:b/>
                <w:bCs/>
                <w:sz w:val="24"/>
              </w:rPr>
              <w:t>5、与挥发性有机物相关法律法规的符合性分析</w:t>
            </w:r>
          </w:p>
          <w:p>
            <w:pPr>
              <w:widowControl/>
              <w:ind w:firstLine="482" w:firstLineChars="200"/>
              <w:rPr>
                <w:b/>
                <w:sz w:val="24"/>
              </w:rPr>
            </w:pPr>
            <w:r>
              <w:rPr>
                <w:b/>
                <w:sz w:val="24"/>
              </w:rPr>
              <w:t>（</w:t>
            </w:r>
            <w:r>
              <w:rPr>
                <w:b/>
                <w:bCs/>
                <w:sz w:val="24"/>
              </w:rPr>
              <w:t>1）</w:t>
            </w:r>
            <w:r>
              <w:rPr>
                <w:rFonts w:hint="eastAsia"/>
                <w:b/>
                <w:bCs/>
                <w:sz w:val="24"/>
              </w:rPr>
              <w:t>与</w:t>
            </w:r>
            <w:r>
              <w:rPr>
                <w:b/>
                <w:sz w:val="24"/>
              </w:rPr>
              <w:t>《关于印发重点行业挥发性有机物综合治理方案的通知》（环大气〔2019〕53号）相符性分析</w:t>
            </w:r>
          </w:p>
          <w:p>
            <w:pPr>
              <w:pStyle w:val="175"/>
              <w:spacing w:before="0" w:beforeAutospacing="0" w:after="0" w:afterAutospacing="0" w:line="360" w:lineRule="auto"/>
              <w:ind w:firstLine="480" w:firstLineChars="200"/>
              <w:jc w:val="both"/>
              <w:rPr>
                <w:rFonts w:ascii="Times New Roman" w:hAnsi="Times New Roman" w:cs="Times New Roman"/>
              </w:rPr>
            </w:pPr>
            <w:r>
              <w:rPr>
                <w:rFonts w:ascii="Times New Roman" w:hAnsi="Times New Roman" w:cs="Times New Roman"/>
              </w:rPr>
              <w:t>大力推进源头替代。通过使用水性、粉末、高固体分、无溶剂、辐射固化等低VOCs含量的涂料，水性、辐射固化、植物基等低VOCs含量的油墨，水基、热熔、无溶剂、辐射固化、改性、生物降解等低VOCs含量的胶粘剂，以及低VOCs含量、低反应活性的清洗剂等，替代溶剂型涂料、油墨、胶粘剂、清洗剂等，从源头减少VOCs产生。工业涂装、包装印刷等行业要加大源头替代力度；化工行业要推广使用低（无）VOCs含量、低反应活性的原辅材料，加快对芳香烃、含卤素有机化合物的绿色替代。企业应大力推广使用低VOCs含量木器涂料、车辆涂料、机械设备涂料、集装箱涂料以及建筑物和构筑物防护涂料等，在技术成熟的行业，推广使用低VOCs含量油墨和胶粘剂，重点区域到2020年年底前基本完成。鼓励加快低VOCs含量涂料、油墨、胶粘剂等研发和生产。</w:t>
            </w:r>
          </w:p>
          <w:p>
            <w:pPr>
              <w:pStyle w:val="175"/>
              <w:spacing w:before="0" w:beforeAutospacing="0" w:after="0" w:afterAutospacing="0" w:line="360" w:lineRule="auto"/>
              <w:ind w:firstLine="480" w:firstLineChars="200"/>
              <w:jc w:val="both"/>
              <w:rPr>
                <w:rFonts w:ascii="Times New Roman" w:hAnsi="Times New Roman" w:cs="Times New Roman"/>
              </w:rPr>
            </w:pPr>
            <w:r>
              <w:rPr>
                <w:rFonts w:ascii="Times New Roman" w:hAnsi="Times New Roman" w:cs="Times New Roman"/>
              </w:rPr>
              <w:t>加强政策引导。企业采用符合国家有关低VOCs含量产品规定的涂料、油墨、胶粘剂等，排放浓度稳定达标且排放速率、排放绩效等满足相关规定的，相应生产工序可不要求建设末端治理设施。使用的原辅材料VOCs含量（质量比）低于10%的工序，可不要求采取无组织排放收集措施。</w:t>
            </w:r>
          </w:p>
          <w:p>
            <w:pPr>
              <w:widowControl/>
              <w:ind w:firstLine="480" w:firstLineChars="200"/>
              <w:rPr>
                <w:sz w:val="24"/>
              </w:rPr>
            </w:pPr>
            <w:r>
              <w:rPr>
                <w:rFonts w:hint="eastAsia"/>
                <w:sz w:val="24"/>
              </w:rPr>
              <w:t>项目运营期组装工序使用的胶水中VOCs含量低于10%，根据《关于印发重点行业挥发性有机物综合治理方案的通知》（环大气〔2019〕53号），本项目组装工序产生的VOCs可不要求采取无组织废气的收集措施</w:t>
            </w:r>
            <w:r>
              <w:rPr>
                <w:sz w:val="24"/>
              </w:rPr>
              <w:t>。本项目运营期</w:t>
            </w:r>
            <w:r>
              <w:rPr>
                <w:rFonts w:hint="eastAsia"/>
                <w:sz w:val="24"/>
              </w:rPr>
              <w:t>VOCs产生量为0.0072t/a，项目对排放的VOCs进行总量替代，符合相关规定要求。</w:t>
            </w:r>
          </w:p>
          <w:p>
            <w:pPr>
              <w:ind w:firstLine="361" w:firstLineChars="150"/>
              <w:rPr>
                <w:b/>
                <w:bCs/>
                <w:sz w:val="24"/>
              </w:rPr>
            </w:pPr>
            <w:r>
              <w:rPr>
                <w:b/>
                <w:bCs/>
                <w:sz w:val="24"/>
              </w:rPr>
              <w:t>（2）与《2020年挥发性有机物治理攻坚方案》相符性分析</w:t>
            </w:r>
          </w:p>
          <w:p>
            <w:pPr>
              <w:autoSpaceDE w:val="0"/>
              <w:autoSpaceDN w:val="0"/>
              <w:ind w:firstLine="480" w:firstLineChars="200"/>
              <w:jc w:val="left"/>
              <w:rPr>
                <w:sz w:val="24"/>
                <w:shd w:val="clear" w:color="auto" w:fill="FFFFFF"/>
              </w:rPr>
            </w:pPr>
            <w:r>
              <w:rPr>
                <w:sz w:val="24"/>
              </w:rPr>
              <w:t>根据生态环境部《2020年挥发性有机物治理攻坚方案》的要求，</w:t>
            </w:r>
            <w:r>
              <w:rPr>
                <w:sz w:val="24"/>
                <w:shd w:val="clear" w:color="auto" w:fill="FFFFFF"/>
              </w:rPr>
              <w:t>大力推进低（无）VOCs含量原辅材料替代。将全面使用符合国家要求的低VOCs含量原辅材料的企业纳入正面清单和政府绿色采购清单。企业应建立原辅材料台账，记录VOCs原辅材料名称、成分、VOCs含量、采购量、使用量、库存量、回收方式、回收量等信息，并保存相关证明材料。采用符合国家有关低VOCs含量产品规定的涂料、油墨、胶粘剂等，排放浓度稳定达标且排放速率满足相关规定的，相应生产工序可不要求建设末端治理设施。使用的原辅材料VOCs含量（质量比）均低于10%的工序，可不要求采取无组织排放收集和处理措施。</w:t>
            </w:r>
          </w:p>
          <w:p>
            <w:pPr>
              <w:widowControl/>
              <w:ind w:firstLine="480" w:firstLineChars="200"/>
            </w:pPr>
            <w:r>
              <w:rPr>
                <w:rFonts w:hint="eastAsia"/>
                <w:sz w:val="24"/>
              </w:rPr>
              <w:t>项目运营期组装工序使用的胶水中VOCs含量低于10%，符合</w:t>
            </w:r>
            <w:r>
              <w:rPr>
                <w:sz w:val="24"/>
                <w:shd w:val="clear" w:color="auto" w:fill="FFFFFF"/>
              </w:rPr>
              <w:t>国家有关低VOCs含量产品</w:t>
            </w:r>
            <w:r>
              <w:rPr>
                <w:rFonts w:hint="eastAsia"/>
                <w:sz w:val="24"/>
              </w:rPr>
              <w:t>，根据《2020年挥发性有机物治理攻坚方案》，本项目组装工序产生的VOCs可不要求采取无组织废气的收集措施</w:t>
            </w:r>
            <w:r>
              <w:rPr>
                <w:sz w:val="24"/>
              </w:rPr>
              <w:t>。本项目运营期</w:t>
            </w:r>
            <w:r>
              <w:rPr>
                <w:rFonts w:hint="eastAsia"/>
                <w:sz w:val="24"/>
              </w:rPr>
              <w:t>VOCs产生量为0.0072t/a，项目对排放的VOCs进行总量替代，符合相关规定要求。</w:t>
            </w:r>
          </w:p>
        </w:tc>
      </w:tr>
    </w:tbl>
    <w:p>
      <w:pPr>
        <w:outlineLvl w:val="0"/>
        <w:rPr>
          <w:rFonts w:eastAsia="黑体"/>
          <w:sz w:val="30"/>
        </w:rPr>
        <w:sectPr>
          <w:footerReference r:id="rId7" w:type="default"/>
          <w:pgSz w:w="11906" w:h="16838"/>
          <w:pgMar w:top="1418" w:right="1418" w:bottom="1418" w:left="1418" w:header="851" w:footer="992" w:gutter="0"/>
          <w:pgNumType w:start="1"/>
          <w:cols w:space="720" w:num="1"/>
          <w:docGrid w:linePitch="381" w:charSpace="0"/>
        </w:sectPr>
      </w:pPr>
    </w:p>
    <w:p>
      <w:pPr>
        <w:pStyle w:val="36"/>
        <w:spacing w:beforeLines="100" w:beforeAutospacing="0" w:afterLines="100" w:afterAutospacing="0"/>
        <w:jc w:val="center"/>
        <w:outlineLvl w:val="0"/>
        <w:rPr>
          <w:rFonts w:ascii="Times New Roman" w:hAnsi="Times New Roman" w:eastAsia="黑体" w:cs="Times New Roman"/>
          <w:snapToGrid w:val="0"/>
          <w:sz w:val="30"/>
          <w:szCs w:val="30"/>
        </w:rPr>
      </w:pPr>
      <w:r>
        <w:rPr>
          <w:rFonts w:ascii="Times New Roman" w:hAnsi="Times New Roman" w:eastAsia="黑体" w:cs="Times New Roman"/>
          <w:snapToGrid w:val="0"/>
          <w:sz w:val="30"/>
          <w:szCs w:val="30"/>
        </w:rPr>
        <w:t>二、建设项目工程分析</w:t>
      </w:r>
    </w:p>
    <w:tbl>
      <w:tblPr>
        <w:tblStyle w:val="4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99"/>
        <w:gridCol w:w="898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03" w:hRule="atLeast"/>
          <w:jc w:val="center"/>
        </w:trPr>
        <w:tc>
          <w:tcPr>
            <w:tcW w:w="699" w:type="dxa"/>
            <w:vAlign w:val="center"/>
          </w:tcPr>
          <w:p>
            <w:pPr>
              <w:jc w:val="center"/>
              <w:rPr>
                <w:sz w:val="21"/>
                <w:szCs w:val="21"/>
              </w:rPr>
            </w:pPr>
            <w:r>
              <w:rPr>
                <w:rFonts w:eastAsia="新宋体"/>
                <w:sz w:val="24"/>
              </w:rPr>
              <w:t>建设内容</w:t>
            </w:r>
          </w:p>
        </w:tc>
        <w:tc>
          <w:tcPr>
            <w:tcW w:w="8984" w:type="dxa"/>
          </w:tcPr>
          <w:p>
            <w:pPr>
              <w:ind w:firstLine="482" w:firstLineChars="200"/>
              <w:rPr>
                <w:rFonts w:eastAsia="新宋体"/>
                <w:b/>
                <w:bCs/>
                <w:sz w:val="24"/>
              </w:rPr>
            </w:pPr>
            <w:r>
              <w:rPr>
                <w:rFonts w:eastAsia="新宋体"/>
                <w:b/>
                <w:sz w:val="24"/>
              </w:rPr>
              <w:t>1、</w:t>
            </w:r>
            <w:r>
              <w:rPr>
                <w:rFonts w:eastAsia="新宋体"/>
                <w:b/>
                <w:bCs/>
                <w:sz w:val="24"/>
              </w:rPr>
              <w:t>项目概况</w:t>
            </w:r>
          </w:p>
          <w:p>
            <w:pPr>
              <w:pStyle w:val="94"/>
              <w:adjustRightInd w:val="0"/>
              <w:snapToGrid w:val="0"/>
              <w:spacing w:line="360" w:lineRule="auto"/>
              <w:ind w:firstLine="480" w:firstLineChars="200"/>
              <w:rPr>
                <w:rFonts w:eastAsiaTheme="minorEastAsia"/>
                <w:szCs w:val="24"/>
              </w:rPr>
            </w:pPr>
            <w:r>
              <w:rPr>
                <w:rFonts w:hint="eastAsia"/>
                <w:szCs w:val="24"/>
              </w:rPr>
              <w:t>汕尾弗迪电池有限公司</w:t>
            </w:r>
            <w:r>
              <w:rPr>
                <w:szCs w:val="24"/>
              </w:rPr>
              <w:t>拟投资2020.9万元在</w:t>
            </w:r>
            <w:r>
              <w:t>广东陆河县产业转移工业园区</w:t>
            </w:r>
            <w:r>
              <w:rPr>
                <w:szCs w:val="24"/>
              </w:rPr>
              <w:t>陆河比亚迪车工业园1号厂房1-2建设</w:t>
            </w:r>
            <w:r>
              <w:rPr>
                <w:rFonts w:hint="eastAsia" w:eastAsiaTheme="minorEastAsia"/>
                <w:szCs w:val="24"/>
              </w:rPr>
              <w:t>“汕尾陆河储能（储电）集装箱生产制造项目”</w:t>
            </w:r>
            <w:r>
              <w:rPr>
                <w:rFonts w:eastAsiaTheme="minorEastAsia"/>
                <w:szCs w:val="24"/>
              </w:rPr>
              <w:t>（以下简称</w:t>
            </w:r>
            <w:r>
              <w:rPr>
                <w:rFonts w:hint="eastAsia" w:eastAsiaTheme="minorEastAsia"/>
                <w:szCs w:val="24"/>
              </w:rPr>
              <w:t>“</w:t>
            </w:r>
            <w:r>
              <w:rPr>
                <w:rFonts w:eastAsiaTheme="minorEastAsia"/>
                <w:szCs w:val="24"/>
              </w:rPr>
              <w:t>项目</w:t>
            </w:r>
            <w:r>
              <w:rPr>
                <w:rFonts w:hint="eastAsia" w:eastAsiaTheme="minorEastAsia"/>
                <w:szCs w:val="24"/>
              </w:rPr>
              <w:t>”</w:t>
            </w:r>
            <w:r>
              <w:rPr>
                <w:rFonts w:eastAsiaTheme="minorEastAsia"/>
                <w:szCs w:val="24"/>
              </w:rPr>
              <w:t>）。</w:t>
            </w:r>
          </w:p>
          <w:p>
            <w:pPr>
              <w:ind w:firstLine="480" w:firstLineChars="200"/>
              <w:jc w:val="left"/>
              <w:rPr>
                <w:rFonts w:eastAsia="新宋体"/>
                <w:b/>
                <w:sz w:val="24"/>
              </w:rPr>
            </w:pPr>
            <w:r>
              <w:rPr>
                <w:rFonts w:eastAsia="新宋体"/>
                <w:bCs/>
                <w:sz w:val="24"/>
              </w:rPr>
              <w:t>根据</w:t>
            </w:r>
            <w:r>
              <w:rPr>
                <w:rFonts w:eastAsia="新宋体"/>
                <w:sz w:val="24"/>
              </w:rPr>
              <w:t>《建设项目环境影响评价分类管理名录（2021年版）》（生态环境部令第16号）</w:t>
            </w:r>
            <w:r>
              <w:rPr>
                <w:rFonts w:eastAsia="新宋体"/>
                <w:bCs/>
                <w:sz w:val="24"/>
              </w:rPr>
              <w:t>，</w:t>
            </w:r>
            <w:r>
              <w:rPr>
                <w:rFonts w:eastAsiaTheme="minorEastAsia"/>
                <w:sz w:val="24"/>
              </w:rPr>
              <w:t>项目</w:t>
            </w:r>
            <w:r>
              <w:rPr>
                <w:rFonts w:eastAsia="新宋体"/>
                <w:bCs/>
                <w:sz w:val="24"/>
              </w:rPr>
              <w:t>属</w:t>
            </w:r>
            <w:r>
              <w:rPr>
                <w:rFonts w:hint="eastAsia"/>
                <w:bCs/>
                <w:sz w:val="24"/>
              </w:rPr>
              <w:t>“</w:t>
            </w:r>
            <w:r>
              <w:rPr>
                <w:bCs/>
                <w:sz w:val="24"/>
              </w:rPr>
              <w:t>三十</w:t>
            </w:r>
            <w:r>
              <w:rPr>
                <w:rFonts w:hint="eastAsia"/>
                <w:bCs/>
                <w:sz w:val="24"/>
              </w:rPr>
              <w:t>六</w:t>
            </w:r>
            <w:r>
              <w:rPr>
                <w:bCs/>
                <w:sz w:val="24"/>
              </w:rPr>
              <w:t>、</w:t>
            </w:r>
            <w:r>
              <w:rPr>
                <w:rFonts w:hint="eastAsia"/>
                <w:bCs/>
                <w:sz w:val="24"/>
              </w:rPr>
              <w:t>计算机、</w:t>
            </w:r>
            <w:r>
              <w:rPr>
                <w:bCs/>
                <w:sz w:val="24"/>
              </w:rPr>
              <w:t>通信和其他电子设备制造业3</w:t>
            </w:r>
            <w:r>
              <w:rPr>
                <w:rFonts w:hint="eastAsia"/>
                <w:bCs/>
                <w:sz w:val="24"/>
              </w:rPr>
              <w:t>9</w:t>
            </w:r>
            <w:r>
              <w:rPr>
                <w:bCs/>
                <w:sz w:val="24"/>
              </w:rPr>
              <w:t>——智能消费设备制造3</w:t>
            </w:r>
            <w:r>
              <w:rPr>
                <w:rFonts w:hint="eastAsia"/>
                <w:bCs/>
                <w:sz w:val="24"/>
              </w:rPr>
              <w:t>96”</w:t>
            </w:r>
            <w:r>
              <w:rPr>
                <w:bCs/>
                <w:sz w:val="24"/>
              </w:rPr>
              <w:t>类别中</w:t>
            </w:r>
            <w:r>
              <w:rPr>
                <w:rFonts w:hint="eastAsia"/>
                <w:bCs/>
                <w:sz w:val="24"/>
              </w:rPr>
              <w:t>“全部</w:t>
            </w:r>
            <w:r>
              <w:rPr>
                <w:bCs/>
                <w:sz w:val="24"/>
              </w:rPr>
              <w:t>（仅分割、焊接、组装的除外）</w:t>
            </w:r>
            <w:r>
              <w:rPr>
                <w:rFonts w:hint="eastAsia"/>
                <w:bCs/>
                <w:sz w:val="24"/>
              </w:rPr>
              <w:t>”</w:t>
            </w:r>
            <w:r>
              <w:rPr>
                <w:rFonts w:eastAsiaTheme="minorEastAsia"/>
                <w:bCs/>
                <w:sz w:val="24"/>
              </w:rPr>
              <w:t>，</w:t>
            </w:r>
            <w:r>
              <w:rPr>
                <w:rFonts w:eastAsia="新宋体"/>
                <w:bCs/>
                <w:sz w:val="24"/>
              </w:rPr>
              <w:t>需编制环境影响报告表。</w:t>
            </w:r>
          </w:p>
          <w:p>
            <w:pPr>
              <w:ind w:firstLine="480" w:firstLineChars="200"/>
              <w:jc w:val="left"/>
              <w:rPr>
                <w:bCs/>
                <w:sz w:val="24"/>
              </w:rPr>
            </w:pPr>
            <w:r>
              <w:rPr>
                <w:rFonts w:eastAsia="新宋体"/>
                <w:sz w:val="24"/>
              </w:rPr>
              <w:t>为此，</w:t>
            </w:r>
            <w:r>
              <w:rPr>
                <w:rFonts w:hint="eastAsia" w:eastAsia="新宋体"/>
                <w:sz w:val="24"/>
              </w:rPr>
              <w:t>汕尾弗迪电池有限公司</w:t>
            </w:r>
            <w:r>
              <w:rPr>
                <w:rFonts w:eastAsia="新宋体"/>
                <w:sz w:val="24"/>
              </w:rPr>
              <w:t>委托深圳市汉宇环境科技有限公司（以下简称</w:t>
            </w:r>
            <w:r>
              <w:rPr>
                <w:rFonts w:hint="eastAsia" w:eastAsia="新宋体"/>
                <w:sz w:val="24"/>
              </w:rPr>
              <w:t>“</w:t>
            </w:r>
            <w:r>
              <w:rPr>
                <w:rFonts w:eastAsia="新宋体"/>
                <w:sz w:val="24"/>
              </w:rPr>
              <w:t>汉宇环境</w:t>
            </w:r>
            <w:r>
              <w:rPr>
                <w:rFonts w:hint="eastAsia" w:eastAsia="新宋体"/>
                <w:sz w:val="24"/>
              </w:rPr>
              <w:t>”</w:t>
            </w:r>
            <w:r>
              <w:rPr>
                <w:rFonts w:eastAsia="新宋体"/>
                <w:sz w:val="24"/>
              </w:rPr>
              <w:t>）承担该项目环境影响评价工作，接受委托后，汉宇环境派技术人员现场踏勘和收集有关资料，并依据《中华人民共和国环境影响评价法》等有关规定编写报告表，供建</w:t>
            </w:r>
            <w:r>
              <w:rPr>
                <w:bCs/>
                <w:sz w:val="24"/>
              </w:rPr>
              <w:t>设单位报生态环境主管部门审批。</w:t>
            </w:r>
          </w:p>
          <w:p>
            <w:pPr>
              <w:pStyle w:val="169"/>
              <w:spacing w:line="240" w:lineRule="auto"/>
              <w:rPr>
                <w:rFonts w:hint="default" w:hAnsi="Times New Roman" w:eastAsiaTheme="minorEastAsia"/>
                <w:sz w:val="24"/>
                <w:szCs w:val="24"/>
              </w:rPr>
            </w:pPr>
            <w:r>
              <w:rPr>
                <w:rFonts w:hint="default" w:hAnsi="Times New Roman" w:eastAsiaTheme="minorEastAsia"/>
                <w:sz w:val="24"/>
                <w:szCs w:val="24"/>
              </w:rPr>
              <w:t>表2-1 建设项目环境影响评价分类管理名录（摘要）</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49"/>
              <w:gridCol w:w="3235"/>
              <w:gridCol w:w="2890"/>
              <w:gridCol w:w="8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97" w:type="pct"/>
                  <w:tcBorders>
                    <w:tl2br w:val="single" w:color="auto" w:sz="4" w:space="0"/>
                  </w:tcBorders>
                  <w:vAlign w:val="center"/>
                </w:tcPr>
                <w:p>
                  <w:pPr>
                    <w:pStyle w:val="141"/>
                    <w:spacing w:line="240" w:lineRule="auto"/>
                    <w:jc w:val="right"/>
                    <w:rPr>
                      <w:rFonts w:ascii="Times New Roman" w:hAnsi="Times New Roman" w:eastAsia="新宋体"/>
                      <w:b/>
                      <w:sz w:val="21"/>
                      <w:szCs w:val="21"/>
                    </w:rPr>
                  </w:pPr>
                  <w:r>
                    <w:rPr>
                      <w:rFonts w:ascii="Times New Roman" w:hAnsi="Times New Roman" w:eastAsia="新宋体"/>
                      <w:b/>
                      <w:sz w:val="21"/>
                      <w:szCs w:val="21"/>
                    </w:rPr>
                    <w:t>环评类别</w:t>
                  </w:r>
                </w:p>
                <w:p>
                  <w:pPr>
                    <w:pStyle w:val="141"/>
                    <w:spacing w:line="240" w:lineRule="auto"/>
                    <w:jc w:val="both"/>
                    <w:rPr>
                      <w:rFonts w:ascii="Times New Roman" w:hAnsi="Times New Roman" w:eastAsia="新宋体"/>
                      <w:b/>
                      <w:sz w:val="21"/>
                      <w:szCs w:val="21"/>
                    </w:rPr>
                  </w:pPr>
                  <w:r>
                    <w:rPr>
                      <w:rFonts w:ascii="Times New Roman" w:hAnsi="Times New Roman" w:eastAsia="新宋体"/>
                      <w:b/>
                      <w:sz w:val="21"/>
                      <w:szCs w:val="21"/>
                    </w:rPr>
                    <w:t>项目类别</w:t>
                  </w:r>
                </w:p>
              </w:tc>
              <w:tc>
                <w:tcPr>
                  <w:tcW w:w="1845" w:type="pct"/>
                  <w:tcBorders>
                    <w:tl2br w:val="nil"/>
                    <w:tr2bl w:val="nil"/>
                  </w:tcBorders>
                  <w:vAlign w:val="center"/>
                </w:tcPr>
                <w:p>
                  <w:pPr>
                    <w:pStyle w:val="141"/>
                    <w:spacing w:line="240" w:lineRule="auto"/>
                    <w:rPr>
                      <w:rFonts w:ascii="Times New Roman" w:hAnsi="Times New Roman" w:eastAsia="新宋体"/>
                      <w:b/>
                      <w:sz w:val="21"/>
                      <w:szCs w:val="21"/>
                    </w:rPr>
                  </w:pPr>
                  <w:r>
                    <w:rPr>
                      <w:rFonts w:ascii="Times New Roman" w:hAnsi="Times New Roman" w:eastAsia="新宋体"/>
                      <w:b/>
                      <w:sz w:val="21"/>
                      <w:szCs w:val="21"/>
                    </w:rPr>
                    <w:t>报告书</w:t>
                  </w:r>
                </w:p>
              </w:tc>
              <w:tc>
                <w:tcPr>
                  <w:tcW w:w="1648" w:type="pct"/>
                  <w:tcBorders>
                    <w:tl2br w:val="nil"/>
                    <w:tr2bl w:val="nil"/>
                  </w:tcBorders>
                  <w:shd w:val="clear" w:color="auto" w:fill="auto"/>
                  <w:vAlign w:val="center"/>
                </w:tcPr>
                <w:p>
                  <w:pPr>
                    <w:pStyle w:val="141"/>
                    <w:spacing w:line="240" w:lineRule="auto"/>
                    <w:rPr>
                      <w:rFonts w:ascii="Times New Roman" w:hAnsi="Times New Roman" w:eastAsia="新宋体"/>
                      <w:b/>
                      <w:sz w:val="21"/>
                      <w:szCs w:val="21"/>
                    </w:rPr>
                  </w:pPr>
                  <w:r>
                    <w:rPr>
                      <w:rFonts w:ascii="Times New Roman" w:hAnsi="Times New Roman" w:eastAsia="新宋体"/>
                      <w:b/>
                      <w:sz w:val="21"/>
                      <w:szCs w:val="21"/>
                    </w:rPr>
                    <w:t>报告表</w:t>
                  </w:r>
                </w:p>
              </w:tc>
              <w:tc>
                <w:tcPr>
                  <w:tcW w:w="510" w:type="pct"/>
                  <w:tcBorders>
                    <w:tl2br w:val="nil"/>
                    <w:tr2bl w:val="nil"/>
                  </w:tcBorders>
                  <w:vAlign w:val="center"/>
                </w:tcPr>
                <w:p>
                  <w:pPr>
                    <w:pStyle w:val="141"/>
                    <w:spacing w:line="240" w:lineRule="auto"/>
                    <w:rPr>
                      <w:rFonts w:ascii="Times New Roman" w:hAnsi="Times New Roman" w:eastAsia="新宋体"/>
                      <w:b/>
                      <w:sz w:val="21"/>
                      <w:szCs w:val="21"/>
                    </w:rPr>
                  </w:pPr>
                  <w:r>
                    <w:rPr>
                      <w:rFonts w:ascii="Times New Roman" w:hAnsi="Times New Roman" w:eastAsia="新宋体"/>
                      <w:b/>
                      <w:sz w:val="21"/>
                      <w:szCs w:val="21"/>
                    </w:rPr>
                    <w:t>登记表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0" w:type="pct"/>
                  <w:gridSpan w:val="4"/>
                  <w:tcBorders>
                    <w:tl2br w:val="nil"/>
                    <w:tr2bl w:val="nil"/>
                  </w:tcBorders>
                  <w:shd w:val="clear" w:color="auto" w:fill="auto"/>
                  <w:vAlign w:val="center"/>
                </w:tcPr>
                <w:p>
                  <w:pPr>
                    <w:pStyle w:val="141"/>
                    <w:spacing w:line="240" w:lineRule="auto"/>
                    <w:jc w:val="both"/>
                    <w:rPr>
                      <w:rFonts w:ascii="Times New Roman" w:hAnsi="Times New Roman" w:eastAsia="新宋体"/>
                      <w:sz w:val="21"/>
                      <w:szCs w:val="21"/>
                    </w:rPr>
                  </w:pPr>
                  <w:r>
                    <w:rPr>
                      <w:rFonts w:hint="eastAsia" w:ascii="Times New Roman" w:hAnsi="Times New Roman" w:eastAsia="新宋体"/>
                      <w:b/>
                      <w:bCs/>
                      <w:sz w:val="21"/>
                      <w:szCs w:val="21"/>
                    </w:rPr>
                    <w:t>三十六、计算机、通信和其他电子设备制造业39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97" w:type="pct"/>
                  <w:tcBorders>
                    <w:tl2br w:val="nil"/>
                    <w:tr2bl w:val="nil"/>
                  </w:tcBorders>
                  <w:vAlign w:val="center"/>
                </w:tcPr>
                <w:p>
                  <w:pPr>
                    <w:pStyle w:val="141"/>
                    <w:spacing w:line="240" w:lineRule="auto"/>
                    <w:rPr>
                      <w:rFonts w:ascii="Times New Roman" w:hAnsi="Times New Roman" w:eastAsia="新宋体"/>
                      <w:sz w:val="21"/>
                      <w:szCs w:val="21"/>
                    </w:rPr>
                  </w:pPr>
                  <w:r>
                    <w:rPr>
                      <w:rFonts w:hint="eastAsia" w:ascii="Times New Roman" w:hAnsi="Times New Roman" w:eastAsia="新宋体"/>
                      <w:sz w:val="21"/>
                      <w:szCs w:val="21"/>
                    </w:rPr>
                    <w:t>智能消费设备制造396</w:t>
                  </w:r>
                </w:p>
              </w:tc>
              <w:tc>
                <w:tcPr>
                  <w:tcW w:w="1845" w:type="pct"/>
                  <w:tcBorders>
                    <w:tl2br w:val="nil"/>
                    <w:tr2bl w:val="nil"/>
                  </w:tcBorders>
                  <w:vAlign w:val="center"/>
                </w:tcPr>
                <w:p>
                  <w:pPr>
                    <w:pStyle w:val="141"/>
                    <w:spacing w:line="240" w:lineRule="auto"/>
                    <w:rPr>
                      <w:rFonts w:ascii="Times New Roman" w:hAnsi="Times New Roman" w:eastAsia="新宋体"/>
                      <w:sz w:val="21"/>
                      <w:szCs w:val="21"/>
                    </w:rPr>
                  </w:pPr>
                  <w:r>
                    <w:rPr>
                      <w:rFonts w:hint="eastAsia" w:ascii="Times New Roman" w:hAnsi="Times New Roman" w:eastAsia="新宋体"/>
                      <w:sz w:val="21"/>
                      <w:szCs w:val="21"/>
                    </w:rPr>
                    <w:t>/</w:t>
                  </w:r>
                </w:p>
              </w:tc>
              <w:tc>
                <w:tcPr>
                  <w:tcW w:w="1648" w:type="pct"/>
                  <w:tcBorders>
                    <w:tl2br w:val="nil"/>
                    <w:tr2bl w:val="nil"/>
                  </w:tcBorders>
                  <w:shd w:val="clear" w:color="auto" w:fill="auto"/>
                  <w:vAlign w:val="center"/>
                </w:tcPr>
                <w:p>
                  <w:pPr>
                    <w:pStyle w:val="141"/>
                    <w:spacing w:line="240" w:lineRule="auto"/>
                    <w:rPr>
                      <w:rFonts w:ascii="Times New Roman" w:hAnsi="Times New Roman" w:eastAsia="新宋体"/>
                      <w:sz w:val="21"/>
                      <w:szCs w:val="21"/>
                    </w:rPr>
                  </w:pPr>
                  <w:r>
                    <w:rPr>
                      <w:rFonts w:hint="eastAsia" w:ascii="Times New Roman" w:hAnsi="Times New Roman" w:eastAsia="新宋体"/>
                      <w:sz w:val="21"/>
                      <w:szCs w:val="21"/>
                    </w:rPr>
                    <w:t>全部（仅分割、焊接、组装的除外）</w:t>
                  </w:r>
                </w:p>
              </w:tc>
              <w:tc>
                <w:tcPr>
                  <w:tcW w:w="510" w:type="pct"/>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w:t>
                  </w:r>
                </w:p>
              </w:tc>
            </w:tr>
          </w:tbl>
          <w:p>
            <w:pPr>
              <w:pStyle w:val="2"/>
            </w:pPr>
          </w:p>
          <w:p>
            <w:pPr>
              <w:ind w:firstLine="482" w:firstLineChars="200"/>
              <w:jc w:val="left"/>
              <w:rPr>
                <w:b/>
                <w:sz w:val="24"/>
              </w:rPr>
            </w:pPr>
            <w:r>
              <w:rPr>
                <w:b/>
                <w:sz w:val="24"/>
              </w:rPr>
              <w:t>2、</w:t>
            </w:r>
            <w:r>
              <w:rPr>
                <w:rFonts w:hint="eastAsia"/>
                <w:b/>
                <w:sz w:val="24"/>
              </w:rPr>
              <w:t>项目</w:t>
            </w:r>
            <w:r>
              <w:rPr>
                <w:b/>
                <w:sz w:val="24"/>
              </w:rPr>
              <w:t>选址及四至情况</w:t>
            </w:r>
          </w:p>
          <w:p>
            <w:pPr>
              <w:ind w:firstLine="482" w:firstLineChars="200"/>
              <w:jc w:val="left"/>
              <w:rPr>
                <w:b/>
                <w:sz w:val="24"/>
              </w:rPr>
            </w:pPr>
            <w:r>
              <w:rPr>
                <w:b/>
                <w:sz w:val="24"/>
              </w:rPr>
              <w:t>（1）项目选址</w:t>
            </w:r>
          </w:p>
          <w:p>
            <w:pPr>
              <w:ind w:firstLine="480" w:firstLineChars="200"/>
              <w:jc w:val="left"/>
              <w:rPr>
                <w:bCs/>
                <w:sz w:val="24"/>
              </w:rPr>
            </w:pPr>
            <w:r>
              <w:rPr>
                <w:bCs/>
                <w:sz w:val="24"/>
              </w:rPr>
              <w:t>项目位于</w:t>
            </w:r>
            <w:r>
              <w:rPr>
                <w:sz w:val="24"/>
              </w:rPr>
              <w:t>广东陆河县产业转移工业园区</w:t>
            </w:r>
            <w:r>
              <w:rPr>
                <w:bCs/>
                <w:sz w:val="24"/>
              </w:rPr>
              <w:t>陆河比亚迪车工业园1号厂房1-2，中心地理位置为东经115度35分15.417秒，北纬23度11分50.429秒</w:t>
            </w:r>
            <w:r>
              <w:rPr>
                <w:rFonts w:hint="eastAsia"/>
                <w:bCs/>
                <w:sz w:val="24"/>
              </w:rPr>
              <w:t>，厂房系租赁于汕尾比亚迪汽车有限公司</w:t>
            </w:r>
            <w:r>
              <w:rPr>
                <w:bCs/>
                <w:sz w:val="24"/>
              </w:rPr>
              <w:t>。</w:t>
            </w:r>
          </w:p>
          <w:p>
            <w:pPr>
              <w:ind w:firstLine="480" w:firstLineChars="200"/>
              <w:jc w:val="left"/>
              <w:rPr>
                <w:bCs/>
                <w:sz w:val="24"/>
              </w:rPr>
            </w:pPr>
            <w:r>
              <w:rPr>
                <w:bCs/>
                <w:sz w:val="24"/>
              </w:rPr>
              <w:t>项目地理位置详见附图1。</w:t>
            </w:r>
          </w:p>
          <w:p>
            <w:pPr>
              <w:ind w:firstLine="482" w:firstLineChars="200"/>
              <w:jc w:val="left"/>
              <w:rPr>
                <w:b/>
                <w:sz w:val="24"/>
              </w:rPr>
            </w:pPr>
            <w:r>
              <w:rPr>
                <w:b/>
                <w:sz w:val="24"/>
              </w:rPr>
              <w:t>（2）项目四至情况</w:t>
            </w:r>
          </w:p>
          <w:p>
            <w:pPr>
              <w:ind w:firstLine="480" w:firstLineChars="200"/>
              <w:jc w:val="left"/>
              <w:rPr>
                <w:bCs/>
                <w:sz w:val="24"/>
              </w:rPr>
            </w:pPr>
            <w:r>
              <w:rPr>
                <w:bCs/>
                <w:sz w:val="24"/>
              </w:rPr>
              <w:t>项目所在的</w:t>
            </w:r>
            <w:r>
              <w:rPr>
                <w:sz w:val="24"/>
              </w:rPr>
              <w:t>广东陆河县产业转移工业园区</w:t>
            </w:r>
            <w:r>
              <w:rPr>
                <w:bCs/>
                <w:sz w:val="24"/>
              </w:rPr>
              <w:t>新河工业园区陆河比亚迪车工业园北侧为空地和山体林地，西侧为山体林地，东侧为云丰村自建的回迁房，南侧为深圳维业装饰有限公司和陆河安星装饰有限公司。</w:t>
            </w:r>
          </w:p>
          <w:p>
            <w:pPr>
              <w:ind w:firstLine="480" w:firstLineChars="200"/>
              <w:jc w:val="left"/>
              <w:rPr>
                <w:bCs/>
                <w:sz w:val="24"/>
              </w:rPr>
            </w:pPr>
            <w:r>
              <w:rPr>
                <w:bCs/>
                <w:sz w:val="24"/>
              </w:rPr>
              <w:t>项目位于</w:t>
            </w:r>
            <w:r>
              <w:rPr>
                <w:sz w:val="24"/>
              </w:rPr>
              <w:t>广东陆河县产业转移工业园区</w:t>
            </w:r>
            <w:r>
              <w:rPr>
                <w:bCs/>
                <w:sz w:val="24"/>
              </w:rPr>
              <w:t>陆河比亚迪车工业园1号厂房1-2，项目所在的1号厂房</w:t>
            </w:r>
            <w:r>
              <w:rPr>
                <w:rFonts w:hint="eastAsia"/>
                <w:bCs/>
                <w:sz w:val="24"/>
              </w:rPr>
              <w:t>1</w:t>
            </w:r>
            <w:r>
              <w:rPr>
                <w:bCs/>
                <w:sz w:val="24"/>
              </w:rPr>
              <w:t>-2东侧为</w:t>
            </w:r>
            <w:r>
              <w:rPr>
                <w:rFonts w:hint="eastAsia"/>
                <w:bCs/>
                <w:sz w:val="24"/>
              </w:rPr>
              <w:t>围墙、坪山大道和空地</w:t>
            </w:r>
            <w:r>
              <w:rPr>
                <w:bCs/>
                <w:sz w:val="24"/>
              </w:rPr>
              <w:t>，南侧为1号厂房1-1，西侧为</w:t>
            </w:r>
            <w:r>
              <w:rPr>
                <w:rFonts w:hint="eastAsia"/>
                <w:bCs/>
                <w:sz w:val="24"/>
              </w:rPr>
              <w:t>4号</w:t>
            </w:r>
            <w:r>
              <w:rPr>
                <w:bCs/>
                <w:sz w:val="24"/>
              </w:rPr>
              <w:t>厂房，北侧为2</w:t>
            </w:r>
            <w:r>
              <w:rPr>
                <w:rFonts w:hint="eastAsia"/>
                <w:bCs/>
                <w:sz w:val="24"/>
              </w:rPr>
              <w:t>号</w:t>
            </w:r>
            <w:r>
              <w:rPr>
                <w:bCs/>
                <w:sz w:val="24"/>
              </w:rPr>
              <w:t>厂房。项目四至情况见附图2。</w:t>
            </w:r>
          </w:p>
          <w:p>
            <w:pPr>
              <w:ind w:firstLine="482" w:firstLineChars="200"/>
              <w:jc w:val="left"/>
              <w:rPr>
                <w:b/>
                <w:sz w:val="24"/>
              </w:rPr>
            </w:pPr>
            <w:r>
              <w:rPr>
                <w:b/>
                <w:sz w:val="24"/>
              </w:rPr>
              <w:t>3、项目工程组成</w:t>
            </w:r>
          </w:p>
          <w:p>
            <w:pPr>
              <w:ind w:firstLine="480" w:firstLineChars="200"/>
              <w:jc w:val="left"/>
              <w:rPr>
                <w:bCs/>
                <w:sz w:val="24"/>
              </w:rPr>
            </w:pPr>
            <w:r>
              <w:rPr>
                <w:bCs/>
                <w:sz w:val="24"/>
              </w:rPr>
              <w:t>项目</w:t>
            </w:r>
            <w:r>
              <w:rPr>
                <w:rFonts w:hint="eastAsia"/>
                <w:bCs/>
                <w:sz w:val="24"/>
              </w:rPr>
              <w:t>租赁</w:t>
            </w:r>
            <w:r>
              <w:rPr>
                <w:sz w:val="24"/>
              </w:rPr>
              <w:t>广东陆河县产业转移工业园区</w:t>
            </w:r>
            <w:r>
              <w:rPr>
                <w:rFonts w:hint="eastAsia"/>
                <w:bCs/>
                <w:sz w:val="24"/>
              </w:rPr>
              <w:t>陆河比亚迪车工业园1号厂房1-2</w:t>
            </w:r>
            <w:r>
              <w:rPr>
                <w:bCs/>
                <w:sz w:val="24"/>
              </w:rPr>
              <w:t>进行生产， 1号厂房1-2共一层，占地面积22000</w:t>
            </w:r>
            <w:r>
              <w:rPr>
                <w:rFonts w:hint="eastAsia"/>
                <w:bCs/>
                <w:sz w:val="24"/>
              </w:rPr>
              <w:t>平方米</w:t>
            </w:r>
            <w:r>
              <w:rPr>
                <w:bCs/>
                <w:sz w:val="24"/>
              </w:rPr>
              <w:t>，建筑面积22000</w:t>
            </w:r>
            <w:r>
              <w:rPr>
                <w:rFonts w:hint="eastAsia"/>
                <w:bCs/>
                <w:sz w:val="24"/>
              </w:rPr>
              <w:t>平方米。</w:t>
            </w:r>
          </w:p>
          <w:p>
            <w:pPr>
              <w:ind w:firstLine="480" w:firstLineChars="200"/>
              <w:jc w:val="left"/>
              <w:rPr>
                <w:bCs/>
                <w:sz w:val="24"/>
              </w:rPr>
            </w:pPr>
            <w:r>
              <w:rPr>
                <w:bCs/>
                <w:sz w:val="24"/>
              </w:rPr>
              <w:t>项目工程组成情况见表</w:t>
            </w:r>
            <w:r>
              <w:rPr>
                <w:rFonts w:hint="eastAsia"/>
                <w:bCs/>
                <w:sz w:val="24"/>
              </w:rPr>
              <w:t>2</w:t>
            </w:r>
            <w:r>
              <w:rPr>
                <w:bCs/>
                <w:sz w:val="24"/>
              </w:rPr>
              <w:t>-2</w:t>
            </w:r>
            <w:r>
              <w:rPr>
                <w:rFonts w:hint="eastAsia"/>
                <w:bCs/>
                <w:sz w:val="24"/>
              </w:rPr>
              <w:t>。</w:t>
            </w:r>
          </w:p>
          <w:p>
            <w:pPr>
              <w:pStyle w:val="169"/>
              <w:spacing w:line="240" w:lineRule="auto"/>
              <w:rPr>
                <w:rFonts w:hint="default" w:hAnsi="Times New Roman" w:eastAsiaTheme="minorEastAsia"/>
                <w:sz w:val="24"/>
                <w:szCs w:val="24"/>
              </w:rPr>
            </w:pPr>
            <w:r>
              <w:rPr>
                <w:rFonts w:hint="default" w:hAnsi="Times New Roman" w:eastAsiaTheme="minorEastAsia"/>
                <w:sz w:val="24"/>
                <w:szCs w:val="24"/>
              </w:rPr>
              <w:t>表2-2 项目工程组成情况一览表</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642"/>
              <w:gridCol w:w="424"/>
              <w:gridCol w:w="708"/>
              <w:gridCol w:w="4956"/>
              <w:gridCol w:w="2038"/>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69" w:hRule="atLeast"/>
                <w:tblHeader/>
                <w:jc w:val="center"/>
              </w:trPr>
              <w:tc>
                <w:tcPr>
                  <w:tcW w:w="1012" w:type="pct"/>
                  <w:gridSpan w:val="3"/>
                  <w:vAlign w:val="center"/>
                </w:tcPr>
                <w:p>
                  <w:pPr>
                    <w:autoSpaceDE w:val="0"/>
                    <w:autoSpaceDN w:val="0"/>
                    <w:spacing w:line="240" w:lineRule="auto"/>
                    <w:jc w:val="center"/>
                    <w:rPr>
                      <w:rFonts w:eastAsia="新宋体"/>
                      <w:b/>
                      <w:bCs/>
                      <w:sz w:val="21"/>
                      <w:szCs w:val="21"/>
                    </w:rPr>
                  </w:pPr>
                  <w:r>
                    <w:rPr>
                      <w:rFonts w:eastAsia="新宋体"/>
                      <w:b/>
                      <w:bCs/>
                      <w:sz w:val="21"/>
                      <w:szCs w:val="21"/>
                    </w:rPr>
                    <w:t>工程类别</w:t>
                  </w:r>
                </w:p>
              </w:tc>
              <w:tc>
                <w:tcPr>
                  <w:tcW w:w="2826" w:type="pct"/>
                  <w:vAlign w:val="center"/>
                </w:tcPr>
                <w:p>
                  <w:pPr>
                    <w:autoSpaceDE w:val="0"/>
                    <w:autoSpaceDN w:val="0"/>
                    <w:spacing w:line="240" w:lineRule="auto"/>
                    <w:jc w:val="center"/>
                    <w:rPr>
                      <w:rFonts w:eastAsia="新宋体"/>
                      <w:b/>
                      <w:bCs/>
                      <w:sz w:val="21"/>
                      <w:szCs w:val="21"/>
                      <w:shd w:val="clear" w:color="auto" w:fill="FFFFFF"/>
                    </w:rPr>
                  </w:pPr>
                  <w:r>
                    <w:rPr>
                      <w:rFonts w:eastAsia="新宋体"/>
                      <w:b/>
                      <w:bCs/>
                      <w:sz w:val="21"/>
                      <w:szCs w:val="21"/>
                      <w:shd w:val="clear" w:color="auto" w:fill="FFFFFF"/>
                    </w:rPr>
                    <w:t>建设内容</w:t>
                  </w:r>
                </w:p>
              </w:tc>
              <w:tc>
                <w:tcPr>
                  <w:tcW w:w="1162" w:type="pct"/>
                  <w:vAlign w:val="center"/>
                </w:tcPr>
                <w:p>
                  <w:pPr>
                    <w:autoSpaceDE w:val="0"/>
                    <w:autoSpaceDN w:val="0"/>
                    <w:spacing w:line="240" w:lineRule="auto"/>
                    <w:jc w:val="center"/>
                    <w:rPr>
                      <w:rFonts w:eastAsia="新宋体"/>
                      <w:b/>
                      <w:bCs/>
                      <w:sz w:val="21"/>
                      <w:szCs w:val="21"/>
                    </w:rPr>
                  </w:pPr>
                  <w:r>
                    <w:rPr>
                      <w:rFonts w:eastAsia="新宋体"/>
                      <w:b/>
                      <w:bCs/>
                      <w:sz w:val="21"/>
                      <w:szCs w:val="21"/>
                    </w:rPr>
                    <w:t>备注</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69" w:hRule="atLeast"/>
                <w:tblHeader/>
                <w:jc w:val="center"/>
              </w:trPr>
              <w:tc>
                <w:tcPr>
                  <w:tcW w:w="366" w:type="pct"/>
                  <w:vAlign w:val="center"/>
                </w:tcPr>
                <w:p>
                  <w:pPr>
                    <w:autoSpaceDE w:val="0"/>
                    <w:autoSpaceDN w:val="0"/>
                    <w:spacing w:line="240" w:lineRule="auto"/>
                    <w:jc w:val="center"/>
                    <w:rPr>
                      <w:rFonts w:eastAsia="新宋体"/>
                      <w:sz w:val="21"/>
                      <w:szCs w:val="21"/>
                    </w:rPr>
                  </w:pPr>
                  <w:r>
                    <w:rPr>
                      <w:rFonts w:eastAsia="新宋体"/>
                      <w:sz w:val="21"/>
                      <w:szCs w:val="21"/>
                    </w:rPr>
                    <w:t>主体工程</w:t>
                  </w:r>
                </w:p>
              </w:tc>
              <w:tc>
                <w:tcPr>
                  <w:tcW w:w="646" w:type="pct"/>
                  <w:gridSpan w:val="2"/>
                  <w:vAlign w:val="center"/>
                </w:tcPr>
                <w:p>
                  <w:pPr>
                    <w:pStyle w:val="165"/>
                    <w:spacing w:line="240" w:lineRule="auto"/>
                    <w:rPr>
                      <w:rFonts w:eastAsia="新宋体"/>
                      <w:sz w:val="21"/>
                    </w:rPr>
                  </w:pPr>
                  <w:r>
                    <w:rPr>
                      <w:rFonts w:eastAsia="新宋体"/>
                      <w:bCs/>
                      <w:sz w:val="21"/>
                    </w:rPr>
                    <w:t>生产车间</w:t>
                  </w:r>
                </w:p>
              </w:tc>
              <w:tc>
                <w:tcPr>
                  <w:tcW w:w="2826" w:type="pct"/>
                  <w:vAlign w:val="center"/>
                </w:tcPr>
                <w:p>
                  <w:pPr>
                    <w:autoSpaceDE w:val="0"/>
                    <w:autoSpaceDN w:val="0"/>
                    <w:spacing w:line="240" w:lineRule="auto"/>
                    <w:jc w:val="center"/>
                    <w:rPr>
                      <w:rFonts w:eastAsia="新宋体"/>
                      <w:sz w:val="21"/>
                      <w:szCs w:val="21"/>
                    </w:rPr>
                  </w:pPr>
                  <w:r>
                    <w:rPr>
                      <w:sz w:val="21"/>
                      <w:szCs w:val="21"/>
                    </w:rPr>
                    <w:t>建筑面积</w:t>
                  </w:r>
                  <w:r>
                    <w:rPr>
                      <w:bCs/>
                      <w:sz w:val="21"/>
                      <w:szCs w:val="21"/>
                    </w:rPr>
                    <w:t>22000</w:t>
                  </w:r>
                  <w:r>
                    <w:rPr>
                      <w:rFonts w:eastAsia="新宋体"/>
                      <w:sz w:val="21"/>
                      <w:szCs w:val="21"/>
                    </w:rPr>
                    <w:t>m</w:t>
                  </w:r>
                  <w:r>
                    <w:rPr>
                      <w:rFonts w:eastAsia="新宋体"/>
                      <w:sz w:val="21"/>
                      <w:szCs w:val="21"/>
                      <w:vertAlign w:val="superscript"/>
                    </w:rPr>
                    <w:t>2</w:t>
                  </w:r>
                  <w:r>
                    <w:rPr>
                      <w:rFonts w:eastAsia="新宋体"/>
                      <w:sz w:val="21"/>
                      <w:szCs w:val="21"/>
                    </w:rPr>
                    <w:t>，为单层厂房，</w:t>
                  </w:r>
                  <w:r>
                    <w:rPr>
                      <w:rFonts w:hint="eastAsia" w:eastAsia="新宋体"/>
                      <w:sz w:val="21"/>
                      <w:szCs w:val="21"/>
                    </w:rPr>
                    <w:t>层高1</w:t>
                  </w:r>
                  <w:r>
                    <w:rPr>
                      <w:rFonts w:eastAsia="新宋体"/>
                      <w:sz w:val="21"/>
                      <w:szCs w:val="21"/>
                    </w:rPr>
                    <w:t>2</w:t>
                  </w:r>
                  <w:r>
                    <w:rPr>
                      <w:rFonts w:hint="eastAsia" w:eastAsia="新宋体"/>
                      <w:sz w:val="21"/>
                      <w:szCs w:val="21"/>
                    </w:rPr>
                    <w:t>米，</w:t>
                  </w:r>
                  <w:r>
                    <w:rPr>
                      <w:rFonts w:eastAsia="新宋体"/>
                      <w:sz w:val="21"/>
                      <w:szCs w:val="21"/>
                    </w:rPr>
                    <w:t>主要分为</w:t>
                  </w:r>
                  <w:r>
                    <w:rPr>
                      <w:rFonts w:hint="eastAsia" w:eastAsia="新宋体"/>
                      <w:sz w:val="21"/>
                      <w:szCs w:val="21"/>
                    </w:rPr>
                    <w:t>仓库区、预装</w:t>
                  </w:r>
                  <w:r>
                    <w:rPr>
                      <w:rFonts w:eastAsia="新宋体"/>
                      <w:sz w:val="21"/>
                      <w:szCs w:val="21"/>
                    </w:rPr>
                    <w:t>区</w:t>
                  </w:r>
                  <w:r>
                    <w:rPr>
                      <w:rFonts w:hint="eastAsia" w:eastAsia="新宋体"/>
                      <w:sz w:val="21"/>
                      <w:szCs w:val="21"/>
                    </w:rPr>
                    <w:t>、测试区</w:t>
                  </w:r>
                  <w:r>
                    <w:rPr>
                      <w:rFonts w:eastAsia="新宋体"/>
                      <w:sz w:val="21"/>
                      <w:szCs w:val="21"/>
                    </w:rPr>
                    <w:t>及</w:t>
                  </w:r>
                  <w:r>
                    <w:rPr>
                      <w:rFonts w:hint="eastAsia" w:eastAsia="新宋体"/>
                      <w:sz w:val="21"/>
                      <w:szCs w:val="21"/>
                    </w:rPr>
                    <w:t>装配区</w:t>
                  </w:r>
                </w:p>
              </w:tc>
              <w:tc>
                <w:tcPr>
                  <w:tcW w:w="1162" w:type="pct"/>
                  <w:vAlign w:val="center"/>
                </w:tcPr>
                <w:p>
                  <w:pPr>
                    <w:tabs>
                      <w:tab w:val="center" w:pos="1351"/>
                      <w:tab w:val="right" w:pos="2582"/>
                    </w:tabs>
                    <w:autoSpaceDE w:val="0"/>
                    <w:autoSpaceDN w:val="0"/>
                    <w:spacing w:line="240" w:lineRule="auto"/>
                    <w:jc w:val="center"/>
                    <w:rPr>
                      <w:rFonts w:eastAsia="新宋体"/>
                      <w:sz w:val="21"/>
                      <w:szCs w:val="21"/>
                    </w:rPr>
                  </w:pPr>
                  <w:r>
                    <w:rPr>
                      <w:rFonts w:eastAsia="新宋体"/>
                      <w:sz w:val="21"/>
                      <w:szCs w:val="21"/>
                    </w:rPr>
                    <w:t>依托现有厂房</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69" w:hRule="atLeast"/>
                <w:tblHeader/>
                <w:jc w:val="center"/>
              </w:trPr>
              <w:tc>
                <w:tcPr>
                  <w:tcW w:w="366" w:type="pct"/>
                  <w:vMerge w:val="restart"/>
                  <w:vAlign w:val="center"/>
                </w:tcPr>
                <w:p>
                  <w:pPr>
                    <w:autoSpaceDE w:val="0"/>
                    <w:autoSpaceDN w:val="0"/>
                    <w:spacing w:line="240" w:lineRule="auto"/>
                    <w:jc w:val="center"/>
                    <w:rPr>
                      <w:rFonts w:eastAsia="新宋体"/>
                      <w:sz w:val="21"/>
                      <w:szCs w:val="21"/>
                    </w:rPr>
                  </w:pPr>
                  <w:r>
                    <w:rPr>
                      <w:rFonts w:eastAsia="新宋体"/>
                      <w:sz w:val="21"/>
                      <w:szCs w:val="21"/>
                    </w:rPr>
                    <w:t>辅助工程</w:t>
                  </w:r>
                </w:p>
              </w:tc>
              <w:tc>
                <w:tcPr>
                  <w:tcW w:w="646" w:type="pct"/>
                  <w:gridSpan w:val="2"/>
                  <w:vAlign w:val="center"/>
                </w:tcPr>
                <w:p>
                  <w:pPr>
                    <w:pStyle w:val="165"/>
                    <w:spacing w:line="240" w:lineRule="auto"/>
                    <w:rPr>
                      <w:rFonts w:eastAsia="新宋体"/>
                      <w:bCs/>
                      <w:sz w:val="21"/>
                    </w:rPr>
                  </w:pPr>
                  <w:r>
                    <w:rPr>
                      <w:rFonts w:eastAsia="新宋体"/>
                      <w:bCs/>
                      <w:sz w:val="21"/>
                    </w:rPr>
                    <w:t>固废仓库</w:t>
                  </w:r>
                </w:p>
              </w:tc>
              <w:tc>
                <w:tcPr>
                  <w:tcW w:w="2826" w:type="pct"/>
                  <w:vAlign w:val="center"/>
                </w:tcPr>
                <w:p>
                  <w:pPr>
                    <w:autoSpaceDE w:val="0"/>
                    <w:autoSpaceDN w:val="0"/>
                    <w:spacing w:line="240" w:lineRule="auto"/>
                    <w:jc w:val="center"/>
                    <w:rPr>
                      <w:sz w:val="21"/>
                      <w:szCs w:val="21"/>
                    </w:rPr>
                  </w:pPr>
                  <w:r>
                    <w:rPr>
                      <w:rFonts w:eastAsia="新宋体"/>
                      <w:sz w:val="21"/>
                      <w:szCs w:val="21"/>
                    </w:rPr>
                    <w:t>危废暂存间</w:t>
                  </w:r>
                  <w:r>
                    <w:rPr>
                      <w:sz w:val="21"/>
                      <w:szCs w:val="21"/>
                    </w:rPr>
                    <w:t>建筑面积</w:t>
                  </w:r>
                  <w:r>
                    <w:rPr>
                      <w:bCs/>
                      <w:sz w:val="21"/>
                      <w:szCs w:val="21"/>
                    </w:rPr>
                    <w:t>80</w:t>
                  </w:r>
                  <w:r>
                    <w:rPr>
                      <w:rFonts w:eastAsia="新宋体"/>
                      <w:sz w:val="21"/>
                      <w:szCs w:val="21"/>
                    </w:rPr>
                    <w:t>m</w:t>
                  </w:r>
                  <w:r>
                    <w:rPr>
                      <w:rFonts w:eastAsia="新宋体"/>
                      <w:sz w:val="21"/>
                      <w:szCs w:val="21"/>
                      <w:vertAlign w:val="superscript"/>
                    </w:rPr>
                    <w:t>2</w:t>
                  </w:r>
                  <w:r>
                    <w:rPr>
                      <w:rFonts w:eastAsia="新宋体"/>
                      <w:bCs/>
                      <w:sz w:val="21"/>
                      <w:szCs w:val="21"/>
                    </w:rPr>
                    <w:t>，一般固废仓库</w:t>
                  </w:r>
                  <w:r>
                    <w:rPr>
                      <w:sz w:val="21"/>
                      <w:szCs w:val="21"/>
                    </w:rPr>
                    <w:t>建筑面积</w:t>
                  </w:r>
                  <w:r>
                    <w:rPr>
                      <w:bCs/>
                      <w:sz w:val="21"/>
                      <w:szCs w:val="21"/>
                    </w:rPr>
                    <w:t>80</w:t>
                  </w:r>
                  <w:r>
                    <w:rPr>
                      <w:rFonts w:eastAsia="新宋体"/>
                      <w:sz w:val="21"/>
                      <w:szCs w:val="21"/>
                    </w:rPr>
                    <w:t>m</w:t>
                  </w:r>
                  <w:r>
                    <w:rPr>
                      <w:rFonts w:eastAsia="新宋体"/>
                      <w:sz w:val="21"/>
                      <w:szCs w:val="21"/>
                      <w:vertAlign w:val="superscript"/>
                    </w:rPr>
                    <w:t>2</w:t>
                  </w:r>
                  <w:r>
                    <w:rPr>
                      <w:rFonts w:eastAsia="新宋体"/>
                      <w:bCs/>
                      <w:sz w:val="21"/>
                      <w:szCs w:val="21"/>
                    </w:rPr>
                    <w:t>，</w:t>
                  </w:r>
                  <w:r>
                    <w:rPr>
                      <w:rFonts w:hint="eastAsia" w:eastAsia="新宋体"/>
                      <w:bCs/>
                      <w:sz w:val="21"/>
                      <w:szCs w:val="21"/>
                    </w:rPr>
                    <w:t>均</w:t>
                  </w:r>
                  <w:r>
                    <w:rPr>
                      <w:sz w:val="21"/>
                      <w:szCs w:val="21"/>
                    </w:rPr>
                    <w:t>位于车间内</w:t>
                  </w:r>
                  <w:r>
                    <w:rPr>
                      <w:rFonts w:hint="eastAsia"/>
                      <w:sz w:val="21"/>
                      <w:szCs w:val="21"/>
                    </w:rPr>
                    <w:t>西南</w:t>
                  </w:r>
                  <w:r>
                    <w:rPr>
                      <w:sz w:val="21"/>
                      <w:szCs w:val="21"/>
                    </w:rPr>
                    <w:t>侧</w:t>
                  </w:r>
                </w:p>
              </w:tc>
              <w:tc>
                <w:tcPr>
                  <w:tcW w:w="1162" w:type="pct"/>
                  <w:vAlign w:val="center"/>
                </w:tcPr>
                <w:p>
                  <w:pPr>
                    <w:tabs>
                      <w:tab w:val="center" w:pos="1351"/>
                      <w:tab w:val="right" w:pos="2582"/>
                    </w:tabs>
                    <w:autoSpaceDE w:val="0"/>
                    <w:autoSpaceDN w:val="0"/>
                    <w:spacing w:line="240" w:lineRule="auto"/>
                    <w:jc w:val="center"/>
                    <w:rPr>
                      <w:rFonts w:eastAsia="新宋体"/>
                      <w:sz w:val="21"/>
                      <w:szCs w:val="21"/>
                    </w:rPr>
                  </w:pPr>
                  <w:r>
                    <w:rPr>
                      <w:rFonts w:hint="eastAsia" w:eastAsia="新宋体"/>
                      <w:sz w:val="21"/>
                      <w:szCs w:val="21"/>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69" w:hRule="atLeast"/>
                <w:tblHeader/>
                <w:jc w:val="center"/>
              </w:trPr>
              <w:tc>
                <w:tcPr>
                  <w:tcW w:w="366" w:type="pct"/>
                  <w:vMerge w:val="continue"/>
                  <w:vAlign w:val="center"/>
                </w:tcPr>
                <w:p>
                  <w:pPr>
                    <w:autoSpaceDE w:val="0"/>
                    <w:autoSpaceDN w:val="0"/>
                    <w:spacing w:line="240" w:lineRule="auto"/>
                    <w:jc w:val="center"/>
                    <w:rPr>
                      <w:rFonts w:eastAsia="新宋体"/>
                      <w:sz w:val="21"/>
                      <w:szCs w:val="21"/>
                    </w:rPr>
                  </w:pPr>
                </w:p>
              </w:tc>
              <w:tc>
                <w:tcPr>
                  <w:tcW w:w="646" w:type="pct"/>
                  <w:gridSpan w:val="2"/>
                  <w:vAlign w:val="center"/>
                </w:tcPr>
                <w:p>
                  <w:pPr>
                    <w:autoSpaceDE w:val="0"/>
                    <w:autoSpaceDN w:val="0"/>
                    <w:spacing w:line="240" w:lineRule="auto"/>
                    <w:jc w:val="center"/>
                    <w:rPr>
                      <w:rFonts w:eastAsia="新宋体"/>
                      <w:sz w:val="21"/>
                      <w:szCs w:val="21"/>
                    </w:rPr>
                  </w:pPr>
                  <w:r>
                    <w:rPr>
                      <w:rFonts w:eastAsia="新宋体"/>
                      <w:bCs/>
                      <w:sz w:val="21"/>
                      <w:szCs w:val="21"/>
                    </w:rPr>
                    <w:t>食堂、宿舍</w:t>
                  </w:r>
                </w:p>
              </w:tc>
              <w:tc>
                <w:tcPr>
                  <w:tcW w:w="2826" w:type="pct"/>
                  <w:vAlign w:val="center"/>
                </w:tcPr>
                <w:p>
                  <w:pPr>
                    <w:autoSpaceDE w:val="0"/>
                    <w:autoSpaceDN w:val="0"/>
                    <w:spacing w:line="240" w:lineRule="auto"/>
                    <w:jc w:val="center"/>
                    <w:rPr>
                      <w:rFonts w:eastAsia="新宋体"/>
                      <w:sz w:val="21"/>
                      <w:szCs w:val="21"/>
                    </w:rPr>
                  </w:pPr>
                  <w:r>
                    <w:rPr>
                      <w:rFonts w:eastAsia="新宋体"/>
                      <w:sz w:val="21"/>
                      <w:szCs w:val="21"/>
                    </w:rPr>
                    <w:t>--</w:t>
                  </w:r>
                </w:p>
              </w:tc>
              <w:tc>
                <w:tcPr>
                  <w:tcW w:w="1162" w:type="pct"/>
                  <w:vAlign w:val="center"/>
                </w:tcPr>
                <w:p>
                  <w:pPr>
                    <w:tabs>
                      <w:tab w:val="center" w:pos="1351"/>
                      <w:tab w:val="right" w:pos="2582"/>
                    </w:tabs>
                    <w:autoSpaceDE w:val="0"/>
                    <w:autoSpaceDN w:val="0"/>
                    <w:spacing w:line="240" w:lineRule="auto"/>
                    <w:jc w:val="center"/>
                    <w:rPr>
                      <w:rFonts w:eastAsia="新宋体"/>
                      <w:sz w:val="21"/>
                      <w:szCs w:val="21"/>
                    </w:rPr>
                  </w:pPr>
                  <w:r>
                    <w:rPr>
                      <w:rFonts w:ascii="宋体" w:hAnsi="宋体"/>
                      <w:sz w:val="21"/>
                      <w:szCs w:val="21"/>
                    </w:rPr>
                    <w:t>依托</w:t>
                  </w:r>
                  <w:r>
                    <w:rPr>
                      <w:rFonts w:eastAsia="新宋体"/>
                      <w:sz w:val="21"/>
                      <w:szCs w:val="21"/>
                    </w:rPr>
                    <w:t>现有食堂和员工宿舍</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69" w:hRule="atLeast"/>
                <w:tblHeader/>
                <w:jc w:val="center"/>
              </w:trPr>
              <w:tc>
                <w:tcPr>
                  <w:tcW w:w="366" w:type="pct"/>
                  <w:vMerge w:val="restart"/>
                  <w:vAlign w:val="center"/>
                </w:tcPr>
                <w:p>
                  <w:pPr>
                    <w:autoSpaceDE w:val="0"/>
                    <w:autoSpaceDN w:val="0"/>
                    <w:spacing w:line="240" w:lineRule="auto"/>
                    <w:jc w:val="center"/>
                    <w:rPr>
                      <w:rFonts w:eastAsia="新宋体"/>
                      <w:sz w:val="21"/>
                      <w:szCs w:val="21"/>
                    </w:rPr>
                  </w:pPr>
                  <w:r>
                    <w:rPr>
                      <w:rFonts w:eastAsia="新宋体"/>
                      <w:sz w:val="21"/>
                      <w:szCs w:val="21"/>
                    </w:rPr>
                    <w:t>公用工程</w:t>
                  </w:r>
                </w:p>
              </w:tc>
              <w:tc>
                <w:tcPr>
                  <w:tcW w:w="646" w:type="pct"/>
                  <w:gridSpan w:val="2"/>
                  <w:vAlign w:val="center"/>
                </w:tcPr>
                <w:p>
                  <w:pPr>
                    <w:autoSpaceDE w:val="0"/>
                    <w:autoSpaceDN w:val="0"/>
                    <w:spacing w:line="240" w:lineRule="auto"/>
                    <w:jc w:val="center"/>
                    <w:rPr>
                      <w:rFonts w:eastAsia="新宋体"/>
                      <w:sz w:val="21"/>
                      <w:szCs w:val="21"/>
                    </w:rPr>
                  </w:pPr>
                  <w:r>
                    <w:rPr>
                      <w:rFonts w:eastAsia="新宋体"/>
                      <w:sz w:val="21"/>
                      <w:szCs w:val="21"/>
                    </w:rPr>
                    <w:t>给水工程</w:t>
                  </w:r>
                </w:p>
              </w:tc>
              <w:tc>
                <w:tcPr>
                  <w:tcW w:w="2826" w:type="pct"/>
                  <w:vAlign w:val="center"/>
                </w:tcPr>
                <w:p>
                  <w:pPr>
                    <w:autoSpaceDE w:val="0"/>
                    <w:autoSpaceDN w:val="0"/>
                    <w:spacing w:line="240" w:lineRule="auto"/>
                    <w:jc w:val="center"/>
                    <w:rPr>
                      <w:rFonts w:eastAsia="新宋体"/>
                      <w:sz w:val="21"/>
                      <w:szCs w:val="21"/>
                    </w:rPr>
                  </w:pPr>
                  <w:r>
                    <w:rPr>
                      <w:rFonts w:eastAsia="新宋体"/>
                      <w:sz w:val="21"/>
                      <w:szCs w:val="21"/>
                    </w:rPr>
                    <w:t>市政自来水管网供应</w:t>
                  </w:r>
                </w:p>
              </w:tc>
              <w:tc>
                <w:tcPr>
                  <w:tcW w:w="1162" w:type="pct"/>
                  <w:vAlign w:val="center"/>
                </w:tcPr>
                <w:p>
                  <w:pPr>
                    <w:autoSpaceDE w:val="0"/>
                    <w:autoSpaceDN w:val="0"/>
                    <w:spacing w:line="240" w:lineRule="auto"/>
                    <w:jc w:val="center"/>
                    <w:rPr>
                      <w:rFonts w:eastAsia="新宋体"/>
                      <w:sz w:val="21"/>
                      <w:szCs w:val="21"/>
                    </w:rPr>
                  </w:pPr>
                  <w:r>
                    <w:rPr>
                      <w:rFonts w:eastAsia="新宋体"/>
                      <w:sz w:val="21"/>
                      <w:szCs w:val="21"/>
                    </w:rPr>
                    <w:t>依托现有</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69" w:hRule="atLeast"/>
                <w:tblHeader/>
                <w:jc w:val="center"/>
              </w:trPr>
              <w:tc>
                <w:tcPr>
                  <w:tcW w:w="366" w:type="pct"/>
                  <w:vMerge w:val="continue"/>
                  <w:vAlign w:val="center"/>
                </w:tcPr>
                <w:p>
                  <w:pPr>
                    <w:autoSpaceDE w:val="0"/>
                    <w:autoSpaceDN w:val="0"/>
                    <w:spacing w:line="240" w:lineRule="auto"/>
                    <w:jc w:val="center"/>
                    <w:rPr>
                      <w:rFonts w:eastAsia="新宋体"/>
                      <w:sz w:val="21"/>
                      <w:szCs w:val="21"/>
                    </w:rPr>
                  </w:pPr>
                </w:p>
              </w:tc>
              <w:tc>
                <w:tcPr>
                  <w:tcW w:w="646" w:type="pct"/>
                  <w:gridSpan w:val="2"/>
                  <w:vAlign w:val="center"/>
                </w:tcPr>
                <w:p>
                  <w:pPr>
                    <w:autoSpaceDE w:val="0"/>
                    <w:autoSpaceDN w:val="0"/>
                    <w:spacing w:line="240" w:lineRule="auto"/>
                    <w:jc w:val="center"/>
                    <w:rPr>
                      <w:rFonts w:eastAsia="新宋体"/>
                      <w:sz w:val="21"/>
                      <w:szCs w:val="21"/>
                    </w:rPr>
                  </w:pPr>
                  <w:r>
                    <w:rPr>
                      <w:rFonts w:eastAsia="新宋体"/>
                      <w:sz w:val="21"/>
                      <w:szCs w:val="21"/>
                    </w:rPr>
                    <w:t>排水工程</w:t>
                  </w:r>
                </w:p>
              </w:tc>
              <w:tc>
                <w:tcPr>
                  <w:tcW w:w="2826" w:type="pct"/>
                  <w:vAlign w:val="center"/>
                </w:tcPr>
                <w:p>
                  <w:pPr>
                    <w:autoSpaceDE w:val="0"/>
                    <w:autoSpaceDN w:val="0"/>
                    <w:spacing w:line="240" w:lineRule="auto"/>
                    <w:jc w:val="center"/>
                    <w:rPr>
                      <w:rFonts w:eastAsia="新宋体"/>
                      <w:sz w:val="21"/>
                      <w:szCs w:val="21"/>
                    </w:rPr>
                  </w:pPr>
                  <w:r>
                    <w:rPr>
                      <w:rFonts w:eastAsia="新宋体"/>
                      <w:sz w:val="21"/>
                      <w:szCs w:val="21"/>
                    </w:rPr>
                    <w:t>采取雨、污分流制</w:t>
                  </w:r>
                </w:p>
              </w:tc>
              <w:tc>
                <w:tcPr>
                  <w:tcW w:w="1162" w:type="pct"/>
                  <w:vAlign w:val="center"/>
                </w:tcPr>
                <w:p>
                  <w:pPr>
                    <w:autoSpaceDE w:val="0"/>
                    <w:autoSpaceDN w:val="0"/>
                    <w:spacing w:line="240" w:lineRule="auto"/>
                    <w:jc w:val="center"/>
                    <w:rPr>
                      <w:rFonts w:eastAsia="新宋体"/>
                      <w:sz w:val="21"/>
                      <w:szCs w:val="21"/>
                    </w:rPr>
                  </w:pPr>
                  <w:r>
                    <w:rPr>
                      <w:rFonts w:eastAsia="新宋体"/>
                      <w:sz w:val="21"/>
                      <w:szCs w:val="21"/>
                    </w:rPr>
                    <w:t>依托现有</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PrEx>
              <w:trPr>
                <w:trHeight w:val="369" w:hRule="atLeast"/>
                <w:tblHeader/>
                <w:jc w:val="center"/>
              </w:trPr>
              <w:tc>
                <w:tcPr>
                  <w:tcW w:w="366" w:type="pct"/>
                  <w:vMerge w:val="continue"/>
                  <w:vAlign w:val="center"/>
                </w:tcPr>
                <w:p>
                  <w:pPr>
                    <w:autoSpaceDE w:val="0"/>
                    <w:autoSpaceDN w:val="0"/>
                    <w:spacing w:line="240" w:lineRule="auto"/>
                    <w:jc w:val="center"/>
                    <w:rPr>
                      <w:rFonts w:eastAsia="新宋体"/>
                      <w:sz w:val="21"/>
                      <w:szCs w:val="21"/>
                    </w:rPr>
                  </w:pPr>
                </w:p>
              </w:tc>
              <w:tc>
                <w:tcPr>
                  <w:tcW w:w="646" w:type="pct"/>
                  <w:gridSpan w:val="2"/>
                  <w:vAlign w:val="center"/>
                </w:tcPr>
                <w:p>
                  <w:pPr>
                    <w:autoSpaceDE w:val="0"/>
                    <w:autoSpaceDN w:val="0"/>
                    <w:spacing w:line="240" w:lineRule="auto"/>
                    <w:jc w:val="center"/>
                    <w:rPr>
                      <w:rFonts w:eastAsia="新宋体"/>
                      <w:sz w:val="21"/>
                      <w:szCs w:val="21"/>
                    </w:rPr>
                  </w:pPr>
                  <w:r>
                    <w:rPr>
                      <w:rFonts w:eastAsia="新宋体"/>
                      <w:sz w:val="21"/>
                      <w:szCs w:val="21"/>
                    </w:rPr>
                    <w:t>供电工程</w:t>
                  </w:r>
                </w:p>
              </w:tc>
              <w:tc>
                <w:tcPr>
                  <w:tcW w:w="2826" w:type="pct"/>
                  <w:vAlign w:val="center"/>
                </w:tcPr>
                <w:p>
                  <w:pPr>
                    <w:autoSpaceDE w:val="0"/>
                    <w:autoSpaceDN w:val="0"/>
                    <w:spacing w:line="240" w:lineRule="auto"/>
                    <w:jc w:val="center"/>
                    <w:rPr>
                      <w:rFonts w:eastAsia="新宋体"/>
                      <w:sz w:val="21"/>
                      <w:szCs w:val="21"/>
                    </w:rPr>
                  </w:pPr>
                  <w:r>
                    <w:rPr>
                      <w:rFonts w:eastAsia="新宋体"/>
                      <w:sz w:val="21"/>
                      <w:szCs w:val="21"/>
                    </w:rPr>
                    <w:t>由市政电网供给</w:t>
                  </w:r>
                </w:p>
              </w:tc>
              <w:tc>
                <w:tcPr>
                  <w:tcW w:w="1162" w:type="pct"/>
                  <w:vAlign w:val="center"/>
                </w:tcPr>
                <w:p>
                  <w:pPr>
                    <w:autoSpaceDE w:val="0"/>
                    <w:autoSpaceDN w:val="0"/>
                    <w:spacing w:line="240" w:lineRule="auto"/>
                    <w:jc w:val="center"/>
                    <w:rPr>
                      <w:rFonts w:eastAsia="新宋体"/>
                      <w:sz w:val="21"/>
                      <w:szCs w:val="21"/>
                    </w:rPr>
                  </w:pPr>
                  <w:r>
                    <w:rPr>
                      <w:rFonts w:eastAsia="新宋体"/>
                      <w:sz w:val="21"/>
                      <w:szCs w:val="21"/>
                    </w:rPr>
                    <w:t>依托现有</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69" w:hRule="atLeast"/>
                <w:tblHeader/>
                <w:jc w:val="center"/>
              </w:trPr>
              <w:tc>
                <w:tcPr>
                  <w:tcW w:w="366" w:type="pct"/>
                  <w:vMerge w:val="restart"/>
                  <w:vAlign w:val="center"/>
                </w:tcPr>
                <w:p>
                  <w:pPr>
                    <w:autoSpaceDE w:val="0"/>
                    <w:autoSpaceDN w:val="0"/>
                    <w:spacing w:line="240" w:lineRule="auto"/>
                    <w:jc w:val="center"/>
                    <w:rPr>
                      <w:rFonts w:eastAsia="新宋体"/>
                      <w:sz w:val="21"/>
                      <w:szCs w:val="21"/>
                    </w:rPr>
                  </w:pPr>
                  <w:r>
                    <w:rPr>
                      <w:rFonts w:eastAsia="新宋体"/>
                      <w:sz w:val="21"/>
                      <w:szCs w:val="21"/>
                    </w:rPr>
                    <w:t>环保工程</w:t>
                  </w:r>
                </w:p>
              </w:tc>
              <w:tc>
                <w:tcPr>
                  <w:tcW w:w="242" w:type="pct"/>
                  <w:vMerge w:val="restart"/>
                  <w:vAlign w:val="center"/>
                </w:tcPr>
                <w:p>
                  <w:pPr>
                    <w:tabs>
                      <w:tab w:val="center" w:pos="959"/>
                      <w:tab w:val="right" w:pos="1799"/>
                    </w:tabs>
                    <w:autoSpaceDE w:val="0"/>
                    <w:autoSpaceDN w:val="0"/>
                    <w:spacing w:line="240" w:lineRule="auto"/>
                    <w:jc w:val="center"/>
                    <w:rPr>
                      <w:rFonts w:eastAsia="新宋体"/>
                      <w:sz w:val="21"/>
                      <w:szCs w:val="21"/>
                    </w:rPr>
                  </w:pPr>
                  <w:r>
                    <w:rPr>
                      <w:rFonts w:eastAsia="新宋体"/>
                      <w:sz w:val="21"/>
                      <w:szCs w:val="21"/>
                    </w:rPr>
                    <w:t>废水</w:t>
                  </w:r>
                </w:p>
              </w:tc>
              <w:tc>
                <w:tcPr>
                  <w:tcW w:w="404" w:type="pct"/>
                  <w:vAlign w:val="center"/>
                </w:tcPr>
                <w:p>
                  <w:pPr>
                    <w:tabs>
                      <w:tab w:val="center" w:pos="959"/>
                      <w:tab w:val="right" w:pos="1799"/>
                    </w:tabs>
                    <w:autoSpaceDE w:val="0"/>
                    <w:autoSpaceDN w:val="0"/>
                    <w:spacing w:line="240" w:lineRule="auto"/>
                    <w:jc w:val="center"/>
                    <w:rPr>
                      <w:rFonts w:eastAsia="新宋体"/>
                      <w:sz w:val="21"/>
                      <w:szCs w:val="21"/>
                    </w:rPr>
                  </w:pPr>
                  <w:r>
                    <w:rPr>
                      <w:rFonts w:eastAsia="新宋体"/>
                      <w:sz w:val="21"/>
                      <w:szCs w:val="21"/>
                    </w:rPr>
                    <w:t>生产废水</w:t>
                  </w:r>
                </w:p>
              </w:tc>
              <w:tc>
                <w:tcPr>
                  <w:tcW w:w="2826" w:type="pct"/>
                  <w:vAlign w:val="center"/>
                </w:tcPr>
                <w:p>
                  <w:pPr>
                    <w:tabs>
                      <w:tab w:val="center" w:pos="959"/>
                      <w:tab w:val="right" w:pos="1799"/>
                    </w:tabs>
                    <w:autoSpaceDE w:val="0"/>
                    <w:autoSpaceDN w:val="0"/>
                    <w:spacing w:line="240" w:lineRule="auto"/>
                    <w:jc w:val="center"/>
                    <w:rPr>
                      <w:rFonts w:eastAsia="新宋体"/>
                      <w:sz w:val="21"/>
                      <w:szCs w:val="21"/>
                    </w:rPr>
                  </w:pPr>
                  <w:r>
                    <w:rPr>
                      <w:rFonts w:eastAsia="新宋体"/>
                      <w:b/>
                      <w:bCs/>
                      <w:sz w:val="21"/>
                      <w:szCs w:val="21"/>
                    </w:rPr>
                    <w:t>近期：</w:t>
                  </w:r>
                  <w:r>
                    <w:rPr>
                      <w:rFonts w:eastAsia="新宋体"/>
                      <w:sz w:val="21"/>
                      <w:szCs w:val="21"/>
                    </w:rPr>
                    <w:t>淋雨测试废水汇入比亚迪污水处理站处理达到河口镇污水处理厂接管标准及广东省《水污染物排放限值》（DB44/26-2001）第二时段三级标准较严值后排入河口镇污水处理厂；</w:t>
                  </w:r>
                </w:p>
                <w:p>
                  <w:pPr>
                    <w:tabs>
                      <w:tab w:val="center" w:pos="959"/>
                      <w:tab w:val="right" w:pos="1799"/>
                    </w:tabs>
                    <w:autoSpaceDE w:val="0"/>
                    <w:autoSpaceDN w:val="0"/>
                    <w:spacing w:line="240" w:lineRule="auto"/>
                    <w:jc w:val="center"/>
                    <w:rPr>
                      <w:rFonts w:eastAsia="新宋体"/>
                      <w:sz w:val="21"/>
                      <w:szCs w:val="21"/>
                    </w:rPr>
                  </w:pPr>
                  <w:r>
                    <w:rPr>
                      <w:rFonts w:eastAsia="新宋体"/>
                      <w:b/>
                      <w:bCs/>
                      <w:sz w:val="21"/>
                      <w:szCs w:val="21"/>
                    </w:rPr>
                    <w:t>远期：</w:t>
                  </w:r>
                  <w:r>
                    <w:rPr>
                      <w:rFonts w:eastAsia="新宋体"/>
                      <w:sz w:val="21"/>
                      <w:szCs w:val="21"/>
                    </w:rPr>
                    <w:t>淋雨测试废水经比亚迪污水处理站预处理达到</w:t>
                  </w:r>
                  <w:r>
                    <w:rPr>
                      <w:rFonts w:eastAsia="新宋体"/>
                      <w:bCs/>
                      <w:kern w:val="0"/>
                      <w:sz w:val="21"/>
                      <w:szCs w:val="21"/>
                    </w:rPr>
                    <w:t>陆河产业转移工业园</w:t>
                  </w:r>
                  <w:r>
                    <w:rPr>
                      <w:rFonts w:eastAsia="新宋体"/>
                      <w:sz w:val="21"/>
                      <w:szCs w:val="21"/>
                    </w:rPr>
                    <w:t>工业污水处理厂进水水质要求及广东省《水污染物排放限值》（DB44/26-2001）第二时段三级标准的较严值后纳入到</w:t>
                  </w:r>
                  <w:r>
                    <w:rPr>
                      <w:rFonts w:eastAsia="新宋体"/>
                      <w:bCs/>
                      <w:kern w:val="0"/>
                      <w:sz w:val="21"/>
                      <w:szCs w:val="21"/>
                    </w:rPr>
                    <w:t>陆河产业转移工业园</w:t>
                  </w:r>
                  <w:r>
                    <w:rPr>
                      <w:rFonts w:eastAsia="新宋体"/>
                      <w:sz w:val="21"/>
                      <w:szCs w:val="21"/>
                    </w:rPr>
                    <w:t>工业污水处理厂处理</w:t>
                  </w:r>
                  <w:r>
                    <w:rPr>
                      <w:rFonts w:hint="eastAsia" w:eastAsia="新宋体"/>
                      <w:sz w:val="21"/>
                      <w:szCs w:val="21"/>
                    </w:rPr>
                    <w:t>。</w:t>
                  </w:r>
                </w:p>
              </w:tc>
              <w:tc>
                <w:tcPr>
                  <w:tcW w:w="1162" w:type="pct"/>
                  <w:vAlign w:val="center"/>
                </w:tcPr>
                <w:p>
                  <w:pPr>
                    <w:tabs>
                      <w:tab w:val="center" w:pos="959"/>
                      <w:tab w:val="right" w:pos="1799"/>
                    </w:tabs>
                    <w:autoSpaceDE w:val="0"/>
                    <w:autoSpaceDN w:val="0"/>
                    <w:spacing w:line="240" w:lineRule="auto"/>
                    <w:jc w:val="center"/>
                    <w:rPr>
                      <w:sz w:val="21"/>
                      <w:szCs w:val="21"/>
                      <w:shd w:val="clear" w:color="auto" w:fill="FFFFFF"/>
                    </w:rPr>
                  </w:pPr>
                  <w:r>
                    <w:rPr>
                      <w:rFonts w:eastAsia="新宋体"/>
                      <w:sz w:val="21"/>
                      <w:szCs w:val="21"/>
                    </w:rPr>
                    <w:t>依托现有</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69" w:hRule="atLeast"/>
                <w:tblHeader/>
                <w:jc w:val="center"/>
              </w:trPr>
              <w:tc>
                <w:tcPr>
                  <w:tcW w:w="366" w:type="pct"/>
                  <w:vMerge w:val="continue"/>
                  <w:vAlign w:val="center"/>
                </w:tcPr>
                <w:p>
                  <w:pPr>
                    <w:autoSpaceDE w:val="0"/>
                    <w:autoSpaceDN w:val="0"/>
                    <w:spacing w:line="240" w:lineRule="auto"/>
                    <w:jc w:val="center"/>
                    <w:rPr>
                      <w:rFonts w:eastAsia="新宋体"/>
                      <w:sz w:val="21"/>
                      <w:szCs w:val="21"/>
                    </w:rPr>
                  </w:pPr>
                </w:p>
              </w:tc>
              <w:tc>
                <w:tcPr>
                  <w:tcW w:w="242" w:type="pct"/>
                  <w:vMerge w:val="continue"/>
                  <w:vAlign w:val="center"/>
                </w:tcPr>
                <w:p>
                  <w:pPr>
                    <w:tabs>
                      <w:tab w:val="center" w:pos="959"/>
                      <w:tab w:val="right" w:pos="1799"/>
                    </w:tabs>
                    <w:autoSpaceDE w:val="0"/>
                    <w:autoSpaceDN w:val="0"/>
                    <w:spacing w:line="240" w:lineRule="auto"/>
                    <w:jc w:val="center"/>
                    <w:rPr>
                      <w:rFonts w:eastAsia="新宋体"/>
                      <w:sz w:val="21"/>
                      <w:szCs w:val="21"/>
                    </w:rPr>
                  </w:pPr>
                </w:p>
              </w:tc>
              <w:tc>
                <w:tcPr>
                  <w:tcW w:w="404" w:type="pct"/>
                  <w:vAlign w:val="center"/>
                </w:tcPr>
                <w:p>
                  <w:pPr>
                    <w:tabs>
                      <w:tab w:val="center" w:pos="959"/>
                      <w:tab w:val="right" w:pos="1799"/>
                    </w:tabs>
                    <w:autoSpaceDE w:val="0"/>
                    <w:autoSpaceDN w:val="0"/>
                    <w:spacing w:line="240" w:lineRule="auto"/>
                    <w:jc w:val="center"/>
                    <w:rPr>
                      <w:rFonts w:eastAsia="新宋体"/>
                      <w:sz w:val="21"/>
                      <w:szCs w:val="21"/>
                    </w:rPr>
                  </w:pPr>
                  <w:r>
                    <w:rPr>
                      <w:rFonts w:eastAsia="新宋体"/>
                      <w:sz w:val="21"/>
                      <w:szCs w:val="21"/>
                    </w:rPr>
                    <w:t>生活污水</w:t>
                  </w:r>
                </w:p>
              </w:tc>
              <w:tc>
                <w:tcPr>
                  <w:tcW w:w="2826" w:type="pct"/>
                  <w:vAlign w:val="center"/>
                </w:tcPr>
                <w:p>
                  <w:pPr>
                    <w:tabs>
                      <w:tab w:val="center" w:pos="1351"/>
                      <w:tab w:val="right" w:pos="2582"/>
                    </w:tabs>
                    <w:autoSpaceDE w:val="0"/>
                    <w:autoSpaceDN w:val="0"/>
                    <w:spacing w:line="240" w:lineRule="auto"/>
                    <w:jc w:val="center"/>
                    <w:rPr>
                      <w:rFonts w:eastAsia="新宋体"/>
                      <w:sz w:val="21"/>
                      <w:szCs w:val="21"/>
                    </w:rPr>
                  </w:pPr>
                  <w:r>
                    <w:rPr>
                      <w:rFonts w:hint="eastAsia" w:eastAsia="新宋体"/>
                      <w:sz w:val="21"/>
                      <w:szCs w:val="21"/>
                    </w:rPr>
                    <w:t>依托项目所在的</w:t>
                  </w:r>
                  <w:r>
                    <w:rPr>
                      <w:rFonts w:eastAsia="新宋体"/>
                      <w:sz w:val="21"/>
                      <w:szCs w:val="21"/>
                    </w:rPr>
                    <w:t>陆河比亚迪工业园</w:t>
                  </w:r>
                  <w:r>
                    <w:rPr>
                      <w:rFonts w:hint="eastAsia" w:eastAsia="新宋体"/>
                      <w:sz w:val="21"/>
                      <w:szCs w:val="21"/>
                    </w:rPr>
                    <w:t>内现有</w:t>
                  </w:r>
                  <w:r>
                    <w:rPr>
                      <w:rFonts w:eastAsia="新宋体"/>
                      <w:sz w:val="21"/>
                      <w:szCs w:val="21"/>
                    </w:rPr>
                    <w:t>三级化粪池处理达标后经市政管网排入河口镇污水处理厂处理达标后排放</w:t>
                  </w:r>
                </w:p>
              </w:tc>
              <w:tc>
                <w:tcPr>
                  <w:tcW w:w="1162" w:type="pct"/>
                  <w:vAlign w:val="center"/>
                </w:tcPr>
                <w:p>
                  <w:pPr>
                    <w:tabs>
                      <w:tab w:val="center" w:pos="1351"/>
                      <w:tab w:val="right" w:pos="2582"/>
                    </w:tabs>
                    <w:autoSpaceDE w:val="0"/>
                    <w:autoSpaceDN w:val="0"/>
                    <w:spacing w:line="240" w:lineRule="auto"/>
                    <w:jc w:val="center"/>
                    <w:rPr>
                      <w:rFonts w:eastAsia="新宋体"/>
                      <w:sz w:val="21"/>
                      <w:szCs w:val="21"/>
                    </w:rPr>
                  </w:pPr>
                  <w:r>
                    <w:rPr>
                      <w:rFonts w:eastAsia="新宋体"/>
                      <w:sz w:val="21"/>
                      <w:szCs w:val="21"/>
                    </w:rPr>
                    <w:t>依托现有</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69" w:hRule="atLeast"/>
                <w:tblHeader/>
                <w:jc w:val="center"/>
              </w:trPr>
              <w:tc>
                <w:tcPr>
                  <w:tcW w:w="366" w:type="pct"/>
                  <w:vMerge w:val="continue"/>
                  <w:vAlign w:val="center"/>
                </w:tcPr>
                <w:p>
                  <w:pPr>
                    <w:autoSpaceDE w:val="0"/>
                    <w:autoSpaceDN w:val="0"/>
                    <w:spacing w:line="240" w:lineRule="auto"/>
                    <w:jc w:val="center"/>
                    <w:rPr>
                      <w:rFonts w:eastAsia="新宋体"/>
                      <w:sz w:val="21"/>
                      <w:szCs w:val="21"/>
                    </w:rPr>
                  </w:pPr>
                </w:p>
              </w:tc>
              <w:tc>
                <w:tcPr>
                  <w:tcW w:w="646" w:type="pct"/>
                  <w:gridSpan w:val="2"/>
                  <w:vAlign w:val="center"/>
                </w:tcPr>
                <w:p>
                  <w:pPr>
                    <w:tabs>
                      <w:tab w:val="center" w:pos="959"/>
                      <w:tab w:val="right" w:pos="1799"/>
                    </w:tabs>
                    <w:autoSpaceDE w:val="0"/>
                    <w:autoSpaceDN w:val="0"/>
                    <w:spacing w:line="240" w:lineRule="auto"/>
                    <w:jc w:val="center"/>
                    <w:rPr>
                      <w:rFonts w:eastAsia="新宋体"/>
                      <w:sz w:val="21"/>
                      <w:szCs w:val="21"/>
                    </w:rPr>
                  </w:pPr>
                  <w:r>
                    <w:rPr>
                      <w:rFonts w:hint="eastAsia" w:eastAsia="新宋体"/>
                      <w:sz w:val="21"/>
                      <w:szCs w:val="21"/>
                    </w:rPr>
                    <w:t>废气</w:t>
                  </w:r>
                </w:p>
              </w:tc>
              <w:tc>
                <w:tcPr>
                  <w:tcW w:w="2826" w:type="pct"/>
                  <w:vAlign w:val="center"/>
                </w:tcPr>
                <w:p>
                  <w:pPr>
                    <w:tabs>
                      <w:tab w:val="center" w:pos="1351"/>
                      <w:tab w:val="right" w:pos="2582"/>
                    </w:tabs>
                    <w:autoSpaceDE w:val="0"/>
                    <w:autoSpaceDN w:val="0"/>
                    <w:spacing w:line="240" w:lineRule="auto"/>
                    <w:jc w:val="center"/>
                    <w:rPr>
                      <w:rFonts w:eastAsia="新宋体"/>
                      <w:sz w:val="21"/>
                      <w:szCs w:val="21"/>
                    </w:rPr>
                  </w:pPr>
                  <w:r>
                    <w:rPr>
                      <w:rFonts w:hint="eastAsia" w:eastAsia="新宋体"/>
                      <w:sz w:val="21"/>
                      <w:szCs w:val="21"/>
                    </w:rPr>
                    <w:t>有机废气采取车间机械通风设施以无组织形式排放</w:t>
                  </w:r>
                </w:p>
              </w:tc>
              <w:tc>
                <w:tcPr>
                  <w:tcW w:w="1162" w:type="pct"/>
                  <w:vAlign w:val="center"/>
                </w:tcPr>
                <w:p>
                  <w:pPr>
                    <w:tabs>
                      <w:tab w:val="center" w:pos="1351"/>
                      <w:tab w:val="right" w:pos="2582"/>
                    </w:tabs>
                    <w:autoSpaceDE w:val="0"/>
                    <w:autoSpaceDN w:val="0"/>
                    <w:spacing w:line="240" w:lineRule="auto"/>
                    <w:jc w:val="center"/>
                    <w:rPr>
                      <w:rFonts w:eastAsia="新宋体"/>
                      <w:sz w:val="21"/>
                      <w:szCs w:val="21"/>
                    </w:rPr>
                  </w:pPr>
                  <w:r>
                    <w:rPr>
                      <w:rFonts w:hint="eastAsia" w:eastAsia="新宋体"/>
                      <w:sz w:val="21"/>
                      <w:szCs w:val="21"/>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69" w:hRule="atLeast"/>
                <w:tblHeader/>
                <w:jc w:val="center"/>
              </w:trPr>
              <w:tc>
                <w:tcPr>
                  <w:tcW w:w="366" w:type="pct"/>
                  <w:vMerge w:val="continue"/>
                  <w:vAlign w:val="center"/>
                </w:tcPr>
                <w:p>
                  <w:pPr>
                    <w:autoSpaceDE w:val="0"/>
                    <w:autoSpaceDN w:val="0"/>
                    <w:spacing w:line="240" w:lineRule="auto"/>
                    <w:jc w:val="center"/>
                    <w:rPr>
                      <w:rFonts w:eastAsia="新宋体"/>
                      <w:sz w:val="21"/>
                      <w:szCs w:val="21"/>
                    </w:rPr>
                  </w:pPr>
                </w:p>
              </w:tc>
              <w:tc>
                <w:tcPr>
                  <w:tcW w:w="646" w:type="pct"/>
                  <w:gridSpan w:val="2"/>
                  <w:vAlign w:val="center"/>
                </w:tcPr>
                <w:p>
                  <w:pPr>
                    <w:spacing w:line="240" w:lineRule="auto"/>
                    <w:jc w:val="center"/>
                    <w:rPr>
                      <w:rFonts w:eastAsia="新宋体"/>
                      <w:sz w:val="21"/>
                      <w:szCs w:val="21"/>
                    </w:rPr>
                  </w:pPr>
                  <w:r>
                    <w:rPr>
                      <w:rFonts w:eastAsia="新宋体"/>
                      <w:sz w:val="21"/>
                      <w:szCs w:val="21"/>
                    </w:rPr>
                    <w:t>噪声</w:t>
                  </w:r>
                </w:p>
              </w:tc>
              <w:tc>
                <w:tcPr>
                  <w:tcW w:w="2826" w:type="pct"/>
                  <w:vAlign w:val="center"/>
                </w:tcPr>
                <w:p>
                  <w:pPr>
                    <w:tabs>
                      <w:tab w:val="center" w:pos="1351"/>
                      <w:tab w:val="right" w:pos="2582"/>
                    </w:tabs>
                    <w:autoSpaceDE w:val="0"/>
                    <w:autoSpaceDN w:val="0"/>
                    <w:spacing w:line="240" w:lineRule="auto"/>
                    <w:jc w:val="center"/>
                    <w:rPr>
                      <w:rFonts w:eastAsia="新宋体"/>
                      <w:sz w:val="21"/>
                      <w:szCs w:val="21"/>
                    </w:rPr>
                  </w:pPr>
                  <w:r>
                    <w:rPr>
                      <w:rFonts w:eastAsia="新宋体"/>
                      <w:sz w:val="21"/>
                      <w:szCs w:val="21"/>
                    </w:rPr>
                    <w:t>合理布局、距离衰减、减震消音</w:t>
                  </w:r>
                </w:p>
              </w:tc>
              <w:tc>
                <w:tcPr>
                  <w:tcW w:w="1162" w:type="pct"/>
                  <w:vAlign w:val="center"/>
                </w:tcPr>
                <w:p>
                  <w:pPr>
                    <w:tabs>
                      <w:tab w:val="center" w:pos="1351"/>
                      <w:tab w:val="right" w:pos="2582"/>
                    </w:tabs>
                    <w:autoSpaceDE w:val="0"/>
                    <w:autoSpaceDN w:val="0"/>
                    <w:spacing w:line="240" w:lineRule="auto"/>
                    <w:jc w:val="center"/>
                    <w:rPr>
                      <w:rFonts w:eastAsia="新宋体"/>
                      <w:sz w:val="21"/>
                      <w:szCs w:val="21"/>
                    </w:rPr>
                  </w:pPr>
                  <w:r>
                    <w:rPr>
                      <w:rFonts w:eastAsia="新宋体"/>
                      <w:sz w:val="21"/>
                      <w:szCs w:val="21"/>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69" w:hRule="atLeast"/>
                <w:tblHeader/>
                <w:jc w:val="center"/>
              </w:trPr>
              <w:tc>
                <w:tcPr>
                  <w:tcW w:w="366" w:type="pct"/>
                  <w:vMerge w:val="continue"/>
                  <w:vAlign w:val="center"/>
                </w:tcPr>
                <w:p>
                  <w:pPr>
                    <w:autoSpaceDE w:val="0"/>
                    <w:autoSpaceDN w:val="0"/>
                    <w:spacing w:line="240" w:lineRule="auto"/>
                    <w:jc w:val="center"/>
                    <w:rPr>
                      <w:rFonts w:eastAsia="新宋体"/>
                      <w:sz w:val="21"/>
                      <w:szCs w:val="21"/>
                    </w:rPr>
                  </w:pPr>
                </w:p>
              </w:tc>
              <w:tc>
                <w:tcPr>
                  <w:tcW w:w="646" w:type="pct"/>
                  <w:gridSpan w:val="2"/>
                  <w:vAlign w:val="center"/>
                </w:tcPr>
                <w:p>
                  <w:pPr>
                    <w:autoSpaceDE w:val="0"/>
                    <w:autoSpaceDN w:val="0"/>
                    <w:spacing w:line="240" w:lineRule="auto"/>
                    <w:jc w:val="center"/>
                    <w:rPr>
                      <w:rFonts w:eastAsia="新宋体"/>
                      <w:sz w:val="21"/>
                      <w:szCs w:val="21"/>
                    </w:rPr>
                  </w:pPr>
                  <w:r>
                    <w:rPr>
                      <w:rFonts w:eastAsia="新宋体"/>
                      <w:sz w:val="21"/>
                      <w:szCs w:val="21"/>
                    </w:rPr>
                    <w:t>固废</w:t>
                  </w:r>
                </w:p>
              </w:tc>
              <w:tc>
                <w:tcPr>
                  <w:tcW w:w="2826" w:type="pct"/>
                  <w:vAlign w:val="center"/>
                </w:tcPr>
                <w:p>
                  <w:pPr>
                    <w:tabs>
                      <w:tab w:val="center" w:pos="1351"/>
                      <w:tab w:val="right" w:pos="2582"/>
                    </w:tabs>
                    <w:autoSpaceDE w:val="0"/>
                    <w:autoSpaceDN w:val="0"/>
                    <w:spacing w:line="240" w:lineRule="auto"/>
                    <w:jc w:val="center"/>
                    <w:rPr>
                      <w:rFonts w:eastAsia="新宋体"/>
                      <w:sz w:val="21"/>
                      <w:szCs w:val="21"/>
                    </w:rPr>
                  </w:pPr>
                  <w:r>
                    <w:rPr>
                      <w:rFonts w:eastAsia="新宋体"/>
                      <w:sz w:val="21"/>
                      <w:szCs w:val="21"/>
                    </w:rPr>
                    <w:t>一般固废暂存间、危废暂存间</w:t>
                  </w:r>
                </w:p>
              </w:tc>
              <w:tc>
                <w:tcPr>
                  <w:tcW w:w="1162" w:type="pct"/>
                  <w:vAlign w:val="center"/>
                </w:tcPr>
                <w:p>
                  <w:pPr>
                    <w:tabs>
                      <w:tab w:val="center" w:pos="1351"/>
                      <w:tab w:val="right" w:pos="2582"/>
                    </w:tabs>
                    <w:autoSpaceDE w:val="0"/>
                    <w:autoSpaceDN w:val="0"/>
                    <w:spacing w:line="240" w:lineRule="auto"/>
                    <w:jc w:val="center"/>
                    <w:rPr>
                      <w:rFonts w:eastAsia="新宋体"/>
                      <w:sz w:val="21"/>
                      <w:szCs w:val="21"/>
                    </w:rPr>
                  </w:pPr>
                  <w:r>
                    <w:rPr>
                      <w:rFonts w:hint="eastAsia" w:eastAsia="新宋体"/>
                      <w:sz w:val="21"/>
                      <w:szCs w:val="21"/>
                    </w:rPr>
                    <w:t>/</w:t>
                  </w:r>
                </w:p>
              </w:tc>
            </w:tr>
          </w:tbl>
          <w:p>
            <w:pPr>
              <w:ind w:firstLine="482" w:firstLineChars="200"/>
              <w:jc w:val="left"/>
              <w:rPr>
                <w:b/>
                <w:sz w:val="24"/>
              </w:rPr>
            </w:pPr>
            <w:r>
              <w:rPr>
                <w:b/>
                <w:sz w:val="24"/>
              </w:rPr>
              <w:t>4、产品方案及规模</w:t>
            </w:r>
          </w:p>
          <w:p>
            <w:pPr>
              <w:ind w:firstLine="480" w:firstLineChars="200"/>
              <w:jc w:val="left"/>
              <w:rPr>
                <w:bCs/>
                <w:sz w:val="24"/>
              </w:rPr>
            </w:pPr>
            <w:r>
              <w:rPr>
                <w:bCs/>
                <w:sz w:val="24"/>
              </w:rPr>
              <w:t>项目产品方案和规模如下。</w:t>
            </w:r>
          </w:p>
          <w:p>
            <w:pPr>
              <w:pStyle w:val="169"/>
              <w:spacing w:line="240" w:lineRule="auto"/>
              <w:rPr>
                <w:rFonts w:hint="default" w:hAnsi="Times New Roman" w:eastAsiaTheme="minorEastAsia"/>
                <w:sz w:val="24"/>
                <w:szCs w:val="24"/>
              </w:rPr>
            </w:pPr>
            <w:r>
              <w:rPr>
                <w:rFonts w:hint="default" w:hAnsi="Times New Roman" w:eastAsiaTheme="minorEastAsia"/>
                <w:sz w:val="24"/>
                <w:szCs w:val="24"/>
              </w:rPr>
              <w:t>表2-3 项目主要产品及产量</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899"/>
              <w:gridCol w:w="3261"/>
              <w:gridCol w:w="260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2586" w:type="dxa"/>
                  <w:vAlign w:val="center"/>
                </w:tcPr>
                <w:p>
                  <w:pPr>
                    <w:pStyle w:val="123"/>
                    <w:snapToGrid w:val="0"/>
                    <w:jc w:val="center"/>
                    <w:rPr>
                      <w:rFonts w:eastAsia="宋体"/>
                      <w:b/>
                      <w:sz w:val="21"/>
                      <w:szCs w:val="21"/>
                    </w:rPr>
                  </w:pPr>
                  <w:r>
                    <w:rPr>
                      <w:rFonts w:eastAsia="宋体"/>
                      <w:b/>
                      <w:sz w:val="21"/>
                      <w:szCs w:val="21"/>
                    </w:rPr>
                    <w:t>产品名称</w:t>
                  </w:r>
                </w:p>
              </w:tc>
              <w:tc>
                <w:tcPr>
                  <w:tcW w:w="2909" w:type="dxa"/>
                  <w:vAlign w:val="center"/>
                </w:tcPr>
                <w:p>
                  <w:pPr>
                    <w:tabs>
                      <w:tab w:val="left" w:pos="0"/>
                    </w:tabs>
                    <w:spacing w:line="240" w:lineRule="auto"/>
                    <w:jc w:val="center"/>
                    <w:rPr>
                      <w:b/>
                      <w:sz w:val="21"/>
                      <w:szCs w:val="21"/>
                    </w:rPr>
                  </w:pPr>
                  <w:r>
                    <w:rPr>
                      <w:b/>
                      <w:sz w:val="21"/>
                      <w:szCs w:val="21"/>
                    </w:rPr>
                    <w:t>产量</w:t>
                  </w:r>
                </w:p>
              </w:tc>
              <w:tc>
                <w:tcPr>
                  <w:tcW w:w="2326" w:type="dxa"/>
                  <w:vAlign w:val="center"/>
                </w:tcPr>
                <w:p>
                  <w:pPr>
                    <w:pStyle w:val="123"/>
                    <w:snapToGrid w:val="0"/>
                    <w:jc w:val="center"/>
                    <w:rPr>
                      <w:rFonts w:eastAsia="宋体"/>
                      <w:b/>
                      <w:sz w:val="21"/>
                      <w:szCs w:val="21"/>
                    </w:rPr>
                  </w:pPr>
                  <w:r>
                    <w:rPr>
                      <w:rFonts w:eastAsia="宋体"/>
                      <w:b/>
                      <w:sz w:val="21"/>
                      <w:szCs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2586" w:type="dxa"/>
                  <w:vAlign w:val="center"/>
                </w:tcPr>
                <w:p>
                  <w:pPr>
                    <w:widowControl/>
                    <w:spacing w:line="240" w:lineRule="auto"/>
                    <w:jc w:val="center"/>
                    <w:textAlignment w:val="center"/>
                    <w:rPr>
                      <w:b/>
                      <w:sz w:val="21"/>
                      <w:szCs w:val="21"/>
                    </w:rPr>
                  </w:pPr>
                  <w:r>
                    <w:rPr>
                      <w:rFonts w:hint="eastAsia"/>
                      <w:kern w:val="0"/>
                      <w:sz w:val="21"/>
                      <w:szCs w:val="21"/>
                    </w:rPr>
                    <w:t>储能集装箱</w:t>
                  </w:r>
                </w:p>
              </w:tc>
              <w:tc>
                <w:tcPr>
                  <w:tcW w:w="2909" w:type="dxa"/>
                  <w:vAlign w:val="center"/>
                </w:tcPr>
                <w:p>
                  <w:pPr>
                    <w:widowControl/>
                    <w:spacing w:line="240" w:lineRule="auto"/>
                    <w:jc w:val="center"/>
                    <w:textAlignment w:val="center"/>
                    <w:rPr>
                      <w:b/>
                      <w:sz w:val="21"/>
                      <w:szCs w:val="21"/>
                    </w:rPr>
                  </w:pPr>
                  <w:r>
                    <w:rPr>
                      <w:kern w:val="0"/>
                      <w:sz w:val="21"/>
                      <w:szCs w:val="21"/>
                    </w:rPr>
                    <w:t>8</w:t>
                  </w:r>
                  <w:r>
                    <w:rPr>
                      <w:rFonts w:hint="eastAsia"/>
                      <w:kern w:val="0"/>
                      <w:sz w:val="21"/>
                      <w:szCs w:val="21"/>
                    </w:rPr>
                    <w:t>00台</w:t>
                  </w:r>
                  <w:r>
                    <w:rPr>
                      <w:kern w:val="0"/>
                      <w:sz w:val="21"/>
                      <w:szCs w:val="21"/>
                    </w:rPr>
                    <w:t>/年</w:t>
                  </w:r>
                </w:p>
              </w:tc>
              <w:tc>
                <w:tcPr>
                  <w:tcW w:w="2326" w:type="dxa"/>
                  <w:vAlign w:val="center"/>
                </w:tcPr>
                <w:p>
                  <w:pPr>
                    <w:widowControl/>
                    <w:spacing w:line="240" w:lineRule="auto"/>
                    <w:jc w:val="center"/>
                    <w:textAlignment w:val="center"/>
                    <w:rPr>
                      <w:b/>
                      <w:sz w:val="21"/>
                      <w:szCs w:val="21"/>
                    </w:rPr>
                  </w:pPr>
                  <w:r>
                    <w:rPr>
                      <w:kern w:val="0"/>
                      <w:sz w:val="21"/>
                      <w:szCs w:val="21"/>
                    </w:rPr>
                    <w:t>67</w:t>
                  </w:r>
                  <w:r>
                    <w:rPr>
                      <w:rFonts w:hint="eastAsia"/>
                      <w:kern w:val="0"/>
                      <w:sz w:val="21"/>
                      <w:szCs w:val="21"/>
                    </w:rPr>
                    <w:t>台</w:t>
                  </w:r>
                  <w:r>
                    <w:rPr>
                      <w:kern w:val="0"/>
                      <w:sz w:val="21"/>
                      <w:szCs w:val="21"/>
                    </w:rPr>
                    <w:t>/月</w:t>
                  </w:r>
                </w:p>
              </w:tc>
            </w:tr>
          </w:tbl>
          <w:p>
            <w:pPr>
              <w:ind w:firstLine="482" w:firstLineChars="200"/>
              <w:jc w:val="left"/>
              <w:rPr>
                <w:b/>
                <w:sz w:val="24"/>
              </w:rPr>
            </w:pPr>
            <w:r>
              <w:rPr>
                <w:b/>
                <w:sz w:val="24"/>
              </w:rPr>
              <w:t>5、主要设备情况</w:t>
            </w:r>
          </w:p>
          <w:p>
            <w:pPr>
              <w:ind w:firstLine="480" w:firstLineChars="200"/>
              <w:jc w:val="left"/>
              <w:rPr>
                <w:bCs/>
                <w:sz w:val="24"/>
              </w:rPr>
            </w:pPr>
            <w:r>
              <w:rPr>
                <w:bCs/>
                <w:sz w:val="24"/>
              </w:rPr>
              <w:t>项目主要生产设备情况如下。</w:t>
            </w:r>
          </w:p>
          <w:p>
            <w:pPr>
              <w:pStyle w:val="2"/>
            </w:pPr>
          </w:p>
          <w:p>
            <w:pPr>
              <w:pStyle w:val="169"/>
              <w:spacing w:line="240" w:lineRule="auto"/>
              <w:rPr>
                <w:rFonts w:hint="default" w:hAnsi="Times New Roman" w:eastAsiaTheme="minorEastAsia"/>
                <w:sz w:val="24"/>
                <w:szCs w:val="24"/>
              </w:rPr>
            </w:pPr>
            <w:r>
              <w:rPr>
                <w:rFonts w:hint="default" w:hAnsi="Times New Roman" w:eastAsiaTheme="minorEastAsia"/>
                <w:sz w:val="24"/>
                <w:szCs w:val="24"/>
              </w:rPr>
              <w:t>表2-4 项目主要生产设备清单</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1"/>
              <w:gridCol w:w="2410"/>
              <w:gridCol w:w="1134"/>
              <w:gridCol w:w="1843"/>
              <w:gridCol w:w="1252"/>
              <w:gridCol w:w="14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41" w:type="dxa"/>
                  <w:vAlign w:val="center"/>
                </w:tcPr>
                <w:p>
                  <w:pPr>
                    <w:widowControl/>
                    <w:spacing w:line="240" w:lineRule="auto"/>
                    <w:jc w:val="center"/>
                    <w:textAlignment w:val="center"/>
                    <w:rPr>
                      <w:b/>
                      <w:bCs/>
                      <w:kern w:val="0"/>
                      <w:sz w:val="21"/>
                      <w:szCs w:val="21"/>
                    </w:rPr>
                  </w:pPr>
                  <w:r>
                    <w:rPr>
                      <w:b/>
                      <w:bCs/>
                      <w:kern w:val="0"/>
                      <w:sz w:val="21"/>
                      <w:szCs w:val="21"/>
                    </w:rPr>
                    <w:t>序号</w:t>
                  </w:r>
                </w:p>
              </w:tc>
              <w:tc>
                <w:tcPr>
                  <w:tcW w:w="2410" w:type="dxa"/>
                  <w:vAlign w:val="center"/>
                </w:tcPr>
                <w:p>
                  <w:pPr>
                    <w:widowControl/>
                    <w:spacing w:line="240" w:lineRule="auto"/>
                    <w:jc w:val="center"/>
                    <w:textAlignment w:val="center"/>
                    <w:rPr>
                      <w:b/>
                      <w:bCs/>
                      <w:kern w:val="0"/>
                      <w:sz w:val="21"/>
                      <w:szCs w:val="21"/>
                    </w:rPr>
                  </w:pPr>
                  <w:r>
                    <w:rPr>
                      <w:b/>
                      <w:bCs/>
                      <w:kern w:val="0"/>
                      <w:sz w:val="21"/>
                      <w:szCs w:val="21"/>
                    </w:rPr>
                    <w:t>名称</w:t>
                  </w:r>
                </w:p>
              </w:tc>
              <w:tc>
                <w:tcPr>
                  <w:tcW w:w="1134" w:type="dxa"/>
                  <w:vAlign w:val="center"/>
                </w:tcPr>
                <w:p>
                  <w:pPr>
                    <w:widowControl/>
                    <w:spacing w:line="240" w:lineRule="auto"/>
                    <w:jc w:val="center"/>
                    <w:textAlignment w:val="center"/>
                    <w:rPr>
                      <w:b/>
                      <w:bCs/>
                      <w:kern w:val="0"/>
                      <w:sz w:val="21"/>
                      <w:szCs w:val="21"/>
                    </w:rPr>
                  </w:pPr>
                  <w:r>
                    <w:rPr>
                      <w:b/>
                      <w:bCs/>
                      <w:kern w:val="0"/>
                      <w:sz w:val="21"/>
                      <w:szCs w:val="21"/>
                    </w:rPr>
                    <w:t>数量</w:t>
                  </w:r>
                  <w:r>
                    <w:rPr>
                      <w:rFonts w:hint="eastAsia"/>
                      <w:b/>
                      <w:bCs/>
                      <w:kern w:val="0"/>
                      <w:sz w:val="21"/>
                      <w:szCs w:val="21"/>
                    </w:rPr>
                    <w:t>（台）</w:t>
                  </w:r>
                </w:p>
              </w:tc>
              <w:tc>
                <w:tcPr>
                  <w:tcW w:w="1843" w:type="dxa"/>
                  <w:vAlign w:val="center"/>
                </w:tcPr>
                <w:p>
                  <w:pPr>
                    <w:widowControl/>
                    <w:spacing w:line="240" w:lineRule="auto"/>
                    <w:jc w:val="center"/>
                    <w:textAlignment w:val="center"/>
                    <w:rPr>
                      <w:b/>
                      <w:bCs/>
                      <w:kern w:val="0"/>
                      <w:sz w:val="21"/>
                      <w:szCs w:val="21"/>
                    </w:rPr>
                  </w:pPr>
                  <w:r>
                    <w:rPr>
                      <w:b/>
                      <w:bCs/>
                      <w:kern w:val="0"/>
                      <w:sz w:val="21"/>
                      <w:szCs w:val="21"/>
                    </w:rPr>
                    <w:t>型号/规格</w:t>
                  </w:r>
                </w:p>
              </w:tc>
              <w:tc>
                <w:tcPr>
                  <w:tcW w:w="1252" w:type="dxa"/>
                  <w:vAlign w:val="center"/>
                </w:tcPr>
                <w:p>
                  <w:pPr>
                    <w:widowControl/>
                    <w:spacing w:line="240" w:lineRule="auto"/>
                    <w:jc w:val="center"/>
                    <w:textAlignment w:val="center"/>
                    <w:rPr>
                      <w:b/>
                      <w:bCs/>
                      <w:kern w:val="0"/>
                      <w:sz w:val="21"/>
                      <w:szCs w:val="21"/>
                    </w:rPr>
                  </w:pPr>
                  <w:r>
                    <w:rPr>
                      <w:b/>
                      <w:bCs/>
                      <w:kern w:val="0"/>
                      <w:sz w:val="21"/>
                      <w:szCs w:val="21"/>
                    </w:rPr>
                    <w:t>使用工序</w:t>
                  </w:r>
                </w:p>
              </w:tc>
              <w:tc>
                <w:tcPr>
                  <w:tcW w:w="1488" w:type="dxa"/>
                  <w:vAlign w:val="center"/>
                </w:tcPr>
                <w:p>
                  <w:pPr>
                    <w:widowControl/>
                    <w:spacing w:line="240" w:lineRule="auto"/>
                    <w:jc w:val="center"/>
                    <w:textAlignment w:val="center"/>
                    <w:rPr>
                      <w:b/>
                      <w:bCs/>
                      <w:kern w:val="0"/>
                      <w:sz w:val="21"/>
                      <w:szCs w:val="21"/>
                    </w:rPr>
                  </w:pPr>
                  <w:r>
                    <w:rPr>
                      <w:b/>
                      <w:bCs/>
                      <w:kern w:val="0"/>
                      <w:sz w:val="21"/>
                      <w:szCs w:val="21"/>
                    </w:rPr>
                    <w:t>放置位置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41" w:type="dxa"/>
                  <w:vAlign w:val="center"/>
                </w:tcPr>
                <w:p>
                  <w:pPr>
                    <w:widowControl/>
                    <w:spacing w:line="240" w:lineRule="auto"/>
                    <w:jc w:val="center"/>
                    <w:textAlignment w:val="center"/>
                    <w:rPr>
                      <w:kern w:val="0"/>
                      <w:sz w:val="21"/>
                      <w:szCs w:val="21"/>
                    </w:rPr>
                  </w:pPr>
                  <w:r>
                    <w:rPr>
                      <w:rFonts w:hint="eastAsia"/>
                      <w:kern w:val="0"/>
                      <w:sz w:val="21"/>
                      <w:szCs w:val="21"/>
                    </w:rPr>
                    <w:t>1</w:t>
                  </w:r>
                </w:p>
              </w:tc>
              <w:tc>
                <w:tcPr>
                  <w:tcW w:w="2410" w:type="dxa"/>
                  <w:vAlign w:val="center"/>
                </w:tcPr>
                <w:p>
                  <w:pPr>
                    <w:widowControl/>
                    <w:spacing w:line="240" w:lineRule="auto"/>
                    <w:jc w:val="center"/>
                    <w:textAlignment w:val="center"/>
                    <w:rPr>
                      <w:kern w:val="0"/>
                      <w:sz w:val="21"/>
                      <w:szCs w:val="21"/>
                    </w:rPr>
                  </w:pPr>
                  <w:r>
                    <w:rPr>
                      <w:rFonts w:hint="eastAsia"/>
                      <w:kern w:val="0"/>
                      <w:sz w:val="21"/>
                      <w:szCs w:val="21"/>
                    </w:rPr>
                    <w:t>双向可编程直流电源</w:t>
                  </w:r>
                </w:p>
              </w:tc>
              <w:tc>
                <w:tcPr>
                  <w:tcW w:w="1134" w:type="dxa"/>
                  <w:vAlign w:val="center"/>
                </w:tcPr>
                <w:p>
                  <w:pPr>
                    <w:widowControl/>
                    <w:spacing w:line="240" w:lineRule="auto"/>
                    <w:jc w:val="center"/>
                    <w:textAlignment w:val="center"/>
                    <w:rPr>
                      <w:kern w:val="0"/>
                      <w:sz w:val="21"/>
                      <w:szCs w:val="21"/>
                    </w:rPr>
                  </w:pPr>
                  <w:r>
                    <w:rPr>
                      <w:rFonts w:hint="eastAsia"/>
                      <w:kern w:val="0"/>
                      <w:sz w:val="21"/>
                      <w:szCs w:val="21"/>
                    </w:rPr>
                    <w:t>1</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ANEVH1500-35</w:t>
                  </w:r>
                </w:p>
              </w:tc>
              <w:tc>
                <w:tcPr>
                  <w:tcW w:w="1252" w:type="dxa"/>
                  <w:vAlign w:val="center"/>
                </w:tcPr>
                <w:p>
                  <w:pPr>
                    <w:widowControl/>
                    <w:spacing w:line="240" w:lineRule="auto"/>
                    <w:jc w:val="center"/>
                    <w:textAlignment w:val="center"/>
                    <w:rPr>
                      <w:kern w:val="0"/>
                      <w:sz w:val="21"/>
                      <w:szCs w:val="21"/>
                    </w:rPr>
                  </w:pPr>
                  <w:r>
                    <w:rPr>
                      <w:rFonts w:hint="eastAsia"/>
                      <w:kern w:val="0"/>
                      <w:sz w:val="21"/>
                      <w:szCs w:val="21"/>
                    </w:rPr>
                    <w:t>测试工序</w:t>
                  </w:r>
                </w:p>
              </w:tc>
              <w:tc>
                <w:tcPr>
                  <w:tcW w:w="1488" w:type="dxa"/>
                  <w:vAlign w:val="center"/>
                </w:tcPr>
                <w:p>
                  <w:pPr>
                    <w:widowControl/>
                    <w:spacing w:line="240" w:lineRule="auto"/>
                    <w:jc w:val="center"/>
                    <w:textAlignment w:val="center"/>
                    <w:rPr>
                      <w:kern w:val="0"/>
                      <w:sz w:val="21"/>
                      <w:szCs w:val="21"/>
                    </w:rPr>
                  </w:pPr>
                  <w:r>
                    <w:rPr>
                      <w:rFonts w:hint="eastAsia"/>
                      <w:kern w:val="0"/>
                      <w:sz w:val="21"/>
                      <w:szCs w:val="21"/>
                    </w:rPr>
                    <w:t>调试工位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41" w:type="dxa"/>
                  <w:vAlign w:val="center"/>
                </w:tcPr>
                <w:p>
                  <w:pPr>
                    <w:widowControl/>
                    <w:spacing w:line="240" w:lineRule="auto"/>
                    <w:jc w:val="center"/>
                    <w:textAlignment w:val="center"/>
                    <w:rPr>
                      <w:kern w:val="0"/>
                      <w:sz w:val="21"/>
                      <w:szCs w:val="21"/>
                    </w:rPr>
                  </w:pPr>
                  <w:r>
                    <w:rPr>
                      <w:rFonts w:hint="eastAsia"/>
                      <w:kern w:val="0"/>
                      <w:sz w:val="21"/>
                      <w:szCs w:val="21"/>
                    </w:rPr>
                    <w:t>2</w:t>
                  </w:r>
                </w:p>
              </w:tc>
              <w:tc>
                <w:tcPr>
                  <w:tcW w:w="2410" w:type="dxa"/>
                  <w:vAlign w:val="center"/>
                </w:tcPr>
                <w:p>
                  <w:pPr>
                    <w:widowControl/>
                    <w:spacing w:line="240" w:lineRule="auto"/>
                    <w:jc w:val="center"/>
                    <w:textAlignment w:val="center"/>
                    <w:rPr>
                      <w:kern w:val="0"/>
                      <w:sz w:val="21"/>
                      <w:szCs w:val="21"/>
                    </w:rPr>
                  </w:pPr>
                  <w:r>
                    <w:rPr>
                      <w:rFonts w:hint="eastAsia"/>
                      <w:kern w:val="0"/>
                      <w:sz w:val="21"/>
                      <w:szCs w:val="21"/>
                    </w:rPr>
                    <w:t>储能换流器</w:t>
                  </w:r>
                </w:p>
              </w:tc>
              <w:tc>
                <w:tcPr>
                  <w:tcW w:w="1134" w:type="dxa"/>
                  <w:vAlign w:val="center"/>
                </w:tcPr>
                <w:p>
                  <w:pPr>
                    <w:widowControl/>
                    <w:spacing w:line="240" w:lineRule="auto"/>
                    <w:jc w:val="center"/>
                    <w:textAlignment w:val="center"/>
                    <w:rPr>
                      <w:kern w:val="0"/>
                      <w:sz w:val="21"/>
                      <w:szCs w:val="21"/>
                    </w:rPr>
                  </w:pPr>
                  <w:r>
                    <w:rPr>
                      <w:rFonts w:hint="eastAsia"/>
                      <w:kern w:val="0"/>
                      <w:sz w:val="21"/>
                      <w:szCs w:val="21"/>
                    </w:rPr>
                    <w:t>2</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EH系列1500V</w:t>
                  </w:r>
                </w:p>
              </w:tc>
              <w:tc>
                <w:tcPr>
                  <w:tcW w:w="1252" w:type="dxa"/>
                  <w:vAlign w:val="center"/>
                </w:tcPr>
                <w:p>
                  <w:pPr>
                    <w:widowControl/>
                    <w:spacing w:line="240" w:lineRule="auto"/>
                    <w:jc w:val="center"/>
                    <w:textAlignment w:val="center"/>
                    <w:rPr>
                      <w:kern w:val="0"/>
                      <w:sz w:val="21"/>
                      <w:szCs w:val="21"/>
                    </w:rPr>
                  </w:pPr>
                  <w:r>
                    <w:rPr>
                      <w:rFonts w:hint="eastAsia"/>
                      <w:kern w:val="0"/>
                      <w:sz w:val="21"/>
                      <w:szCs w:val="21"/>
                    </w:rPr>
                    <w:t>测试工序</w:t>
                  </w:r>
                </w:p>
              </w:tc>
              <w:tc>
                <w:tcPr>
                  <w:tcW w:w="1488" w:type="dxa"/>
                  <w:vAlign w:val="center"/>
                </w:tcPr>
                <w:p>
                  <w:pPr>
                    <w:widowControl/>
                    <w:spacing w:line="240" w:lineRule="auto"/>
                    <w:jc w:val="center"/>
                    <w:textAlignment w:val="center"/>
                    <w:rPr>
                      <w:kern w:val="0"/>
                      <w:sz w:val="21"/>
                      <w:szCs w:val="21"/>
                    </w:rPr>
                  </w:pPr>
                  <w:r>
                    <w:rPr>
                      <w:rFonts w:hint="eastAsia"/>
                      <w:kern w:val="0"/>
                      <w:sz w:val="21"/>
                      <w:szCs w:val="21"/>
                    </w:rPr>
                    <w:t>调试工位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41" w:type="dxa"/>
                  <w:vAlign w:val="center"/>
                </w:tcPr>
                <w:p>
                  <w:pPr>
                    <w:widowControl/>
                    <w:spacing w:line="240" w:lineRule="auto"/>
                    <w:jc w:val="center"/>
                    <w:textAlignment w:val="center"/>
                    <w:rPr>
                      <w:kern w:val="0"/>
                      <w:sz w:val="21"/>
                      <w:szCs w:val="21"/>
                    </w:rPr>
                  </w:pPr>
                  <w:r>
                    <w:rPr>
                      <w:rFonts w:hint="eastAsia"/>
                      <w:kern w:val="0"/>
                      <w:sz w:val="21"/>
                      <w:szCs w:val="21"/>
                    </w:rPr>
                    <w:t>3</w:t>
                  </w:r>
                </w:p>
              </w:tc>
              <w:tc>
                <w:tcPr>
                  <w:tcW w:w="2410" w:type="dxa"/>
                  <w:vAlign w:val="center"/>
                </w:tcPr>
                <w:p>
                  <w:pPr>
                    <w:widowControl/>
                    <w:spacing w:line="240" w:lineRule="auto"/>
                    <w:jc w:val="center"/>
                    <w:textAlignment w:val="center"/>
                    <w:rPr>
                      <w:kern w:val="0"/>
                      <w:sz w:val="21"/>
                      <w:szCs w:val="21"/>
                    </w:rPr>
                  </w:pPr>
                  <w:r>
                    <w:rPr>
                      <w:rFonts w:hint="eastAsia"/>
                      <w:kern w:val="0"/>
                      <w:sz w:val="21"/>
                      <w:szCs w:val="21"/>
                    </w:rPr>
                    <w:t>淋雨房</w:t>
                  </w:r>
                </w:p>
              </w:tc>
              <w:tc>
                <w:tcPr>
                  <w:tcW w:w="1134" w:type="dxa"/>
                  <w:vAlign w:val="center"/>
                </w:tcPr>
                <w:p>
                  <w:pPr>
                    <w:widowControl/>
                    <w:spacing w:line="240" w:lineRule="auto"/>
                    <w:jc w:val="center"/>
                    <w:textAlignment w:val="center"/>
                    <w:rPr>
                      <w:kern w:val="0"/>
                      <w:sz w:val="21"/>
                      <w:szCs w:val="21"/>
                    </w:rPr>
                  </w:pPr>
                  <w:r>
                    <w:rPr>
                      <w:rFonts w:hint="eastAsia"/>
                      <w:kern w:val="0"/>
                      <w:sz w:val="21"/>
                      <w:szCs w:val="21"/>
                    </w:rPr>
                    <w:t>1</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非标</w:t>
                  </w:r>
                </w:p>
              </w:tc>
              <w:tc>
                <w:tcPr>
                  <w:tcW w:w="1252" w:type="dxa"/>
                  <w:vAlign w:val="center"/>
                </w:tcPr>
                <w:p>
                  <w:pPr>
                    <w:widowControl/>
                    <w:spacing w:line="240" w:lineRule="auto"/>
                    <w:jc w:val="center"/>
                    <w:textAlignment w:val="center"/>
                    <w:rPr>
                      <w:kern w:val="0"/>
                      <w:sz w:val="21"/>
                      <w:szCs w:val="21"/>
                    </w:rPr>
                  </w:pPr>
                  <w:r>
                    <w:rPr>
                      <w:rFonts w:hint="eastAsia"/>
                      <w:kern w:val="0"/>
                      <w:sz w:val="21"/>
                      <w:szCs w:val="21"/>
                    </w:rPr>
                    <w:t>淋雨测试工序</w:t>
                  </w:r>
                </w:p>
              </w:tc>
              <w:tc>
                <w:tcPr>
                  <w:tcW w:w="1488" w:type="dxa"/>
                  <w:vAlign w:val="center"/>
                </w:tcPr>
                <w:p>
                  <w:pPr>
                    <w:widowControl/>
                    <w:spacing w:line="240" w:lineRule="auto"/>
                    <w:jc w:val="center"/>
                    <w:textAlignment w:val="center"/>
                    <w:rPr>
                      <w:kern w:val="0"/>
                      <w:sz w:val="21"/>
                      <w:szCs w:val="21"/>
                    </w:rPr>
                  </w:pPr>
                  <w:r>
                    <w:rPr>
                      <w:rFonts w:hint="eastAsia"/>
                      <w:kern w:val="0"/>
                      <w:sz w:val="21"/>
                      <w:szCs w:val="21"/>
                    </w:rPr>
                    <w:t>淋雨房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41" w:type="dxa"/>
                  <w:vAlign w:val="center"/>
                </w:tcPr>
                <w:p>
                  <w:pPr>
                    <w:widowControl/>
                    <w:spacing w:line="240" w:lineRule="auto"/>
                    <w:jc w:val="center"/>
                    <w:textAlignment w:val="center"/>
                    <w:rPr>
                      <w:kern w:val="0"/>
                      <w:sz w:val="21"/>
                      <w:szCs w:val="21"/>
                    </w:rPr>
                  </w:pPr>
                  <w:r>
                    <w:rPr>
                      <w:rFonts w:hint="eastAsia"/>
                      <w:kern w:val="0"/>
                      <w:sz w:val="21"/>
                      <w:szCs w:val="21"/>
                    </w:rPr>
                    <w:t>4</w:t>
                  </w:r>
                </w:p>
              </w:tc>
              <w:tc>
                <w:tcPr>
                  <w:tcW w:w="2410" w:type="dxa"/>
                  <w:vAlign w:val="center"/>
                </w:tcPr>
                <w:p>
                  <w:pPr>
                    <w:widowControl/>
                    <w:spacing w:line="240" w:lineRule="auto"/>
                    <w:jc w:val="center"/>
                    <w:textAlignment w:val="center"/>
                    <w:rPr>
                      <w:kern w:val="0"/>
                      <w:sz w:val="21"/>
                      <w:szCs w:val="21"/>
                    </w:rPr>
                  </w:pPr>
                  <w:r>
                    <w:rPr>
                      <w:rFonts w:hint="eastAsia"/>
                      <w:kern w:val="0"/>
                      <w:sz w:val="21"/>
                      <w:szCs w:val="21"/>
                    </w:rPr>
                    <w:t>氢检机</w:t>
                  </w:r>
                </w:p>
              </w:tc>
              <w:tc>
                <w:tcPr>
                  <w:tcW w:w="1134" w:type="dxa"/>
                  <w:vAlign w:val="center"/>
                </w:tcPr>
                <w:p>
                  <w:pPr>
                    <w:widowControl/>
                    <w:spacing w:line="240" w:lineRule="auto"/>
                    <w:jc w:val="center"/>
                    <w:textAlignment w:val="center"/>
                    <w:rPr>
                      <w:kern w:val="0"/>
                      <w:sz w:val="21"/>
                      <w:szCs w:val="21"/>
                    </w:rPr>
                  </w:pPr>
                  <w:r>
                    <w:rPr>
                      <w:rFonts w:hint="eastAsia"/>
                      <w:kern w:val="0"/>
                      <w:sz w:val="21"/>
                      <w:szCs w:val="21"/>
                    </w:rPr>
                    <w:t>1</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SENTRAC</w:t>
                  </w:r>
                </w:p>
              </w:tc>
              <w:tc>
                <w:tcPr>
                  <w:tcW w:w="1252" w:type="dxa"/>
                  <w:vAlign w:val="center"/>
                </w:tcPr>
                <w:p>
                  <w:pPr>
                    <w:widowControl/>
                    <w:spacing w:line="240" w:lineRule="auto"/>
                    <w:jc w:val="center"/>
                    <w:textAlignment w:val="center"/>
                    <w:rPr>
                      <w:kern w:val="0"/>
                      <w:sz w:val="21"/>
                      <w:szCs w:val="21"/>
                    </w:rPr>
                  </w:pPr>
                  <w:r>
                    <w:rPr>
                      <w:rFonts w:hint="eastAsia"/>
                      <w:kern w:val="0"/>
                      <w:sz w:val="21"/>
                      <w:szCs w:val="21"/>
                    </w:rPr>
                    <w:t>组装工序</w:t>
                  </w:r>
                </w:p>
              </w:tc>
              <w:tc>
                <w:tcPr>
                  <w:tcW w:w="1488" w:type="dxa"/>
                  <w:vAlign w:val="center"/>
                </w:tcPr>
                <w:p>
                  <w:pPr>
                    <w:widowControl/>
                    <w:spacing w:line="240" w:lineRule="auto"/>
                    <w:jc w:val="center"/>
                    <w:textAlignment w:val="center"/>
                    <w:rPr>
                      <w:kern w:val="0"/>
                      <w:sz w:val="21"/>
                      <w:szCs w:val="21"/>
                    </w:rPr>
                  </w:pPr>
                  <w:r>
                    <w:rPr>
                      <w:rFonts w:hint="eastAsia"/>
                      <w:kern w:val="0"/>
                      <w:sz w:val="21"/>
                      <w:szCs w:val="21"/>
                    </w:rPr>
                    <w:t>装配线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641" w:type="dxa"/>
                  <w:vAlign w:val="center"/>
                </w:tcPr>
                <w:p>
                  <w:pPr>
                    <w:widowControl/>
                    <w:spacing w:line="240" w:lineRule="auto"/>
                    <w:jc w:val="center"/>
                    <w:textAlignment w:val="center"/>
                    <w:rPr>
                      <w:kern w:val="0"/>
                      <w:sz w:val="21"/>
                      <w:szCs w:val="21"/>
                    </w:rPr>
                  </w:pPr>
                  <w:r>
                    <w:rPr>
                      <w:kern w:val="0"/>
                      <w:sz w:val="21"/>
                      <w:szCs w:val="21"/>
                    </w:rPr>
                    <w:t>5</w:t>
                  </w:r>
                </w:p>
              </w:tc>
              <w:tc>
                <w:tcPr>
                  <w:tcW w:w="2410" w:type="dxa"/>
                  <w:vAlign w:val="center"/>
                </w:tcPr>
                <w:p>
                  <w:pPr>
                    <w:widowControl/>
                    <w:spacing w:line="240" w:lineRule="auto"/>
                    <w:jc w:val="center"/>
                    <w:textAlignment w:val="center"/>
                    <w:rPr>
                      <w:kern w:val="0"/>
                      <w:sz w:val="21"/>
                      <w:szCs w:val="21"/>
                    </w:rPr>
                  </w:pPr>
                  <w:r>
                    <w:rPr>
                      <w:rFonts w:hint="eastAsia"/>
                      <w:kern w:val="0"/>
                      <w:sz w:val="21"/>
                      <w:szCs w:val="21"/>
                    </w:rPr>
                    <w:t>气密性测试设备</w:t>
                  </w:r>
                </w:p>
              </w:tc>
              <w:tc>
                <w:tcPr>
                  <w:tcW w:w="1134" w:type="dxa"/>
                  <w:vAlign w:val="center"/>
                </w:tcPr>
                <w:p>
                  <w:pPr>
                    <w:widowControl/>
                    <w:spacing w:line="240" w:lineRule="auto"/>
                    <w:jc w:val="center"/>
                    <w:textAlignment w:val="center"/>
                    <w:rPr>
                      <w:kern w:val="0"/>
                      <w:sz w:val="21"/>
                      <w:szCs w:val="21"/>
                    </w:rPr>
                  </w:pPr>
                  <w:r>
                    <w:rPr>
                      <w:rFonts w:hint="eastAsia"/>
                      <w:kern w:val="0"/>
                      <w:sz w:val="21"/>
                      <w:szCs w:val="21"/>
                    </w:rPr>
                    <w:t>1</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TS-F620-E5-500</w:t>
                  </w:r>
                </w:p>
              </w:tc>
              <w:tc>
                <w:tcPr>
                  <w:tcW w:w="1252" w:type="dxa"/>
                  <w:vAlign w:val="center"/>
                </w:tcPr>
                <w:p>
                  <w:pPr>
                    <w:widowControl/>
                    <w:spacing w:line="240" w:lineRule="auto"/>
                    <w:jc w:val="center"/>
                    <w:textAlignment w:val="center"/>
                    <w:rPr>
                      <w:kern w:val="0"/>
                      <w:sz w:val="21"/>
                      <w:szCs w:val="21"/>
                    </w:rPr>
                  </w:pPr>
                  <w:r>
                    <w:rPr>
                      <w:rFonts w:hint="eastAsia"/>
                      <w:kern w:val="0"/>
                      <w:sz w:val="21"/>
                      <w:szCs w:val="21"/>
                    </w:rPr>
                    <w:t>组装工序</w:t>
                  </w:r>
                </w:p>
              </w:tc>
              <w:tc>
                <w:tcPr>
                  <w:tcW w:w="1488" w:type="dxa"/>
                  <w:vAlign w:val="center"/>
                </w:tcPr>
                <w:p>
                  <w:pPr>
                    <w:widowControl/>
                    <w:spacing w:line="240" w:lineRule="auto"/>
                    <w:jc w:val="center"/>
                    <w:textAlignment w:val="center"/>
                    <w:rPr>
                      <w:kern w:val="0"/>
                      <w:sz w:val="21"/>
                      <w:szCs w:val="21"/>
                    </w:rPr>
                  </w:pPr>
                  <w:r>
                    <w:rPr>
                      <w:rFonts w:hint="eastAsia"/>
                      <w:kern w:val="0"/>
                      <w:sz w:val="21"/>
                      <w:szCs w:val="21"/>
                    </w:rPr>
                    <w:t>装配线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41" w:type="dxa"/>
                  <w:vAlign w:val="center"/>
                </w:tcPr>
                <w:p>
                  <w:pPr>
                    <w:widowControl/>
                    <w:spacing w:line="240" w:lineRule="auto"/>
                    <w:jc w:val="center"/>
                    <w:textAlignment w:val="center"/>
                    <w:rPr>
                      <w:kern w:val="0"/>
                      <w:sz w:val="21"/>
                      <w:szCs w:val="21"/>
                    </w:rPr>
                  </w:pPr>
                  <w:r>
                    <w:rPr>
                      <w:rFonts w:hint="eastAsia"/>
                      <w:kern w:val="0"/>
                      <w:sz w:val="21"/>
                      <w:szCs w:val="21"/>
                    </w:rPr>
                    <w:t>6</w:t>
                  </w:r>
                </w:p>
              </w:tc>
              <w:tc>
                <w:tcPr>
                  <w:tcW w:w="2410" w:type="dxa"/>
                  <w:vAlign w:val="center"/>
                </w:tcPr>
                <w:p>
                  <w:pPr>
                    <w:widowControl/>
                    <w:spacing w:line="240" w:lineRule="auto"/>
                    <w:jc w:val="center"/>
                    <w:textAlignment w:val="center"/>
                    <w:rPr>
                      <w:kern w:val="0"/>
                      <w:sz w:val="21"/>
                      <w:szCs w:val="21"/>
                    </w:rPr>
                  </w:pPr>
                  <w:r>
                    <w:rPr>
                      <w:rFonts w:hint="eastAsia"/>
                      <w:kern w:val="0"/>
                      <w:sz w:val="21"/>
                      <w:szCs w:val="21"/>
                    </w:rPr>
                    <w:t>集装箱流水线</w:t>
                  </w:r>
                </w:p>
              </w:tc>
              <w:tc>
                <w:tcPr>
                  <w:tcW w:w="1134" w:type="dxa"/>
                  <w:vAlign w:val="center"/>
                </w:tcPr>
                <w:p>
                  <w:pPr>
                    <w:widowControl/>
                    <w:spacing w:line="240" w:lineRule="auto"/>
                    <w:jc w:val="center"/>
                    <w:textAlignment w:val="center"/>
                    <w:rPr>
                      <w:kern w:val="0"/>
                      <w:sz w:val="21"/>
                      <w:szCs w:val="21"/>
                    </w:rPr>
                  </w:pPr>
                  <w:r>
                    <w:rPr>
                      <w:rFonts w:hint="eastAsia"/>
                      <w:kern w:val="0"/>
                      <w:sz w:val="21"/>
                      <w:szCs w:val="21"/>
                    </w:rPr>
                    <w:t>1</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非标</w:t>
                  </w:r>
                </w:p>
              </w:tc>
              <w:tc>
                <w:tcPr>
                  <w:tcW w:w="1252" w:type="dxa"/>
                  <w:vAlign w:val="center"/>
                </w:tcPr>
                <w:p>
                  <w:pPr>
                    <w:widowControl/>
                    <w:spacing w:line="240" w:lineRule="auto"/>
                    <w:jc w:val="center"/>
                    <w:textAlignment w:val="center"/>
                    <w:rPr>
                      <w:kern w:val="0"/>
                      <w:sz w:val="21"/>
                      <w:szCs w:val="21"/>
                    </w:rPr>
                  </w:pPr>
                  <w:r>
                    <w:rPr>
                      <w:rFonts w:hint="eastAsia"/>
                      <w:kern w:val="0"/>
                      <w:sz w:val="21"/>
                      <w:szCs w:val="21"/>
                    </w:rPr>
                    <w:t>组装工序</w:t>
                  </w:r>
                </w:p>
              </w:tc>
              <w:tc>
                <w:tcPr>
                  <w:tcW w:w="1488" w:type="dxa"/>
                  <w:vAlign w:val="center"/>
                </w:tcPr>
                <w:p>
                  <w:pPr>
                    <w:widowControl/>
                    <w:spacing w:line="240" w:lineRule="auto"/>
                    <w:jc w:val="center"/>
                    <w:textAlignment w:val="center"/>
                    <w:rPr>
                      <w:kern w:val="0"/>
                      <w:sz w:val="21"/>
                      <w:szCs w:val="21"/>
                    </w:rPr>
                  </w:pPr>
                  <w:r>
                    <w:rPr>
                      <w:rFonts w:hint="eastAsia"/>
                      <w:kern w:val="0"/>
                      <w:sz w:val="21"/>
                      <w:szCs w:val="21"/>
                    </w:rPr>
                    <w:t>装配线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41" w:type="dxa"/>
                  <w:vAlign w:val="center"/>
                </w:tcPr>
                <w:p>
                  <w:pPr>
                    <w:widowControl/>
                    <w:spacing w:line="240" w:lineRule="auto"/>
                    <w:jc w:val="center"/>
                    <w:textAlignment w:val="center"/>
                    <w:rPr>
                      <w:kern w:val="0"/>
                      <w:sz w:val="21"/>
                      <w:szCs w:val="21"/>
                    </w:rPr>
                  </w:pPr>
                  <w:r>
                    <w:rPr>
                      <w:rFonts w:hint="eastAsia"/>
                      <w:kern w:val="0"/>
                      <w:sz w:val="21"/>
                      <w:szCs w:val="21"/>
                    </w:rPr>
                    <w:t>7</w:t>
                  </w:r>
                </w:p>
              </w:tc>
              <w:tc>
                <w:tcPr>
                  <w:tcW w:w="2410" w:type="dxa"/>
                  <w:vAlign w:val="center"/>
                </w:tcPr>
                <w:p>
                  <w:pPr>
                    <w:widowControl/>
                    <w:spacing w:line="240" w:lineRule="auto"/>
                    <w:jc w:val="center"/>
                    <w:textAlignment w:val="center"/>
                    <w:rPr>
                      <w:kern w:val="0"/>
                      <w:sz w:val="21"/>
                      <w:szCs w:val="21"/>
                    </w:rPr>
                  </w:pPr>
                  <w:r>
                    <w:rPr>
                      <w:rFonts w:hint="eastAsia"/>
                      <w:kern w:val="0"/>
                      <w:sz w:val="21"/>
                      <w:szCs w:val="21"/>
                    </w:rPr>
                    <w:t>堆高车</w:t>
                  </w:r>
                </w:p>
              </w:tc>
              <w:tc>
                <w:tcPr>
                  <w:tcW w:w="1134" w:type="dxa"/>
                  <w:vAlign w:val="center"/>
                </w:tcPr>
                <w:p>
                  <w:pPr>
                    <w:widowControl/>
                    <w:spacing w:line="240" w:lineRule="auto"/>
                    <w:jc w:val="center"/>
                    <w:textAlignment w:val="center"/>
                    <w:rPr>
                      <w:kern w:val="0"/>
                      <w:sz w:val="21"/>
                      <w:szCs w:val="21"/>
                    </w:rPr>
                  </w:pPr>
                  <w:r>
                    <w:rPr>
                      <w:rFonts w:hint="eastAsia"/>
                      <w:kern w:val="0"/>
                      <w:sz w:val="21"/>
                      <w:szCs w:val="21"/>
                    </w:rPr>
                    <w:t>1</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1.6T</w:t>
                  </w:r>
                  <w:r>
                    <w:rPr>
                      <w:kern w:val="0"/>
                      <w:sz w:val="21"/>
                      <w:szCs w:val="21"/>
                    </w:rPr>
                    <w:t>/</w:t>
                  </w:r>
                  <w:r>
                    <w:rPr>
                      <w:rFonts w:hint="eastAsia"/>
                      <w:kern w:val="0"/>
                      <w:sz w:val="21"/>
                      <w:szCs w:val="21"/>
                    </w:rPr>
                    <w:t>电能</w:t>
                  </w:r>
                </w:p>
              </w:tc>
              <w:tc>
                <w:tcPr>
                  <w:tcW w:w="1252" w:type="dxa"/>
                  <w:vAlign w:val="center"/>
                </w:tcPr>
                <w:p>
                  <w:pPr>
                    <w:widowControl/>
                    <w:spacing w:line="240" w:lineRule="auto"/>
                    <w:jc w:val="center"/>
                    <w:textAlignment w:val="center"/>
                    <w:rPr>
                      <w:kern w:val="0"/>
                      <w:sz w:val="21"/>
                      <w:szCs w:val="21"/>
                    </w:rPr>
                  </w:pPr>
                  <w:r>
                    <w:rPr>
                      <w:rFonts w:hint="eastAsia"/>
                      <w:kern w:val="0"/>
                      <w:sz w:val="21"/>
                      <w:szCs w:val="21"/>
                    </w:rPr>
                    <w:t>运输</w:t>
                  </w:r>
                </w:p>
              </w:tc>
              <w:tc>
                <w:tcPr>
                  <w:tcW w:w="1488" w:type="dxa"/>
                  <w:vAlign w:val="center"/>
                </w:tcPr>
                <w:p>
                  <w:pPr>
                    <w:widowControl/>
                    <w:spacing w:line="240" w:lineRule="auto"/>
                    <w:jc w:val="center"/>
                    <w:textAlignment w:val="center"/>
                    <w:rPr>
                      <w:kern w:val="0"/>
                      <w:sz w:val="21"/>
                      <w:szCs w:val="21"/>
                    </w:rPr>
                  </w:pPr>
                  <w:r>
                    <w:rPr>
                      <w:rFonts w:hint="eastAsia"/>
                      <w:kern w:val="0"/>
                      <w:sz w:val="21"/>
                      <w:szCs w:val="21"/>
                    </w:rPr>
                    <w:t>仓库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41" w:type="dxa"/>
                  <w:vAlign w:val="center"/>
                </w:tcPr>
                <w:p>
                  <w:pPr>
                    <w:widowControl/>
                    <w:spacing w:line="240" w:lineRule="auto"/>
                    <w:jc w:val="center"/>
                    <w:textAlignment w:val="center"/>
                    <w:rPr>
                      <w:kern w:val="0"/>
                      <w:sz w:val="21"/>
                      <w:szCs w:val="21"/>
                    </w:rPr>
                  </w:pPr>
                  <w:r>
                    <w:rPr>
                      <w:rFonts w:hint="eastAsia"/>
                      <w:kern w:val="0"/>
                      <w:sz w:val="21"/>
                      <w:szCs w:val="21"/>
                    </w:rPr>
                    <w:t>8</w:t>
                  </w:r>
                </w:p>
              </w:tc>
              <w:tc>
                <w:tcPr>
                  <w:tcW w:w="2410" w:type="dxa"/>
                  <w:vAlign w:val="center"/>
                </w:tcPr>
                <w:p>
                  <w:pPr>
                    <w:widowControl/>
                    <w:spacing w:line="240" w:lineRule="auto"/>
                    <w:jc w:val="center"/>
                    <w:textAlignment w:val="center"/>
                    <w:rPr>
                      <w:kern w:val="0"/>
                      <w:sz w:val="21"/>
                      <w:szCs w:val="21"/>
                    </w:rPr>
                  </w:pPr>
                  <w:r>
                    <w:rPr>
                      <w:rFonts w:hint="eastAsia"/>
                      <w:kern w:val="0"/>
                      <w:sz w:val="21"/>
                      <w:szCs w:val="21"/>
                    </w:rPr>
                    <w:t>交流源</w:t>
                  </w:r>
                </w:p>
              </w:tc>
              <w:tc>
                <w:tcPr>
                  <w:tcW w:w="1134" w:type="dxa"/>
                  <w:vAlign w:val="center"/>
                </w:tcPr>
                <w:p>
                  <w:pPr>
                    <w:widowControl/>
                    <w:spacing w:line="240" w:lineRule="auto"/>
                    <w:jc w:val="center"/>
                    <w:textAlignment w:val="center"/>
                    <w:rPr>
                      <w:kern w:val="0"/>
                      <w:sz w:val="21"/>
                      <w:szCs w:val="21"/>
                    </w:rPr>
                  </w:pPr>
                  <w:r>
                    <w:rPr>
                      <w:rFonts w:hint="eastAsia"/>
                      <w:kern w:val="0"/>
                      <w:sz w:val="21"/>
                      <w:szCs w:val="21"/>
                    </w:rPr>
                    <w:t>1</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60HZ</w:t>
                  </w:r>
                </w:p>
              </w:tc>
              <w:tc>
                <w:tcPr>
                  <w:tcW w:w="1252" w:type="dxa"/>
                  <w:vAlign w:val="center"/>
                </w:tcPr>
                <w:p>
                  <w:pPr>
                    <w:widowControl/>
                    <w:spacing w:line="240" w:lineRule="auto"/>
                    <w:jc w:val="center"/>
                    <w:textAlignment w:val="center"/>
                    <w:rPr>
                      <w:kern w:val="0"/>
                      <w:sz w:val="21"/>
                      <w:szCs w:val="21"/>
                    </w:rPr>
                  </w:pPr>
                  <w:r>
                    <w:rPr>
                      <w:rFonts w:hint="eastAsia"/>
                      <w:kern w:val="0"/>
                      <w:sz w:val="21"/>
                      <w:szCs w:val="21"/>
                    </w:rPr>
                    <w:t>测试工序</w:t>
                  </w:r>
                </w:p>
              </w:tc>
              <w:tc>
                <w:tcPr>
                  <w:tcW w:w="1488" w:type="dxa"/>
                  <w:vAlign w:val="center"/>
                </w:tcPr>
                <w:p>
                  <w:pPr>
                    <w:widowControl/>
                    <w:spacing w:line="240" w:lineRule="auto"/>
                    <w:jc w:val="center"/>
                    <w:textAlignment w:val="center"/>
                    <w:rPr>
                      <w:kern w:val="0"/>
                      <w:sz w:val="21"/>
                      <w:szCs w:val="21"/>
                    </w:rPr>
                  </w:pPr>
                  <w:r>
                    <w:rPr>
                      <w:rFonts w:hint="eastAsia"/>
                      <w:kern w:val="0"/>
                      <w:sz w:val="21"/>
                      <w:szCs w:val="21"/>
                    </w:rPr>
                    <w:t>老化工位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41" w:type="dxa"/>
                  <w:vAlign w:val="center"/>
                </w:tcPr>
                <w:p>
                  <w:pPr>
                    <w:widowControl/>
                    <w:spacing w:line="240" w:lineRule="auto"/>
                    <w:jc w:val="center"/>
                    <w:textAlignment w:val="center"/>
                    <w:rPr>
                      <w:kern w:val="0"/>
                      <w:sz w:val="21"/>
                      <w:szCs w:val="21"/>
                    </w:rPr>
                  </w:pPr>
                  <w:r>
                    <w:rPr>
                      <w:rFonts w:hint="eastAsia"/>
                      <w:kern w:val="0"/>
                      <w:sz w:val="21"/>
                      <w:szCs w:val="21"/>
                    </w:rPr>
                    <w:t>9</w:t>
                  </w:r>
                </w:p>
              </w:tc>
              <w:tc>
                <w:tcPr>
                  <w:tcW w:w="2410" w:type="dxa"/>
                  <w:vAlign w:val="center"/>
                </w:tcPr>
                <w:p>
                  <w:pPr>
                    <w:widowControl/>
                    <w:spacing w:line="240" w:lineRule="auto"/>
                    <w:jc w:val="center"/>
                    <w:textAlignment w:val="center"/>
                    <w:rPr>
                      <w:kern w:val="0"/>
                      <w:sz w:val="21"/>
                      <w:szCs w:val="21"/>
                    </w:rPr>
                  </w:pPr>
                  <w:r>
                    <w:rPr>
                      <w:rFonts w:hint="eastAsia"/>
                      <w:kern w:val="0"/>
                      <w:sz w:val="21"/>
                      <w:szCs w:val="21"/>
                    </w:rPr>
                    <w:t>变压器</w:t>
                  </w:r>
                </w:p>
              </w:tc>
              <w:tc>
                <w:tcPr>
                  <w:tcW w:w="1134" w:type="dxa"/>
                  <w:vAlign w:val="center"/>
                </w:tcPr>
                <w:p>
                  <w:pPr>
                    <w:widowControl/>
                    <w:spacing w:line="240" w:lineRule="auto"/>
                    <w:jc w:val="center"/>
                    <w:textAlignment w:val="center"/>
                    <w:rPr>
                      <w:kern w:val="0"/>
                      <w:sz w:val="21"/>
                      <w:szCs w:val="21"/>
                    </w:rPr>
                  </w:pPr>
                  <w:r>
                    <w:rPr>
                      <w:rFonts w:hint="eastAsia"/>
                      <w:kern w:val="0"/>
                      <w:sz w:val="21"/>
                      <w:szCs w:val="21"/>
                    </w:rPr>
                    <w:t>2</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3.3MW</w:t>
                  </w:r>
                </w:p>
              </w:tc>
              <w:tc>
                <w:tcPr>
                  <w:tcW w:w="1252" w:type="dxa"/>
                  <w:vAlign w:val="center"/>
                </w:tcPr>
                <w:p>
                  <w:pPr>
                    <w:widowControl/>
                    <w:spacing w:line="240" w:lineRule="auto"/>
                    <w:jc w:val="center"/>
                    <w:textAlignment w:val="center"/>
                    <w:rPr>
                      <w:kern w:val="0"/>
                      <w:sz w:val="21"/>
                      <w:szCs w:val="21"/>
                    </w:rPr>
                  </w:pPr>
                  <w:r>
                    <w:rPr>
                      <w:rFonts w:hint="eastAsia"/>
                      <w:kern w:val="0"/>
                      <w:sz w:val="21"/>
                      <w:szCs w:val="21"/>
                    </w:rPr>
                    <w:t>测试工序</w:t>
                  </w:r>
                </w:p>
              </w:tc>
              <w:tc>
                <w:tcPr>
                  <w:tcW w:w="1488" w:type="dxa"/>
                  <w:vAlign w:val="center"/>
                </w:tcPr>
                <w:p>
                  <w:pPr>
                    <w:widowControl/>
                    <w:spacing w:line="240" w:lineRule="auto"/>
                    <w:jc w:val="center"/>
                    <w:textAlignment w:val="center"/>
                    <w:rPr>
                      <w:kern w:val="0"/>
                      <w:sz w:val="21"/>
                      <w:szCs w:val="21"/>
                    </w:rPr>
                  </w:pPr>
                  <w:r>
                    <w:rPr>
                      <w:rFonts w:hint="eastAsia"/>
                      <w:kern w:val="0"/>
                      <w:sz w:val="21"/>
                      <w:szCs w:val="21"/>
                    </w:rPr>
                    <w:t>后勤配电房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41" w:type="dxa"/>
                  <w:vAlign w:val="center"/>
                </w:tcPr>
                <w:p>
                  <w:pPr>
                    <w:widowControl/>
                    <w:spacing w:line="240" w:lineRule="auto"/>
                    <w:jc w:val="center"/>
                    <w:textAlignment w:val="center"/>
                    <w:rPr>
                      <w:kern w:val="0"/>
                      <w:sz w:val="21"/>
                      <w:szCs w:val="21"/>
                    </w:rPr>
                  </w:pPr>
                  <w:r>
                    <w:rPr>
                      <w:rFonts w:hint="eastAsia"/>
                      <w:kern w:val="0"/>
                      <w:sz w:val="21"/>
                      <w:szCs w:val="21"/>
                    </w:rPr>
                    <w:t>1</w:t>
                  </w:r>
                  <w:r>
                    <w:rPr>
                      <w:kern w:val="0"/>
                      <w:sz w:val="21"/>
                      <w:szCs w:val="21"/>
                    </w:rPr>
                    <w:t>0</w:t>
                  </w:r>
                </w:p>
              </w:tc>
              <w:tc>
                <w:tcPr>
                  <w:tcW w:w="2410" w:type="dxa"/>
                  <w:vAlign w:val="center"/>
                </w:tcPr>
                <w:p>
                  <w:pPr>
                    <w:widowControl/>
                    <w:spacing w:line="240" w:lineRule="auto"/>
                    <w:jc w:val="center"/>
                    <w:textAlignment w:val="center"/>
                    <w:rPr>
                      <w:kern w:val="0"/>
                      <w:sz w:val="21"/>
                      <w:szCs w:val="21"/>
                    </w:rPr>
                  </w:pPr>
                  <w:r>
                    <w:rPr>
                      <w:rFonts w:hint="eastAsia"/>
                      <w:kern w:val="0"/>
                      <w:sz w:val="21"/>
                      <w:szCs w:val="21"/>
                    </w:rPr>
                    <w:t>低压柜</w:t>
                  </w:r>
                </w:p>
              </w:tc>
              <w:tc>
                <w:tcPr>
                  <w:tcW w:w="1134" w:type="dxa"/>
                  <w:vAlign w:val="center"/>
                </w:tcPr>
                <w:p>
                  <w:pPr>
                    <w:widowControl/>
                    <w:spacing w:line="240" w:lineRule="auto"/>
                    <w:jc w:val="center"/>
                    <w:textAlignment w:val="center"/>
                    <w:rPr>
                      <w:kern w:val="0"/>
                      <w:sz w:val="21"/>
                      <w:szCs w:val="21"/>
                    </w:rPr>
                  </w:pPr>
                  <w:r>
                    <w:rPr>
                      <w:rFonts w:hint="eastAsia"/>
                      <w:kern w:val="0"/>
                      <w:sz w:val="21"/>
                      <w:szCs w:val="21"/>
                    </w:rPr>
                    <w:t>2</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非标</w:t>
                  </w:r>
                </w:p>
              </w:tc>
              <w:tc>
                <w:tcPr>
                  <w:tcW w:w="1252" w:type="dxa"/>
                  <w:vAlign w:val="center"/>
                </w:tcPr>
                <w:p>
                  <w:pPr>
                    <w:widowControl/>
                    <w:spacing w:line="240" w:lineRule="auto"/>
                    <w:jc w:val="center"/>
                    <w:textAlignment w:val="center"/>
                    <w:rPr>
                      <w:kern w:val="0"/>
                      <w:sz w:val="21"/>
                      <w:szCs w:val="21"/>
                    </w:rPr>
                  </w:pPr>
                  <w:r>
                    <w:rPr>
                      <w:rFonts w:hint="eastAsia"/>
                      <w:kern w:val="0"/>
                      <w:sz w:val="21"/>
                      <w:szCs w:val="21"/>
                    </w:rPr>
                    <w:t>测试工序</w:t>
                  </w:r>
                </w:p>
              </w:tc>
              <w:tc>
                <w:tcPr>
                  <w:tcW w:w="1488" w:type="dxa"/>
                  <w:vAlign w:val="center"/>
                </w:tcPr>
                <w:p>
                  <w:pPr>
                    <w:widowControl/>
                    <w:spacing w:line="240" w:lineRule="auto"/>
                    <w:jc w:val="center"/>
                    <w:textAlignment w:val="center"/>
                    <w:rPr>
                      <w:kern w:val="0"/>
                      <w:sz w:val="21"/>
                      <w:szCs w:val="21"/>
                    </w:rPr>
                  </w:pPr>
                  <w:r>
                    <w:rPr>
                      <w:rFonts w:hint="eastAsia"/>
                      <w:kern w:val="0"/>
                      <w:sz w:val="21"/>
                      <w:szCs w:val="21"/>
                    </w:rPr>
                    <w:t>后勤配电房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41" w:type="dxa"/>
                  <w:vAlign w:val="center"/>
                </w:tcPr>
                <w:p>
                  <w:pPr>
                    <w:widowControl/>
                    <w:spacing w:line="240" w:lineRule="auto"/>
                    <w:jc w:val="center"/>
                    <w:textAlignment w:val="center"/>
                    <w:rPr>
                      <w:kern w:val="0"/>
                      <w:sz w:val="21"/>
                      <w:szCs w:val="21"/>
                    </w:rPr>
                  </w:pPr>
                  <w:r>
                    <w:rPr>
                      <w:rFonts w:hint="eastAsia"/>
                      <w:kern w:val="0"/>
                      <w:sz w:val="21"/>
                      <w:szCs w:val="21"/>
                    </w:rPr>
                    <w:t>1</w:t>
                  </w:r>
                  <w:r>
                    <w:rPr>
                      <w:kern w:val="0"/>
                      <w:sz w:val="21"/>
                      <w:szCs w:val="21"/>
                    </w:rPr>
                    <w:t>1</w:t>
                  </w:r>
                </w:p>
              </w:tc>
              <w:tc>
                <w:tcPr>
                  <w:tcW w:w="2410" w:type="dxa"/>
                  <w:vAlign w:val="center"/>
                </w:tcPr>
                <w:p>
                  <w:pPr>
                    <w:widowControl/>
                    <w:spacing w:line="240" w:lineRule="auto"/>
                    <w:jc w:val="center"/>
                    <w:textAlignment w:val="center"/>
                    <w:rPr>
                      <w:kern w:val="0"/>
                      <w:sz w:val="21"/>
                      <w:szCs w:val="21"/>
                    </w:rPr>
                  </w:pPr>
                  <w:r>
                    <w:rPr>
                      <w:rFonts w:hint="eastAsia"/>
                      <w:kern w:val="0"/>
                      <w:sz w:val="21"/>
                      <w:szCs w:val="21"/>
                    </w:rPr>
                    <w:t>空压机</w:t>
                  </w:r>
                </w:p>
              </w:tc>
              <w:tc>
                <w:tcPr>
                  <w:tcW w:w="1134" w:type="dxa"/>
                  <w:vAlign w:val="center"/>
                </w:tcPr>
                <w:p>
                  <w:pPr>
                    <w:widowControl/>
                    <w:spacing w:line="240" w:lineRule="auto"/>
                    <w:jc w:val="center"/>
                    <w:textAlignment w:val="center"/>
                    <w:rPr>
                      <w:kern w:val="0"/>
                      <w:sz w:val="21"/>
                      <w:szCs w:val="21"/>
                    </w:rPr>
                  </w:pPr>
                  <w:r>
                    <w:rPr>
                      <w:rFonts w:hint="eastAsia"/>
                      <w:kern w:val="0"/>
                      <w:sz w:val="21"/>
                      <w:szCs w:val="21"/>
                    </w:rPr>
                    <w:t>1</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w:t>
                  </w:r>
                </w:p>
              </w:tc>
              <w:tc>
                <w:tcPr>
                  <w:tcW w:w="1252" w:type="dxa"/>
                  <w:vAlign w:val="center"/>
                </w:tcPr>
                <w:p>
                  <w:pPr>
                    <w:widowControl/>
                    <w:spacing w:line="240" w:lineRule="auto"/>
                    <w:jc w:val="center"/>
                    <w:textAlignment w:val="center"/>
                    <w:rPr>
                      <w:kern w:val="0"/>
                      <w:sz w:val="21"/>
                      <w:szCs w:val="21"/>
                    </w:rPr>
                  </w:pPr>
                  <w:r>
                    <w:rPr>
                      <w:rFonts w:hint="eastAsia"/>
                      <w:kern w:val="0"/>
                      <w:sz w:val="21"/>
                      <w:szCs w:val="21"/>
                    </w:rPr>
                    <w:t>组装工序</w:t>
                  </w:r>
                </w:p>
              </w:tc>
              <w:tc>
                <w:tcPr>
                  <w:tcW w:w="1488" w:type="dxa"/>
                  <w:vAlign w:val="center"/>
                </w:tcPr>
                <w:p>
                  <w:pPr>
                    <w:widowControl/>
                    <w:spacing w:line="240" w:lineRule="auto"/>
                    <w:jc w:val="center"/>
                    <w:textAlignment w:val="center"/>
                    <w:rPr>
                      <w:kern w:val="0"/>
                      <w:sz w:val="21"/>
                      <w:szCs w:val="21"/>
                    </w:rPr>
                  </w:pPr>
                  <w:r>
                    <w:rPr>
                      <w:rFonts w:hint="eastAsia"/>
                      <w:kern w:val="0"/>
                      <w:sz w:val="21"/>
                      <w:szCs w:val="21"/>
                    </w:rPr>
                    <w:t>装配线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41" w:type="dxa"/>
                  <w:vAlign w:val="center"/>
                </w:tcPr>
                <w:p>
                  <w:pPr>
                    <w:widowControl/>
                    <w:spacing w:line="240" w:lineRule="auto"/>
                    <w:jc w:val="center"/>
                    <w:textAlignment w:val="center"/>
                    <w:rPr>
                      <w:kern w:val="0"/>
                      <w:sz w:val="21"/>
                      <w:szCs w:val="21"/>
                    </w:rPr>
                  </w:pPr>
                  <w:r>
                    <w:rPr>
                      <w:rFonts w:hint="eastAsia"/>
                      <w:kern w:val="0"/>
                      <w:sz w:val="21"/>
                      <w:szCs w:val="21"/>
                    </w:rPr>
                    <w:t>1</w:t>
                  </w:r>
                  <w:r>
                    <w:rPr>
                      <w:kern w:val="0"/>
                      <w:sz w:val="21"/>
                      <w:szCs w:val="21"/>
                    </w:rPr>
                    <w:t>2</w:t>
                  </w:r>
                </w:p>
              </w:tc>
              <w:tc>
                <w:tcPr>
                  <w:tcW w:w="2410" w:type="dxa"/>
                  <w:vAlign w:val="center"/>
                </w:tcPr>
                <w:p>
                  <w:pPr>
                    <w:widowControl/>
                    <w:spacing w:line="240" w:lineRule="auto"/>
                    <w:jc w:val="center"/>
                    <w:textAlignment w:val="center"/>
                    <w:rPr>
                      <w:kern w:val="0"/>
                      <w:sz w:val="21"/>
                      <w:szCs w:val="21"/>
                    </w:rPr>
                  </w:pPr>
                  <w:r>
                    <w:rPr>
                      <w:rFonts w:hint="eastAsia"/>
                      <w:kern w:val="0"/>
                      <w:sz w:val="21"/>
                      <w:szCs w:val="21"/>
                    </w:rPr>
                    <w:t>风冷式移动空气压缩机</w:t>
                  </w:r>
                </w:p>
              </w:tc>
              <w:tc>
                <w:tcPr>
                  <w:tcW w:w="1134" w:type="dxa"/>
                  <w:vAlign w:val="center"/>
                </w:tcPr>
                <w:p>
                  <w:pPr>
                    <w:widowControl/>
                    <w:spacing w:line="240" w:lineRule="auto"/>
                    <w:jc w:val="center"/>
                    <w:textAlignment w:val="center"/>
                    <w:rPr>
                      <w:kern w:val="0"/>
                      <w:sz w:val="21"/>
                      <w:szCs w:val="21"/>
                    </w:rPr>
                  </w:pPr>
                  <w:r>
                    <w:rPr>
                      <w:rFonts w:hint="eastAsia"/>
                      <w:kern w:val="0"/>
                      <w:sz w:val="21"/>
                      <w:szCs w:val="21"/>
                    </w:rPr>
                    <w:t>1</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w:t>
                  </w:r>
                </w:p>
              </w:tc>
              <w:tc>
                <w:tcPr>
                  <w:tcW w:w="1252" w:type="dxa"/>
                  <w:vAlign w:val="center"/>
                </w:tcPr>
                <w:p>
                  <w:pPr>
                    <w:widowControl/>
                    <w:spacing w:line="240" w:lineRule="auto"/>
                    <w:jc w:val="center"/>
                    <w:textAlignment w:val="center"/>
                    <w:rPr>
                      <w:kern w:val="0"/>
                      <w:sz w:val="21"/>
                      <w:szCs w:val="21"/>
                    </w:rPr>
                  </w:pPr>
                  <w:r>
                    <w:rPr>
                      <w:rFonts w:hint="eastAsia"/>
                      <w:kern w:val="0"/>
                      <w:sz w:val="21"/>
                      <w:szCs w:val="21"/>
                    </w:rPr>
                    <w:t>组装工序</w:t>
                  </w:r>
                </w:p>
              </w:tc>
              <w:tc>
                <w:tcPr>
                  <w:tcW w:w="1488" w:type="dxa"/>
                  <w:vAlign w:val="center"/>
                </w:tcPr>
                <w:p>
                  <w:pPr>
                    <w:widowControl/>
                    <w:spacing w:line="240" w:lineRule="auto"/>
                    <w:jc w:val="center"/>
                    <w:textAlignment w:val="center"/>
                    <w:rPr>
                      <w:kern w:val="0"/>
                      <w:sz w:val="21"/>
                      <w:szCs w:val="21"/>
                    </w:rPr>
                  </w:pPr>
                  <w:r>
                    <w:rPr>
                      <w:rFonts w:hint="eastAsia"/>
                      <w:kern w:val="0"/>
                      <w:sz w:val="21"/>
                      <w:szCs w:val="21"/>
                    </w:rPr>
                    <w:t>装配线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41" w:type="dxa"/>
                  <w:vAlign w:val="center"/>
                </w:tcPr>
                <w:p>
                  <w:pPr>
                    <w:widowControl/>
                    <w:spacing w:line="240" w:lineRule="auto"/>
                    <w:jc w:val="center"/>
                    <w:textAlignment w:val="center"/>
                    <w:rPr>
                      <w:kern w:val="0"/>
                      <w:sz w:val="21"/>
                      <w:szCs w:val="21"/>
                    </w:rPr>
                  </w:pPr>
                  <w:r>
                    <w:rPr>
                      <w:rFonts w:hint="eastAsia"/>
                      <w:kern w:val="0"/>
                      <w:sz w:val="21"/>
                      <w:szCs w:val="21"/>
                    </w:rPr>
                    <w:t>1</w:t>
                  </w:r>
                  <w:r>
                    <w:rPr>
                      <w:kern w:val="0"/>
                      <w:sz w:val="21"/>
                      <w:szCs w:val="21"/>
                    </w:rPr>
                    <w:t>3</w:t>
                  </w:r>
                </w:p>
              </w:tc>
              <w:tc>
                <w:tcPr>
                  <w:tcW w:w="2410" w:type="dxa"/>
                  <w:vAlign w:val="center"/>
                </w:tcPr>
                <w:p>
                  <w:pPr>
                    <w:widowControl/>
                    <w:spacing w:line="240" w:lineRule="auto"/>
                    <w:jc w:val="center"/>
                    <w:textAlignment w:val="center"/>
                    <w:rPr>
                      <w:kern w:val="0"/>
                      <w:sz w:val="21"/>
                      <w:szCs w:val="21"/>
                    </w:rPr>
                  </w:pPr>
                  <w:r>
                    <w:rPr>
                      <w:rFonts w:hint="eastAsia"/>
                      <w:kern w:val="0"/>
                      <w:sz w:val="21"/>
                      <w:szCs w:val="21"/>
                    </w:rPr>
                    <w:t>跨运机</w:t>
                  </w:r>
                </w:p>
              </w:tc>
              <w:tc>
                <w:tcPr>
                  <w:tcW w:w="1134" w:type="dxa"/>
                  <w:vAlign w:val="center"/>
                </w:tcPr>
                <w:p>
                  <w:pPr>
                    <w:widowControl/>
                    <w:spacing w:line="240" w:lineRule="auto"/>
                    <w:jc w:val="center"/>
                    <w:textAlignment w:val="center"/>
                    <w:rPr>
                      <w:kern w:val="0"/>
                      <w:sz w:val="21"/>
                      <w:szCs w:val="21"/>
                    </w:rPr>
                  </w:pPr>
                  <w:r>
                    <w:rPr>
                      <w:rFonts w:hint="eastAsia"/>
                      <w:kern w:val="0"/>
                      <w:sz w:val="21"/>
                      <w:szCs w:val="21"/>
                    </w:rPr>
                    <w:t>1</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HKY3533B</w:t>
                  </w:r>
                </w:p>
              </w:tc>
              <w:tc>
                <w:tcPr>
                  <w:tcW w:w="1252" w:type="dxa"/>
                  <w:vAlign w:val="center"/>
                </w:tcPr>
                <w:p>
                  <w:pPr>
                    <w:widowControl/>
                    <w:spacing w:line="240" w:lineRule="auto"/>
                    <w:jc w:val="center"/>
                    <w:textAlignment w:val="center"/>
                    <w:rPr>
                      <w:kern w:val="0"/>
                      <w:sz w:val="21"/>
                      <w:szCs w:val="21"/>
                    </w:rPr>
                  </w:pPr>
                  <w:r>
                    <w:rPr>
                      <w:rFonts w:hint="eastAsia"/>
                      <w:kern w:val="0"/>
                      <w:sz w:val="21"/>
                      <w:szCs w:val="21"/>
                    </w:rPr>
                    <w:t>入库工序</w:t>
                  </w:r>
                </w:p>
              </w:tc>
              <w:tc>
                <w:tcPr>
                  <w:tcW w:w="1488" w:type="dxa"/>
                  <w:vAlign w:val="center"/>
                </w:tcPr>
                <w:p>
                  <w:pPr>
                    <w:widowControl/>
                    <w:spacing w:line="240" w:lineRule="auto"/>
                    <w:jc w:val="center"/>
                    <w:textAlignment w:val="center"/>
                    <w:rPr>
                      <w:kern w:val="0"/>
                      <w:sz w:val="21"/>
                      <w:szCs w:val="21"/>
                    </w:rPr>
                  </w:pPr>
                  <w:r>
                    <w:rPr>
                      <w:rFonts w:hint="eastAsia"/>
                      <w:kern w:val="0"/>
                      <w:sz w:val="21"/>
                      <w:szCs w:val="21"/>
                    </w:rPr>
                    <w:t>车间发货区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41" w:type="dxa"/>
                  <w:vAlign w:val="center"/>
                </w:tcPr>
                <w:p>
                  <w:pPr>
                    <w:widowControl/>
                    <w:spacing w:line="240" w:lineRule="auto"/>
                    <w:jc w:val="center"/>
                    <w:textAlignment w:val="center"/>
                    <w:rPr>
                      <w:kern w:val="0"/>
                      <w:sz w:val="21"/>
                      <w:szCs w:val="21"/>
                    </w:rPr>
                  </w:pPr>
                  <w:r>
                    <w:rPr>
                      <w:rFonts w:hint="eastAsia"/>
                      <w:kern w:val="0"/>
                      <w:sz w:val="21"/>
                      <w:szCs w:val="21"/>
                    </w:rPr>
                    <w:t>1</w:t>
                  </w:r>
                  <w:r>
                    <w:rPr>
                      <w:kern w:val="0"/>
                      <w:sz w:val="21"/>
                      <w:szCs w:val="21"/>
                    </w:rPr>
                    <w:t>4</w:t>
                  </w:r>
                </w:p>
              </w:tc>
              <w:tc>
                <w:tcPr>
                  <w:tcW w:w="2410" w:type="dxa"/>
                  <w:vAlign w:val="center"/>
                </w:tcPr>
                <w:p>
                  <w:pPr>
                    <w:widowControl/>
                    <w:spacing w:line="240" w:lineRule="auto"/>
                    <w:jc w:val="center"/>
                    <w:textAlignment w:val="center"/>
                    <w:rPr>
                      <w:kern w:val="0"/>
                      <w:sz w:val="21"/>
                      <w:szCs w:val="21"/>
                    </w:rPr>
                  </w:pPr>
                  <w:r>
                    <w:rPr>
                      <w:rFonts w:hint="eastAsia"/>
                      <w:kern w:val="0"/>
                      <w:sz w:val="21"/>
                      <w:szCs w:val="21"/>
                    </w:rPr>
                    <w:t>托盘车</w:t>
                  </w:r>
                </w:p>
              </w:tc>
              <w:tc>
                <w:tcPr>
                  <w:tcW w:w="1134" w:type="dxa"/>
                  <w:vAlign w:val="center"/>
                </w:tcPr>
                <w:p>
                  <w:pPr>
                    <w:widowControl/>
                    <w:spacing w:line="240" w:lineRule="auto"/>
                    <w:jc w:val="center"/>
                    <w:textAlignment w:val="center"/>
                    <w:rPr>
                      <w:kern w:val="0"/>
                      <w:sz w:val="21"/>
                      <w:szCs w:val="21"/>
                    </w:rPr>
                  </w:pPr>
                  <w:r>
                    <w:rPr>
                      <w:rFonts w:hint="eastAsia"/>
                      <w:kern w:val="0"/>
                      <w:sz w:val="21"/>
                      <w:szCs w:val="21"/>
                    </w:rPr>
                    <w:t>3</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3t</w:t>
                  </w:r>
                  <w:r>
                    <w:rPr>
                      <w:kern w:val="0"/>
                      <w:sz w:val="21"/>
                      <w:szCs w:val="21"/>
                    </w:rPr>
                    <w:t>/</w:t>
                  </w:r>
                  <w:r>
                    <w:rPr>
                      <w:rFonts w:hint="eastAsia"/>
                      <w:kern w:val="0"/>
                      <w:sz w:val="21"/>
                      <w:szCs w:val="21"/>
                    </w:rPr>
                    <w:t>电能</w:t>
                  </w:r>
                </w:p>
              </w:tc>
              <w:tc>
                <w:tcPr>
                  <w:tcW w:w="1252" w:type="dxa"/>
                  <w:vAlign w:val="center"/>
                </w:tcPr>
                <w:p>
                  <w:pPr>
                    <w:widowControl/>
                    <w:spacing w:line="240" w:lineRule="auto"/>
                    <w:jc w:val="center"/>
                    <w:textAlignment w:val="center"/>
                    <w:rPr>
                      <w:kern w:val="0"/>
                      <w:sz w:val="21"/>
                      <w:szCs w:val="21"/>
                    </w:rPr>
                  </w:pPr>
                  <w:r>
                    <w:rPr>
                      <w:rFonts w:hint="eastAsia"/>
                      <w:kern w:val="0"/>
                      <w:sz w:val="21"/>
                      <w:szCs w:val="21"/>
                    </w:rPr>
                    <w:t>运输</w:t>
                  </w:r>
                </w:p>
              </w:tc>
              <w:tc>
                <w:tcPr>
                  <w:tcW w:w="1488" w:type="dxa"/>
                  <w:vAlign w:val="center"/>
                </w:tcPr>
                <w:p>
                  <w:pPr>
                    <w:widowControl/>
                    <w:spacing w:line="240" w:lineRule="auto"/>
                    <w:jc w:val="center"/>
                    <w:textAlignment w:val="center"/>
                    <w:rPr>
                      <w:kern w:val="0"/>
                      <w:sz w:val="21"/>
                      <w:szCs w:val="21"/>
                    </w:rPr>
                  </w:pPr>
                  <w:r>
                    <w:rPr>
                      <w:rFonts w:hint="eastAsia"/>
                      <w:kern w:val="0"/>
                      <w:sz w:val="21"/>
                      <w:szCs w:val="21"/>
                    </w:rPr>
                    <w:t>仓库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41" w:type="dxa"/>
                  <w:vAlign w:val="center"/>
                </w:tcPr>
                <w:p>
                  <w:pPr>
                    <w:widowControl/>
                    <w:spacing w:line="240" w:lineRule="auto"/>
                    <w:jc w:val="center"/>
                    <w:textAlignment w:val="center"/>
                    <w:rPr>
                      <w:kern w:val="0"/>
                      <w:sz w:val="21"/>
                      <w:szCs w:val="21"/>
                    </w:rPr>
                  </w:pPr>
                  <w:r>
                    <w:rPr>
                      <w:rFonts w:hint="eastAsia"/>
                      <w:kern w:val="0"/>
                      <w:sz w:val="21"/>
                      <w:szCs w:val="21"/>
                    </w:rPr>
                    <w:t>1</w:t>
                  </w:r>
                  <w:r>
                    <w:rPr>
                      <w:kern w:val="0"/>
                      <w:sz w:val="21"/>
                      <w:szCs w:val="21"/>
                    </w:rPr>
                    <w:t>5</w:t>
                  </w:r>
                </w:p>
              </w:tc>
              <w:tc>
                <w:tcPr>
                  <w:tcW w:w="2410" w:type="dxa"/>
                  <w:vAlign w:val="center"/>
                </w:tcPr>
                <w:p>
                  <w:pPr>
                    <w:widowControl/>
                    <w:spacing w:line="240" w:lineRule="auto"/>
                    <w:jc w:val="center"/>
                    <w:textAlignment w:val="center"/>
                    <w:rPr>
                      <w:kern w:val="0"/>
                      <w:sz w:val="21"/>
                      <w:szCs w:val="21"/>
                    </w:rPr>
                  </w:pPr>
                  <w:r>
                    <w:rPr>
                      <w:rFonts w:hint="eastAsia"/>
                      <w:kern w:val="0"/>
                      <w:sz w:val="21"/>
                      <w:szCs w:val="21"/>
                    </w:rPr>
                    <w:t>平衡重叉车</w:t>
                  </w:r>
                </w:p>
              </w:tc>
              <w:tc>
                <w:tcPr>
                  <w:tcW w:w="1134" w:type="dxa"/>
                  <w:vAlign w:val="center"/>
                </w:tcPr>
                <w:p>
                  <w:pPr>
                    <w:widowControl/>
                    <w:spacing w:line="240" w:lineRule="auto"/>
                    <w:jc w:val="center"/>
                    <w:textAlignment w:val="center"/>
                    <w:rPr>
                      <w:kern w:val="0"/>
                      <w:sz w:val="21"/>
                      <w:szCs w:val="21"/>
                    </w:rPr>
                  </w:pPr>
                  <w:r>
                    <w:rPr>
                      <w:rFonts w:hint="eastAsia"/>
                      <w:kern w:val="0"/>
                      <w:sz w:val="21"/>
                      <w:szCs w:val="21"/>
                    </w:rPr>
                    <w:t>2</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3.5T</w:t>
                  </w:r>
                  <w:r>
                    <w:rPr>
                      <w:kern w:val="0"/>
                      <w:sz w:val="21"/>
                      <w:szCs w:val="21"/>
                    </w:rPr>
                    <w:t>/</w:t>
                  </w:r>
                  <w:r>
                    <w:rPr>
                      <w:rFonts w:hint="eastAsia"/>
                      <w:kern w:val="0"/>
                      <w:sz w:val="21"/>
                      <w:szCs w:val="21"/>
                    </w:rPr>
                    <w:t>电能</w:t>
                  </w:r>
                </w:p>
              </w:tc>
              <w:tc>
                <w:tcPr>
                  <w:tcW w:w="1252" w:type="dxa"/>
                  <w:vAlign w:val="center"/>
                </w:tcPr>
                <w:p>
                  <w:pPr>
                    <w:widowControl/>
                    <w:spacing w:line="240" w:lineRule="auto"/>
                    <w:jc w:val="center"/>
                    <w:textAlignment w:val="center"/>
                    <w:rPr>
                      <w:kern w:val="0"/>
                      <w:sz w:val="21"/>
                      <w:szCs w:val="21"/>
                    </w:rPr>
                  </w:pPr>
                  <w:r>
                    <w:rPr>
                      <w:rFonts w:hint="eastAsia"/>
                      <w:kern w:val="0"/>
                      <w:sz w:val="21"/>
                      <w:szCs w:val="21"/>
                    </w:rPr>
                    <w:t>运输</w:t>
                  </w:r>
                </w:p>
              </w:tc>
              <w:tc>
                <w:tcPr>
                  <w:tcW w:w="1488" w:type="dxa"/>
                  <w:vAlign w:val="center"/>
                </w:tcPr>
                <w:p>
                  <w:pPr>
                    <w:widowControl/>
                    <w:spacing w:line="240" w:lineRule="auto"/>
                    <w:jc w:val="center"/>
                    <w:textAlignment w:val="center"/>
                    <w:rPr>
                      <w:kern w:val="0"/>
                      <w:sz w:val="21"/>
                      <w:szCs w:val="21"/>
                    </w:rPr>
                  </w:pPr>
                  <w:r>
                    <w:rPr>
                      <w:rFonts w:hint="eastAsia"/>
                      <w:kern w:val="0"/>
                      <w:sz w:val="21"/>
                      <w:szCs w:val="21"/>
                    </w:rPr>
                    <w:t>仓库</w:t>
                  </w:r>
                </w:p>
              </w:tc>
            </w:tr>
          </w:tbl>
          <w:p>
            <w:pPr>
              <w:ind w:firstLine="482" w:firstLineChars="200"/>
              <w:jc w:val="left"/>
              <w:rPr>
                <w:b/>
                <w:sz w:val="24"/>
              </w:rPr>
            </w:pPr>
            <w:r>
              <w:rPr>
                <w:b/>
                <w:sz w:val="24"/>
              </w:rPr>
              <w:t>6、主要原辅材料及其用量</w:t>
            </w:r>
          </w:p>
          <w:p>
            <w:pPr>
              <w:ind w:firstLine="480" w:firstLineChars="200"/>
              <w:jc w:val="left"/>
              <w:rPr>
                <w:bCs/>
                <w:sz w:val="24"/>
              </w:rPr>
            </w:pPr>
            <w:r>
              <w:rPr>
                <w:bCs/>
                <w:sz w:val="24"/>
              </w:rPr>
              <w:t>项目主要原材料及其具体用量见下表。</w:t>
            </w:r>
          </w:p>
          <w:p>
            <w:pPr>
              <w:pStyle w:val="169"/>
              <w:spacing w:line="240" w:lineRule="auto"/>
              <w:rPr>
                <w:rFonts w:hint="default" w:hAnsi="Times New Roman" w:eastAsiaTheme="minorEastAsia"/>
                <w:sz w:val="24"/>
                <w:szCs w:val="24"/>
              </w:rPr>
            </w:pPr>
            <w:r>
              <w:rPr>
                <w:rFonts w:hint="default" w:hAnsi="Times New Roman" w:eastAsiaTheme="minorEastAsia"/>
                <w:sz w:val="24"/>
                <w:szCs w:val="24"/>
              </w:rPr>
              <w:t>表2-5</w:t>
            </w:r>
            <w:r>
              <w:rPr>
                <w:rFonts w:hAnsi="Times New Roman" w:eastAsiaTheme="minorEastAsia"/>
                <w:sz w:val="24"/>
                <w:szCs w:val="24"/>
              </w:rPr>
              <w:t xml:space="preserve"> </w:t>
            </w:r>
            <w:r>
              <w:rPr>
                <w:rFonts w:hint="default" w:hAnsi="Times New Roman" w:eastAsiaTheme="minorEastAsia"/>
                <w:sz w:val="24"/>
                <w:szCs w:val="24"/>
              </w:rPr>
              <w:t>项目原辅材料及使用量一览表</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0"/>
              <w:gridCol w:w="1275"/>
              <w:gridCol w:w="1276"/>
              <w:gridCol w:w="1134"/>
              <w:gridCol w:w="1559"/>
              <w:gridCol w:w="1843"/>
              <w:gridCol w:w="11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 w:type="dxa"/>
                  <w:vAlign w:val="center"/>
                </w:tcPr>
                <w:p>
                  <w:pPr>
                    <w:widowControl/>
                    <w:spacing w:line="240" w:lineRule="auto"/>
                    <w:jc w:val="center"/>
                    <w:textAlignment w:val="center"/>
                    <w:rPr>
                      <w:b/>
                      <w:bCs/>
                      <w:kern w:val="0"/>
                      <w:sz w:val="21"/>
                      <w:szCs w:val="21"/>
                    </w:rPr>
                  </w:pPr>
                  <w:r>
                    <w:rPr>
                      <w:b/>
                      <w:bCs/>
                      <w:kern w:val="0"/>
                      <w:sz w:val="21"/>
                      <w:szCs w:val="21"/>
                    </w:rPr>
                    <w:t>序号</w:t>
                  </w:r>
                </w:p>
              </w:tc>
              <w:tc>
                <w:tcPr>
                  <w:tcW w:w="1275" w:type="dxa"/>
                  <w:vAlign w:val="center"/>
                </w:tcPr>
                <w:p>
                  <w:pPr>
                    <w:widowControl/>
                    <w:spacing w:line="240" w:lineRule="auto"/>
                    <w:jc w:val="center"/>
                    <w:textAlignment w:val="center"/>
                    <w:rPr>
                      <w:b/>
                      <w:bCs/>
                      <w:kern w:val="0"/>
                      <w:sz w:val="21"/>
                      <w:szCs w:val="21"/>
                    </w:rPr>
                  </w:pPr>
                  <w:r>
                    <w:rPr>
                      <w:b/>
                      <w:bCs/>
                      <w:kern w:val="0"/>
                      <w:sz w:val="21"/>
                      <w:szCs w:val="21"/>
                    </w:rPr>
                    <w:t>原料名称</w:t>
                  </w:r>
                </w:p>
              </w:tc>
              <w:tc>
                <w:tcPr>
                  <w:tcW w:w="1276" w:type="dxa"/>
                  <w:vAlign w:val="center"/>
                </w:tcPr>
                <w:p>
                  <w:pPr>
                    <w:widowControl/>
                    <w:spacing w:line="240" w:lineRule="auto"/>
                    <w:jc w:val="center"/>
                    <w:textAlignment w:val="center"/>
                    <w:rPr>
                      <w:b/>
                      <w:bCs/>
                      <w:kern w:val="0"/>
                      <w:sz w:val="21"/>
                      <w:szCs w:val="21"/>
                    </w:rPr>
                  </w:pPr>
                  <w:r>
                    <w:rPr>
                      <w:b/>
                      <w:bCs/>
                      <w:kern w:val="0"/>
                      <w:sz w:val="21"/>
                      <w:szCs w:val="21"/>
                    </w:rPr>
                    <w:t>年使用量</w:t>
                  </w:r>
                </w:p>
              </w:tc>
              <w:tc>
                <w:tcPr>
                  <w:tcW w:w="1134" w:type="dxa"/>
                  <w:vAlign w:val="center"/>
                </w:tcPr>
                <w:p>
                  <w:pPr>
                    <w:widowControl/>
                    <w:spacing w:line="240" w:lineRule="auto"/>
                    <w:jc w:val="center"/>
                    <w:textAlignment w:val="center"/>
                    <w:rPr>
                      <w:b/>
                      <w:bCs/>
                      <w:kern w:val="0"/>
                      <w:sz w:val="21"/>
                      <w:szCs w:val="21"/>
                    </w:rPr>
                  </w:pPr>
                  <w:r>
                    <w:rPr>
                      <w:b/>
                      <w:bCs/>
                      <w:kern w:val="0"/>
                      <w:sz w:val="21"/>
                      <w:szCs w:val="21"/>
                    </w:rPr>
                    <w:t>厂区最大储存量</w:t>
                  </w:r>
                </w:p>
              </w:tc>
              <w:tc>
                <w:tcPr>
                  <w:tcW w:w="1559" w:type="dxa"/>
                  <w:vAlign w:val="center"/>
                </w:tcPr>
                <w:p>
                  <w:pPr>
                    <w:widowControl/>
                    <w:spacing w:line="240" w:lineRule="auto"/>
                    <w:jc w:val="center"/>
                    <w:textAlignment w:val="center"/>
                    <w:rPr>
                      <w:b/>
                      <w:bCs/>
                      <w:kern w:val="0"/>
                      <w:sz w:val="21"/>
                      <w:szCs w:val="21"/>
                    </w:rPr>
                  </w:pPr>
                  <w:r>
                    <w:rPr>
                      <w:b/>
                      <w:bCs/>
                      <w:kern w:val="0"/>
                      <w:sz w:val="21"/>
                      <w:szCs w:val="21"/>
                    </w:rPr>
                    <w:t>规格</w:t>
                  </w:r>
                </w:p>
              </w:tc>
              <w:tc>
                <w:tcPr>
                  <w:tcW w:w="1843" w:type="dxa"/>
                  <w:vAlign w:val="center"/>
                </w:tcPr>
                <w:p>
                  <w:pPr>
                    <w:widowControl/>
                    <w:spacing w:line="240" w:lineRule="auto"/>
                    <w:jc w:val="center"/>
                    <w:textAlignment w:val="center"/>
                    <w:rPr>
                      <w:b/>
                      <w:bCs/>
                      <w:kern w:val="0"/>
                      <w:sz w:val="21"/>
                      <w:szCs w:val="21"/>
                    </w:rPr>
                  </w:pPr>
                  <w:r>
                    <w:rPr>
                      <w:b/>
                      <w:bCs/>
                      <w:kern w:val="0"/>
                      <w:sz w:val="21"/>
                      <w:szCs w:val="21"/>
                    </w:rPr>
                    <w:t>包装方式/形态</w:t>
                  </w:r>
                </w:p>
              </w:tc>
              <w:tc>
                <w:tcPr>
                  <w:tcW w:w="1181" w:type="dxa"/>
                  <w:vAlign w:val="center"/>
                </w:tcPr>
                <w:p>
                  <w:pPr>
                    <w:widowControl/>
                    <w:spacing w:line="240" w:lineRule="auto"/>
                    <w:jc w:val="center"/>
                    <w:textAlignment w:val="center"/>
                    <w:rPr>
                      <w:b/>
                      <w:bCs/>
                      <w:kern w:val="0"/>
                      <w:sz w:val="21"/>
                      <w:szCs w:val="21"/>
                    </w:rPr>
                  </w:pPr>
                  <w:r>
                    <w:rPr>
                      <w:b/>
                      <w:bCs/>
                      <w:kern w:val="0"/>
                      <w:sz w:val="21"/>
                      <w:szCs w:val="21"/>
                    </w:rPr>
                    <w:t>储放位置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 w:type="dxa"/>
                  <w:vAlign w:val="center"/>
                </w:tcPr>
                <w:p>
                  <w:pPr>
                    <w:widowControl/>
                    <w:spacing w:line="240" w:lineRule="auto"/>
                    <w:jc w:val="center"/>
                    <w:textAlignment w:val="center"/>
                    <w:rPr>
                      <w:kern w:val="0"/>
                      <w:sz w:val="21"/>
                      <w:szCs w:val="21"/>
                    </w:rPr>
                  </w:pPr>
                  <w:r>
                    <w:rPr>
                      <w:rFonts w:hint="eastAsia"/>
                      <w:kern w:val="0"/>
                      <w:sz w:val="21"/>
                      <w:szCs w:val="21"/>
                    </w:rPr>
                    <w:t>1</w:t>
                  </w:r>
                </w:p>
              </w:tc>
              <w:tc>
                <w:tcPr>
                  <w:tcW w:w="1275" w:type="dxa"/>
                  <w:vAlign w:val="center"/>
                </w:tcPr>
                <w:p>
                  <w:pPr>
                    <w:widowControl/>
                    <w:spacing w:line="240" w:lineRule="auto"/>
                    <w:jc w:val="center"/>
                    <w:textAlignment w:val="center"/>
                    <w:rPr>
                      <w:kern w:val="0"/>
                      <w:sz w:val="21"/>
                      <w:szCs w:val="21"/>
                    </w:rPr>
                  </w:pPr>
                  <w:r>
                    <w:rPr>
                      <w:rFonts w:hint="eastAsia"/>
                      <w:kern w:val="0"/>
                      <w:sz w:val="21"/>
                      <w:szCs w:val="21"/>
                    </w:rPr>
                    <w:t>冷却液</w:t>
                  </w:r>
                </w:p>
              </w:tc>
              <w:tc>
                <w:tcPr>
                  <w:tcW w:w="1276" w:type="dxa"/>
                  <w:vAlign w:val="center"/>
                </w:tcPr>
                <w:p>
                  <w:pPr>
                    <w:widowControl/>
                    <w:spacing w:line="240" w:lineRule="auto"/>
                    <w:jc w:val="center"/>
                    <w:textAlignment w:val="center"/>
                    <w:rPr>
                      <w:kern w:val="0"/>
                      <w:sz w:val="21"/>
                      <w:szCs w:val="21"/>
                    </w:rPr>
                  </w:pPr>
                  <w:r>
                    <w:rPr>
                      <w:rFonts w:hint="eastAsia"/>
                      <w:kern w:val="0"/>
                      <w:sz w:val="21"/>
                      <w:szCs w:val="21"/>
                    </w:rPr>
                    <w:t>200t/a</w:t>
                  </w:r>
                </w:p>
              </w:tc>
              <w:tc>
                <w:tcPr>
                  <w:tcW w:w="1134" w:type="dxa"/>
                  <w:vAlign w:val="center"/>
                </w:tcPr>
                <w:p>
                  <w:pPr>
                    <w:widowControl/>
                    <w:spacing w:line="240" w:lineRule="auto"/>
                    <w:jc w:val="center"/>
                    <w:textAlignment w:val="center"/>
                    <w:rPr>
                      <w:kern w:val="0"/>
                      <w:sz w:val="21"/>
                      <w:szCs w:val="21"/>
                    </w:rPr>
                  </w:pPr>
                  <w:r>
                    <w:rPr>
                      <w:rFonts w:hint="eastAsia"/>
                      <w:kern w:val="0"/>
                      <w:sz w:val="21"/>
                      <w:szCs w:val="21"/>
                    </w:rPr>
                    <w:t>5t</w:t>
                  </w:r>
                </w:p>
              </w:tc>
              <w:tc>
                <w:tcPr>
                  <w:tcW w:w="1559" w:type="dxa"/>
                  <w:vAlign w:val="bottom"/>
                </w:tcPr>
                <w:p>
                  <w:pPr>
                    <w:widowControl/>
                    <w:spacing w:line="240" w:lineRule="auto"/>
                    <w:jc w:val="center"/>
                    <w:textAlignment w:val="center"/>
                    <w:rPr>
                      <w:kern w:val="0"/>
                      <w:sz w:val="21"/>
                      <w:szCs w:val="21"/>
                    </w:rPr>
                  </w:pPr>
                  <w:r>
                    <w:rPr>
                      <w:rFonts w:hint="eastAsia"/>
                      <w:kern w:val="0"/>
                      <w:sz w:val="21"/>
                      <w:szCs w:val="21"/>
                    </w:rPr>
                    <w:t>/</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吨桶/液态</w:t>
                  </w:r>
                </w:p>
              </w:tc>
              <w:tc>
                <w:tcPr>
                  <w:tcW w:w="1181" w:type="dxa"/>
                  <w:vAlign w:val="center"/>
                </w:tcPr>
                <w:p>
                  <w:pPr>
                    <w:widowControl/>
                    <w:spacing w:line="240" w:lineRule="auto"/>
                    <w:jc w:val="center"/>
                    <w:textAlignment w:val="center"/>
                    <w:rPr>
                      <w:kern w:val="0"/>
                      <w:sz w:val="21"/>
                      <w:szCs w:val="21"/>
                    </w:rPr>
                  </w:pPr>
                  <w:r>
                    <w:rPr>
                      <w:rFonts w:hint="eastAsia"/>
                      <w:kern w:val="0"/>
                      <w:sz w:val="21"/>
                      <w:szCs w:val="21"/>
                    </w:rPr>
                    <w:t>仓库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 w:type="dxa"/>
                  <w:vAlign w:val="center"/>
                </w:tcPr>
                <w:p>
                  <w:pPr>
                    <w:widowControl/>
                    <w:spacing w:line="240" w:lineRule="auto"/>
                    <w:jc w:val="center"/>
                    <w:textAlignment w:val="center"/>
                    <w:rPr>
                      <w:kern w:val="0"/>
                      <w:sz w:val="21"/>
                      <w:szCs w:val="21"/>
                    </w:rPr>
                  </w:pPr>
                  <w:r>
                    <w:rPr>
                      <w:rFonts w:hint="eastAsia"/>
                      <w:kern w:val="0"/>
                      <w:sz w:val="21"/>
                      <w:szCs w:val="21"/>
                    </w:rPr>
                    <w:t>2</w:t>
                  </w:r>
                </w:p>
              </w:tc>
              <w:tc>
                <w:tcPr>
                  <w:tcW w:w="1275" w:type="dxa"/>
                  <w:vAlign w:val="center"/>
                </w:tcPr>
                <w:p>
                  <w:pPr>
                    <w:widowControl/>
                    <w:spacing w:line="240" w:lineRule="auto"/>
                    <w:jc w:val="center"/>
                    <w:textAlignment w:val="center"/>
                    <w:rPr>
                      <w:kern w:val="0"/>
                      <w:sz w:val="21"/>
                      <w:szCs w:val="21"/>
                    </w:rPr>
                  </w:pPr>
                  <w:r>
                    <w:rPr>
                      <w:rFonts w:hint="eastAsia"/>
                      <w:kern w:val="0"/>
                      <w:sz w:val="21"/>
                      <w:szCs w:val="21"/>
                    </w:rPr>
                    <w:t>拉伸膜</w:t>
                  </w:r>
                </w:p>
              </w:tc>
              <w:tc>
                <w:tcPr>
                  <w:tcW w:w="1276" w:type="dxa"/>
                  <w:vAlign w:val="center"/>
                </w:tcPr>
                <w:p>
                  <w:pPr>
                    <w:widowControl/>
                    <w:spacing w:line="240" w:lineRule="auto"/>
                    <w:jc w:val="center"/>
                    <w:textAlignment w:val="center"/>
                    <w:rPr>
                      <w:kern w:val="0"/>
                      <w:sz w:val="21"/>
                      <w:szCs w:val="21"/>
                    </w:rPr>
                  </w:pPr>
                  <w:r>
                    <w:rPr>
                      <w:rFonts w:hint="eastAsia"/>
                      <w:kern w:val="0"/>
                      <w:sz w:val="21"/>
                      <w:szCs w:val="21"/>
                    </w:rPr>
                    <w:t>1.2t/a</w:t>
                  </w:r>
                </w:p>
              </w:tc>
              <w:tc>
                <w:tcPr>
                  <w:tcW w:w="1134" w:type="dxa"/>
                  <w:vAlign w:val="center"/>
                </w:tcPr>
                <w:p>
                  <w:pPr>
                    <w:widowControl/>
                    <w:spacing w:line="240" w:lineRule="auto"/>
                    <w:jc w:val="center"/>
                    <w:textAlignment w:val="center"/>
                    <w:rPr>
                      <w:kern w:val="0"/>
                      <w:sz w:val="21"/>
                      <w:szCs w:val="21"/>
                    </w:rPr>
                  </w:pPr>
                  <w:r>
                    <w:rPr>
                      <w:rFonts w:hint="eastAsia"/>
                      <w:kern w:val="0"/>
                      <w:sz w:val="21"/>
                      <w:szCs w:val="21"/>
                    </w:rPr>
                    <w:t>30kg</w:t>
                  </w:r>
                </w:p>
              </w:tc>
              <w:tc>
                <w:tcPr>
                  <w:tcW w:w="1559" w:type="dxa"/>
                  <w:vAlign w:val="center"/>
                </w:tcPr>
                <w:p>
                  <w:pPr>
                    <w:widowControl/>
                    <w:spacing w:line="240" w:lineRule="auto"/>
                    <w:jc w:val="center"/>
                    <w:textAlignment w:val="center"/>
                    <w:rPr>
                      <w:kern w:val="0"/>
                      <w:sz w:val="21"/>
                      <w:szCs w:val="21"/>
                    </w:rPr>
                  </w:pPr>
                  <w:r>
                    <w:rPr>
                      <w:rFonts w:hint="eastAsia"/>
                      <w:kern w:val="0"/>
                      <w:sz w:val="21"/>
                      <w:szCs w:val="21"/>
                    </w:rPr>
                    <w:t>500×0.02mm</w:t>
                  </w:r>
                  <w:r>
                    <w:rPr>
                      <w:kern w:val="0"/>
                      <w:sz w:val="21"/>
                      <w:szCs w:val="21"/>
                    </w:rPr>
                    <w:t xml:space="preserve"> </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纸箱包装/固态</w:t>
                  </w:r>
                </w:p>
              </w:tc>
              <w:tc>
                <w:tcPr>
                  <w:tcW w:w="1181" w:type="dxa"/>
                  <w:vAlign w:val="center"/>
                </w:tcPr>
                <w:p>
                  <w:pPr>
                    <w:widowControl/>
                    <w:spacing w:line="240" w:lineRule="auto"/>
                    <w:jc w:val="center"/>
                    <w:textAlignment w:val="center"/>
                    <w:rPr>
                      <w:kern w:val="0"/>
                      <w:sz w:val="21"/>
                      <w:szCs w:val="21"/>
                    </w:rPr>
                  </w:pPr>
                  <w:r>
                    <w:rPr>
                      <w:rFonts w:hint="eastAsia"/>
                      <w:kern w:val="0"/>
                      <w:sz w:val="21"/>
                      <w:szCs w:val="21"/>
                    </w:rPr>
                    <w:t>仓库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 w:type="dxa"/>
                  <w:vAlign w:val="center"/>
                </w:tcPr>
                <w:p>
                  <w:pPr>
                    <w:widowControl/>
                    <w:spacing w:line="240" w:lineRule="auto"/>
                    <w:jc w:val="center"/>
                    <w:textAlignment w:val="center"/>
                    <w:rPr>
                      <w:kern w:val="0"/>
                      <w:sz w:val="21"/>
                      <w:szCs w:val="21"/>
                    </w:rPr>
                  </w:pPr>
                  <w:r>
                    <w:rPr>
                      <w:rFonts w:hint="eastAsia"/>
                      <w:kern w:val="0"/>
                      <w:sz w:val="21"/>
                      <w:szCs w:val="21"/>
                    </w:rPr>
                    <w:t>3</w:t>
                  </w:r>
                </w:p>
              </w:tc>
              <w:tc>
                <w:tcPr>
                  <w:tcW w:w="1275" w:type="dxa"/>
                  <w:vAlign w:val="center"/>
                </w:tcPr>
                <w:p>
                  <w:pPr>
                    <w:widowControl/>
                    <w:spacing w:line="240" w:lineRule="auto"/>
                    <w:jc w:val="center"/>
                    <w:textAlignment w:val="center"/>
                    <w:rPr>
                      <w:kern w:val="0"/>
                      <w:sz w:val="21"/>
                      <w:szCs w:val="21"/>
                    </w:rPr>
                  </w:pPr>
                  <w:r>
                    <w:rPr>
                      <w:rFonts w:hint="eastAsia"/>
                      <w:kern w:val="0"/>
                      <w:sz w:val="21"/>
                      <w:szCs w:val="21"/>
                    </w:rPr>
                    <w:t>集装空箱体</w:t>
                  </w:r>
                </w:p>
              </w:tc>
              <w:tc>
                <w:tcPr>
                  <w:tcW w:w="1276" w:type="dxa"/>
                  <w:vAlign w:val="center"/>
                </w:tcPr>
                <w:p>
                  <w:pPr>
                    <w:widowControl/>
                    <w:spacing w:line="240" w:lineRule="auto"/>
                    <w:jc w:val="center"/>
                    <w:textAlignment w:val="center"/>
                    <w:rPr>
                      <w:kern w:val="0"/>
                      <w:sz w:val="21"/>
                      <w:szCs w:val="21"/>
                    </w:rPr>
                  </w:pPr>
                  <w:r>
                    <w:rPr>
                      <w:rFonts w:hint="eastAsia"/>
                      <w:kern w:val="0"/>
                      <w:sz w:val="21"/>
                      <w:szCs w:val="21"/>
                    </w:rPr>
                    <w:t>4680 t/a</w:t>
                  </w:r>
                </w:p>
              </w:tc>
              <w:tc>
                <w:tcPr>
                  <w:tcW w:w="1134" w:type="dxa"/>
                  <w:vAlign w:val="center"/>
                </w:tcPr>
                <w:p>
                  <w:pPr>
                    <w:widowControl/>
                    <w:spacing w:line="240" w:lineRule="auto"/>
                    <w:jc w:val="center"/>
                    <w:textAlignment w:val="center"/>
                    <w:rPr>
                      <w:kern w:val="0"/>
                      <w:sz w:val="21"/>
                      <w:szCs w:val="21"/>
                    </w:rPr>
                  </w:pPr>
                  <w:r>
                    <w:rPr>
                      <w:rFonts w:hint="eastAsia"/>
                      <w:kern w:val="0"/>
                      <w:sz w:val="21"/>
                      <w:szCs w:val="21"/>
                    </w:rPr>
                    <w:t>25t</w:t>
                  </w:r>
                </w:p>
              </w:tc>
              <w:tc>
                <w:tcPr>
                  <w:tcW w:w="1559" w:type="dxa"/>
                  <w:vAlign w:val="center"/>
                </w:tcPr>
                <w:p>
                  <w:pPr>
                    <w:widowControl/>
                    <w:spacing w:line="240" w:lineRule="auto"/>
                    <w:jc w:val="center"/>
                    <w:textAlignment w:val="center"/>
                    <w:rPr>
                      <w:kern w:val="0"/>
                      <w:sz w:val="21"/>
                      <w:szCs w:val="21"/>
                    </w:rPr>
                  </w:pPr>
                  <w:r>
                    <w:rPr>
                      <w:rFonts w:hint="eastAsia"/>
                      <w:kern w:val="0"/>
                      <w:sz w:val="21"/>
                      <w:szCs w:val="21"/>
                    </w:rPr>
                    <w:t>/</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外层套保护可回收膜/固态</w:t>
                  </w:r>
                </w:p>
              </w:tc>
              <w:tc>
                <w:tcPr>
                  <w:tcW w:w="1181" w:type="dxa"/>
                  <w:vAlign w:val="center"/>
                </w:tcPr>
                <w:p>
                  <w:pPr>
                    <w:widowControl/>
                    <w:spacing w:line="240" w:lineRule="auto"/>
                    <w:jc w:val="center"/>
                    <w:textAlignment w:val="center"/>
                    <w:rPr>
                      <w:kern w:val="0"/>
                      <w:sz w:val="21"/>
                      <w:szCs w:val="21"/>
                    </w:rPr>
                  </w:pPr>
                  <w:r>
                    <w:rPr>
                      <w:rFonts w:hint="eastAsia"/>
                      <w:kern w:val="0"/>
                      <w:sz w:val="21"/>
                      <w:szCs w:val="21"/>
                    </w:rPr>
                    <w:t>组装区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500" w:type="dxa"/>
                  <w:vAlign w:val="center"/>
                </w:tcPr>
                <w:p>
                  <w:pPr>
                    <w:widowControl/>
                    <w:spacing w:line="240" w:lineRule="auto"/>
                    <w:jc w:val="center"/>
                    <w:textAlignment w:val="center"/>
                    <w:rPr>
                      <w:kern w:val="0"/>
                      <w:sz w:val="21"/>
                      <w:szCs w:val="21"/>
                    </w:rPr>
                  </w:pPr>
                  <w:r>
                    <w:rPr>
                      <w:rFonts w:hint="eastAsia"/>
                      <w:kern w:val="0"/>
                      <w:sz w:val="21"/>
                      <w:szCs w:val="21"/>
                    </w:rPr>
                    <w:t>4</w:t>
                  </w:r>
                </w:p>
              </w:tc>
              <w:tc>
                <w:tcPr>
                  <w:tcW w:w="1275" w:type="dxa"/>
                  <w:vAlign w:val="center"/>
                </w:tcPr>
                <w:p>
                  <w:pPr>
                    <w:widowControl/>
                    <w:spacing w:line="240" w:lineRule="auto"/>
                    <w:jc w:val="center"/>
                    <w:textAlignment w:val="center"/>
                    <w:rPr>
                      <w:kern w:val="0"/>
                      <w:sz w:val="21"/>
                      <w:szCs w:val="21"/>
                    </w:rPr>
                  </w:pPr>
                  <w:r>
                    <w:rPr>
                      <w:rFonts w:hint="eastAsia"/>
                      <w:kern w:val="0"/>
                      <w:sz w:val="21"/>
                      <w:szCs w:val="21"/>
                    </w:rPr>
                    <w:t>电池左/右层架</w:t>
                  </w:r>
                </w:p>
              </w:tc>
              <w:tc>
                <w:tcPr>
                  <w:tcW w:w="1276" w:type="dxa"/>
                  <w:vAlign w:val="center"/>
                </w:tcPr>
                <w:p>
                  <w:pPr>
                    <w:widowControl/>
                    <w:spacing w:line="240" w:lineRule="auto"/>
                    <w:jc w:val="center"/>
                    <w:textAlignment w:val="center"/>
                    <w:rPr>
                      <w:kern w:val="0"/>
                      <w:sz w:val="21"/>
                      <w:szCs w:val="21"/>
                    </w:rPr>
                  </w:pPr>
                  <w:r>
                    <w:rPr>
                      <w:rFonts w:hint="eastAsia"/>
                      <w:kern w:val="0"/>
                      <w:sz w:val="21"/>
                      <w:szCs w:val="21"/>
                    </w:rPr>
                    <w:t>1200 t/a</w:t>
                  </w:r>
                </w:p>
              </w:tc>
              <w:tc>
                <w:tcPr>
                  <w:tcW w:w="1134" w:type="dxa"/>
                  <w:vAlign w:val="center"/>
                </w:tcPr>
                <w:p>
                  <w:pPr>
                    <w:widowControl/>
                    <w:spacing w:line="240" w:lineRule="auto"/>
                    <w:jc w:val="center"/>
                    <w:textAlignment w:val="center"/>
                    <w:rPr>
                      <w:kern w:val="0"/>
                      <w:sz w:val="21"/>
                      <w:szCs w:val="21"/>
                    </w:rPr>
                  </w:pPr>
                  <w:r>
                    <w:rPr>
                      <w:rFonts w:hint="eastAsia"/>
                      <w:kern w:val="0"/>
                      <w:sz w:val="21"/>
                      <w:szCs w:val="21"/>
                    </w:rPr>
                    <w:t>60t</w:t>
                  </w:r>
                </w:p>
              </w:tc>
              <w:tc>
                <w:tcPr>
                  <w:tcW w:w="1559" w:type="dxa"/>
                  <w:vAlign w:val="center"/>
                </w:tcPr>
                <w:p>
                  <w:pPr>
                    <w:widowControl/>
                    <w:spacing w:line="240" w:lineRule="auto"/>
                    <w:jc w:val="center"/>
                    <w:textAlignment w:val="center"/>
                    <w:rPr>
                      <w:kern w:val="0"/>
                      <w:sz w:val="21"/>
                      <w:szCs w:val="21"/>
                    </w:rPr>
                  </w:pPr>
                  <w:r>
                    <w:rPr>
                      <w:rFonts w:hint="eastAsia"/>
                      <w:kern w:val="0"/>
                      <w:sz w:val="21"/>
                      <w:szCs w:val="21"/>
                    </w:rPr>
                    <w:t>/</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栈板拉伸膜打包/固态</w:t>
                  </w:r>
                </w:p>
              </w:tc>
              <w:tc>
                <w:tcPr>
                  <w:tcW w:w="1181" w:type="dxa"/>
                  <w:vAlign w:val="center"/>
                </w:tcPr>
                <w:p>
                  <w:pPr>
                    <w:widowControl/>
                    <w:spacing w:line="240" w:lineRule="auto"/>
                    <w:jc w:val="center"/>
                    <w:textAlignment w:val="center"/>
                    <w:rPr>
                      <w:kern w:val="0"/>
                      <w:sz w:val="21"/>
                      <w:szCs w:val="21"/>
                    </w:rPr>
                  </w:pPr>
                  <w:r>
                    <w:rPr>
                      <w:rFonts w:hint="eastAsia"/>
                      <w:kern w:val="0"/>
                      <w:sz w:val="21"/>
                      <w:szCs w:val="21"/>
                    </w:rPr>
                    <w:t>仓库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 w:type="dxa"/>
                  <w:vAlign w:val="center"/>
                </w:tcPr>
                <w:p>
                  <w:pPr>
                    <w:widowControl/>
                    <w:spacing w:line="240" w:lineRule="auto"/>
                    <w:jc w:val="center"/>
                    <w:textAlignment w:val="center"/>
                    <w:rPr>
                      <w:kern w:val="0"/>
                      <w:sz w:val="21"/>
                      <w:szCs w:val="21"/>
                    </w:rPr>
                  </w:pPr>
                  <w:r>
                    <w:rPr>
                      <w:rFonts w:hint="eastAsia"/>
                      <w:kern w:val="0"/>
                      <w:sz w:val="21"/>
                      <w:szCs w:val="21"/>
                    </w:rPr>
                    <w:t>5</w:t>
                  </w:r>
                </w:p>
              </w:tc>
              <w:tc>
                <w:tcPr>
                  <w:tcW w:w="1275" w:type="dxa"/>
                  <w:vAlign w:val="center"/>
                </w:tcPr>
                <w:p>
                  <w:pPr>
                    <w:widowControl/>
                    <w:spacing w:line="240" w:lineRule="auto"/>
                    <w:jc w:val="center"/>
                    <w:textAlignment w:val="center"/>
                    <w:rPr>
                      <w:kern w:val="0"/>
                      <w:sz w:val="21"/>
                      <w:szCs w:val="21"/>
                    </w:rPr>
                  </w:pPr>
                  <w:r>
                    <w:rPr>
                      <w:rFonts w:hint="eastAsia"/>
                      <w:kern w:val="0"/>
                      <w:sz w:val="21"/>
                      <w:szCs w:val="21"/>
                    </w:rPr>
                    <w:t>配电汇流框架</w:t>
                  </w:r>
                </w:p>
              </w:tc>
              <w:tc>
                <w:tcPr>
                  <w:tcW w:w="1276" w:type="dxa"/>
                  <w:vAlign w:val="center"/>
                </w:tcPr>
                <w:p>
                  <w:pPr>
                    <w:widowControl/>
                    <w:spacing w:line="240" w:lineRule="auto"/>
                    <w:jc w:val="center"/>
                    <w:textAlignment w:val="center"/>
                    <w:rPr>
                      <w:kern w:val="0"/>
                      <w:sz w:val="21"/>
                      <w:szCs w:val="21"/>
                    </w:rPr>
                  </w:pPr>
                  <w:r>
                    <w:rPr>
                      <w:rFonts w:hint="eastAsia"/>
                      <w:kern w:val="0"/>
                      <w:sz w:val="21"/>
                      <w:szCs w:val="21"/>
                    </w:rPr>
                    <w:t>93.6 t/a</w:t>
                  </w:r>
                </w:p>
              </w:tc>
              <w:tc>
                <w:tcPr>
                  <w:tcW w:w="1134" w:type="dxa"/>
                  <w:vAlign w:val="center"/>
                </w:tcPr>
                <w:p>
                  <w:pPr>
                    <w:widowControl/>
                    <w:spacing w:line="240" w:lineRule="auto"/>
                    <w:jc w:val="center"/>
                    <w:textAlignment w:val="center"/>
                    <w:rPr>
                      <w:kern w:val="0"/>
                      <w:sz w:val="21"/>
                      <w:szCs w:val="21"/>
                    </w:rPr>
                  </w:pPr>
                  <w:r>
                    <w:rPr>
                      <w:rFonts w:hint="eastAsia"/>
                      <w:kern w:val="0"/>
                      <w:sz w:val="21"/>
                      <w:szCs w:val="21"/>
                    </w:rPr>
                    <w:t>30t</w:t>
                  </w:r>
                </w:p>
              </w:tc>
              <w:tc>
                <w:tcPr>
                  <w:tcW w:w="1559" w:type="dxa"/>
                  <w:vAlign w:val="center"/>
                </w:tcPr>
                <w:p>
                  <w:pPr>
                    <w:widowControl/>
                    <w:spacing w:line="240" w:lineRule="auto"/>
                    <w:jc w:val="center"/>
                    <w:textAlignment w:val="center"/>
                    <w:rPr>
                      <w:kern w:val="0"/>
                      <w:sz w:val="21"/>
                      <w:szCs w:val="21"/>
                    </w:rPr>
                  </w:pPr>
                  <w:r>
                    <w:rPr>
                      <w:rFonts w:hint="eastAsia"/>
                      <w:kern w:val="0"/>
                      <w:sz w:val="21"/>
                      <w:szCs w:val="21"/>
                    </w:rPr>
                    <w:t>/</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栈板拉伸膜打包/固态</w:t>
                  </w:r>
                </w:p>
              </w:tc>
              <w:tc>
                <w:tcPr>
                  <w:tcW w:w="1181" w:type="dxa"/>
                  <w:vAlign w:val="center"/>
                </w:tcPr>
                <w:p>
                  <w:pPr>
                    <w:widowControl/>
                    <w:spacing w:line="240" w:lineRule="auto"/>
                    <w:jc w:val="center"/>
                    <w:textAlignment w:val="center"/>
                    <w:rPr>
                      <w:kern w:val="0"/>
                      <w:sz w:val="21"/>
                      <w:szCs w:val="21"/>
                    </w:rPr>
                  </w:pPr>
                  <w:r>
                    <w:rPr>
                      <w:rFonts w:hint="eastAsia"/>
                      <w:kern w:val="0"/>
                      <w:sz w:val="21"/>
                      <w:szCs w:val="21"/>
                    </w:rPr>
                    <w:t>仓库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 w:type="dxa"/>
                  <w:vAlign w:val="center"/>
                </w:tcPr>
                <w:p>
                  <w:pPr>
                    <w:widowControl/>
                    <w:spacing w:line="240" w:lineRule="auto"/>
                    <w:jc w:val="center"/>
                    <w:textAlignment w:val="center"/>
                    <w:rPr>
                      <w:kern w:val="0"/>
                      <w:sz w:val="21"/>
                      <w:szCs w:val="21"/>
                    </w:rPr>
                  </w:pPr>
                  <w:r>
                    <w:rPr>
                      <w:rFonts w:hint="eastAsia"/>
                      <w:kern w:val="0"/>
                      <w:sz w:val="21"/>
                      <w:szCs w:val="21"/>
                    </w:rPr>
                    <w:t>6</w:t>
                  </w:r>
                </w:p>
              </w:tc>
              <w:tc>
                <w:tcPr>
                  <w:tcW w:w="1275" w:type="dxa"/>
                  <w:vAlign w:val="center"/>
                </w:tcPr>
                <w:p>
                  <w:pPr>
                    <w:widowControl/>
                    <w:spacing w:line="240" w:lineRule="auto"/>
                    <w:jc w:val="center"/>
                    <w:textAlignment w:val="center"/>
                    <w:rPr>
                      <w:kern w:val="0"/>
                      <w:sz w:val="21"/>
                      <w:szCs w:val="21"/>
                    </w:rPr>
                  </w:pPr>
                  <w:r>
                    <w:rPr>
                      <w:rFonts w:hint="eastAsia"/>
                      <w:kern w:val="0"/>
                      <w:sz w:val="21"/>
                      <w:szCs w:val="21"/>
                    </w:rPr>
                    <w:t>外协件</w:t>
                  </w:r>
                </w:p>
              </w:tc>
              <w:tc>
                <w:tcPr>
                  <w:tcW w:w="1276" w:type="dxa"/>
                  <w:vAlign w:val="center"/>
                </w:tcPr>
                <w:p>
                  <w:pPr>
                    <w:widowControl/>
                    <w:spacing w:line="240" w:lineRule="auto"/>
                    <w:jc w:val="center"/>
                    <w:textAlignment w:val="center"/>
                    <w:rPr>
                      <w:kern w:val="0"/>
                      <w:sz w:val="21"/>
                      <w:szCs w:val="21"/>
                    </w:rPr>
                  </w:pPr>
                  <w:r>
                    <w:rPr>
                      <w:rFonts w:hint="eastAsia"/>
                      <w:kern w:val="0"/>
                      <w:sz w:val="21"/>
                      <w:szCs w:val="21"/>
                    </w:rPr>
                    <w:t>60 t/a</w:t>
                  </w:r>
                </w:p>
              </w:tc>
              <w:tc>
                <w:tcPr>
                  <w:tcW w:w="1134" w:type="dxa"/>
                  <w:vAlign w:val="center"/>
                </w:tcPr>
                <w:p>
                  <w:pPr>
                    <w:widowControl/>
                    <w:spacing w:line="240" w:lineRule="auto"/>
                    <w:jc w:val="center"/>
                    <w:textAlignment w:val="center"/>
                    <w:rPr>
                      <w:kern w:val="0"/>
                      <w:sz w:val="21"/>
                      <w:szCs w:val="21"/>
                    </w:rPr>
                  </w:pPr>
                  <w:r>
                    <w:rPr>
                      <w:rFonts w:hint="eastAsia"/>
                      <w:kern w:val="0"/>
                      <w:sz w:val="21"/>
                      <w:szCs w:val="21"/>
                    </w:rPr>
                    <w:t>1.2t</w:t>
                  </w:r>
                </w:p>
              </w:tc>
              <w:tc>
                <w:tcPr>
                  <w:tcW w:w="1559" w:type="dxa"/>
                  <w:vAlign w:val="center"/>
                </w:tcPr>
                <w:p>
                  <w:pPr>
                    <w:widowControl/>
                    <w:spacing w:line="240" w:lineRule="auto"/>
                    <w:jc w:val="center"/>
                    <w:textAlignment w:val="center"/>
                    <w:rPr>
                      <w:kern w:val="0"/>
                      <w:sz w:val="21"/>
                      <w:szCs w:val="21"/>
                    </w:rPr>
                  </w:pPr>
                  <w:r>
                    <w:rPr>
                      <w:rFonts w:hint="eastAsia"/>
                      <w:kern w:val="0"/>
                      <w:sz w:val="21"/>
                      <w:szCs w:val="21"/>
                    </w:rPr>
                    <w:t>不锈钢件，1106.5×1080×970mm</w:t>
                  </w:r>
                  <w:r>
                    <w:rPr>
                      <w:kern w:val="0"/>
                      <w:sz w:val="21"/>
                      <w:szCs w:val="21"/>
                    </w:rPr>
                    <w:t xml:space="preserve"> </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栈板拉伸膜打包/固态</w:t>
                  </w:r>
                </w:p>
              </w:tc>
              <w:tc>
                <w:tcPr>
                  <w:tcW w:w="1181" w:type="dxa"/>
                  <w:vAlign w:val="center"/>
                </w:tcPr>
                <w:p>
                  <w:pPr>
                    <w:widowControl/>
                    <w:spacing w:line="240" w:lineRule="auto"/>
                    <w:jc w:val="center"/>
                    <w:textAlignment w:val="center"/>
                    <w:rPr>
                      <w:kern w:val="0"/>
                      <w:sz w:val="21"/>
                      <w:szCs w:val="21"/>
                    </w:rPr>
                  </w:pPr>
                  <w:r>
                    <w:rPr>
                      <w:rFonts w:hint="eastAsia"/>
                      <w:kern w:val="0"/>
                      <w:sz w:val="21"/>
                      <w:szCs w:val="21"/>
                    </w:rPr>
                    <w:t>仓库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 w:type="dxa"/>
                  <w:vAlign w:val="center"/>
                </w:tcPr>
                <w:p>
                  <w:pPr>
                    <w:widowControl/>
                    <w:spacing w:line="240" w:lineRule="auto"/>
                    <w:jc w:val="center"/>
                    <w:textAlignment w:val="center"/>
                    <w:rPr>
                      <w:kern w:val="0"/>
                      <w:sz w:val="21"/>
                      <w:szCs w:val="21"/>
                    </w:rPr>
                  </w:pPr>
                  <w:r>
                    <w:rPr>
                      <w:rFonts w:hint="eastAsia"/>
                      <w:kern w:val="0"/>
                      <w:sz w:val="21"/>
                      <w:szCs w:val="21"/>
                    </w:rPr>
                    <w:t>7</w:t>
                  </w:r>
                </w:p>
              </w:tc>
              <w:tc>
                <w:tcPr>
                  <w:tcW w:w="1275" w:type="dxa"/>
                  <w:vAlign w:val="center"/>
                </w:tcPr>
                <w:p>
                  <w:pPr>
                    <w:widowControl/>
                    <w:spacing w:line="240" w:lineRule="auto"/>
                    <w:jc w:val="center"/>
                    <w:textAlignment w:val="center"/>
                    <w:rPr>
                      <w:kern w:val="0"/>
                      <w:sz w:val="21"/>
                      <w:szCs w:val="21"/>
                    </w:rPr>
                  </w:pPr>
                  <w:r>
                    <w:rPr>
                      <w:rFonts w:hint="eastAsia"/>
                      <w:kern w:val="0"/>
                      <w:sz w:val="21"/>
                      <w:szCs w:val="21"/>
                    </w:rPr>
                    <w:t>消防管道</w:t>
                  </w:r>
                </w:p>
              </w:tc>
              <w:tc>
                <w:tcPr>
                  <w:tcW w:w="1276" w:type="dxa"/>
                  <w:vAlign w:val="center"/>
                </w:tcPr>
                <w:p>
                  <w:pPr>
                    <w:widowControl/>
                    <w:spacing w:line="240" w:lineRule="auto"/>
                    <w:jc w:val="center"/>
                    <w:textAlignment w:val="center"/>
                    <w:rPr>
                      <w:kern w:val="0"/>
                      <w:sz w:val="21"/>
                      <w:szCs w:val="21"/>
                    </w:rPr>
                  </w:pPr>
                  <w:r>
                    <w:rPr>
                      <w:rFonts w:hint="eastAsia"/>
                      <w:kern w:val="0"/>
                      <w:sz w:val="21"/>
                      <w:szCs w:val="21"/>
                    </w:rPr>
                    <w:t>151 t/a</w:t>
                  </w:r>
                </w:p>
              </w:tc>
              <w:tc>
                <w:tcPr>
                  <w:tcW w:w="1134" w:type="dxa"/>
                  <w:vAlign w:val="center"/>
                </w:tcPr>
                <w:p>
                  <w:pPr>
                    <w:widowControl/>
                    <w:spacing w:line="240" w:lineRule="auto"/>
                    <w:jc w:val="center"/>
                    <w:textAlignment w:val="center"/>
                    <w:rPr>
                      <w:kern w:val="0"/>
                      <w:sz w:val="21"/>
                      <w:szCs w:val="21"/>
                    </w:rPr>
                  </w:pPr>
                  <w:r>
                    <w:rPr>
                      <w:rFonts w:hint="eastAsia"/>
                      <w:kern w:val="0"/>
                      <w:sz w:val="21"/>
                      <w:szCs w:val="21"/>
                    </w:rPr>
                    <w:t>3t</w:t>
                  </w:r>
                </w:p>
              </w:tc>
              <w:tc>
                <w:tcPr>
                  <w:tcW w:w="1559" w:type="dxa"/>
                  <w:vAlign w:val="center"/>
                </w:tcPr>
                <w:p>
                  <w:pPr>
                    <w:widowControl/>
                    <w:spacing w:line="240" w:lineRule="auto"/>
                    <w:jc w:val="center"/>
                    <w:textAlignment w:val="center"/>
                    <w:rPr>
                      <w:kern w:val="0"/>
                      <w:sz w:val="21"/>
                      <w:szCs w:val="21"/>
                    </w:rPr>
                  </w:pPr>
                  <w:r>
                    <w:rPr>
                      <w:rFonts w:hint="eastAsia"/>
                      <w:kern w:val="0"/>
                      <w:sz w:val="21"/>
                      <w:szCs w:val="21"/>
                    </w:rPr>
                    <w:t>/</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栈板拉伸膜打包/固态</w:t>
                  </w:r>
                </w:p>
              </w:tc>
              <w:tc>
                <w:tcPr>
                  <w:tcW w:w="1181" w:type="dxa"/>
                  <w:vAlign w:val="center"/>
                </w:tcPr>
                <w:p>
                  <w:pPr>
                    <w:widowControl/>
                    <w:spacing w:line="240" w:lineRule="auto"/>
                    <w:jc w:val="center"/>
                    <w:textAlignment w:val="center"/>
                    <w:rPr>
                      <w:kern w:val="0"/>
                      <w:sz w:val="21"/>
                      <w:szCs w:val="21"/>
                    </w:rPr>
                  </w:pPr>
                  <w:r>
                    <w:rPr>
                      <w:rFonts w:hint="eastAsia"/>
                      <w:kern w:val="0"/>
                      <w:sz w:val="21"/>
                      <w:szCs w:val="21"/>
                    </w:rPr>
                    <w:t>仓库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500" w:type="dxa"/>
                  <w:vAlign w:val="center"/>
                </w:tcPr>
                <w:p>
                  <w:pPr>
                    <w:widowControl/>
                    <w:spacing w:line="240" w:lineRule="auto"/>
                    <w:jc w:val="center"/>
                    <w:textAlignment w:val="center"/>
                    <w:rPr>
                      <w:kern w:val="0"/>
                      <w:sz w:val="21"/>
                      <w:szCs w:val="21"/>
                    </w:rPr>
                  </w:pPr>
                  <w:r>
                    <w:rPr>
                      <w:rFonts w:hint="eastAsia"/>
                      <w:kern w:val="0"/>
                      <w:sz w:val="21"/>
                      <w:szCs w:val="21"/>
                    </w:rPr>
                    <w:t>8</w:t>
                  </w:r>
                </w:p>
              </w:tc>
              <w:tc>
                <w:tcPr>
                  <w:tcW w:w="1275" w:type="dxa"/>
                  <w:vAlign w:val="center"/>
                </w:tcPr>
                <w:p>
                  <w:pPr>
                    <w:widowControl/>
                    <w:spacing w:line="240" w:lineRule="auto"/>
                    <w:jc w:val="center"/>
                    <w:textAlignment w:val="center"/>
                    <w:rPr>
                      <w:kern w:val="0"/>
                      <w:sz w:val="21"/>
                      <w:szCs w:val="21"/>
                    </w:rPr>
                  </w:pPr>
                  <w:r>
                    <w:rPr>
                      <w:rFonts w:hint="eastAsia"/>
                      <w:kern w:val="0"/>
                      <w:sz w:val="21"/>
                      <w:szCs w:val="21"/>
                    </w:rPr>
                    <w:t>不锈钢管</w:t>
                  </w:r>
                </w:p>
              </w:tc>
              <w:tc>
                <w:tcPr>
                  <w:tcW w:w="1276" w:type="dxa"/>
                  <w:vAlign w:val="center"/>
                </w:tcPr>
                <w:p>
                  <w:pPr>
                    <w:widowControl/>
                    <w:spacing w:line="240" w:lineRule="auto"/>
                    <w:jc w:val="center"/>
                    <w:textAlignment w:val="center"/>
                    <w:rPr>
                      <w:kern w:val="0"/>
                      <w:sz w:val="21"/>
                      <w:szCs w:val="21"/>
                    </w:rPr>
                  </w:pPr>
                  <w:r>
                    <w:rPr>
                      <w:rFonts w:hint="eastAsia"/>
                      <w:kern w:val="0"/>
                      <w:sz w:val="21"/>
                      <w:szCs w:val="21"/>
                    </w:rPr>
                    <w:t>96 t/a</w:t>
                  </w:r>
                </w:p>
              </w:tc>
              <w:tc>
                <w:tcPr>
                  <w:tcW w:w="1134" w:type="dxa"/>
                  <w:vAlign w:val="center"/>
                </w:tcPr>
                <w:p>
                  <w:pPr>
                    <w:widowControl/>
                    <w:spacing w:line="240" w:lineRule="auto"/>
                    <w:jc w:val="center"/>
                    <w:textAlignment w:val="center"/>
                    <w:rPr>
                      <w:kern w:val="0"/>
                      <w:sz w:val="21"/>
                      <w:szCs w:val="21"/>
                    </w:rPr>
                  </w:pPr>
                  <w:r>
                    <w:rPr>
                      <w:rFonts w:hint="eastAsia"/>
                      <w:kern w:val="0"/>
                      <w:sz w:val="21"/>
                      <w:szCs w:val="21"/>
                    </w:rPr>
                    <w:t>1.9t</w:t>
                  </w:r>
                </w:p>
              </w:tc>
              <w:tc>
                <w:tcPr>
                  <w:tcW w:w="1559" w:type="dxa"/>
                  <w:vAlign w:val="center"/>
                </w:tcPr>
                <w:p>
                  <w:pPr>
                    <w:widowControl/>
                    <w:spacing w:line="240" w:lineRule="auto"/>
                    <w:jc w:val="center"/>
                    <w:textAlignment w:val="center"/>
                    <w:rPr>
                      <w:kern w:val="0"/>
                      <w:sz w:val="21"/>
                      <w:szCs w:val="21"/>
                    </w:rPr>
                  </w:pPr>
                  <w:r>
                    <w:rPr>
                      <w:rFonts w:hint="eastAsia"/>
                      <w:kern w:val="0"/>
                      <w:sz w:val="21"/>
                      <w:szCs w:val="21"/>
                    </w:rPr>
                    <w:t>/</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栈板拉伸膜打包/固态</w:t>
                  </w:r>
                </w:p>
              </w:tc>
              <w:tc>
                <w:tcPr>
                  <w:tcW w:w="1181" w:type="dxa"/>
                  <w:vAlign w:val="center"/>
                </w:tcPr>
                <w:p>
                  <w:pPr>
                    <w:widowControl/>
                    <w:spacing w:line="240" w:lineRule="auto"/>
                    <w:jc w:val="center"/>
                    <w:textAlignment w:val="center"/>
                    <w:rPr>
                      <w:kern w:val="0"/>
                      <w:sz w:val="21"/>
                      <w:szCs w:val="21"/>
                    </w:rPr>
                  </w:pPr>
                  <w:r>
                    <w:rPr>
                      <w:rFonts w:hint="eastAsia"/>
                      <w:kern w:val="0"/>
                      <w:sz w:val="21"/>
                      <w:szCs w:val="21"/>
                    </w:rPr>
                    <w:t>仓库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 w:type="dxa"/>
                  <w:vAlign w:val="center"/>
                </w:tcPr>
                <w:p>
                  <w:pPr>
                    <w:widowControl/>
                    <w:spacing w:line="240" w:lineRule="auto"/>
                    <w:jc w:val="center"/>
                    <w:textAlignment w:val="center"/>
                    <w:rPr>
                      <w:kern w:val="0"/>
                      <w:sz w:val="21"/>
                      <w:szCs w:val="21"/>
                    </w:rPr>
                  </w:pPr>
                  <w:r>
                    <w:rPr>
                      <w:rFonts w:hint="eastAsia"/>
                      <w:kern w:val="0"/>
                      <w:sz w:val="21"/>
                      <w:szCs w:val="21"/>
                    </w:rPr>
                    <w:t>9</w:t>
                  </w:r>
                </w:p>
              </w:tc>
              <w:tc>
                <w:tcPr>
                  <w:tcW w:w="1275" w:type="dxa"/>
                  <w:vAlign w:val="center"/>
                </w:tcPr>
                <w:p>
                  <w:pPr>
                    <w:widowControl/>
                    <w:spacing w:line="240" w:lineRule="auto"/>
                    <w:jc w:val="center"/>
                    <w:textAlignment w:val="center"/>
                    <w:rPr>
                      <w:kern w:val="0"/>
                      <w:sz w:val="21"/>
                      <w:szCs w:val="21"/>
                    </w:rPr>
                  </w:pPr>
                  <w:r>
                    <w:rPr>
                      <w:rFonts w:hint="eastAsia"/>
                      <w:kern w:val="0"/>
                      <w:sz w:val="21"/>
                      <w:szCs w:val="21"/>
                    </w:rPr>
                    <w:t>线束</w:t>
                  </w:r>
                </w:p>
              </w:tc>
              <w:tc>
                <w:tcPr>
                  <w:tcW w:w="1276" w:type="dxa"/>
                  <w:vAlign w:val="center"/>
                </w:tcPr>
                <w:p>
                  <w:pPr>
                    <w:widowControl/>
                    <w:spacing w:line="240" w:lineRule="auto"/>
                    <w:jc w:val="center"/>
                    <w:textAlignment w:val="center"/>
                    <w:rPr>
                      <w:kern w:val="0"/>
                      <w:sz w:val="21"/>
                      <w:szCs w:val="21"/>
                    </w:rPr>
                  </w:pPr>
                  <w:r>
                    <w:rPr>
                      <w:rFonts w:hint="eastAsia"/>
                      <w:kern w:val="0"/>
                      <w:sz w:val="21"/>
                      <w:szCs w:val="21"/>
                    </w:rPr>
                    <w:t>14t/a</w:t>
                  </w:r>
                </w:p>
              </w:tc>
              <w:tc>
                <w:tcPr>
                  <w:tcW w:w="1134" w:type="dxa"/>
                  <w:vAlign w:val="center"/>
                </w:tcPr>
                <w:p>
                  <w:pPr>
                    <w:widowControl/>
                    <w:spacing w:line="240" w:lineRule="auto"/>
                    <w:jc w:val="center"/>
                    <w:textAlignment w:val="center"/>
                    <w:rPr>
                      <w:kern w:val="0"/>
                      <w:sz w:val="21"/>
                      <w:szCs w:val="21"/>
                    </w:rPr>
                  </w:pPr>
                  <w:r>
                    <w:rPr>
                      <w:rFonts w:hint="eastAsia"/>
                      <w:kern w:val="0"/>
                      <w:sz w:val="21"/>
                      <w:szCs w:val="21"/>
                    </w:rPr>
                    <w:t>0.28t</w:t>
                  </w:r>
                </w:p>
              </w:tc>
              <w:tc>
                <w:tcPr>
                  <w:tcW w:w="1559" w:type="dxa"/>
                  <w:vAlign w:val="center"/>
                </w:tcPr>
                <w:p>
                  <w:pPr>
                    <w:widowControl/>
                    <w:spacing w:line="240" w:lineRule="auto"/>
                    <w:jc w:val="center"/>
                    <w:textAlignment w:val="center"/>
                    <w:rPr>
                      <w:kern w:val="0"/>
                      <w:sz w:val="21"/>
                      <w:szCs w:val="21"/>
                    </w:rPr>
                  </w:pPr>
                  <w:r>
                    <w:rPr>
                      <w:rFonts w:hint="eastAsia"/>
                      <w:kern w:val="0"/>
                      <w:sz w:val="21"/>
                      <w:szCs w:val="21"/>
                    </w:rPr>
                    <w:t>/</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纸箱包装/固态</w:t>
                  </w:r>
                </w:p>
              </w:tc>
              <w:tc>
                <w:tcPr>
                  <w:tcW w:w="1181" w:type="dxa"/>
                  <w:vAlign w:val="center"/>
                </w:tcPr>
                <w:p>
                  <w:pPr>
                    <w:widowControl/>
                    <w:spacing w:line="240" w:lineRule="auto"/>
                    <w:jc w:val="center"/>
                    <w:textAlignment w:val="center"/>
                    <w:rPr>
                      <w:kern w:val="0"/>
                      <w:sz w:val="21"/>
                      <w:szCs w:val="21"/>
                    </w:rPr>
                  </w:pPr>
                  <w:r>
                    <w:rPr>
                      <w:rFonts w:hint="eastAsia"/>
                      <w:kern w:val="0"/>
                      <w:sz w:val="21"/>
                      <w:szCs w:val="21"/>
                    </w:rPr>
                    <w:t>仓库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 w:type="dxa"/>
                  <w:vAlign w:val="center"/>
                </w:tcPr>
                <w:p>
                  <w:pPr>
                    <w:widowControl/>
                    <w:spacing w:line="240" w:lineRule="auto"/>
                    <w:jc w:val="center"/>
                    <w:textAlignment w:val="center"/>
                    <w:rPr>
                      <w:kern w:val="0"/>
                      <w:sz w:val="21"/>
                      <w:szCs w:val="21"/>
                    </w:rPr>
                  </w:pPr>
                  <w:r>
                    <w:rPr>
                      <w:rFonts w:hint="eastAsia"/>
                      <w:kern w:val="0"/>
                      <w:sz w:val="21"/>
                      <w:szCs w:val="21"/>
                    </w:rPr>
                    <w:t>1</w:t>
                  </w:r>
                  <w:r>
                    <w:rPr>
                      <w:kern w:val="0"/>
                      <w:sz w:val="21"/>
                      <w:szCs w:val="21"/>
                    </w:rPr>
                    <w:t>0</w:t>
                  </w:r>
                </w:p>
              </w:tc>
              <w:tc>
                <w:tcPr>
                  <w:tcW w:w="1275" w:type="dxa"/>
                  <w:vAlign w:val="center"/>
                </w:tcPr>
                <w:p>
                  <w:pPr>
                    <w:widowControl/>
                    <w:spacing w:line="240" w:lineRule="auto"/>
                    <w:jc w:val="center"/>
                    <w:textAlignment w:val="center"/>
                    <w:rPr>
                      <w:kern w:val="0"/>
                      <w:sz w:val="21"/>
                      <w:szCs w:val="21"/>
                    </w:rPr>
                  </w:pPr>
                  <w:r>
                    <w:rPr>
                      <w:rFonts w:hint="eastAsia"/>
                      <w:kern w:val="0"/>
                      <w:sz w:val="21"/>
                      <w:szCs w:val="21"/>
                    </w:rPr>
                    <w:t>3</w:t>
                  </w:r>
                  <w:r>
                    <w:rPr>
                      <w:kern w:val="0"/>
                      <w:sz w:val="21"/>
                      <w:szCs w:val="21"/>
                    </w:rPr>
                    <w:t>M</w:t>
                  </w:r>
                  <w:r>
                    <w:rPr>
                      <w:rFonts w:hint="eastAsia"/>
                      <w:kern w:val="0"/>
                      <w:sz w:val="21"/>
                      <w:szCs w:val="21"/>
                    </w:rPr>
                    <w:t>结构胶</w:t>
                  </w:r>
                </w:p>
              </w:tc>
              <w:tc>
                <w:tcPr>
                  <w:tcW w:w="1276" w:type="dxa"/>
                  <w:vAlign w:val="center"/>
                </w:tcPr>
                <w:p>
                  <w:pPr>
                    <w:widowControl/>
                    <w:spacing w:line="240" w:lineRule="auto"/>
                    <w:jc w:val="center"/>
                    <w:textAlignment w:val="center"/>
                    <w:rPr>
                      <w:kern w:val="0"/>
                      <w:sz w:val="21"/>
                      <w:szCs w:val="21"/>
                    </w:rPr>
                  </w:pPr>
                  <w:r>
                    <w:rPr>
                      <w:kern w:val="0"/>
                      <w:sz w:val="21"/>
                      <w:szCs w:val="21"/>
                    </w:rPr>
                    <w:t>8.3</w:t>
                  </w:r>
                  <w:r>
                    <w:rPr>
                      <w:rFonts w:hint="eastAsia"/>
                      <w:kern w:val="0"/>
                      <w:sz w:val="21"/>
                      <w:szCs w:val="21"/>
                    </w:rPr>
                    <w:t>kg/a</w:t>
                  </w:r>
                </w:p>
              </w:tc>
              <w:tc>
                <w:tcPr>
                  <w:tcW w:w="1134" w:type="dxa"/>
                  <w:vAlign w:val="center"/>
                </w:tcPr>
                <w:p>
                  <w:pPr>
                    <w:widowControl/>
                    <w:spacing w:line="240" w:lineRule="auto"/>
                    <w:jc w:val="center"/>
                    <w:textAlignment w:val="center"/>
                    <w:rPr>
                      <w:kern w:val="0"/>
                      <w:sz w:val="21"/>
                      <w:szCs w:val="21"/>
                    </w:rPr>
                  </w:pPr>
                  <w:r>
                    <w:rPr>
                      <w:kern w:val="0"/>
                      <w:sz w:val="21"/>
                      <w:szCs w:val="21"/>
                    </w:rPr>
                    <w:t>1</w:t>
                  </w:r>
                  <w:r>
                    <w:rPr>
                      <w:rFonts w:hint="eastAsia"/>
                      <w:kern w:val="0"/>
                      <w:sz w:val="21"/>
                      <w:szCs w:val="21"/>
                    </w:rPr>
                    <w:t>kg</w:t>
                  </w:r>
                </w:p>
              </w:tc>
              <w:tc>
                <w:tcPr>
                  <w:tcW w:w="1559" w:type="dxa"/>
                  <w:vAlign w:val="center"/>
                </w:tcPr>
                <w:p>
                  <w:pPr>
                    <w:widowControl/>
                    <w:spacing w:line="240" w:lineRule="auto"/>
                    <w:jc w:val="center"/>
                    <w:textAlignment w:val="center"/>
                    <w:rPr>
                      <w:kern w:val="0"/>
                      <w:sz w:val="21"/>
                      <w:szCs w:val="21"/>
                    </w:rPr>
                  </w:pPr>
                  <w:r>
                    <w:rPr>
                      <w:rFonts w:hint="eastAsia"/>
                      <w:kern w:val="0"/>
                      <w:sz w:val="21"/>
                      <w:szCs w:val="21"/>
                    </w:rPr>
                    <w:t>/</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纸箱包装/液态</w:t>
                  </w:r>
                </w:p>
              </w:tc>
              <w:tc>
                <w:tcPr>
                  <w:tcW w:w="1181" w:type="dxa"/>
                  <w:vAlign w:val="center"/>
                </w:tcPr>
                <w:p>
                  <w:pPr>
                    <w:widowControl/>
                    <w:spacing w:line="240" w:lineRule="auto"/>
                    <w:jc w:val="center"/>
                    <w:textAlignment w:val="center"/>
                    <w:rPr>
                      <w:kern w:val="0"/>
                      <w:sz w:val="21"/>
                      <w:szCs w:val="21"/>
                    </w:rPr>
                  </w:pPr>
                  <w:r>
                    <w:rPr>
                      <w:rFonts w:hint="eastAsia"/>
                      <w:kern w:val="0"/>
                      <w:sz w:val="21"/>
                      <w:szCs w:val="21"/>
                    </w:rPr>
                    <w:t>仓库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 w:type="dxa"/>
                  <w:vAlign w:val="center"/>
                </w:tcPr>
                <w:p>
                  <w:pPr>
                    <w:widowControl/>
                    <w:spacing w:line="240" w:lineRule="auto"/>
                    <w:jc w:val="center"/>
                    <w:textAlignment w:val="center"/>
                    <w:rPr>
                      <w:kern w:val="0"/>
                      <w:sz w:val="21"/>
                      <w:szCs w:val="21"/>
                    </w:rPr>
                  </w:pPr>
                  <w:r>
                    <w:rPr>
                      <w:rFonts w:hint="eastAsia"/>
                      <w:kern w:val="0"/>
                      <w:sz w:val="21"/>
                      <w:szCs w:val="21"/>
                    </w:rPr>
                    <w:t>1</w:t>
                  </w:r>
                  <w:r>
                    <w:rPr>
                      <w:kern w:val="0"/>
                      <w:sz w:val="21"/>
                      <w:szCs w:val="21"/>
                    </w:rPr>
                    <w:t>1</w:t>
                  </w:r>
                </w:p>
              </w:tc>
              <w:tc>
                <w:tcPr>
                  <w:tcW w:w="1275" w:type="dxa"/>
                  <w:vAlign w:val="center"/>
                </w:tcPr>
                <w:p>
                  <w:pPr>
                    <w:widowControl/>
                    <w:spacing w:line="240" w:lineRule="auto"/>
                    <w:jc w:val="center"/>
                    <w:textAlignment w:val="center"/>
                    <w:rPr>
                      <w:kern w:val="0"/>
                      <w:sz w:val="21"/>
                      <w:szCs w:val="21"/>
                    </w:rPr>
                  </w:pPr>
                  <w:r>
                    <w:rPr>
                      <w:rFonts w:hint="eastAsia"/>
                      <w:kern w:val="0"/>
                      <w:sz w:val="21"/>
                      <w:szCs w:val="21"/>
                    </w:rPr>
                    <w:t>结构胶</w:t>
                  </w:r>
                </w:p>
              </w:tc>
              <w:tc>
                <w:tcPr>
                  <w:tcW w:w="1276" w:type="dxa"/>
                  <w:vAlign w:val="center"/>
                </w:tcPr>
                <w:p>
                  <w:pPr>
                    <w:widowControl/>
                    <w:spacing w:line="240" w:lineRule="auto"/>
                    <w:jc w:val="center"/>
                    <w:textAlignment w:val="center"/>
                    <w:rPr>
                      <w:kern w:val="0"/>
                      <w:sz w:val="21"/>
                      <w:szCs w:val="21"/>
                    </w:rPr>
                  </w:pPr>
                  <w:r>
                    <w:rPr>
                      <w:rFonts w:hint="eastAsia"/>
                      <w:kern w:val="0"/>
                      <w:sz w:val="21"/>
                      <w:szCs w:val="21"/>
                    </w:rPr>
                    <w:t>176.8kg/a</w:t>
                  </w:r>
                </w:p>
              </w:tc>
              <w:tc>
                <w:tcPr>
                  <w:tcW w:w="1134" w:type="dxa"/>
                  <w:vAlign w:val="center"/>
                </w:tcPr>
                <w:p>
                  <w:pPr>
                    <w:widowControl/>
                    <w:spacing w:line="240" w:lineRule="auto"/>
                    <w:jc w:val="center"/>
                    <w:textAlignment w:val="center"/>
                    <w:rPr>
                      <w:kern w:val="0"/>
                      <w:sz w:val="21"/>
                      <w:szCs w:val="21"/>
                    </w:rPr>
                  </w:pPr>
                  <w:r>
                    <w:rPr>
                      <w:kern w:val="0"/>
                      <w:sz w:val="21"/>
                      <w:szCs w:val="21"/>
                    </w:rPr>
                    <w:t>10</w:t>
                  </w:r>
                  <w:r>
                    <w:rPr>
                      <w:rFonts w:hint="eastAsia"/>
                      <w:kern w:val="0"/>
                      <w:sz w:val="21"/>
                      <w:szCs w:val="21"/>
                    </w:rPr>
                    <w:t>kg</w:t>
                  </w:r>
                </w:p>
              </w:tc>
              <w:tc>
                <w:tcPr>
                  <w:tcW w:w="1559" w:type="dxa"/>
                  <w:vAlign w:val="center"/>
                </w:tcPr>
                <w:p>
                  <w:pPr>
                    <w:widowControl/>
                    <w:spacing w:line="240" w:lineRule="auto"/>
                    <w:jc w:val="center"/>
                    <w:textAlignment w:val="center"/>
                    <w:rPr>
                      <w:kern w:val="0"/>
                      <w:sz w:val="21"/>
                      <w:szCs w:val="21"/>
                    </w:rPr>
                  </w:pPr>
                  <w:r>
                    <w:rPr>
                      <w:rFonts w:hint="eastAsia"/>
                      <w:kern w:val="0"/>
                      <w:sz w:val="21"/>
                      <w:szCs w:val="21"/>
                    </w:rPr>
                    <w:t>/</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纸箱包装/液态</w:t>
                  </w:r>
                </w:p>
              </w:tc>
              <w:tc>
                <w:tcPr>
                  <w:tcW w:w="1181" w:type="dxa"/>
                  <w:vAlign w:val="center"/>
                </w:tcPr>
                <w:p>
                  <w:pPr>
                    <w:widowControl/>
                    <w:spacing w:line="240" w:lineRule="auto"/>
                    <w:jc w:val="center"/>
                    <w:textAlignment w:val="center"/>
                    <w:rPr>
                      <w:kern w:val="0"/>
                      <w:sz w:val="21"/>
                      <w:szCs w:val="21"/>
                    </w:rPr>
                  </w:pPr>
                  <w:r>
                    <w:rPr>
                      <w:rFonts w:hint="eastAsia"/>
                      <w:kern w:val="0"/>
                      <w:sz w:val="21"/>
                      <w:szCs w:val="21"/>
                    </w:rPr>
                    <w:t>仓库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 w:type="dxa"/>
                  <w:vAlign w:val="center"/>
                </w:tcPr>
                <w:p>
                  <w:pPr>
                    <w:widowControl/>
                    <w:spacing w:line="240" w:lineRule="auto"/>
                    <w:jc w:val="center"/>
                    <w:textAlignment w:val="center"/>
                    <w:rPr>
                      <w:kern w:val="0"/>
                      <w:sz w:val="21"/>
                      <w:szCs w:val="21"/>
                    </w:rPr>
                  </w:pPr>
                  <w:r>
                    <w:rPr>
                      <w:rFonts w:hint="eastAsia"/>
                      <w:kern w:val="0"/>
                      <w:sz w:val="21"/>
                      <w:szCs w:val="21"/>
                    </w:rPr>
                    <w:t>1</w:t>
                  </w:r>
                  <w:r>
                    <w:rPr>
                      <w:kern w:val="0"/>
                      <w:sz w:val="21"/>
                      <w:szCs w:val="21"/>
                    </w:rPr>
                    <w:t>2</w:t>
                  </w:r>
                </w:p>
              </w:tc>
              <w:tc>
                <w:tcPr>
                  <w:tcW w:w="1275" w:type="dxa"/>
                  <w:vAlign w:val="center"/>
                </w:tcPr>
                <w:p>
                  <w:pPr>
                    <w:widowControl/>
                    <w:spacing w:line="240" w:lineRule="auto"/>
                    <w:jc w:val="center"/>
                    <w:textAlignment w:val="center"/>
                    <w:rPr>
                      <w:kern w:val="0"/>
                      <w:sz w:val="21"/>
                      <w:szCs w:val="21"/>
                    </w:rPr>
                  </w:pPr>
                  <w:r>
                    <w:rPr>
                      <w:rFonts w:hint="eastAsia"/>
                      <w:kern w:val="0"/>
                      <w:sz w:val="21"/>
                      <w:szCs w:val="21"/>
                    </w:rPr>
                    <w:t>硅胶</w:t>
                  </w:r>
                </w:p>
              </w:tc>
              <w:tc>
                <w:tcPr>
                  <w:tcW w:w="1276" w:type="dxa"/>
                  <w:vAlign w:val="center"/>
                </w:tcPr>
                <w:p>
                  <w:pPr>
                    <w:widowControl/>
                    <w:spacing w:line="240" w:lineRule="auto"/>
                    <w:jc w:val="center"/>
                    <w:textAlignment w:val="center"/>
                    <w:rPr>
                      <w:kern w:val="0"/>
                      <w:sz w:val="21"/>
                      <w:szCs w:val="21"/>
                    </w:rPr>
                  </w:pPr>
                  <w:r>
                    <w:rPr>
                      <w:kern w:val="0"/>
                      <w:sz w:val="21"/>
                      <w:szCs w:val="21"/>
                    </w:rPr>
                    <w:t>3955.2</w:t>
                  </w:r>
                  <w:r>
                    <w:rPr>
                      <w:rFonts w:hint="eastAsia"/>
                      <w:kern w:val="0"/>
                      <w:sz w:val="21"/>
                      <w:szCs w:val="21"/>
                    </w:rPr>
                    <w:t>kg/a</w:t>
                  </w:r>
                </w:p>
              </w:tc>
              <w:tc>
                <w:tcPr>
                  <w:tcW w:w="1134" w:type="dxa"/>
                  <w:vAlign w:val="center"/>
                </w:tcPr>
                <w:p>
                  <w:pPr>
                    <w:widowControl/>
                    <w:spacing w:line="240" w:lineRule="auto"/>
                    <w:jc w:val="center"/>
                    <w:textAlignment w:val="center"/>
                    <w:rPr>
                      <w:kern w:val="0"/>
                      <w:sz w:val="21"/>
                      <w:szCs w:val="21"/>
                    </w:rPr>
                  </w:pPr>
                  <w:r>
                    <w:rPr>
                      <w:rFonts w:hint="eastAsia"/>
                      <w:kern w:val="0"/>
                      <w:sz w:val="21"/>
                      <w:szCs w:val="21"/>
                    </w:rPr>
                    <w:t>10</w:t>
                  </w:r>
                  <w:r>
                    <w:rPr>
                      <w:kern w:val="0"/>
                      <w:sz w:val="21"/>
                      <w:szCs w:val="21"/>
                    </w:rPr>
                    <w:t>0</w:t>
                  </w:r>
                  <w:r>
                    <w:rPr>
                      <w:rFonts w:hint="eastAsia"/>
                      <w:kern w:val="0"/>
                      <w:sz w:val="21"/>
                      <w:szCs w:val="21"/>
                    </w:rPr>
                    <w:t>kg</w:t>
                  </w:r>
                </w:p>
              </w:tc>
              <w:tc>
                <w:tcPr>
                  <w:tcW w:w="1559" w:type="dxa"/>
                  <w:vAlign w:val="center"/>
                </w:tcPr>
                <w:p>
                  <w:pPr>
                    <w:widowControl/>
                    <w:spacing w:line="240" w:lineRule="auto"/>
                    <w:jc w:val="center"/>
                    <w:textAlignment w:val="center"/>
                    <w:rPr>
                      <w:kern w:val="0"/>
                      <w:sz w:val="21"/>
                      <w:szCs w:val="21"/>
                    </w:rPr>
                  </w:pPr>
                  <w:r>
                    <w:rPr>
                      <w:rFonts w:hint="eastAsia"/>
                      <w:kern w:val="0"/>
                      <w:sz w:val="21"/>
                      <w:szCs w:val="21"/>
                    </w:rPr>
                    <w:t>/</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固态</w:t>
                  </w:r>
                </w:p>
              </w:tc>
              <w:tc>
                <w:tcPr>
                  <w:tcW w:w="1181" w:type="dxa"/>
                  <w:vAlign w:val="center"/>
                </w:tcPr>
                <w:p>
                  <w:pPr>
                    <w:widowControl/>
                    <w:spacing w:line="240" w:lineRule="auto"/>
                    <w:jc w:val="center"/>
                    <w:textAlignment w:val="center"/>
                    <w:rPr>
                      <w:kern w:val="0"/>
                      <w:sz w:val="21"/>
                      <w:szCs w:val="21"/>
                    </w:rPr>
                  </w:pPr>
                  <w:r>
                    <w:rPr>
                      <w:rFonts w:hint="eastAsia"/>
                      <w:kern w:val="0"/>
                      <w:sz w:val="21"/>
                      <w:szCs w:val="21"/>
                    </w:rPr>
                    <w:t>仓库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 w:type="dxa"/>
                  <w:vAlign w:val="center"/>
                </w:tcPr>
                <w:p>
                  <w:pPr>
                    <w:widowControl/>
                    <w:spacing w:line="240" w:lineRule="auto"/>
                    <w:jc w:val="center"/>
                    <w:textAlignment w:val="center"/>
                    <w:rPr>
                      <w:kern w:val="0"/>
                      <w:sz w:val="21"/>
                      <w:szCs w:val="21"/>
                    </w:rPr>
                  </w:pPr>
                  <w:r>
                    <w:rPr>
                      <w:rFonts w:hint="eastAsia"/>
                      <w:kern w:val="0"/>
                      <w:sz w:val="21"/>
                      <w:szCs w:val="21"/>
                    </w:rPr>
                    <w:t>13</w:t>
                  </w:r>
                </w:p>
              </w:tc>
              <w:tc>
                <w:tcPr>
                  <w:tcW w:w="1275" w:type="dxa"/>
                  <w:vAlign w:val="center"/>
                </w:tcPr>
                <w:p>
                  <w:pPr>
                    <w:widowControl/>
                    <w:spacing w:line="240" w:lineRule="auto"/>
                    <w:jc w:val="center"/>
                    <w:textAlignment w:val="center"/>
                    <w:rPr>
                      <w:kern w:val="0"/>
                      <w:sz w:val="21"/>
                      <w:szCs w:val="21"/>
                    </w:rPr>
                  </w:pPr>
                  <w:r>
                    <w:rPr>
                      <w:rFonts w:hint="eastAsia"/>
                      <w:kern w:val="0"/>
                      <w:sz w:val="21"/>
                      <w:szCs w:val="21"/>
                    </w:rPr>
                    <w:t>环保胶水</w:t>
                  </w:r>
                </w:p>
              </w:tc>
              <w:tc>
                <w:tcPr>
                  <w:tcW w:w="1276" w:type="dxa"/>
                  <w:vAlign w:val="center"/>
                </w:tcPr>
                <w:p>
                  <w:pPr>
                    <w:widowControl/>
                    <w:spacing w:line="240" w:lineRule="auto"/>
                    <w:jc w:val="center"/>
                    <w:textAlignment w:val="center"/>
                    <w:rPr>
                      <w:kern w:val="0"/>
                      <w:sz w:val="21"/>
                      <w:szCs w:val="21"/>
                    </w:rPr>
                  </w:pPr>
                  <w:r>
                    <w:rPr>
                      <w:kern w:val="0"/>
                      <w:sz w:val="21"/>
                      <w:szCs w:val="21"/>
                    </w:rPr>
                    <w:t>0.905</w:t>
                  </w:r>
                  <w:r>
                    <w:rPr>
                      <w:rFonts w:hint="eastAsia"/>
                      <w:kern w:val="0"/>
                      <w:sz w:val="21"/>
                      <w:szCs w:val="21"/>
                    </w:rPr>
                    <w:t>kg/a</w:t>
                  </w:r>
                </w:p>
              </w:tc>
              <w:tc>
                <w:tcPr>
                  <w:tcW w:w="1134" w:type="dxa"/>
                  <w:vAlign w:val="center"/>
                </w:tcPr>
                <w:p>
                  <w:pPr>
                    <w:widowControl/>
                    <w:spacing w:line="240" w:lineRule="auto"/>
                    <w:jc w:val="center"/>
                    <w:textAlignment w:val="center"/>
                    <w:rPr>
                      <w:kern w:val="0"/>
                      <w:sz w:val="21"/>
                      <w:szCs w:val="21"/>
                    </w:rPr>
                  </w:pPr>
                  <w:r>
                    <w:rPr>
                      <w:rFonts w:hint="eastAsia"/>
                      <w:kern w:val="0"/>
                      <w:sz w:val="21"/>
                      <w:szCs w:val="21"/>
                    </w:rPr>
                    <w:t>0.1kg</w:t>
                  </w:r>
                </w:p>
              </w:tc>
              <w:tc>
                <w:tcPr>
                  <w:tcW w:w="1559" w:type="dxa"/>
                  <w:vAlign w:val="center"/>
                </w:tcPr>
                <w:p>
                  <w:pPr>
                    <w:widowControl/>
                    <w:spacing w:line="240" w:lineRule="auto"/>
                    <w:jc w:val="center"/>
                    <w:textAlignment w:val="center"/>
                    <w:rPr>
                      <w:kern w:val="0"/>
                      <w:sz w:val="21"/>
                      <w:szCs w:val="21"/>
                    </w:rPr>
                  </w:pPr>
                  <w:r>
                    <w:rPr>
                      <w:rFonts w:hint="eastAsia"/>
                      <w:kern w:val="0"/>
                      <w:sz w:val="21"/>
                      <w:szCs w:val="21"/>
                    </w:rPr>
                    <w:t>/</w:t>
                  </w:r>
                </w:p>
              </w:tc>
              <w:tc>
                <w:tcPr>
                  <w:tcW w:w="1843" w:type="dxa"/>
                  <w:vAlign w:val="center"/>
                </w:tcPr>
                <w:p>
                  <w:pPr>
                    <w:widowControl/>
                    <w:spacing w:line="240" w:lineRule="auto"/>
                    <w:jc w:val="center"/>
                    <w:textAlignment w:val="center"/>
                    <w:rPr>
                      <w:kern w:val="0"/>
                      <w:sz w:val="21"/>
                      <w:szCs w:val="21"/>
                    </w:rPr>
                  </w:pPr>
                  <w:r>
                    <w:rPr>
                      <w:rFonts w:hint="eastAsia"/>
                      <w:kern w:val="0"/>
                      <w:sz w:val="21"/>
                      <w:szCs w:val="21"/>
                    </w:rPr>
                    <w:t>纸箱包装/液态</w:t>
                  </w:r>
                </w:p>
              </w:tc>
              <w:tc>
                <w:tcPr>
                  <w:tcW w:w="1181" w:type="dxa"/>
                  <w:vAlign w:val="center"/>
                </w:tcPr>
                <w:p>
                  <w:pPr>
                    <w:widowControl/>
                    <w:spacing w:line="240" w:lineRule="auto"/>
                    <w:jc w:val="center"/>
                    <w:textAlignment w:val="center"/>
                    <w:rPr>
                      <w:kern w:val="0"/>
                      <w:sz w:val="21"/>
                      <w:szCs w:val="21"/>
                    </w:rPr>
                  </w:pPr>
                  <w:r>
                    <w:rPr>
                      <w:rFonts w:hint="eastAsia"/>
                      <w:kern w:val="0"/>
                      <w:sz w:val="21"/>
                      <w:szCs w:val="21"/>
                    </w:rPr>
                    <w:t>仓库</w:t>
                  </w:r>
                </w:p>
              </w:tc>
            </w:tr>
          </w:tbl>
          <w:p>
            <w:pPr>
              <w:ind w:firstLine="480" w:firstLineChars="200"/>
              <w:jc w:val="left"/>
              <w:rPr>
                <w:bCs/>
                <w:sz w:val="24"/>
              </w:rPr>
            </w:pPr>
            <w:r>
              <w:rPr>
                <w:bCs/>
                <w:sz w:val="24"/>
              </w:rPr>
              <w:t>项目原辅料主要成分及物化性质见下表：</w:t>
            </w:r>
          </w:p>
          <w:p>
            <w:pPr>
              <w:pStyle w:val="169"/>
              <w:spacing w:line="240" w:lineRule="auto"/>
              <w:rPr>
                <w:rFonts w:hint="default" w:hAnsi="Times New Roman" w:eastAsiaTheme="minorEastAsia"/>
                <w:sz w:val="24"/>
                <w:szCs w:val="24"/>
              </w:rPr>
            </w:pPr>
            <w:r>
              <w:rPr>
                <w:rFonts w:hint="default" w:hAnsi="Times New Roman" w:eastAsiaTheme="minorEastAsia"/>
                <w:sz w:val="24"/>
                <w:szCs w:val="24"/>
              </w:rPr>
              <w:t>表2-6</w:t>
            </w:r>
            <w:r>
              <w:rPr>
                <w:rFonts w:hAnsi="Times New Roman" w:eastAsiaTheme="minorEastAsia"/>
                <w:sz w:val="24"/>
                <w:szCs w:val="24"/>
              </w:rPr>
              <w:t xml:space="preserve"> </w:t>
            </w:r>
            <w:r>
              <w:rPr>
                <w:rFonts w:hint="default" w:hAnsi="Times New Roman" w:eastAsiaTheme="minorEastAsia"/>
                <w:sz w:val="24"/>
                <w:szCs w:val="24"/>
              </w:rPr>
              <w:t>原辅材料物化性质一览表</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01"/>
              <w:gridCol w:w="3083"/>
              <w:gridCol w:w="2835"/>
              <w:gridCol w:w="164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201" w:type="dxa"/>
                  <w:vAlign w:val="center"/>
                </w:tcPr>
                <w:p>
                  <w:pPr>
                    <w:spacing w:line="240" w:lineRule="auto"/>
                    <w:jc w:val="center"/>
                    <w:rPr>
                      <w:b/>
                      <w:bCs/>
                      <w:sz w:val="21"/>
                      <w:szCs w:val="21"/>
                    </w:rPr>
                  </w:pPr>
                  <w:r>
                    <w:rPr>
                      <w:b/>
                      <w:bCs/>
                      <w:sz w:val="21"/>
                      <w:szCs w:val="21"/>
                    </w:rPr>
                    <w:t>原料名称</w:t>
                  </w:r>
                </w:p>
              </w:tc>
              <w:tc>
                <w:tcPr>
                  <w:tcW w:w="3083" w:type="dxa"/>
                  <w:vAlign w:val="center"/>
                </w:tcPr>
                <w:p>
                  <w:pPr>
                    <w:pStyle w:val="148"/>
                    <w:spacing w:line="240" w:lineRule="auto"/>
                    <w:rPr>
                      <w:rFonts w:hAnsi="Times New Roman"/>
                      <w:b/>
                    </w:rPr>
                  </w:pPr>
                  <w:r>
                    <w:rPr>
                      <w:rFonts w:hAnsi="Times New Roman"/>
                      <w:b/>
                    </w:rPr>
                    <w:t>主要成分</w:t>
                  </w:r>
                </w:p>
              </w:tc>
              <w:tc>
                <w:tcPr>
                  <w:tcW w:w="2835" w:type="dxa"/>
                  <w:vAlign w:val="center"/>
                </w:tcPr>
                <w:p>
                  <w:pPr>
                    <w:pStyle w:val="148"/>
                    <w:spacing w:line="240" w:lineRule="auto"/>
                    <w:rPr>
                      <w:rFonts w:hAnsi="Times New Roman"/>
                      <w:b/>
                    </w:rPr>
                  </w:pPr>
                  <w:r>
                    <w:rPr>
                      <w:rFonts w:hint="eastAsia" w:hAnsi="Times New Roman"/>
                      <w:b/>
                    </w:rPr>
                    <w:t>理化</w:t>
                  </w:r>
                  <w:r>
                    <w:rPr>
                      <w:rFonts w:hAnsi="Times New Roman"/>
                      <w:b/>
                    </w:rPr>
                    <w:t>性质</w:t>
                  </w:r>
                </w:p>
              </w:tc>
              <w:tc>
                <w:tcPr>
                  <w:tcW w:w="1649" w:type="dxa"/>
                  <w:vAlign w:val="center"/>
                </w:tcPr>
                <w:p>
                  <w:pPr>
                    <w:pStyle w:val="148"/>
                    <w:spacing w:line="240" w:lineRule="auto"/>
                    <w:rPr>
                      <w:rFonts w:hAnsi="Times New Roman"/>
                      <w:b/>
                    </w:rPr>
                  </w:pPr>
                  <w:r>
                    <w:rPr>
                      <w:rFonts w:hAnsi="Times New Roman"/>
                      <w:b/>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201" w:type="dxa"/>
                  <w:vAlign w:val="center"/>
                </w:tcPr>
                <w:p>
                  <w:pPr>
                    <w:spacing w:line="240" w:lineRule="auto"/>
                    <w:jc w:val="center"/>
                    <w:rPr>
                      <w:bCs/>
                      <w:sz w:val="21"/>
                      <w:szCs w:val="21"/>
                    </w:rPr>
                  </w:pPr>
                  <w:r>
                    <w:rPr>
                      <w:rFonts w:hint="eastAsia"/>
                      <w:bCs/>
                      <w:sz w:val="21"/>
                      <w:szCs w:val="21"/>
                    </w:rPr>
                    <w:t>冷却液</w:t>
                  </w:r>
                </w:p>
              </w:tc>
              <w:tc>
                <w:tcPr>
                  <w:tcW w:w="3083" w:type="dxa"/>
                  <w:vAlign w:val="center"/>
                </w:tcPr>
                <w:p>
                  <w:pPr>
                    <w:spacing w:line="240" w:lineRule="auto"/>
                    <w:jc w:val="center"/>
                    <w:rPr>
                      <w:sz w:val="21"/>
                      <w:szCs w:val="21"/>
                    </w:rPr>
                  </w:pPr>
                  <w:r>
                    <w:rPr>
                      <w:rFonts w:hint="eastAsia"/>
                      <w:sz w:val="21"/>
                      <w:szCs w:val="21"/>
                    </w:rPr>
                    <w:t>乙二醇（40~ 55%）、添加剂 （癸二酸钠/苯甲酸钠、1~</w:t>
                  </w:r>
                  <w:r>
                    <w:rPr>
                      <w:sz w:val="21"/>
                      <w:szCs w:val="21"/>
                    </w:rPr>
                    <w:t>5</w:t>
                  </w:r>
                  <w:r>
                    <w:rPr>
                      <w:rFonts w:hint="eastAsia"/>
                      <w:sz w:val="21"/>
                      <w:szCs w:val="21"/>
                    </w:rPr>
                    <w:t>%）、去离子水</w:t>
                  </w:r>
                </w:p>
              </w:tc>
              <w:tc>
                <w:tcPr>
                  <w:tcW w:w="2835" w:type="dxa"/>
                  <w:vAlign w:val="center"/>
                </w:tcPr>
                <w:p>
                  <w:pPr>
                    <w:spacing w:line="240" w:lineRule="auto"/>
                    <w:jc w:val="center"/>
                    <w:rPr>
                      <w:sz w:val="21"/>
                      <w:szCs w:val="21"/>
                    </w:rPr>
                  </w:pPr>
                  <w:r>
                    <w:rPr>
                      <w:rFonts w:hint="eastAsia"/>
                      <w:sz w:val="21"/>
                      <w:szCs w:val="21"/>
                    </w:rPr>
                    <w:t>黄绿色液体、沸点</w:t>
                  </w:r>
                  <w:r>
                    <w:rPr>
                      <w:sz w:val="21"/>
                      <w:szCs w:val="21"/>
                    </w:rPr>
                    <w:t>105~109</w:t>
                  </w:r>
                  <w:r>
                    <w:rPr>
                      <w:rFonts w:hint="eastAsia"/>
                      <w:sz w:val="21"/>
                      <w:szCs w:val="21"/>
                    </w:rPr>
                    <w:t>℃、比重</w:t>
                  </w:r>
                  <w:r>
                    <w:rPr>
                      <w:sz w:val="21"/>
                      <w:szCs w:val="21"/>
                    </w:rPr>
                    <w:t>1.05~1.10</w:t>
                  </w:r>
                  <w:r>
                    <w:rPr>
                      <w:rFonts w:hint="eastAsia"/>
                      <w:sz w:val="21"/>
                      <w:szCs w:val="21"/>
                    </w:rPr>
                    <w:t>、</w:t>
                  </w:r>
                  <w:r>
                    <w:rPr>
                      <w:sz w:val="21"/>
                      <w:szCs w:val="21"/>
                    </w:rPr>
                    <w:t>PH</w:t>
                  </w:r>
                  <w:r>
                    <w:rPr>
                      <w:rFonts w:hint="eastAsia"/>
                      <w:sz w:val="21"/>
                      <w:szCs w:val="21"/>
                    </w:rPr>
                    <w:t>值</w:t>
                  </w:r>
                  <w:r>
                    <w:rPr>
                      <w:sz w:val="21"/>
                      <w:szCs w:val="21"/>
                    </w:rPr>
                    <w:t>7.5~11</w:t>
                  </w:r>
                  <w:r>
                    <w:rPr>
                      <w:rFonts w:hint="eastAsia"/>
                      <w:sz w:val="21"/>
                      <w:szCs w:val="21"/>
                    </w:rPr>
                    <w:t>与水可混溶</w:t>
                  </w:r>
                </w:p>
              </w:tc>
              <w:tc>
                <w:tcPr>
                  <w:tcW w:w="1649" w:type="dxa"/>
                  <w:vAlign w:val="center"/>
                </w:tcPr>
                <w:p>
                  <w:pPr>
                    <w:spacing w:line="240" w:lineRule="auto"/>
                    <w:jc w:val="center"/>
                    <w:rPr>
                      <w:sz w:val="21"/>
                      <w:szCs w:val="21"/>
                    </w:rPr>
                  </w:pPr>
                  <w:r>
                    <w:rPr>
                      <w:rFonts w:hint="eastAsia"/>
                      <w:sz w:val="21"/>
                      <w:szCs w:val="21"/>
                    </w:rPr>
                    <w:t>MSDS见附件</w:t>
                  </w:r>
                  <w:r>
                    <w:rPr>
                      <w:sz w:val="21"/>
                      <w:szCs w:val="21"/>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201" w:type="dxa"/>
                  <w:vAlign w:val="center"/>
                </w:tcPr>
                <w:p>
                  <w:pPr>
                    <w:widowControl/>
                    <w:spacing w:line="240" w:lineRule="auto"/>
                    <w:jc w:val="center"/>
                    <w:rPr>
                      <w:bCs/>
                      <w:sz w:val="21"/>
                      <w:szCs w:val="21"/>
                    </w:rPr>
                  </w:pPr>
                  <w:r>
                    <w:rPr>
                      <w:rFonts w:hint="eastAsia"/>
                      <w:kern w:val="0"/>
                      <w:sz w:val="21"/>
                      <w:szCs w:val="21"/>
                    </w:rPr>
                    <w:t>3</w:t>
                  </w:r>
                  <w:r>
                    <w:rPr>
                      <w:kern w:val="0"/>
                      <w:sz w:val="21"/>
                      <w:szCs w:val="21"/>
                    </w:rPr>
                    <w:t>M</w:t>
                  </w:r>
                  <w:r>
                    <w:rPr>
                      <w:rFonts w:hint="eastAsia"/>
                      <w:kern w:val="0"/>
                      <w:sz w:val="21"/>
                      <w:szCs w:val="21"/>
                    </w:rPr>
                    <w:t>结构胶</w:t>
                  </w:r>
                </w:p>
              </w:tc>
              <w:tc>
                <w:tcPr>
                  <w:tcW w:w="3083" w:type="dxa"/>
                  <w:vAlign w:val="center"/>
                </w:tcPr>
                <w:p>
                  <w:pPr>
                    <w:spacing w:line="240" w:lineRule="auto"/>
                    <w:jc w:val="center"/>
                    <w:rPr>
                      <w:sz w:val="21"/>
                      <w:szCs w:val="21"/>
                    </w:rPr>
                  </w:pPr>
                  <w:r>
                    <w:rPr>
                      <w:rFonts w:hint="eastAsia"/>
                      <w:sz w:val="21"/>
                      <w:szCs w:val="21"/>
                    </w:rPr>
                    <w:t>苯氧基乙基甲基丙烯酸酯（</w:t>
                  </w:r>
                  <w:r>
                    <w:rPr>
                      <w:sz w:val="21"/>
                      <w:szCs w:val="21"/>
                    </w:rPr>
                    <w:t>10</w:t>
                  </w:r>
                  <w:r>
                    <w:rPr>
                      <w:rFonts w:hint="eastAsia"/>
                      <w:sz w:val="21"/>
                      <w:szCs w:val="21"/>
                    </w:rPr>
                    <w:t>~</w:t>
                  </w:r>
                  <w:r>
                    <w:rPr>
                      <w:sz w:val="21"/>
                      <w:szCs w:val="21"/>
                    </w:rPr>
                    <w:t>40</w:t>
                  </w:r>
                  <w:r>
                    <w:rPr>
                      <w:rFonts w:hint="eastAsia"/>
                      <w:sz w:val="21"/>
                      <w:szCs w:val="21"/>
                    </w:rPr>
                    <w:t>%）、2-甲基丙烯酸羟乙酯（</w:t>
                  </w:r>
                  <w:r>
                    <w:rPr>
                      <w:sz w:val="21"/>
                      <w:szCs w:val="21"/>
                    </w:rPr>
                    <w:t>10</w:t>
                  </w:r>
                  <w:r>
                    <w:rPr>
                      <w:rFonts w:hint="eastAsia"/>
                      <w:sz w:val="21"/>
                      <w:szCs w:val="21"/>
                    </w:rPr>
                    <w:t>~</w:t>
                  </w:r>
                  <w:r>
                    <w:rPr>
                      <w:sz w:val="21"/>
                      <w:szCs w:val="21"/>
                    </w:rPr>
                    <w:t>30</w:t>
                  </w:r>
                  <w:r>
                    <w:rPr>
                      <w:rFonts w:hint="eastAsia"/>
                      <w:sz w:val="21"/>
                      <w:szCs w:val="21"/>
                    </w:rPr>
                    <w:t>%）、甲基丙烯酸羟丙酯（</w:t>
                  </w:r>
                  <w:r>
                    <w:rPr>
                      <w:sz w:val="21"/>
                      <w:szCs w:val="21"/>
                    </w:rPr>
                    <w:t>10</w:t>
                  </w:r>
                  <w:r>
                    <w:rPr>
                      <w:rFonts w:hint="eastAsia"/>
                      <w:sz w:val="21"/>
                      <w:szCs w:val="21"/>
                    </w:rPr>
                    <w:t>~</w:t>
                  </w:r>
                  <w:r>
                    <w:rPr>
                      <w:sz w:val="21"/>
                      <w:szCs w:val="21"/>
                    </w:rPr>
                    <w:t>30</w:t>
                  </w:r>
                  <w:r>
                    <w:rPr>
                      <w:rFonts w:hint="eastAsia"/>
                      <w:sz w:val="21"/>
                      <w:szCs w:val="21"/>
                    </w:rPr>
                    <w:t>%）、丙烯酸酯低聚物（</w:t>
                  </w:r>
                  <w:r>
                    <w:rPr>
                      <w:sz w:val="21"/>
                      <w:szCs w:val="21"/>
                    </w:rPr>
                    <w:t>5</w:t>
                  </w:r>
                  <w:r>
                    <w:rPr>
                      <w:rFonts w:hint="eastAsia"/>
                      <w:sz w:val="21"/>
                      <w:szCs w:val="21"/>
                    </w:rPr>
                    <w:t>~</w:t>
                  </w:r>
                  <w:r>
                    <w:rPr>
                      <w:sz w:val="21"/>
                      <w:szCs w:val="21"/>
                    </w:rPr>
                    <w:t>20</w:t>
                  </w:r>
                  <w:r>
                    <w:rPr>
                      <w:rFonts w:hint="eastAsia"/>
                      <w:sz w:val="21"/>
                      <w:szCs w:val="21"/>
                    </w:rPr>
                    <w:t>%）、丁腈橡胶（170型）（</w:t>
                  </w:r>
                  <w:r>
                    <w:rPr>
                      <w:sz w:val="21"/>
                      <w:szCs w:val="21"/>
                    </w:rPr>
                    <w:t>5</w:t>
                  </w:r>
                  <w:r>
                    <w:rPr>
                      <w:rFonts w:hint="eastAsia"/>
                      <w:sz w:val="21"/>
                      <w:szCs w:val="21"/>
                    </w:rPr>
                    <w:t>~</w:t>
                  </w:r>
                  <w:r>
                    <w:rPr>
                      <w:sz w:val="21"/>
                      <w:szCs w:val="21"/>
                    </w:rPr>
                    <w:t>20</w:t>
                  </w:r>
                  <w:r>
                    <w:rPr>
                      <w:rFonts w:hint="eastAsia"/>
                      <w:sz w:val="21"/>
                      <w:szCs w:val="21"/>
                    </w:rPr>
                    <w:t>%）、２－甲基丙烯酸羟乙酯磷酸盐（＜4）、4</w:t>
                  </w:r>
                  <w:r>
                    <w:rPr>
                      <w:sz w:val="21"/>
                      <w:szCs w:val="21"/>
                    </w:rPr>
                    <w:t>-</w:t>
                  </w:r>
                  <w:r>
                    <w:rPr>
                      <w:rFonts w:hint="eastAsia"/>
                      <w:sz w:val="21"/>
                      <w:szCs w:val="21"/>
                    </w:rPr>
                    <w:t>甲氧基苯酚（＜1）、吩噻嗪（＜1）</w:t>
                  </w:r>
                </w:p>
              </w:tc>
              <w:tc>
                <w:tcPr>
                  <w:tcW w:w="2835" w:type="dxa"/>
                  <w:vAlign w:val="center"/>
                </w:tcPr>
                <w:p>
                  <w:pPr>
                    <w:spacing w:line="240" w:lineRule="auto"/>
                    <w:jc w:val="center"/>
                    <w:rPr>
                      <w:sz w:val="21"/>
                      <w:szCs w:val="21"/>
                    </w:rPr>
                  </w:pPr>
                  <w:r>
                    <w:rPr>
                      <w:rFonts w:hint="eastAsia"/>
                      <w:sz w:val="21"/>
                      <w:szCs w:val="21"/>
                    </w:rPr>
                    <w:t>绿色液体</w:t>
                  </w:r>
                  <w:r>
                    <w:rPr>
                      <w:sz w:val="21"/>
                      <w:szCs w:val="21"/>
                    </w:rPr>
                    <w:t>，</w:t>
                  </w:r>
                  <w:r>
                    <w:rPr>
                      <w:rFonts w:hint="eastAsia"/>
                      <w:sz w:val="21"/>
                      <w:szCs w:val="21"/>
                    </w:rPr>
                    <w:t>稍有香味</w:t>
                  </w:r>
                </w:p>
              </w:tc>
              <w:tc>
                <w:tcPr>
                  <w:tcW w:w="1649" w:type="dxa"/>
                  <w:vAlign w:val="center"/>
                </w:tcPr>
                <w:p>
                  <w:pPr>
                    <w:spacing w:line="240" w:lineRule="auto"/>
                    <w:jc w:val="center"/>
                    <w:rPr>
                      <w:sz w:val="21"/>
                      <w:szCs w:val="21"/>
                    </w:rPr>
                  </w:pPr>
                  <w:r>
                    <w:rPr>
                      <w:rFonts w:hint="eastAsia"/>
                      <w:sz w:val="21"/>
                      <w:szCs w:val="21"/>
                    </w:rPr>
                    <w:t>MSDS见附件3，VOCs含量取</w:t>
                  </w:r>
                  <w:r>
                    <w:rPr>
                      <w:sz w:val="21"/>
                      <w:szCs w:val="21"/>
                    </w:rPr>
                    <w:t>1</w:t>
                  </w: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201" w:type="dxa"/>
                  <w:vAlign w:val="center"/>
                </w:tcPr>
                <w:p>
                  <w:pPr>
                    <w:widowControl/>
                    <w:spacing w:line="240" w:lineRule="auto"/>
                    <w:jc w:val="center"/>
                    <w:rPr>
                      <w:kern w:val="0"/>
                      <w:sz w:val="21"/>
                      <w:szCs w:val="21"/>
                    </w:rPr>
                  </w:pPr>
                  <w:r>
                    <w:rPr>
                      <w:rFonts w:hint="eastAsia"/>
                      <w:kern w:val="0"/>
                      <w:sz w:val="21"/>
                      <w:szCs w:val="21"/>
                    </w:rPr>
                    <w:t>结构胶</w:t>
                  </w:r>
                </w:p>
              </w:tc>
              <w:tc>
                <w:tcPr>
                  <w:tcW w:w="3083" w:type="dxa"/>
                  <w:vAlign w:val="center"/>
                </w:tcPr>
                <w:p>
                  <w:pPr>
                    <w:spacing w:line="240" w:lineRule="auto"/>
                    <w:jc w:val="center"/>
                    <w:rPr>
                      <w:sz w:val="21"/>
                      <w:szCs w:val="21"/>
                    </w:rPr>
                  </w:pPr>
                  <w:r>
                    <w:rPr>
                      <w:rFonts w:hint="eastAsia"/>
                      <w:sz w:val="21"/>
                      <w:szCs w:val="21"/>
                    </w:rPr>
                    <w:t>碳酸钙（2</w:t>
                  </w:r>
                  <w:r>
                    <w:rPr>
                      <w:sz w:val="21"/>
                      <w:szCs w:val="21"/>
                    </w:rPr>
                    <w:t>6</w:t>
                  </w:r>
                  <w:r>
                    <w:rPr>
                      <w:rFonts w:hint="eastAsia"/>
                      <w:sz w:val="21"/>
                      <w:szCs w:val="21"/>
                    </w:rPr>
                    <w:t>%）、气相二氧化硅（5%）、1</w:t>
                  </w:r>
                  <w:r>
                    <w:rPr>
                      <w:sz w:val="21"/>
                      <w:szCs w:val="21"/>
                    </w:rPr>
                    <w:t>07</w:t>
                  </w:r>
                  <w:r>
                    <w:rPr>
                      <w:rFonts w:hint="eastAsia"/>
                      <w:sz w:val="21"/>
                      <w:szCs w:val="21"/>
                    </w:rPr>
                    <w:t>硅橡胶（3</w:t>
                  </w:r>
                  <w:r>
                    <w:rPr>
                      <w:sz w:val="21"/>
                      <w:szCs w:val="21"/>
                    </w:rPr>
                    <w:t>9</w:t>
                  </w:r>
                  <w:r>
                    <w:rPr>
                      <w:rFonts w:hint="eastAsia"/>
                      <w:sz w:val="21"/>
                      <w:szCs w:val="21"/>
                    </w:rPr>
                    <w:t>%）、丁腈橡胶（1</w:t>
                  </w:r>
                  <w:r>
                    <w:rPr>
                      <w:sz w:val="21"/>
                      <w:szCs w:val="21"/>
                    </w:rPr>
                    <w:t>6</w:t>
                  </w:r>
                  <w:r>
                    <w:rPr>
                      <w:rFonts w:hint="eastAsia"/>
                      <w:sz w:val="21"/>
                      <w:szCs w:val="21"/>
                    </w:rPr>
                    <w:t>%）、偶联剂（4%）</w:t>
                  </w:r>
                </w:p>
              </w:tc>
              <w:tc>
                <w:tcPr>
                  <w:tcW w:w="2835" w:type="dxa"/>
                  <w:vAlign w:val="center"/>
                </w:tcPr>
                <w:p>
                  <w:pPr>
                    <w:spacing w:line="240" w:lineRule="auto"/>
                    <w:jc w:val="center"/>
                    <w:rPr>
                      <w:sz w:val="21"/>
                      <w:szCs w:val="21"/>
                    </w:rPr>
                  </w:pPr>
                  <w:r>
                    <w:rPr>
                      <w:rFonts w:hint="eastAsia"/>
                      <w:sz w:val="21"/>
                      <w:szCs w:val="21"/>
                    </w:rPr>
                    <w:t>白色膏状，无气味</w:t>
                  </w:r>
                </w:p>
              </w:tc>
              <w:tc>
                <w:tcPr>
                  <w:tcW w:w="1649" w:type="dxa"/>
                  <w:vAlign w:val="center"/>
                </w:tcPr>
                <w:p>
                  <w:pPr>
                    <w:spacing w:line="240" w:lineRule="auto"/>
                    <w:jc w:val="center"/>
                    <w:rPr>
                      <w:sz w:val="21"/>
                      <w:szCs w:val="21"/>
                    </w:rPr>
                  </w:pPr>
                  <w:r>
                    <w:rPr>
                      <w:rFonts w:hint="eastAsia"/>
                      <w:sz w:val="21"/>
                      <w:szCs w:val="21"/>
                    </w:rPr>
                    <w:t>MSDS见附件3，VOCs含量取</w:t>
                  </w:r>
                  <w:r>
                    <w:rPr>
                      <w:sz w:val="21"/>
                      <w:szCs w:val="21"/>
                    </w:rPr>
                    <w:t>4</w:t>
                  </w: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201" w:type="dxa"/>
                  <w:vAlign w:val="center"/>
                </w:tcPr>
                <w:p>
                  <w:pPr>
                    <w:widowControl/>
                    <w:spacing w:line="240" w:lineRule="auto"/>
                    <w:jc w:val="center"/>
                    <w:rPr>
                      <w:bCs/>
                      <w:sz w:val="21"/>
                      <w:szCs w:val="21"/>
                    </w:rPr>
                  </w:pPr>
                  <w:r>
                    <w:rPr>
                      <w:rFonts w:hint="eastAsia"/>
                      <w:kern w:val="0"/>
                      <w:sz w:val="21"/>
                      <w:szCs w:val="21"/>
                    </w:rPr>
                    <w:t>环保胶水</w:t>
                  </w:r>
                </w:p>
              </w:tc>
              <w:tc>
                <w:tcPr>
                  <w:tcW w:w="3083" w:type="dxa"/>
                  <w:vAlign w:val="center"/>
                </w:tcPr>
                <w:p>
                  <w:pPr>
                    <w:spacing w:line="240" w:lineRule="auto"/>
                    <w:jc w:val="center"/>
                    <w:rPr>
                      <w:sz w:val="21"/>
                      <w:szCs w:val="21"/>
                    </w:rPr>
                  </w:pPr>
                  <w:r>
                    <w:rPr>
                      <w:rFonts w:hint="eastAsia"/>
                      <w:sz w:val="21"/>
                      <w:szCs w:val="21"/>
                    </w:rPr>
                    <w:t>氰丙烯酸乙酯（9</w:t>
                  </w:r>
                  <w:r>
                    <w:rPr>
                      <w:sz w:val="21"/>
                      <w:szCs w:val="21"/>
                    </w:rPr>
                    <w:t>3</w:t>
                  </w:r>
                  <w:r>
                    <w:rPr>
                      <w:rFonts w:hint="eastAsia"/>
                      <w:sz w:val="21"/>
                      <w:szCs w:val="21"/>
                    </w:rPr>
                    <w:t>~</w:t>
                  </w:r>
                  <w:r>
                    <w:rPr>
                      <w:sz w:val="21"/>
                      <w:szCs w:val="21"/>
                    </w:rPr>
                    <w:t>100</w:t>
                  </w:r>
                  <w:r>
                    <w:rPr>
                      <w:rFonts w:hint="eastAsia"/>
                      <w:sz w:val="21"/>
                      <w:szCs w:val="21"/>
                    </w:rPr>
                    <w:t>%）、聚甲基丙烯酸甲酯（＜5%）、对苯二酚（＜0</w:t>
                  </w:r>
                  <w:r>
                    <w:rPr>
                      <w:sz w:val="21"/>
                      <w:szCs w:val="21"/>
                    </w:rPr>
                    <w:t>.2</w:t>
                  </w:r>
                  <w:r>
                    <w:rPr>
                      <w:rFonts w:hint="eastAsia"/>
                      <w:sz w:val="21"/>
                      <w:szCs w:val="21"/>
                    </w:rPr>
                    <w:t>%）</w:t>
                  </w:r>
                </w:p>
              </w:tc>
              <w:tc>
                <w:tcPr>
                  <w:tcW w:w="2835" w:type="dxa"/>
                  <w:vAlign w:val="center"/>
                </w:tcPr>
                <w:p>
                  <w:pPr>
                    <w:spacing w:line="240" w:lineRule="auto"/>
                    <w:jc w:val="center"/>
                    <w:rPr>
                      <w:sz w:val="21"/>
                      <w:szCs w:val="21"/>
                    </w:rPr>
                  </w:pPr>
                  <w:r>
                    <w:rPr>
                      <w:rFonts w:hint="eastAsia"/>
                      <w:sz w:val="21"/>
                      <w:szCs w:val="21"/>
                    </w:rPr>
                    <w:t>无色液体</w:t>
                  </w:r>
                  <w:r>
                    <w:rPr>
                      <w:sz w:val="21"/>
                      <w:szCs w:val="21"/>
                    </w:rPr>
                    <w:t>，</w:t>
                  </w:r>
                  <w:r>
                    <w:rPr>
                      <w:rFonts w:hint="eastAsia"/>
                      <w:sz w:val="21"/>
                      <w:szCs w:val="21"/>
                    </w:rPr>
                    <w:t>有刺激性气味</w:t>
                  </w:r>
                </w:p>
              </w:tc>
              <w:tc>
                <w:tcPr>
                  <w:tcW w:w="1649" w:type="dxa"/>
                  <w:vAlign w:val="center"/>
                </w:tcPr>
                <w:p>
                  <w:pPr>
                    <w:spacing w:line="240" w:lineRule="auto"/>
                    <w:jc w:val="center"/>
                    <w:rPr>
                      <w:sz w:val="21"/>
                      <w:szCs w:val="21"/>
                    </w:rPr>
                  </w:pPr>
                  <w:r>
                    <w:rPr>
                      <w:rFonts w:hint="eastAsia"/>
                      <w:sz w:val="21"/>
                      <w:szCs w:val="21"/>
                    </w:rPr>
                    <w:t>MSDS见附件3，VOCs含量取0.2%。</w:t>
                  </w:r>
                </w:p>
              </w:tc>
            </w:tr>
          </w:tbl>
          <w:p>
            <w:pPr>
              <w:ind w:firstLine="482" w:firstLineChars="200"/>
              <w:jc w:val="left"/>
              <w:rPr>
                <w:b/>
                <w:sz w:val="24"/>
              </w:rPr>
            </w:pPr>
          </w:p>
          <w:p>
            <w:pPr>
              <w:ind w:firstLine="482" w:firstLineChars="200"/>
              <w:jc w:val="left"/>
              <w:rPr>
                <w:b/>
                <w:sz w:val="24"/>
              </w:rPr>
            </w:pPr>
            <w:r>
              <w:rPr>
                <w:b/>
                <w:sz w:val="24"/>
              </w:rPr>
              <w:t>7、劳动定员及工作制度</w:t>
            </w:r>
          </w:p>
          <w:p>
            <w:pPr>
              <w:ind w:firstLine="480" w:firstLineChars="200"/>
              <w:jc w:val="left"/>
              <w:rPr>
                <w:bCs/>
                <w:sz w:val="24"/>
              </w:rPr>
            </w:pPr>
            <w:r>
              <w:rPr>
                <w:bCs/>
                <w:sz w:val="24"/>
              </w:rPr>
              <w:t>项目定员250人，员工食宿依托</w:t>
            </w:r>
            <w:r>
              <w:rPr>
                <w:rFonts w:hint="eastAsia"/>
                <w:bCs/>
                <w:sz w:val="24"/>
              </w:rPr>
              <w:t>新河工业园区陆河比亚迪汽车厂</w:t>
            </w:r>
            <w:r>
              <w:rPr>
                <w:bCs/>
                <w:sz w:val="24"/>
              </w:rPr>
              <w:t>食堂和员工宿舍楼。项目年运行336天，实行每天</w:t>
            </w:r>
            <w:r>
              <w:rPr>
                <w:rFonts w:hint="eastAsia"/>
                <w:bCs/>
                <w:sz w:val="24"/>
              </w:rPr>
              <w:t>一</w:t>
            </w:r>
            <w:r>
              <w:rPr>
                <w:bCs/>
                <w:sz w:val="24"/>
              </w:rPr>
              <w:t>班制，每班10小时。</w:t>
            </w:r>
          </w:p>
          <w:p>
            <w:pPr>
              <w:ind w:firstLine="482" w:firstLineChars="200"/>
              <w:jc w:val="left"/>
              <w:rPr>
                <w:b/>
                <w:sz w:val="24"/>
              </w:rPr>
            </w:pPr>
            <w:r>
              <w:rPr>
                <w:b/>
                <w:sz w:val="24"/>
              </w:rPr>
              <w:t>8、公用配套工程</w:t>
            </w:r>
          </w:p>
          <w:p>
            <w:pPr>
              <w:ind w:firstLine="482" w:firstLineChars="200"/>
              <w:jc w:val="left"/>
              <w:rPr>
                <w:b/>
                <w:sz w:val="24"/>
              </w:rPr>
            </w:pPr>
            <w:r>
              <w:rPr>
                <w:b/>
                <w:sz w:val="24"/>
              </w:rPr>
              <w:t>（1）给水</w:t>
            </w:r>
          </w:p>
          <w:p>
            <w:pPr>
              <w:ind w:firstLine="480" w:firstLineChars="200"/>
              <w:jc w:val="left"/>
              <w:rPr>
                <w:bCs/>
                <w:sz w:val="24"/>
              </w:rPr>
            </w:pPr>
            <w:r>
              <w:rPr>
                <w:bCs/>
                <w:sz w:val="24"/>
              </w:rPr>
              <w:t>项目用水主要为生活用水及生产用水，其中生活用水量为</w:t>
            </w:r>
            <w:r>
              <w:rPr>
                <w:rFonts w:eastAsia="新宋体"/>
                <w:sz w:val="24"/>
              </w:rPr>
              <w:t>11.16m</w:t>
            </w:r>
            <w:r>
              <w:rPr>
                <w:rFonts w:eastAsia="新宋体"/>
                <w:sz w:val="24"/>
                <w:vertAlign w:val="superscript"/>
              </w:rPr>
              <w:t>3</w:t>
            </w:r>
            <w:r>
              <w:rPr>
                <w:rFonts w:eastAsia="新宋体"/>
                <w:sz w:val="24"/>
              </w:rPr>
              <w:t>/d（3750m</w:t>
            </w:r>
            <w:r>
              <w:rPr>
                <w:rFonts w:eastAsia="新宋体"/>
                <w:sz w:val="24"/>
                <w:vertAlign w:val="superscript"/>
              </w:rPr>
              <w:t>3</w:t>
            </w:r>
            <w:r>
              <w:rPr>
                <w:rFonts w:eastAsia="新宋体"/>
                <w:sz w:val="24"/>
              </w:rPr>
              <w:t>/a）</w:t>
            </w:r>
            <w:r>
              <w:rPr>
                <w:bCs/>
                <w:sz w:val="24"/>
              </w:rPr>
              <w:t>，生产用水量为0.6m</w:t>
            </w:r>
            <w:r>
              <w:rPr>
                <w:bCs/>
                <w:sz w:val="24"/>
                <w:vertAlign w:val="superscript"/>
              </w:rPr>
              <w:t>3</w:t>
            </w:r>
            <w:r>
              <w:rPr>
                <w:bCs/>
                <w:sz w:val="24"/>
              </w:rPr>
              <w:t>/d（201.6m</w:t>
            </w:r>
            <w:r>
              <w:rPr>
                <w:bCs/>
                <w:sz w:val="24"/>
                <w:vertAlign w:val="superscript"/>
              </w:rPr>
              <w:t>3</w:t>
            </w:r>
            <w:r>
              <w:rPr>
                <w:bCs/>
                <w:sz w:val="24"/>
              </w:rPr>
              <w:t>/a），总用水量</w:t>
            </w:r>
            <w:r>
              <w:rPr>
                <w:rFonts w:hint="eastAsia"/>
                <w:bCs/>
                <w:sz w:val="24"/>
              </w:rPr>
              <w:t>为</w:t>
            </w:r>
            <w:r>
              <w:rPr>
                <w:bCs/>
                <w:sz w:val="24"/>
              </w:rPr>
              <w:t>3951.6m</w:t>
            </w:r>
            <w:r>
              <w:rPr>
                <w:bCs/>
                <w:sz w:val="24"/>
                <w:vertAlign w:val="superscript"/>
              </w:rPr>
              <w:t>3</w:t>
            </w:r>
            <w:r>
              <w:rPr>
                <w:bCs/>
                <w:sz w:val="24"/>
              </w:rPr>
              <w:t>/a，由市政供水。</w:t>
            </w:r>
          </w:p>
          <w:p>
            <w:pPr>
              <w:ind w:firstLine="482" w:firstLineChars="200"/>
              <w:jc w:val="left"/>
              <w:rPr>
                <w:b/>
                <w:sz w:val="24"/>
              </w:rPr>
            </w:pPr>
            <w:r>
              <w:rPr>
                <w:b/>
                <w:sz w:val="24"/>
              </w:rPr>
              <w:t>（2）排水</w:t>
            </w:r>
          </w:p>
          <w:p>
            <w:pPr>
              <w:ind w:firstLine="480" w:firstLineChars="200"/>
              <w:jc w:val="left"/>
              <w:rPr>
                <w:bCs/>
                <w:sz w:val="24"/>
              </w:rPr>
            </w:pPr>
            <w:r>
              <w:rPr>
                <w:bCs/>
                <w:sz w:val="24"/>
              </w:rPr>
              <w:t>项目</w:t>
            </w:r>
            <w:r>
              <w:rPr>
                <w:rFonts w:hint="eastAsia"/>
                <w:bCs/>
                <w:sz w:val="24"/>
              </w:rPr>
              <w:t>厂区</w:t>
            </w:r>
            <w:r>
              <w:rPr>
                <w:bCs/>
                <w:sz w:val="24"/>
              </w:rPr>
              <w:t>排水采用雨污分流系统，其雨水经雨水管网收集后，由雨水管道排出。</w:t>
            </w:r>
          </w:p>
          <w:p>
            <w:pPr>
              <w:ind w:firstLine="480" w:firstLineChars="200"/>
              <w:jc w:val="left"/>
              <w:rPr>
                <w:bCs/>
                <w:sz w:val="24"/>
              </w:rPr>
            </w:pPr>
            <w:r>
              <w:rPr>
                <w:bCs/>
                <w:color w:val="FF0000"/>
                <w:sz w:val="24"/>
              </w:rPr>
              <w:t>项目生活污水排放量为3375m</w:t>
            </w:r>
            <w:r>
              <w:rPr>
                <w:bCs/>
                <w:color w:val="FF0000"/>
                <w:sz w:val="24"/>
                <w:vertAlign w:val="superscript"/>
              </w:rPr>
              <w:t>3</w:t>
            </w:r>
            <w:r>
              <w:rPr>
                <w:bCs/>
                <w:color w:val="FF0000"/>
                <w:sz w:val="24"/>
              </w:rPr>
              <w:t>/a，设备淋雨测试废水排放量为141.12m</w:t>
            </w:r>
            <w:r>
              <w:rPr>
                <w:bCs/>
                <w:color w:val="FF0000"/>
                <w:sz w:val="24"/>
                <w:vertAlign w:val="superscript"/>
              </w:rPr>
              <w:t>3</w:t>
            </w:r>
            <w:r>
              <w:rPr>
                <w:bCs/>
                <w:color w:val="FF0000"/>
                <w:sz w:val="24"/>
              </w:rPr>
              <w:t>/a；生活污水</w:t>
            </w:r>
            <w:r>
              <w:rPr>
                <w:rFonts w:hint="eastAsia"/>
                <w:bCs/>
                <w:color w:val="FF0000"/>
                <w:sz w:val="24"/>
              </w:rPr>
              <w:t>依托</w:t>
            </w:r>
            <w:r>
              <w:rPr>
                <w:bCs/>
                <w:color w:val="FF0000"/>
                <w:sz w:val="24"/>
              </w:rPr>
              <w:t>陆河比亚迪工业园</w:t>
            </w:r>
            <w:r>
              <w:rPr>
                <w:rFonts w:hint="eastAsia"/>
                <w:bCs/>
                <w:color w:val="FF0000"/>
                <w:sz w:val="24"/>
              </w:rPr>
              <w:t>内</w:t>
            </w:r>
            <w:r>
              <w:rPr>
                <w:bCs/>
                <w:color w:val="FF0000"/>
                <w:sz w:val="24"/>
              </w:rPr>
              <w:t>三级化粪池预处理</w:t>
            </w:r>
            <w:r>
              <w:rPr>
                <w:bCs/>
                <w:sz w:val="24"/>
              </w:rPr>
              <w:t>、近期设备淋雨测试废水经</w:t>
            </w:r>
            <w:r>
              <w:rPr>
                <w:bCs/>
                <w:color w:val="FF0000"/>
                <w:sz w:val="24"/>
              </w:rPr>
              <w:t>陆河比亚迪工业园</w:t>
            </w:r>
            <w:r>
              <w:rPr>
                <w:rFonts w:hint="eastAsia"/>
                <w:bCs/>
                <w:color w:val="FF0000"/>
                <w:sz w:val="24"/>
              </w:rPr>
              <w:t>内</w:t>
            </w:r>
            <w:r>
              <w:rPr>
                <w:bCs/>
                <w:sz w:val="24"/>
              </w:rPr>
              <w:t>污水处理站预处理达到河口镇污水处理厂接管标准及广东省《水污染物排放限值》（DB44/26-2001）第二时段三级标准两者较严值后经市政污水管网排入河口镇污水处理厂。</w:t>
            </w:r>
          </w:p>
          <w:p>
            <w:pPr>
              <w:ind w:firstLine="480" w:firstLineChars="200"/>
              <w:jc w:val="left"/>
              <w:rPr>
                <w:bCs/>
                <w:sz w:val="24"/>
              </w:rPr>
            </w:pPr>
            <w:r>
              <w:rPr>
                <w:bCs/>
                <w:sz w:val="24"/>
              </w:rPr>
              <w:t>陆河产业转移工业园目前正在修建工业污水处理厂，待工业污水处理厂建成后，</w:t>
            </w:r>
            <w:r>
              <w:rPr>
                <w:rFonts w:hint="eastAsia"/>
                <w:bCs/>
                <w:sz w:val="24"/>
              </w:rPr>
              <w:t>远期</w:t>
            </w:r>
            <w:r>
              <w:rPr>
                <w:bCs/>
                <w:sz w:val="24"/>
              </w:rPr>
              <w:t>淋雨测试废水经比亚迪污水处理站预处理达到工业污水处理厂进水水质要求及广东省《水污染物排放限值》（DB44/26-2001）第二时段三级标准较严值后纳入到工业园工业污水处理厂处理。陆河产业转移工业园工业污水处理厂尾水达到《地表水环境质量标准》（GB3838-2002）Ⅳ类标准，其余《地表水环境质量标准》（GB3838-2002）Ⅳ类标准未注明的指标，执行《城镇污水处理厂污染物排放标准》（GB18918-2002）一级A标准后，排至砂公磂小水塘，经砂公磂河涌2.82km（砂公磂小水塘至暗渠0.02km、暗渠段1.80km、暗渠出口下游1.00km）后汇入螺河。</w:t>
            </w:r>
          </w:p>
          <w:p>
            <w:pPr>
              <w:widowControl/>
              <w:spacing w:line="240" w:lineRule="auto"/>
              <w:jc w:val="center"/>
            </w:pPr>
            <w:r>
              <w:object>
                <v:shape id="_x0000_i1025" o:spt="75" type="#_x0000_t75" style="height:107.25pt;width:438pt;" o:ole="t" filled="f" o:preferrelative="t" stroked="f" coordsize="21600,21600">
                  <v:path/>
                  <v:fill on="f" focussize="0,0"/>
                  <v:stroke on="f" joinstyle="miter"/>
                  <v:imagedata r:id="rId11" o:title=""/>
                  <o:lock v:ext="edit" aspectratio="t"/>
                  <w10:wrap type="none"/>
                  <w10:anchorlock/>
                </v:shape>
                <o:OLEObject Type="Embed" ProgID="Visio.Drawing.11" ShapeID="_x0000_i1025" DrawAspect="Content" ObjectID="_1468075725" r:id="rId10">
                  <o:LockedField>false</o:LockedField>
                </o:OLEObject>
              </w:object>
            </w:r>
          </w:p>
          <w:p>
            <w:pPr>
              <w:widowControl/>
              <w:spacing w:line="240" w:lineRule="auto"/>
              <w:jc w:val="center"/>
              <w:rPr>
                <w:rFonts w:eastAsiaTheme="minorEastAsia"/>
                <w:b/>
                <w:bCs/>
                <w:sz w:val="24"/>
              </w:rPr>
            </w:pPr>
            <w:r>
              <w:rPr>
                <w:rFonts w:eastAsiaTheme="minorEastAsia"/>
                <w:b/>
                <w:bCs/>
                <w:sz w:val="24"/>
              </w:rPr>
              <w:t>图2-1 项目水平衡示意图（近期）  单位：</w:t>
            </w:r>
            <w:r>
              <w:rPr>
                <w:rFonts w:hint="eastAsia" w:eastAsiaTheme="minorEastAsia"/>
                <w:b/>
                <w:bCs/>
                <w:sz w:val="24"/>
              </w:rPr>
              <w:t>m</w:t>
            </w:r>
            <w:r>
              <w:rPr>
                <w:rFonts w:eastAsiaTheme="minorEastAsia"/>
                <w:b/>
                <w:bCs/>
                <w:sz w:val="24"/>
                <w:vertAlign w:val="superscript"/>
              </w:rPr>
              <w:t>3</w:t>
            </w:r>
            <w:r>
              <w:rPr>
                <w:rFonts w:eastAsiaTheme="minorEastAsia"/>
                <w:b/>
                <w:bCs/>
                <w:sz w:val="24"/>
              </w:rPr>
              <w:t>/</w:t>
            </w:r>
            <w:r>
              <w:rPr>
                <w:rFonts w:hint="eastAsia" w:eastAsiaTheme="minorEastAsia"/>
                <w:b/>
                <w:bCs/>
                <w:sz w:val="24"/>
              </w:rPr>
              <w:t>d</w:t>
            </w:r>
          </w:p>
          <w:p>
            <w:pPr>
              <w:widowControl/>
              <w:spacing w:line="240" w:lineRule="auto"/>
              <w:jc w:val="center"/>
            </w:pPr>
            <w:r>
              <w:object>
                <v:shape id="_x0000_i1026" o:spt="75" type="#_x0000_t75" style="height:109.5pt;width:437.25pt;" o:ole="t" filled="f" o:preferrelative="t" stroked="f" coordsize="21600,21600">
                  <v:path/>
                  <v:fill on="f" focussize="0,0"/>
                  <v:stroke on="f" joinstyle="miter"/>
                  <v:imagedata r:id="rId13" o:title=""/>
                  <o:lock v:ext="edit" aspectratio="t"/>
                  <w10:wrap type="none"/>
                  <w10:anchorlock/>
                </v:shape>
                <o:OLEObject Type="Embed" ProgID="Visio.Drawing.11" ShapeID="_x0000_i1026" DrawAspect="Content" ObjectID="_1468075726" r:id="rId12">
                  <o:LockedField>false</o:LockedField>
                </o:OLEObject>
              </w:object>
            </w:r>
          </w:p>
          <w:p>
            <w:pPr>
              <w:widowControl/>
              <w:spacing w:line="240" w:lineRule="auto"/>
              <w:jc w:val="center"/>
              <w:rPr>
                <w:rFonts w:eastAsia="新宋体"/>
                <w:b/>
                <w:bCs/>
                <w:sz w:val="21"/>
                <w:szCs w:val="21"/>
              </w:rPr>
            </w:pPr>
            <w:r>
              <w:rPr>
                <w:rFonts w:eastAsiaTheme="minorEastAsia"/>
                <w:b/>
                <w:bCs/>
                <w:sz w:val="24"/>
              </w:rPr>
              <w:t>图2-2 项目水平衡示意图（</w:t>
            </w:r>
            <w:r>
              <w:rPr>
                <w:rFonts w:hint="eastAsia" w:eastAsiaTheme="minorEastAsia"/>
                <w:b/>
                <w:bCs/>
                <w:sz w:val="24"/>
              </w:rPr>
              <w:t>远</w:t>
            </w:r>
            <w:r>
              <w:rPr>
                <w:rFonts w:eastAsiaTheme="minorEastAsia"/>
                <w:b/>
                <w:bCs/>
                <w:sz w:val="24"/>
              </w:rPr>
              <w:t>期）  单位：</w:t>
            </w:r>
            <w:r>
              <w:rPr>
                <w:rFonts w:hint="eastAsia" w:eastAsiaTheme="minorEastAsia"/>
                <w:b/>
                <w:bCs/>
                <w:sz w:val="24"/>
              </w:rPr>
              <w:t>m</w:t>
            </w:r>
            <w:r>
              <w:rPr>
                <w:rFonts w:eastAsiaTheme="minorEastAsia"/>
                <w:b/>
                <w:bCs/>
                <w:sz w:val="24"/>
                <w:vertAlign w:val="superscript"/>
              </w:rPr>
              <w:t>3</w:t>
            </w:r>
            <w:r>
              <w:rPr>
                <w:rFonts w:eastAsiaTheme="minorEastAsia"/>
                <w:b/>
                <w:bCs/>
                <w:sz w:val="24"/>
              </w:rPr>
              <w:t>/</w:t>
            </w:r>
            <w:r>
              <w:rPr>
                <w:rFonts w:hint="eastAsia" w:eastAsiaTheme="minorEastAsia"/>
                <w:b/>
                <w:bCs/>
                <w:sz w:val="24"/>
              </w:rPr>
              <w:t>d</w:t>
            </w:r>
          </w:p>
          <w:p>
            <w:pPr>
              <w:ind w:firstLine="482" w:firstLineChars="200"/>
              <w:jc w:val="left"/>
              <w:rPr>
                <w:b/>
                <w:sz w:val="24"/>
              </w:rPr>
            </w:pPr>
            <w:r>
              <w:rPr>
                <w:b/>
                <w:sz w:val="24"/>
              </w:rPr>
              <w:t>（3）能耗</w:t>
            </w:r>
          </w:p>
          <w:p>
            <w:pPr>
              <w:ind w:firstLine="480" w:firstLineChars="200"/>
              <w:jc w:val="left"/>
              <w:rPr>
                <w:bCs/>
                <w:sz w:val="24"/>
              </w:rPr>
            </w:pPr>
            <w:r>
              <w:rPr>
                <w:bCs/>
                <w:sz w:val="24"/>
              </w:rPr>
              <w:t>项目用电由市政电网供给，不设备用发电机，年用电量约为</w:t>
            </w:r>
            <w:r>
              <w:rPr>
                <w:rFonts w:hint="eastAsia"/>
                <w:bCs/>
                <w:sz w:val="24"/>
              </w:rPr>
              <w:t>41</w:t>
            </w:r>
            <w:r>
              <w:rPr>
                <w:bCs/>
                <w:sz w:val="24"/>
              </w:rPr>
              <w:t>万kWh。</w:t>
            </w:r>
          </w:p>
          <w:p>
            <w:pPr>
              <w:ind w:firstLine="482" w:firstLineChars="200"/>
              <w:jc w:val="left"/>
              <w:rPr>
                <w:b/>
                <w:sz w:val="24"/>
              </w:rPr>
            </w:pPr>
            <w:r>
              <w:rPr>
                <w:b/>
                <w:sz w:val="24"/>
              </w:rPr>
              <w:t>9、厂区总平布置</w:t>
            </w:r>
          </w:p>
          <w:p>
            <w:pPr>
              <w:ind w:firstLine="480" w:firstLineChars="200"/>
              <w:jc w:val="left"/>
              <w:rPr>
                <w:bCs/>
                <w:sz w:val="24"/>
              </w:rPr>
            </w:pPr>
            <w:r>
              <w:rPr>
                <w:bCs/>
                <w:sz w:val="24"/>
              </w:rPr>
              <w:t>车间建筑面积22000平方米，厂房平面布置见附图3。平面布置合理性分析：</w:t>
            </w:r>
          </w:p>
          <w:p>
            <w:pPr>
              <w:ind w:firstLine="480" w:firstLineChars="200"/>
              <w:jc w:val="left"/>
              <w:rPr>
                <w:bCs/>
                <w:sz w:val="24"/>
              </w:rPr>
            </w:pPr>
            <w:r>
              <w:rPr>
                <w:bCs/>
                <w:sz w:val="24"/>
              </w:rPr>
              <w:t>（1）项目</w:t>
            </w:r>
            <w:r>
              <w:rPr>
                <w:rFonts w:hint="eastAsia"/>
                <w:bCs/>
                <w:sz w:val="24"/>
              </w:rPr>
              <w:t>仓库区</w:t>
            </w:r>
            <w:r>
              <w:rPr>
                <w:bCs/>
                <w:sz w:val="24"/>
              </w:rPr>
              <w:t>设置在车间</w:t>
            </w:r>
            <w:r>
              <w:rPr>
                <w:rFonts w:hint="eastAsia"/>
                <w:bCs/>
                <w:sz w:val="24"/>
              </w:rPr>
              <w:t>东南</w:t>
            </w:r>
            <w:r>
              <w:rPr>
                <w:bCs/>
                <w:sz w:val="24"/>
              </w:rPr>
              <w:t>部，靠近</w:t>
            </w:r>
            <w:r>
              <w:rPr>
                <w:rFonts w:hint="eastAsia"/>
                <w:bCs/>
                <w:sz w:val="24"/>
              </w:rPr>
              <w:t>坪山大道</w:t>
            </w:r>
            <w:r>
              <w:rPr>
                <w:bCs/>
                <w:sz w:val="24"/>
              </w:rPr>
              <w:t>，便于原料运入及产品输出，也有利于物资的整理，提高生产效率。</w:t>
            </w:r>
          </w:p>
          <w:p>
            <w:pPr>
              <w:ind w:firstLine="480" w:firstLineChars="200"/>
              <w:jc w:val="left"/>
              <w:rPr>
                <w:bCs/>
                <w:sz w:val="24"/>
              </w:rPr>
            </w:pPr>
            <w:r>
              <w:rPr>
                <w:bCs/>
                <w:sz w:val="24"/>
              </w:rPr>
              <w:t>（2）车间办公室、卫生间等配套设施均设置在车间</w:t>
            </w:r>
            <w:r>
              <w:rPr>
                <w:rFonts w:hint="eastAsia"/>
                <w:bCs/>
                <w:sz w:val="24"/>
              </w:rPr>
              <w:t>东</w:t>
            </w:r>
            <w:r>
              <w:rPr>
                <w:bCs/>
                <w:sz w:val="24"/>
              </w:rPr>
              <w:t>部，生产区设置在车间中部及</w:t>
            </w:r>
            <w:r>
              <w:rPr>
                <w:rFonts w:hint="eastAsia"/>
                <w:bCs/>
                <w:sz w:val="24"/>
              </w:rPr>
              <w:t>西</w:t>
            </w:r>
            <w:r>
              <w:rPr>
                <w:bCs/>
                <w:sz w:val="24"/>
              </w:rPr>
              <w:t>部。车间功能分区明确，规划整齐有序，生产及辅助公用设施相对集中布置，减少因车间转移引起的环境污染。在车间</w:t>
            </w:r>
            <w:r>
              <w:rPr>
                <w:rFonts w:hint="eastAsia"/>
                <w:bCs/>
                <w:sz w:val="24"/>
              </w:rPr>
              <w:t>西南</w:t>
            </w:r>
            <w:r>
              <w:rPr>
                <w:bCs/>
                <w:sz w:val="24"/>
              </w:rPr>
              <w:t>侧固废、危废间，用于临时存放固废与危险废物，固废、危废间做好防渗防漏措施，避免危险废物外泄。</w:t>
            </w:r>
          </w:p>
          <w:p>
            <w:pPr>
              <w:pStyle w:val="2"/>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1" w:hRule="atLeast"/>
          <w:jc w:val="center"/>
        </w:trPr>
        <w:tc>
          <w:tcPr>
            <w:tcW w:w="699" w:type="dxa"/>
            <w:vAlign w:val="center"/>
          </w:tcPr>
          <w:p>
            <w:pPr>
              <w:jc w:val="center"/>
              <w:rPr>
                <w:sz w:val="21"/>
                <w:szCs w:val="21"/>
              </w:rPr>
            </w:pPr>
            <w:r>
              <w:rPr>
                <w:bCs/>
                <w:sz w:val="24"/>
              </w:rPr>
              <w:t>工艺流程和产排污环节</w:t>
            </w:r>
          </w:p>
        </w:tc>
        <w:tc>
          <w:tcPr>
            <w:tcW w:w="8984" w:type="dxa"/>
          </w:tcPr>
          <w:p>
            <w:pPr>
              <w:ind w:firstLine="480" w:firstLineChars="200"/>
              <w:jc w:val="left"/>
              <w:rPr>
                <w:bCs/>
                <w:sz w:val="24"/>
              </w:rPr>
            </w:pPr>
            <w:r>
              <w:rPr>
                <w:bCs/>
                <w:sz w:val="24"/>
              </w:rPr>
              <w:t>项目</w:t>
            </w:r>
            <w:r>
              <w:rPr>
                <w:rFonts w:hint="eastAsia"/>
                <w:bCs/>
                <w:sz w:val="24"/>
              </w:rPr>
              <w:t>储能集装箱</w:t>
            </w:r>
            <w:r>
              <w:rPr>
                <w:bCs/>
                <w:sz w:val="24"/>
              </w:rPr>
              <w:t>生产工艺流程及产污环节如下。</w:t>
            </w:r>
          </w:p>
          <w:p>
            <w:pPr>
              <w:pStyle w:val="51"/>
              <w:spacing w:before="0" w:line="360" w:lineRule="auto"/>
              <w:ind w:left="0" w:firstLine="0"/>
              <w:jc w:val="center"/>
              <w:outlineLvl w:val="9"/>
              <w:rPr>
                <w:rFonts w:ascii="Times New Roman" w:hAnsi="Times New Roman"/>
                <w:b/>
                <w:bCs/>
                <w:szCs w:val="21"/>
              </w:rPr>
            </w:pPr>
            <w:r>
              <w:object>
                <v:shape id="_x0000_i1027" o:spt="75" type="#_x0000_t75" style="height:235.5pt;width:370.5pt;" o:ole="t" filled="f" o:preferrelative="t" stroked="f" coordsize="21600,21600">
                  <v:path/>
                  <v:fill on="f" focussize="0,0"/>
                  <v:stroke on="f" joinstyle="miter"/>
                  <v:imagedata r:id="rId15" o:title=""/>
                  <o:lock v:ext="edit" aspectratio="t"/>
                  <w10:wrap type="none"/>
                  <w10:anchorlock/>
                </v:shape>
                <o:OLEObject Type="Embed" ProgID="Visio.Drawing.11" ShapeID="_x0000_i1027" DrawAspect="Content" ObjectID="_1468075727" r:id="rId14">
                  <o:LockedField>false</o:LockedField>
                </o:OLEObject>
              </w:object>
            </w:r>
          </w:p>
          <w:p>
            <w:pPr>
              <w:widowControl/>
              <w:spacing w:line="240" w:lineRule="auto"/>
              <w:jc w:val="center"/>
              <w:rPr>
                <w:rFonts w:eastAsiaTheme="minorEastAsia"/>
                <w:b/>
                <w:bCs/>
                <w:sz w:val="24"/>
              </w:rPr>
            </w:pPr>
            <w:r>
              <w:rPr>
                <w:rFonts w:eastAsiaTheme="minorEastAsia"/>
                <w:b/>
                <w:bCs/>
                <w:sz w:val="24"/>
              </w:rPr>
              <w:t>图2-3</w:t>
            </w:r>
            <w:r>
              <w:rPr>
                <w:rFonts w:hint="eastAsia" w:eastAsiaTheme="minorEastAsia"/>
                <w:b/>
                <w:bCs/>
                <w:sz w:val="24"/>
              </w:rPr>
              <w:t>储能集装箱</w:t>
            </w:r>
            <w:r>
              <w:rPr>
                <w:rFonts w:eastAsiaTheme="minorEastAsia"/>
                <w:b/>
                <w:bCs/>
                <w:sz w:val="24"/>
              </w:rPr>
              <w:t>生产工艺流程及产污环节示意图</w:t>
            </w:r>
          </w:p>
          <w:p>
            <w:pPr>
              <w:ind w:firstLine="480" w:firstLineChars="200"/>
              <w:jc w:val="left"/>
              <w:rPr>
                <w:bCs/>
                <w:sz w:val="24"/>
              </w:rPr>
            </w:pPr>
            <w:r>
              <w:rPr>
                <w:bCs/>
                <w:sz w:val="24"/>
              </w:rPr>
              <w:t>工序说明：</w:t>
            </w:r>
          </w:p>
          <w:p>
            <w:pPr>
              <w:ind w:firstLine="480" w:firstLineChars="200"/>
              <w:jc w:val="left"/>
              <w:rPr>
                <w:bCs/>
                <w:sz w:val="24"/>
              </w:rPr>
            </w:pPr>
            <w:r>
              <w:rPr>
                <w:rFonts w:hint="eastAsia"/>
                <w:bCs/>
                <w:sz w:val="24"/>
              </w:rPr>
              <w:t>（1）器件组装</w:t>
            </w:r>
          </w:p>
          <w:p>
            <w:pPr>
              <w:ind w:firstLine="480" w:firstLineChars="200"/>
              <w:jc w:val="left"/>
              <w:rPr>
                <w:bCs/>
                <w:sz w:val="24"/>
              </w:rPr>
            </w:pPr>
            <w:r>
              <w:rPr>
                <w:rFonts w:hint="eastAsia"/>
                <w:bCs/>
                <w:sz w:val="24"/>
              </w:rPr>
              <w:t>将集装空箱体、不锈钢管、消防管道、外协件、电池左/右层架、配电汇流框架、线束进行组装。结构胶和3</w:t>
            </w:r>
            <w:r>
              <w:rPr>
                <w:bCs/>
                <w:sz w:val="24"/>
              </w:rPr>
              <w:t>M</w:t>
            </w:r>
            <w:r>
              <w:rPr>
                <w:rFonts w:hint="eastAsia"/>
                <w:bCs/>
                <w:sz w:val="24"/>
              </w:rPr>
              <w:t>结构胶用作封堵管道和外协件固定，硅胶用作门板密封，组装完成后形成储能集装箱；</w:t>
            </w:r>
            <w:r>
              <w:rPr>
                <w:rFonts w:hint="eastAsia"/>
                <w:bCs/>
                <w:color w:val="FF0000"/>
                <w:sz w:val="24"/>
              </w:rPr>
              <w:t>线束组装涉及使用环保胶水进行粘合</w:t>
            </w:r>
            <w:r>
              <w:rPr>
                <w:rFonts w:hint="eastAsia"/>
                <w:bCs/>
                <w:sz w:val="24"/>
              </w:rPr>
              <w:t>。组装过程中对管道等进行气密性测试。</w:t>
            </w:r>
          </w:p>
          <w:p>
            <w:pPr>
              <w:ind w:firstLine="480" w:firstLineChars="200"/>
              <w:jc w:val="left"/>
              <w:rPr>
                <w:bCs/>
                <w:sz w:val="24"/>
              </w:rPr>
            </w:pPr>
            <w:r>
              <w:rPr>
                <w:rFonts w:hint="eastAsia"/>
                <w:bCs/>
                <w:sz w:val="24"/>
              </w:rPr>
              <w:t>此过程会产生有机废气、噪声、废胶水桶。</w:t>
            </w:r>
          </w:p>
          <w:p>
            <w:pPr>
              <w:ind w:firstLine="480" w:firstLineChars="200"/>
              <w:jc w:val="left"/>
              <w:rPr>
                <w:bCs/>
                <w:sz w:val="24"/>
              </w:rPr>
            </w:pPr>
            <w:r>
              <w:rPr>
                <w:rFonts w:hint="eastAsia"/>
                <w:bCs/>
                <w:sz w:val="24"/>
              </w:rPr>
              <w:t>（2）注液</w:t>
            </w:r>
          </w:p>
          <w:p>
            <w:pPr>
              <w:ind w:firstLine="480" w:firstLineChars="200"/>
              <w:jc w:val="left"/>
              <w:rPr>
                <w:bCs/>
                <w:sz w:val="24"/>
              </w:rPr>
            </w:pPr>
            <w:r>
              <w:rPr>
                <w:rFonts w:hint="eastAsia"/>
                <w:bCs/>
                <w:sz w:val="24"/>
              </w:rPr>
              <w:t>项目注液工序使用注液泵抽取冷却液进行加注，加注至规定体积后停止加注，加注冷却液过程为密闭空间，会挤排出原有管内空气，从排气阀挤出。</w:t>
            </w:r>
          </w:p>
          <w:p>
            <w:pPr>
              <w:ind w:firstLine="480" w:firstLineChars="200"/>
              <w:jc w:val="left"/>
              <w:rPr>
                <w:bCs/>
                <w:sz w:val="24"/>
              </w:rPr>
            </w:pPr>
            <w:r>
              <w:rPr>
                <w:rFonts w:hint="eastAsia"/>
                <w:bCs/>
                <w:sz w:val="24"/>
              </w:rPr>
              <w:t>此过程不产生有机废气，会产生废冷却液桶、噪声。</w:t>
            </w:r>
          </w:p>
          <w:p>
            <w:pPr>
              <w:ind w:firstLine="480" w:firstLineChars="200"/>
              <w:jc w:val="left"/>
              <w:rPr>
                <w:bCs/>
                <w:sz w:val="24"/>
              </w:rPr>
            </w:pPr>
            <w:r>
              <w:rPr>
                <w:rFonts w:hint="eastAsia"/>
                <w:bCs/>
                <w:sz w:val="24"/>
              </w:rPr>
              <w:t>（3）测试</w:t>
            </w:r>
          </w:p>
          <w:p>
            <w:pPr>
              <w:ind w:firstLine="480" w:firstLineChars="200"/>
              <w:jc w:val="left"/>
              <w:rPr>
                <w:bCs/>
                <w:sz w:val="24"/>
              </w:rPr>
            </w:pPr>
            <w:r>
              <w:rPr>
                <w:rFonts w:hint="eastAsia"/>
                <w:bCs/>
                <w:sz w:val="24"/>
              </w:rPr>
              <w:t>将储能集装箱按耐压、绝缘、老化、淋雨步骤依次进行测试。</w:t>
            </w:r>
          </w:p>
          <w:p>
            <w:pPr>
              <w:ind w:firstLine="480" w:firstLineChars="200"/>
              <w:jc w:val="left"/>
              <w:rPr>
                <w:bCs/>
                <w:sz w:val="24"/>
              </w:rPr>
            </w:pPr>
            <w:r>
              <w:rPr>
                <w:rFonts w:hint="eastAsia"/>
                <w:bCs/>
                <w:sz w:val="24"/>
              </w:rPr>
              <w:t>此过程会产生淋雨测试废水、噪声。</w:t>
            </w:r>
          </w:p>
          <w:p>
            <w:pPr>
              <w:ind w:firstLine="480" w:firstLineChars="200"/>
              <w:jc w:val="left"/>
              <w:rPr>
                <w:bCs/>
                <w:sz w:val="24"/>
              </w:rPr>
            </w:pPr>
            <w:r>
              <w:rPr>
                <w:rFonts w:hint="eastAsia"/>
                <w:bCs/>
                <w:sz w:val="24"/>
              </w:rPr>
              <w:t>（4）打包、入库</w:t>
            </w:r>
          </w:p>
          <w:p>
            <w:pPr>
              <w:ind w:firstLine="480" w:firstLineChars="200"/>
              <w:jc w:val="left"/>
              <w:rPr>
                <w:bCs/>
                <w:sz w:val="24"/>
              </w:rPr>
            </w:pPr>
            <w:r>
              <w:rPr>
                <w:rFonts w:hint="eastAsia"/>
                <w:bCs/>
                <w:sz w:val="24"/>
              </w:rPr>
              <w:t>使用拉伸膜对储能集装箱进行打包，完成打包后入库。</w:t>
            </w:r>
          </w:p>
          <w:p>
            <w:pPr>
              <w:ind w:firstLine="480" w:firstLineChars="200"/>
              <w:jc w:val="left"/>
            </w:pPr>
            <w:r>
              <w:rPr>
                <w:rFonts w:hint="eastAsia"/>
                <w:bCs/>
                <w:sz w:val="24"/>
              </w:rPr>
              <w:t>此过程会产生废包装材料、噪声。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08" w:hRule="atLeast"/>
          <w:jc w:val="center"/>
        </w:trPr>
        <w:tc>
          <w:tcPr>
            <w:tcW w:w="699" w:type="dxa"/>
            <w:vAlign w:val="center"/>
          </w:tcPr>
          <w:p>
            <w:pPr>
              <w:jc w:val="center"/>
              <w:rPr>
                <w:sz w:val="21"/>
                <w:szCs w:val="21"/>
              </w:rPr>
            </w:pPr>
            <w:r>
              <w:rPr>
                <w:bCs/>
                <w:sz w:val="24"/>
              </w:rPr>
              <w:t>与项目有关的原有环境污染问题</w:t>
            </w:r>
          </w:p>
        </w:tc>
        <w:tc>
          <w:tcPr>
            <w:tcW w:w="8984" w:type="dxa"/>
          </w:tcPr>
          <w:p>
            <w:pPr>
              <w:ind w:firstLine="480" w:firstLineChars="200"/>
              <w:jc w:val="left"/>
              <w:rPr>
                <w:bCs/>
                <w:sz w:val="24"/>
              </w:rPr>
            </w:pPr>
            <w:r>
              <w:rPr>
                <w:bCs/>
                <w:sz w:val="24"/>
              </w:rPr>
              <w:t>项目选址位于</w:t>
            </w:r>
            <w:r>
              <w:rPr>
                <w:sz w:val="24"/>
              </w:rPr>
              <w:t>广东陆河县产业转移工业园区</w:t>
            </w:r>
            <w:r>
              <w:rPr>
                <w:bCs/>
                <w:sz w:val="24"/>
              </w:rPr>
              <w:t>陆河比亚迪车工业园1号厂房1-2</w:t>
            </w:r>
            <w:r>
              <w:rPr>
                <w:rFonts w:hint="eastAsia"/>
                <w:bCs/>
                <w:sz w:val="24"/>
              </w:rPr>
              <w:t>，厂房系租赁于</w:t>
            </w:r>
            <w:r>
              <w:rPr>
                <w:bCs/>
                <w:sz w:val="24"/>
              </w:rPr>
              <w:t>汕尾比亚迪汽车有限公司。</w:t>
            </w:r>
          </w:p>
          <w:p>
            <w:pPr>
              <w:ind w:firstLine="480" w:firstLineChars="200"/>
              <w:jc w:val="left"/>
              <w:rPr>
                <w:bCs/>
                <w:sz w:val="24"/>
              </w:rPr>
            </w:pPr>
            <w:r>
              <w:rPr>
                <w:rFonts w:hint="eastAsia"/>
                <w:bCs/>
                <w:sz w:val="24"/>
              </w:rPr>
              <w:t>项目属于新建项目，不存在原有环境污染问题。</w:t>
            </w: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tc>
      </w:tr>
    </w:tbl>
    <w:p>
      <w:pPr>
        <w:pStyle w:val="36"/>
        <w:jc w:val="center"/>
        <w:rPr>
          <w:rFonts w:ascii="Times New Roman" w:hAnsi="Times New Roman" w:eastAsia="黑体" w:cs="Times New Roman"/>
          <w:snapToGrid w:val="0"/>
          <w:sz w:val="36"/>
          <w:szCs w:val="36"/>
        </w:rPr>
        <w:sectPr>
          <w:pgSz w:w="11906" w:h="16838"/>
          <w:pgMar w:top="1418" w:right="1418" w:bottom="1418" w:left="1418" w:header="851" w:footer="992" w:gutter="0"/>
          <w:cols w:space="720" w:num="1"/>
          <w:docGrid w:linePitch="381" w:charSpace="0"/>
        </w:sectPr>
      </w:pPr>
    </w:p>
    <w:p>
      <w:pPr>
        <w:pStyle w:val="36"/>
        <w:adjustRightInd w:val="0"/>
        <w:snapToGrid w:val="0"/>
        <w:spacing w:before="0" w:beforeAutospacing="0" w:after="0" w:afterAutospacing="0" w:line="15" w:lineRule="auto"/>
        <w:jc w:val="center"/>
        <w:rPr>
          <w:rFonts w:ascii="Times New Roman" w:hAnsi="Times New Roman" w:eastAsia="黑体" w:cs="Times New Roman"/>
          <w:snapToGrid w:val="0"/>
          <w:sz w:val="30"/>
          <w:szCs w:val="30"/>
        </w:rPr>
      </w:pPr>
    </w:p>
    <w:p>
      <w:pPr>
        <w:pStyle w:val="36"/>
        <w:spacing w:beforeLines="100" w:beforeAutospacing="0" w:afterLines="100" w:afterAutospacing="0"/>
        <w:jc w:val="center"/>
        <w:outlineLvl w:val="0"/>
        <w:rPr>
          <w:rFonts w:ascii="Times New Roman" w:hAnsi="Times New Roman" w:eastAsia="黑体" w:cs="Times New Roman"/>
          <w:snapToGrid w:val="0"/>
          <w:sz w:val="30"/>
          <w:szCs w:val="30"/>
        </w:rPr>
      </w:pPr>
      <w:r>
        <w:rPr>
          <w:rFonts w:ascii="Times New Roman" w:hAnsi="Times New Roman" w:eastAsia="黑体" w:cs="Times New Roman"/>
          <w:snapToGrid w:val="0"/>
          <w:sz w:val="30"/>
          <w:szCs w:val="30"/>
        </w:rPr>
        <w:t>三、区域环境质量现状、环境保护目标及评价标准</w:t>
      </w:r>
    </w:p>
    <w:tbl>
      <w:tblPr>
        <w:tblStyle w:val="4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74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1" w:hRule="atLeast"/>
          <w:jc w:val="center"/>
        </w:trPr>
        <w:tc>
          <w:tcPr>
            <w:tcW w:w="800" w:type="dxa"/>
            <w:vAlign w:val="center"/>
          </w:tcPr>
          <w:p>
            <w:pPr>
              <w:jc w:val="center"/>
              <w:rPr>
                <w:bCs/>
                <w:sz w:val="24"/>
              </w:rPr>
            </w:pPr>
            <w:r>
              <w:rPr>
                <w:bCs/>
                <w:sz w:val="24"/>
              </w:rPr>
              <w:t>区域</w:t>
            </w:r>
          </w:p>
          <w:p>
            <w:pPr>
              <w:jc w:val="center"/>
              <w:rPr>
                <w:bCs/>
                <w:sz w:val="24"/>
              </w:rPr>
            </w:pPr>
            <w:r>
              <w:rPr>
                <w:bCs/>
                <w:sz w:val="24"/>
              </w:rPr>
              <w:t>环境</w:t>
            </w:r>
          </w:p>
          <w:p>
            <w:pPr>
              <w:jc w:val="center"/>
              <w:rPr>
                <w:bCs/>
                <w:sz w:val="24"/>
              </w:rPr>
            </w:pPr>
            <w:r>
              <w:rPr>
                <w:bCs/>
                <w:sz w:val="24"/>
              </w:rPr>
              <w:t>质量</w:t>
            </w:r>
          </w:p>
          <w:p>
            <w:pPr>
              <w:jc w:val="center"/>
              <w:rPr>
                <w:kern w:val="0"/>
                <w:sz w:val="21"/>
                <w:szCs w:val="21"/>
              </w:rPr>
            </w:pPr>
            <w:r>
              <w:rPr>
                <w:bCs/>
                <w:sz w:val="24"/>
              </w:rPr>
              <w:t>现状</w:t>
            </w:r>
          </w:p>
        </w:tc>
        <w:tc>
          <w:tcPr>
            <w:tcW w:w="8743" w:type="dxa"/>
            <w:vAlign w:val="center"/>
          </w:tcPr>
          <w:p>
            <w:pPr>
              <w:ind w:firstLine="482" w:firstLineChars="200"/>
              <w:jc w:val="left"/>
              <w:rPr>
                <w:b/>
                <w:sz w:val="24"/>
              </w:rPr>
            </w:pPr>
            <w:r>
              <w:rPr>
                <w:b/>
                <w:sz w:val="24"/>
              </w:rPr>
              <w:t>1、地表水</w:t>
            </w:r>
            <w:r>
              <w:rPr>
                <w:rFonts w:hint="eastAsia"/>
                <w:b/>
                <w:sz w:val="24"/>
              </w:rPr>
              <w:t>环境质量现状</w:t>
            </w:r>
          </w:p>
          <w:p>
            <w:pPr>
              <w:ind w:firstLine="480" w:firstLineChars="200"/>
              <w:jc w:val="left"/>
              <w:rPr>
                <w:bCs/>
                <w:sz w:val="24"/>
              </w:rPr>
            </w:pPr>
            <w:r>
              <w:rPr>
                <w:bCs/>
                <w:sz w:val="24"/>
              </w:rPr>
              <w:t>项目位于</w:t>
            </w:r>
            <w:r>
              <w:rPr>
                <w:sz w:val="24"/>
              </w:rPr>
              <w:t>广东陆河县产业转移工业园区</w:t>
            </w:r>
            <w:r>
              <w:rPr>
                <w:bCs/>
                <w:sz w:val="24"/>
              </w:rPr>
              <w:t>陆河比亚迪车工业园1号厂房1-2，所在地区污水属于河口镇污水处理厂集水范围。</w:t>
            </w:r>
          </w:p>
          <w:p>
            <w:pPr>
              <w:ind w:firstLine="480" w:firstLineChars="200"/>
              <w:jc w:val="left"/>
              <w:rPr>
                <w:bCs/>
                <w:sz w:val="24"/>
              </w:rPr>
            </w:pPr>
            <w:r>
              <w:rPr>
                <w:sz w:val="24"/>
              </w:rPr>
              <w:t>项目</w:t>
            </w:r>
            <w:r>
              <w:rPr>
                <w:rFonts w:hint="eastAsia"/>
                <w:sz w:val="24"/>
              </w:rPr>
              <w:t>污废水</w:t>
            </w:r>
            <w:r>
              <w:rPr>
                <w:sz w:val="24"/>
              </w:rPr>
              <w:t>经预处理达到河口镇污水处理厂接管标准</w:t>
            </w:r>
            <w:r>
              <w:rPr>
                <w:rFonts w:hint="eastAsia"/>
                <w:sz w:val="24"/>
              </w:rPr>
              <w:t>与</w:t>
            </w:r>
            <w:r>
              <w:rPr>
                <w:sz w:val="24"/>
              </w:rPr>
              <w:t>广东省《水污染物排放限值》（DB44/26-2001）第二时段三级标准较严值后经市政污水管网排入河口镇污水处理厂；</w:t>
            </w:r>
            <w:r>
              <w:rPr>
                <w:bCs/>
                <w:sz w:val="24"/>
              </w:rPr>
              <w:t>河口镇污水处理厂</w:t>
            </w:r>
            <w:r>
              <w:rPr>
                <w:sz w:val="24"/>
              </w:rPr>
              <w:t>尾水达到《城镇污水处理厂污染物排放标准》（GB18918-2002）一级标准的A标准和广东省《水污染物排放限值》（DB44/26-2001）第二时段一级标准较严者后排入南北溪，然后汇入螺河（陆河市村~陆丰河二段）</w:t>
            </w:r>
            <w:r>
              <w:rPr>
                <w:bCs/>
                <w:sz w:val="24"/>
              </w:rPr>
              <w:t>。根据《关于印发〈广东省地表水功能区划〉的通知》（粤府函〔2011〕14号），螺河（陆河市村~陆丰河二段）为Ⅱ类水体，水质执行《地表水环境质量标准》（GB3838-2002）Ⅱ类标准，南北溪为Ⅲ类水体，水质执行《地表水环境质量标准》（GB3838-2002）Ⅲ类标准。</w:t>
            </w:r>
          </w:p>
          <w:p>
            <w:pPr>
              <w:ind w:firstLine="480" w:firstLineChars="200"/>
              <w:jc w:val="left"/>
              <w:rPr>
                <w:bCs/>
                <w:sz w:val="24"/>
              </w:rPr>
            </w:pPr>
            <w:r>
              <w:rPr>
                <w:bCs/>
                <w:sz w:val="24"/>
              </w:rPr>
              <w:t>为了解南北溪、螺河水质情况，本次评价引用《广东陆河产业转移工业园区规划环境影响报告书（2021年）》中，江门中环检测技术有限公司于2019年6月13日~15日对南北溪、螺河进行采样监测的数据，监测断面信息见表3-1，具体断面布设见附图6，监测数据见表3-2，地表水各水质监测断面监测项目的标准指数值见表3-3。</w:t>
            </w:r>
          </w:p>
          <w:p>
            <w:pPr>
              <w:pStyle w:val="169"/>
              <w:spacing w:line="240" w:lineRule="auto"/>
              <w:rPr>
                <w:rFonts w:hint="default" w:hAnsi="Times New Roman" w:eastAsiaTheme="minorEastAsia"/>
                <w:sz w:val="24"/>
                <w:szCs w:val="24"/>
              </w:rPr>
            </w:pPr>
            <w:r>
              <w:rPr>
                <w:rFonts w:hAnsi="Times New Roman" w:eastAsiaTheme="minorEastAsia"/>
                <w:sz w:val="24"/>
                <w:szCs w:val="24"/>
              </w:rPr>
              <w:t>表3-1 地表水监测断面信息一览表</w:t>
            </w:r>
          </w:p>
          <w:tbl>
            <w:tblPr>
              <w:tblStyle w:val="40"/>
              <w:tblW w:w="5000"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Layout w:type="fixed"/>
              <w:tblCellMar>
                <w:top w:w="0" w:type="dxa"/>
                <w:left w:w="0" w:type="dxa"/>
                <w:bottom w:w="0" w:type="dxa"/>
                <w:right w:w="0" w:type="dxa"/>
              </w:tblCellMar>
            </w:tblPr>
            <w:tblGrid>
              <w:gridCol w:w="896"/>
              <w:gridCol w:w="3685"/>
              <w:gridCol w:w="1388"/>
              <w:gridCol w:w="2558"/>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896" w:type="dxa"/>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序号</w:t>
                  </w:r>
                </w:p>
              </w:tc>
              <w:tc>
                <w:tcPr>
                  <w:tcW w:w="3685" w:type="dxa"/>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监测断面</w:t>
                  </w:r>
                </w:p>
              </w:tc>
              <w:tc>
                <w:tcPr>
                  <w:tcW w:w="1388" w:type="dxa"/>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所属水体</w:t>
                  </w:r>
                </w:p>
              </w:tc>
              <w:tc>
                <w:tcPr>
                  <w:tcW w:w="2558" w:type="dxa"/>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监测因子</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896"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W1</w:t>
                  </w:r>
                </w:p>
              </w:tc>
              <w:tc>
                <w:tcPr>
                  <w:tcW w:w="3685"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河口镇污水处理厂排污口汇入南北</w:t>
                  </w:r>
                </w:p>
                <w:p>
                  <w:pPr>
                    <w:pStyle w:val="141"/>
                    <w:spacing w:line="240" w:lineRule="auto"/>
                    <w:rPr>
                      <w:rFonts w:ascii="Times New Roman" w:hAnsi="Times New Roman" w:eastAsia="新宋体"/>
                      <w:sz w:val="21"/>
                      <w:szCs w:val="21"/>
                    </w:rPr>
                  </w:pPr>
                  <w:r>
                    <w:rPr>
                      <w:rFonts w:ascii="Times New Roman" w:hAnsi="Times New Roman" w:eastAsia="新宋体"/>
                      <w:sz w:val="21"/>
                      <w:szCs w:val="21"/>
                    </w:rPr>
                    <w:t>溪上游500</w:t>
                  </w:r>
                  <w:r>
                    <w:rPr>
                      <w:rFonts w:hint="eastAsia" w:ascii="Times New Roman" w:hAnsi="Times New Roman" w:eastAsia="新宋体"/>
                      <w:sz w:val="21"/>
                      <w:szCs w:val="21"/>
                    </w:rPr>
                    <w:t>米</w:t>
                  </w:r>
                </w:p>
              </w:tc>
              <w:tc>
                <w:tcPr>
                  <w:tcW w:w="1388" w:type="dxa"/>
                  <w:vMerge w:val="restart"/>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南北溪（Ⅲ类）</w:t>
                  </w:r>
                </w:p>
              </w:tc>
              <w:tc>
                <w:tcPr>
                  <w:tcW w:w="2558" w:type="dxa"/>
                  <w:vMerge w:val="restart"/>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水温、pH、溶解氧、悬浮物、化学需氧量、五日 生化需氧量、氨氮、总磷、总氮、石油类、氰化 物、氟化物、挥发酚、六 价铬、铜、锌、镉、铅、 镍、铁、甲苯、二甲苯共 22项</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896"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W2</w:t>
                  </w:r>
                </w:p>
              </w:tc>
              <w:tc>
                <w:tcPr>
                  <w:tcW w:w="3685"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河口镇污水处理厂排污口汇入南北</w:t>
                  </w:r>
                </w:p>
                <w:p>
                  <w:pPr>
                    <w:pStyle w:val="141"/>
                    <w:spacing w:line="240" w:lineRule="auto"/>
                    <w:rPr>
                      <w:rFonts w:ascii="Times New Roman" w:hAnsi="Times New Roman" w:eastAsia="新宋体"/>
                      <w:sz w:val="21"/>
                      <w:szCs w:val="21"/>
                    </w:rPr>
                  </w:pPr>
                  <w:r>
                    <w:rPr>
                      <w:rFonts w:ascii="Times New Roman" w:hAnsi="Times New Roman" w:eastAsia="新宋体"/>
                      <w:sz w:val="21"/>
                      <w:szCs w:val="21"/>
                    </w:rPr>
                    <w:t>溪下游1000</w:t>
                  </w:r>
                  <w:r>
                    <w:rPr>
                      <w:rFonts w:hint="eastAsia" w:ascii="Times New Roman" w:hAnsi="Times New Roman" w:eastAsia="新宋体"/>
                      <w:sz w:val="21"/>
                      <w:szCs w:val="21"/>
                    </w:rPr>
                    <w:t>米</w:t>
                  </w:r>
                </w:p>
              </w:tc>
              <w:tc>
                <w:tcPr>
                  <w:tcW w:w="1388"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c>
                <w:tcPr>
                  <w:tcW w:w="2558"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896"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W3</w:t>
                  </w:r>
                </w:p>
              </w:tc>
              <w:tc>
                <w:tcPr>
                  <w:tcW w:w="3685"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螺河汇入处上游500</w:t>
                  </w:r>
                  <w:r>
                    <w:rPr>
                      <w:rFonts w:hint="eastAsia" w:ascii="Times New Roman" w:hAnsi="Times New Roman" w:eastAsia="新宋体"/>
                      <w:sz w:val="21"/>
                      <w:szCs w:val="21"/>
                    </w:rPr>
                    <w:t>米</w:t>
                  </w:r>
                </w:p>
              </w:tc>
              <w:tc>
                <w:tcPr>
                  <w:tcW w:w="1388" w:type="dxa"/>
                  <w:vMerge w:val="restart"/>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螺河（Ⅱ类）</w:t>
                  </w:r>
                </w:p>
              </w:tc>
              <w:tc>
                <w:tcPr>
                  <w:tcW w:w="2558"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896"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W4</w:t>
                  </w:r>
                </w:p>
              </w:tc>
              <w:tc>
                <w:tcPr>
                  <w:tcW w:w="3685"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螺河汇入处上游3000</w:t>
                  </w:r>
                  <w:r>
                    <w:rPr>
                      <w:rFonts w:hint="eastAsia" w:ascii="Times New Roman" w:hAnsi="Times New Roman" w:eastAsia="新宋体"/>
                      <w:sz w:val="21"/>
                      <w:szCs w:val="21"/>
                    </w:rPr>
                    <w:t>米</w:t>
                  </w:r>
                </w:p>
              </w:tc>
              <w:tc>
                <w:tcPr>
                  <w:tcW w:w="1388"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c>
                <w:tcPr>
                  <w:tcW w:w="2558"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896"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W5</w:t>
                  </w:r>
                </w:p>
              </w:tc>
              <w:tc>
                <w:tcPr>
                  <w:tcW w:w="3685"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螺河汇入处下游500</w:t>
                  </w:r>
                  <w:r>
                    <w:rPr>
                      <w:rFonts w:hint="eastAsia" w:ascii="Times New Roman" w:hAnsi="Times New Roman" w:eastAsia="新宋体"/>
                      <w:sz w:val="21"/>
                      <w:szCs w:val="21"/>
                    </w:rPr>
                    <w:t>米</w:t>
                  </w:r>
                </w:p>
              </w:tc>
              <w:tc>
                <w:tcPr>
                  <w:tcW w:w="1388"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c>
                <w:tcPr>
                  <w:tcW w:w="2558"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r>
          </w:tbl>
          <w:p>
            <w:pPr>
              <w:pStyle w:val="169"/>
              <w:spacing w:line="240" w:lineRule="auto"/>
              <w:rPr>
                <w:rFonts w:hint="default" w:hAnsi="Times New Roman" w:eastAsiaTheme="minorEastAsia"/>
                <w:sz w:val="24"/>
                <w:szCs w:val="24"/>
              </w:rPr>
            </w:pPr>
          </w:p>
          <w:p>
            <w:pPr>
              <w:pStyle w:val="169"/>
              <w:spacing w:line="240" w:lineRule="auto"/>
              <w:rPr>
                <w:rFonts w:hint="default" w:hAnsi="Times New Roman" w:eastAsiaTheme="minorEastAsia"/>
                <w:sz w:val="24"/>
                <w:szCs w:val="24"/>
              </w:rPr>
            </w:pPr>
          </w:p>
          <w:p>
            <w:pPr>
              <w:pStyle w:val="169"/>
              <w:spacing w:line="240" w:lineRule="auto"/>
              <w:rPr>
                <w:rFonts w:hint="default" w:hAnsi="Times New Roman" w:eastAsiaTheme="minorEastAsia"/>
                <w:sz w:val="24"/>
                <w:szCs w:val="24"/>
              </w:rPr>
            </w:pPr>
            <w:r>
              <w:rPr>
                <w:rFonts w:hAnsi="Times New Roman" w:eastAsiaTheme="minorEastAsia"/>
                <w:sz w:val="24"/>
                <w:szCs w:val="24"/>
              </w:rPr>
              <w:t>表3-2 各断面水质监测结果  单位：mg/L，温度为℃，pH 无量纲</w:t>
            </w:r>
          </w:p>
          <w:tbl>
            <w:tblPr>
              <w:tblStyle w:val="40"/>
              <w:tblW w:w="5000"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Layout w:type="fixed"/>
              <w:tblCellMar>
                <w:top w:w="0" w:type="dxa"/>
                <w:left w:w="0" w:type="dxa"/>
                <w:bottom w:w="0" w:type="dxa"/>
                <w:right w:w="0" w:type="dxa"/>
              </w:tblCellMar>
            </w:tblPr>
            <w:tblGrid>
              <w:gridCol w:w="612"/>
              <w:gridCol w:w="992"/>
              <w:gridCol w:w="567"/>
              <w:gridCol w:w="426"/>
              <w:gridCol w:w="141"/>
              <w:gridCol w:w="567"/>
              <w:gridCol w:w="142"/>
              <w:gridCol w:w="425"/>
              <w:gridCol w:w="142"/>
              <w:gridCol w:w="393"/>
              <w:gridCol w:w="316"/>
              <w:gridCol w:w="446"/>
              <w:gridCol w:w="404"/>
              <w:gridCol w:w="292"/>
              <w:gridCol w:w="200"/>
              <w:gridCol w:w="492"/>
              <w:gridCol w:w="32"/>
              <w:gridCol w:w="461"/>
              <w:gridCol w:w="82"/>
              <w:gridCol w:w="410"/>
              <w:gridCol w:w="133"/>
              <w:gridCol w:w="359"/>
              <w:gridCol w:w="431"/>
              <w:gridCol w:w="62"/>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62" w:type="dxa"/>
                <w:trHeight w:val="369" w:hRule="atLeast"/>
                <w:jc w:val="center"/>
              </w:trPr>
              <w:tc>
                <w:tcPr>
                  <w:tcW w:w="612" w:type="dxa"/>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监测点位</w:t>
                  </w:r>
                </w:p>
              </w:tc>
              <w:tc>
                <w:tcPr>
                  <w:tcW w:w="992" w:type="dxa"/>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采样日期</w:t>
                  </w:r>
                </w:p>
              </w:tc>
              <w:tc>
                <w:tcPr>
                  <w:tcW w:w="993" w:type="dxa"/>
                  <w:gridSpan w:val="2"/>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水温</w:t>
                  </w:r>
                  <w:r>
                    <w:rPr>
                      <w:rFonts w:hint="eastAsia" w:ascii="Times New Roman" w:hAnsi="Times New Roman" w:eastAsia="新宋体"/>
                      <w:b/>
                      <w:bCs/>
                      <w:sz w:val="21"/>
                      <w:szCs w:val="21"/>
                    </w:rPr>
                    <w:t>（</w:t>
                  </w:r>
                  <w:r>
                    <w:rPr>
                      <w:rFonts w:ascii="Times New Roman" w:hAnsi="Times New Roman" w:eastAsia="新宋体"/>
                      <w:b/>
                      <w:bCs/>
                      <w:sz w:val="21"/>
                      <w:szCs w:val="21"/>
                    </w:rPr>
                    <w:t>℃</w:t>
                  </w:r>
                  <w:r>
                    <w:rPr>
                      <w:rFonts w:hint="eastAsia" w:ascii="Times New Roman" w:hAnsi="Times New Roman" w:eastAsia="新宋体"/>
                      <w:b/>
                      <w:bCs/>
                      <w:sz w:val="21"/>
                      <w:szCs w:val="21"/>
                    </w:rPr>
                    <w:t>）</w:t>
                  </w:r>
                </w:p>
              </w:tc>
              <w:tc>
                <w:tcPr>
                  <w:tcW w:w="850" w:type="dxa"/>
                  <w:gridSpan w:val="3"/>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pH 值</w:t>
                  </w:r>
                </w:p>
              </w:tc>
              <w:tc>
                <w:tcPr>
                  <w:tcW w:w="567" w:type="dxa"/>
                  <w:gridSpan w:val="2"/>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DO</w:t>
                  </w:r>
                </w:p>
              </w:tc>
              <w:tc>
                <w:tcPr>
                  <w:tcW w:w="393" w:type="dxa"/>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SS</w:t>
                  </w:r>
                </w:p>
              </w:tc>
              <w:tc>
                <w:tcPr>
                  <w:tcW w:w="762" w:type="dxa"/>
                  <w:gridSpan w:val="2"/>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CODcr</w:t>
                  </w:r>
                </w:p>
              </w:tc>
              <w:tc>
                <w:tcPr>
                  <w:tcW w:w="696" w:type="dxa"/>
                  <w:gridSpan w:val="2"/>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BOD</w:t>
                  </w:r>
                  <w:r>
                    <w:rPr>
                      <w:rFonts w:ascii="Times New Roman" w:hAnsi="Times New Roman" w:eastAsia="新宋体"/>
                      <w:b/>
                      <w:bCs/>
                      <w:sz w:val="21"/>
                      <w:szCs w:val="21"/>
                      <w:vertAlign w:val="subscript"/>
                    </w:rPr>
                    <w:t>5</w:t>
                  </w:r>
                </w:p>
              </w:tc>
              <w:tc>
                <w:tcPr>
                  <w:tcW w:w="724" w:type="dxa"/>
                  <w:gridSpan w:val="3"/>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氨氮</w:t>
                  </w:r>
                </w:p>
              </w:tc>
              <w:tc>
                <w:tcPr>
                  <w:tcW w:w="543" w:type="dxa"/>
                  <w:gridSpan w:val="2"/>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总磷</w:t>
                  </w:r>
                </w:p>
              </w:tc>
              <w:tc>
                <w:tcPr>
                  <w:tcW w:w="543" w:type="dxa"/>
                  <w:gridSpan w:val="2"/>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总氮</w:t>
                  </w:r>
                </w:p>
              </w:tc>
              <w:tc>
                <w:tcPr>
                  <w:tcW w:w="790" w:type="dxa"/>
                  <w:gridSpan w:val="2"/>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石油类</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62" w:type="dxa"/>
                <w:trHeight w:val="369" w:hRule="atLeast"/>
                <w:jc w:val="center"/>
              </w:trPr>
              <w:tc>
                <w:tcPr>
                  <w:tcW w:w="612" w:type="dxa"/>
                  <w:vMerge w:val="restart"/>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W1</w:t>
                  </w: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2019.6.13</w:t>
                  </w:r>
                </w:p>
              </w:tc>
              <w:tc>
                <w:tcPr>
                  <w:tcW w:w="9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26.2</w:t>
                  </w:r>
                </w:p>
              </w:tc>
              <w:tc>
                <w:tcPr>
                  <w:tcW w:w="850"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6.75</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6.60</w:t>
                  </w:r>
                </w:p>
              </w:tc>
              <w:tc>
                <w:tcPr>
                  <w:tcW w:w="393"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28</w:t>
                  </w:r>
                </w:p>
              </w:tc>
              <w:tc>
                <w:tcPr>
                  <w:tcW w:w="76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18</w:t>
                  </w:r>
                </w:p>
              </w:tc>
              <w:tc>
                <w:tcPr>
                  <w:tcW w:w="696"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3.3</w:t>
                  </w:r>
                </w:p>
              </w:tc>
              <w:tc>
                <w:tcPr>
                  <w:tcW w:w="724"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0.74</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0.08</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w:t>
                  </w:r>
                </w:p>
              </w:tc>
              <w:tc>
                <w:tcPr>
                  <w:tcW w:w="79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62" w:type="dxa"/>
                <w:trHeight w:val="369" w:hRule="atLeast"/>
                <w:jc w:val="center"/>
              </w:trPr>
              <w:tc>
                <w:tcPr>
                  <w:tcW w:w="612"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2019.6.14</w:t>
                  </w:r>
                </w:p>
              </w:tc>
              <w:tc>
                <w:tcPr>
                  <w:tcW w:w="9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26.8</w:t>
                  </w:r>
                </w:p>
              </w:tc>
              <w:tc>
                <w:tcPr>
                  <w:tcW w:w="850"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6.77</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6.50</w:t>
                  </w:r>
                </w:p>
              </w:tc>
              <w:tc>
                <w:tcPr>
                  <w:tcW w:w="393"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27</w:t>
                  </w:r>
                </w:p>
              </w:tc>
              <w:tc>
                <w:tcPr>
                  <w:tcW w:w="76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19</w:t>
                  </w:r>
                </w:p>
              </w:tc>
              <w:tc>
                <w:tcPr>
                  <w:tcW w:w="696"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3.2</w:t>
                  </w:r>
                </w:p>
              </w:tc>
              <w:tc>
                <w:tcPr>
                  <w:tcW w:w="724"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0.71</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0.06</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0.82</w:t>
                  </w:r>
                </w:p>
              </w:tc>
              <w:tc>
                <w:tcPr>
                  <w:tcW w:w="79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62" w:type="dxa"/>
                <w:trHeight w:val="369" w:hRule="atLeast"/>
                <w:jc w:val="center"/>
              </w:trPr>
              <w:tc>
                <w:tcPr>
                  <w:tcW w:w="612"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2019.6.15</w:t>
                  </w:r>
                </w:p>
              </w:tc>
              <w:tc>
                <w:tcPr>
                  <w:tcW w:w="9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26.5</w:t>
                  </w:r>
                </w:p>
              </w:tc>
              <w:tc>
                <w:tcPr>
                  <w:tcW w:w="850"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6.78</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6.50</w:t>
                  </w:r>
                </w:p>
              </w:tc>
              <w:tc>
                <w:tcPr>
                  <w:tcW w:w="393"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23</w:t>
                  </w:r>
                </w:p>
              </w:tc>
              <w:tc>
                <w:tcPr>
                  <w:tcW w:w="76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18</w:t>
                  </w:r>
                </w:p>
              </w:tc>
              <w:tc>
                <w:tcPr>
                  <w:tcW w:w="696"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3.2</w:t>
                  </w:r>
                </w:p>
              </w:tc>
              <w:tc>
                <w:tcPr>
                  <w:tcW w:w="724"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0.76</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0.08</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0.82</w:t>
                  </w:r>
                </w:p>
              </w:tc>
              <w:tc>
                <w:tcPr>
                  <w:tcW w:w="79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62" w:type="dxa"/>
                <w:trHeight w:val="369" w:hRule="atLeast"/>
                <w:jc w:val="center"/>
              </w:trPr>
              <w:tc>
                <w:tcPr>
                  <w:tcW w:w="612" w:type="dxa"/>
                  <w:vMerge w:val="restart"/>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W2</w:t>
                  </w: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2019.6.13</w:t>
                  </w:r>
                </w:p>
              </w:tc>
              <w:tc>
                <w:tcPr>
                  <w:tcW w:w="9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26.3</w:t>
                  </w:r>
                </w:p>
              </w:tc>
              <w:tc>
                <w:tcPr>
                  <w:tcW w:w="850"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6.79</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6.90</w:t>
                  </w:r>
                </w:p>
              </w:tc>
              <w:tc>
                <w:tcPr>
                  <w:tcW w:w="393"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26</w:t>
                  </w:r>
                </w:p>
              </w:tc>
              <w:tc>
                <w:tcPr>
                  <w:tcW w:w="76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17</w:t>
                  </w:r>
                </w:p>
              </w:tc>
              <w:tc>
                <w:tcPr>
                  <w:tcW w:w="696"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3.1</w:t>
                  </w:r>
                </w:p>
              </w:tc>
              <w:tc>
                <w:tcPr>
                  <w:tcW w:w="724"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0.62</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0.07</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w:t>
                  </w:r>
                </w:p>
              </w:tc>
              <w:tc>
                <w:tcPr>
                  <w:tcW w:w="79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62" w:type="dxa"/>
                <w:trHeight w:val="369" w:hRule="atLeast"/>
                <w:jc w:val="center"/>
              </w:trPr>
              <w:tc>
                <w:tcPr>
                  <w:tcW w:w="612"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2019.6.14</w:t>
                  </w:r>
                </w:p>
              </w:tc>
              <w:tc>
                <w:tcPr>
                  <w:tcW w:w="9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27.1</w:t>
                  </w:r>
                </w:p>
              </w:tc>
              <w:tc>
                <w:tcPr>
                  <w:tcW w:w="850"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6.83</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6.70</w:t>
                  </w:r>
                </w:p>
              </w:tc>
              <w:tc>
                <w:tcPr>
                  <w:tcW w:w="393"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25</w:t>
                  </w:r>
                </w:p>
              </w:tc>
              <w:tc>
                <w:tcPr>
                  <w:tcW w:w="76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15</w:t>
                  </w:r>
                </w:p>
              </w:tc>
              <w:tc>
                <w:tcPr>
                  <w:tcW w:w="696"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3.3</w:t>
                  </w:r>
                </w:p>
              </w:tc>
              <w:tc>
                <w:tcPr>
                  <w:tcW w:w="724"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0.6</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0.08</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w:t>
                  </w:r>
                </w:p>
              </w:tc>
              <w:tc>
                <w:tcPr>
                  <w:tcW w:w="79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62" w:type="dxa"/>
                <w:trHeight w:val="369" w:hRule="atLeast"/>
                <w:jc w:val="center"/>
              </w:trPr>
              <w:tc>
                <w:tcPr>
                  <w:tcW w:w="612"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2019.6.15</w:t>
                  </w:r>
                </w:p>
              </w:tc>
              <w:tc>
                <w:tcPr>
                  <w:tcW w:w="9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26.9</w:t>
                  </w:r>
                </w:p>
              </w:tc>
              <w:tc>
                <w:tcPr>
                  <w:tcW w:w="850"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6.82</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6.20</w:t>
                  </w:r>
                </w:p>
              </w:tc>
              <w:tc>
                <w:tcPr>
                  <w:tcW w:w="393"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19</w:t>
                  </w:r>
                </w:p>
              </w:tc>
              <w:tc>
                <w:tcPr>
                  <w:tcW w:w="76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15</w:t>
                  </w:r>
                </w:p>
              </w:tc>
              <w:tc>
                <w:tcPr>
                  <w:tcW w:w="696"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3.2</w:t>
                  </w:r>
                </w:p>
              </w:tc>
              <w:tc>
                <w:tcPr>
                  <w:tcW w:w="724"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0.59</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0.07</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0.82</w:t>
                  </w:r>
                </w:p>
              </w:tc>
              <w:tc>
                <w:tcPr>
                  <w:tcW w:w="79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62" w:type="dxa"/>
                <w:trHeight w:val="369" w:hRule="atLeast"/>
                <w:jc w:val="center"/>
              </w:trPr>
              <w:tc>
                <w:tcPr>
                  <w:tcW w:w="612" w:type="dxa"/>
                  <w:vMerge w:val="restart"/>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W3</w:t>
                  </w: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2019.6.13</w:t>
                  </w:r>
                </w:p>
              </w:tc>
              <w:tc>
                <w:tcPr>
                  <w:tcW w:w="9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26.5</w:t>
                  </w:r>
                </w:p>
              </w:tc>
              <w:tc>
                <w:tcPr>
                  <w:tcW w:w="850"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6.85</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6.50</w:t>
                  </w:r>
                </w:p>
              </w:tc>
              <w:tc>
                <w:tcPr>
                  <w:tcW w:w="393"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21</w:t>
                  </w:r>
                </w:p>
              </w:tc>
              <w:tc>
                <w:tcPr>
                  <w:tcW w:w="76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13</w:t>
                  </w:r>
                </w:p>
              </w:tc>
              <w:tc>
                <w:tcPr>
                  <w:tcW w:w="696"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2.2</w:t>
                  </w:r>
                </w:p>
              </w:tc>
              <w:tc>
                <w:tcPr>
                  <w:tcW w:w="724"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0.29</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0.06</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0.41</w:t>
                  </w:r>
                </w:p>
              </w:tc>
              <w:tc>
                <w:tcPr>
                  <w:tcW w:w="79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62" w:type="dxa"/>
                <w:trHeight w:val="369" w:hRule="atLeast"/>
                <w:jc w:val="center"/>
              </w:trPr>
              <w:tc>
                <w:tcPr>
                  <w:tcW w:w="612"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2019.6.14</w:t>
                  </w:r>
                </w:p>
              </w:tc>
              <w:tc>
                <w:tcPr>
                  <w:tcW w:w="9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27.5</w:t>
                  </w:r>
                </w:p>
              </w:tc>
              <w:tc>
                <w:tcPr>
                  <w:tcW w:w="850"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6.80</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6.60</w:t>
                  </w:r>
                </w:p>
              </w:tc>
              <w:tc>
                <w:tcPr>
                  <w:tcW w:w="393"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22</w:t>
                  </w:r>
                </w:p>
              </w:tc>
              <w:tc>
                <w:tcPr>
                  <w:tcW w:w="76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14</w:t>
                  </w:r>
                </w:p>
              </w:tc>
              <w:tc>
                <w:tcPr>
                  <w:tcW w:w="696"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2.3</w:t>
                  </w:r>
                </w:p>
              </w:tc>
              <w:tc>
                <w:tcPr>
                  <w:tcW w:w="724"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0.27</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0.08</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0.43</w:t>
                  </w:r>
                </w:p>
              </w:tc>
              <w:tc>
                <w:tcPr>
                  <w:tcW w:w="79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62" w:type="dxa"/>
                <w:trHeight w:val="369" w:hRule="atLeast"/>
                <w:jc w:val="center"/>
              </w:trPr>
              <w:tc>
                <w:tcPr>
                  <w:tcW w:w="612"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2019.6.15</w:t>
                  </w:r>
                </w:p>
              </w:tc>
              <w:tc>
                <w:tcPr>
                  <w:tcW w:w="9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27.2</w:t>
                  </w:r>
                </w:p>
              </w:tc>
              <w:tc>
                <w:tcPr>
                  <w:tcW w:w="850"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6.75</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6.70</w:t>
                  </w:r>
                </w:p>
              </w:tc>
              <w:tc>
                <w:tcPr>
                  <w:tcW w:w="393"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21</w:t>
                  </w:r>
                </w:p>
              </w:tc>
              <w:tc>
                <w:tcPr>
                  <w:tcW w:w="76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13</w:t>
                  </w:r>
                </w:p>
              </w:tc>
              <w:tc>
                <w:tcPr>
                  <w:tcW w:w="696"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2.5</w:t>
                  </w:r>
                </w:p>
              </w:tc>
              <w:tc>
                <w:tcPr>
                  <w:tcW w:w="724"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0.26</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0.06</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0.44</w:t>
                  </w:r>
                </w:p>
              </w:tc>
              <w:tc>
                <w:tcPr>
                  <w:tcW w:w="79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62" w:type="dxa"/>
                <w:trHeight w:val="369" w:hRule="atLeast"/>
                <w:jc w:val="center"/>
              </w:trPr>
              <w:tc>
                <w:tcPr>
                  <w:tcW w:w="612" w:type="dxa"/>
                  <w:vMerge w:val="restart"/>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W4</w:t>
                  </w: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2019.6.13</w:t>
                  </w:r>
                </w:p>
              </w:tc>
              <w:tc>
                <w:tcPr>
                  <w:tcW w:w="9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27.1</w:t>
                  </w:r>
                </w:p>
              </w:tc>
              <w:tc>
                <w:tcPr>
                  <w:tcW w:w="850"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6.84</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6.70</w:t>
                  </w:r>
                </w:p>
              </w:tc>
              <w:tc>
                <w:tcPr>
                  <w:tcW w:w="393"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15</w:t>
                  </w:r>
                </w:p>
              </w:tc>
              <w:tc>
                <w:tcPr>
                  <w:tcW w:w="76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11</w:t>
                  </w:r>
                </w:p>
              </w:tc>
              <w:tc>
                <w:tcPr>
                  <w:tcW w:w="696"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1.9</w:t>
                  </w:r>
                </w:p>
              </w:tc>
              <w:tc>
                <w:tcPr>
                  <w:tcW w:w="724"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0.32</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0.06</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0.40</w:t>
                  </w:r>
                </w:p>
              </w:tc>
              <w:tc>
                <w:tcPr>
                  <w:tcW w:w="79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62" w:type="dxa"/>
                <w:trHeight w:val="369" w:hRule="atLeast"/>
                <w:jc w:val="center"/>
              </w:trPr>
              <w:tc>
                <w:tcPr>
                  <w:tcW w:w="612"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2019.6.14</w:t>
                  </w:r>
                </w:p>
              </w:tc>
              <w:tc>
                <w:tcPr>
                  <w:tcW w:w="9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27.9</w:t>
                  </w:r>
                </w:p>
              </w:tc>
              <w:tc>
                <w:tcPr>
                  <w:tcW w:w="850"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6.86</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6.90</w:t>
                  </w:r>
                </w:p>
              </w:tc>
              <w:tc>
                <w:tcPr>
                  <w:tcW w:w="393"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17</w:t>
                  </w:r>
                </w:p>
              </w:tc>
              <w:tc>
                <w:tcPr>
                  <w:tcW w:w="76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12</w:t>
                  </w:r>
                </w:p>
              </w:tc>
              <w:tc>
                <w:tcPr>
                  <w:tcW w:w="696"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w:t>
                  </w:r>
                </w:p>
              </w:tc>
              <w:tc>
                <w:tcPr>
                  <w:tcW w:w="724"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0.29</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0.07</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0.38</w:t>
                  </w:r>
                </w:p>
              </w:tc>
              <w:tc>
                <w:tcPr>
                  <w:tcW w:w="79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62" w:type="dxa"/>
                <w:trHeight w:val="369" w:hRule="atLeast"/>
                <w:jc w:val="center"/>
              </w:trPr>
              <w:tc>
                <w:tcPr>
                  <w:tcW w:w="612"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2019.6.15</w:t>
                  </w:r>
                </w:p>
              </w:tc>
              <w:tc>
                <w:tcPr>
                  <w:tcW w:w="9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27.7</w:t>
                  </w:r>
                </w:p>
              </w:tc>
              <w:tc>
                <w:tcPr>
                  <w:tcW w:w="850"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6.80</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6.90</w:t>
                  </w:r>
                </w:p>
              </w:tc>
              <w:tc>
                <w:tcPr>
                  <w:tcW w:w="393"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16</w:t>
                  </w:r>
                </w:p>
              </w:tc>
              <w:tc>
                <w:tcPr>
                  <w:tcW w:w="76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14</w:t>
                  </w:r>
                </w:p>
              </w:tc>
              <w:tc>
                <w:tcPr>
                  <w:tcW w:w="696"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2.3</w:t>
                  </w:r>
                </w:p>
              </w:tc>
              <w:tc>
                <w:tcPr>
                  <w:tcW w:w="724"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0.28</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0.08</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0.40</w:t>
                  </w:r>
                </w:p>
              </w:tc>
              <w:tc>
                <w:tcPr>
                  <w:tcW w:w="79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62" w:type="dxa"/>
                <w:trHeight w:val="369" w:hRule="atLeast"/>
                <w:jc w:val="center"/>
              </w:trPr>
              <w:tc>
                <w:tcPr>
                  <w:tcW w:w="612" w:type="dxa"/>
                  <w:vMerge w:val="restart"/>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W5</w:t>
                  </w: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2019.6.13</w:t>
                  </w:r>
                </w:p>
              </w:tc>
              <w:tc>
                <w:tcPr>
                  <w:tcW w:w="9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27.6</w:t>
                  </w:r>
                </w:p>
              </w:tc>
              <w:tc>
                <w:tcPr>
                  <w:tcW w:w="850"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6.80</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6.40</w:t>
                  </w:r>
                </w:p>
              </w:tc>
              <w:tc>
                <w:tcPr>
                  <w:tcW w:w="393"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17</w:t>
                  </w:r>
                </w:p>
              </w:tc>
              <w:tc>
                <w:tcPr>
                  <w:tcW w:w="76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14</w:t>
                  </w:r>
                </w:p>
              </w:tc>
              <w:tc>
                <w:tcPr>
                  <w:tcW w:w="696"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2.2</w:t>
                  </w:r>
                </w:p>
              </w:tc>
              <w:tc>
                <w:tcPr>
                  <w:tcW w:w="724"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0.27</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0.08</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0.42</w:t>
                  </w:r>
                </w:p>
              </w:tc>
              <w:tc>
                <w:tcPr>
                  <w:tcW w:w="79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62" w:type="dxa"/>
                <w:trHeight w:val="369" w:hRule="atLeast"/>
                <w:jc w:val="center"/>
              </w:trPr>
              <w:tc>
                <w:tcPr>
                  <w:tcW w:w="612"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2019.6.14</w:t>
                  </w:r>
                </w:p>
              </w:tc>
              <w:tc>
                <w:tcPr>
                  <w:tcW w:w="9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28.4</w:t>
                  </w:r>
                </w:p>
              </w:tc>
              <w:tc>
                <w:tcPr>
                  <w:tcW w:w="850"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6.79</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6.80</w:t>
                  </w:r>
                </w:p>
              </w:tc>
              <w:tc>
                <w:tcPr>
                  <w:tcW w:w="393"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19</w:t>
                  </w:r>
                </w:p>
              </w:tc>
              <w:tc>
                <w:tcPr>
                  <w:tcW w:w="76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15</w:t>
                  </w:r>
                </w:p>
              </w:tc>
              <w:tc>
                <w:tcPr>
                  <w:tcW w:w="696"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2.2</w:t>
                  </w:r>
                </w:p>
              </w:tc>
              <w:tc>
                <w:tcPr>
                  <w:tcW w:w="724"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0.25</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0.07</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0.43</w:t>
                  </w:r>
                </w:p>
              </w:tc>
              <w:tc>
                <w:tcPr>
                  <w:tcW w:w="79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After w:val="1"/>
                <w:wAfter w:w="62" w:type="dxa"/>
                <w:trHeight w:val="369" w:hRule="atLeast"/>
                <w:jc w:val="center"/>
              </w:trPr>
              <w:tc>
                <w:tcPr>
                  <w:tcW w:w="612"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2019.6.15</w:t>
                  </w:r>
                </w:p>
              </w:tc>
              <w:tc>
                <w:tcPr>
                  <w:tcW w:w="9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28.2</w:t>
                  </w:r>
                </w:p>
              </w:tc>
              <w:tc>
                <w:tcPr>
                  <w:tcW w:w="850"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6.77</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6.40</w:t>
                  </w:r>
                </w:p>
              </w:tc>
              <w:tc>
                <w:tcPr>
                  <w:tcW w:w="393"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17</w:t>
                  </w:r>
                </w:p>
              </w:tc>
              <w:tc>
                <w:tcPr>
                  <w:tcW w:w="76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12</w:t>
                  </w:r>
                </w:p>
              </w:tc>
              <w:tc>
                <w:tcPr>
                  <w:tcW w:w="696"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2.1</w:t>
                  </w:r>
                </w:p>
              </w:tc>
              <w:tc>
                <w:tcPr>
                  <w:tcW w:w="724"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0.27</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0.08</w:t>
                  </w:r>
                </w:p>
              </w:tc>
              <w:tc>
                <w:tcPr>
                  <w:tcW w:w="54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0.41</w:t>
                  </w:r>
                </w:p>
              </w:tc>
              <w:tc>
                <w:tcPr>
                  <w:tcW w:w="79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612" w:type="dxa"/>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监测点位</w:t>
                  </w:r>
                </w:p>
              </w:tc>
              <w:tc>
                <w:tcPr>
                  <w:tcW w:w="992" w:type="dxa"/>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采样日期</w:t>
                  </w:r>
                </w:p>
              </w:tc>
              <w:tc>
                <w:tcPr>
                  <w:tcW w:w="567" w:type="dxa"/>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氰化物</w:t>
                  </w:r>
                </w:p>
              </w:tc>
              <w:tc>
                <w:tcPr>
                  <w:tcW w:w="567" w:type="dxa"/>
                  <w:gridSpan w:val="2"/>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氟化物</w:t>
                  </w:r>
                </w:p>
              </w:tc>
              <w:tc>
                <w:tcPr>
                  <w:tcW w:w="567" w:type="dxa"/>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挥发酚</w:t>
                  </w:r>
                </w:p>
              </w:tc>
              <w:tc>
                <w:tcPr>
                  <w:tcW w:w="567" w:type="dxa"/>
                  <w:gridSpan w:val="2"/>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六价铬</w:t>
                  </w:r>
                </w:p>
              </w:tc>
              <w:tc>
                <w:tcPr>
                  <w:tcW w:w="851" w:type="dxa"/>
                  <w:gridSpan w:val="3"/>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铜</w:t>
                  </w:r>
                </w:p>
              </w:tc>
              <w:tc>
                <w:tcPr>
                  <w:tcW w:w="850" w:type="dxa"/>
                  <w:gridSpan w:val="2"/>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锌</w:t>
                  </w:r>
                </w:p>
              </w:tc>
              <w:tc>
                <w:tcPr>
                  <w:tcW w:w="492" w:type="dxa"/>
                  <w:gridSpan w:val="2"/>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镉</w:t>
                  </w:r>
                </w:p>
              </w:tc>
              <w:tc>
                <w:tcPr>
                  <w:tcW w:w="492" w:type="dxa"/>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铅</w:t>
                  </w:r>
                </w:p>
              </w:tc>
              <w:tc>
                <w:tcPr>
                  <w:tcW w:w="493" w:type="dxa"/>
                  <w:gridSpan w:val="2"/>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镍</w:t>
                  </w:r>
                </w:p>
              </w:tc>
              <w:tc>
                <w:tcPr>
                  <w:tcW w:w="492" w:type="dxa"/>
                  <w:gridSpan w:val="2"/>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铁</w:t>
                  </w:r>
                </w:p>
              </w:tc>
              <w:tc>
                <w:tcPr>
                  <w:tcW w:w="492" w:type="dxa"/>
                  <w:gridSpan w:val="2"/>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甲苯</w:t>
                  </w:r>
                </w:p>
              </w:tc>
              <w:tc>
                <w:tcPr>
                  <w:tcW w:w="493" w:type="dxa"/>
                  <w:gridSpan w:val="2"/>
                  <w:tcBorders>
                    <w:tl2br w:val="nil"/>
                    <w:tr2bl w:val="nil"/>
                  </w:tcBorders>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二甲苯</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612" w:type="dxa"/>
                  <w:vMerge w:val="restart"/>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W1</w:t>
                  </w: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2019.6.13</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0.09</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851"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0.00239</w:t>
                  </w:r>
                </w:p>
              </w:tc>
              <w:tc>
                <w:tcPr>
                  <w:tcW w:w="85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0.0241</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0.0088</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612"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2019.6.14</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0.09</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851"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0.00245</w:t>
                  </w:r>
                </w:p>
              </w:tc>
              <w:tc>
                <w:tcPr>
                  <w:tcW w:w="85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0.0267</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0.0064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612"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2019.6.15</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0.08</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851"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0.00247</w:t>
                  </w:r>
                </w:p>
              </w:tc>
              <w:tc>
                <w:tcPr>
                  <w:tcW w:w="85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0.0252</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612" w:type="dxa"/>
                  <w:vMerge w:val="restart"/>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W2</w:t>
                  </w: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2019.6.13</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0.09</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851"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0.00250</w:t>
                  </w:r>
                </w:p>
              </w:tc>
              <w:tc>
                <w:tcPr>
                  <w:tcW w:w="85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0.0268</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612"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2019.6.14</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0.09</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851"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0.00246</w:t>
                  </w:r>
                </w:p>
              </w:tc>
              <w:tc>
                <w:tcPr>
                  <w:tcW w:w="85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0.0259</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612"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2019.6.15</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0.08</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851"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0.00235</w:t>
                  </w:r>
                </w:p>
              </w:tc>
              <w:tc>
                <w:tcPr>
                  <w:tcW w:w="85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0.0248</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612" w:type="dxa"/>
                  <w:vMerge w:val="restart"/>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W3</w:t>
                  </w: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2019.6.13</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0.09</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851"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0.00404</w:t>
                  </w:r>
                </w:p>
              </w:tc>
              <w:tc>
                <w:tcPr>
                  <w:tcW w:w="85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0.00530</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0.00031</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0.00012</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0.0768</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612"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2019.6.14</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0.09</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851"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0.00393</w:t>
                  </w:r>
                </w:p>
              </w:tc>
              <w:tc>
                <w:tcPr>
                  <w:tcW w:w="85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0.00517</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0.00031</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0.00011</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0.0743</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612"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2019.6.15</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0.09</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851"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0.00384</w:t>
                  </w:r>
                </w:p>
              </w:tc>
              <w:tc>
                <w:tcPr>
                  <w:tcW w:w="85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0.00507</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0.00031</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0.00010</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0.0728</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612" w:type="dxa"/>
                  <w:vMerge w:val="restart"/>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W4</w:t>
                  </w: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2019.6.13</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0.09</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851"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0.00387</w:t>
                  </w:r>
                </w:p>
              </w:tc>
              <w:tc>
                <w:tcPr>
                  <w:tcW w:w="85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0.00587</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0.00029</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0.00008</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0.0683</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612"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2019.6.14</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0.09</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851"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0.00399</w:t>
                  </w:r>
                </w:p>
              </w:tc>
              <w:tc>
                <w:tcPr>
                  <w:tcW w:w="85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0.00624</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0.00032</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0.00009</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0.0728</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612"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2019.6.15</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0.09</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851"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0.00396</w:t>
                  </w:r>
                </w:p>
              </w:tc>
              <w:tc>
                <w:tcPr>
                  <w:tcW w:w="85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0.00623</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0.00031</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0.00009</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0.0726</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612" w:type="dxa"/>
                  <w:vMerge w:val="restart"/>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W5</w:t>
                  </w: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2019.6.13</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0.09</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851"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0.00386</w:t>
                  </w:r>
                </w:p>
              </w:tc>
              <w:tc>
                <w:tcPr>
                  <w:tcW w:w="85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0.01100</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0.00041</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0.00012</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0.0895</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612"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2019.6.14</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0.08</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851"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0.00406</w:t>
                  </w:r>
                </w:p>
              </w:tc>
              <w:tc>
                <w:tcPr>
                  <w:tcW w:w="85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0.01160</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0.00043</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0.00013</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0.0947</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612" w:type="dxa"/>
                  <w:vMerge w:val="continue"/>
                  <w:tcBorders>
                    <w:tl2br w:val="nil"/>
                    <w:tr2bl w:val="nil"/>
                  </w:tcBorders>
                  <w:vAlign w:val="center"/>
                </w:tcPr>
                <w:p>
                  <w:pPr>
                    <w:pStyle w:val="141"/>
                    <w:spacing w:line="240" w:lineRule="auto"/>
                    <w:rPr>
                      <w:rFonts w:ascii="Times New Roman" w:hAnsi="Times New Roman" w:eastAsia="新宋体"/>
                      <w:sz w:val="21"/>
                      <w:szCs w:val="21"/>
                    </w:rPr>
                  </w:pPr>
                </w:p>
              </w:tc>
              <w:tc>
                <w:tcPr>
                  <w:tcW w:w="9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2019.6.15</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0.08</w:t>
                  </w:r>
                </w:p>
              </w:tc>
              <w:tc>
                <w:tcPr>
                  <w:tcW w:w="567"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567"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851" w:type="dxa"/>
                  <w:gridSpan w:val="3"/>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0.00386</w:t>
                  </w:r>
                </w:p>
              </w:tc>
              <w:tc>
                <w:tcPr>
                  <w:tcW w:w="850"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0.01120</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2" w:type="dxa"/>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0.00042</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0.00011</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0.0917</w:t>
                  </w:r>
                </w:p>
              </w:tc>
              <w:tc>
                <w:tcPr>
                  <w:tcW w:w="492"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c>
                <w:tcPr>
                  <w:tcW w:w="493" w:type="dxa"/>
                  <w:gridSpan w:val="2"/>
                  <w:tcBorders>
                    <w:tl2br w:val="nil"/>
                    <w:tr2bl w:val="nil"/>
                  </w:tcBorders>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ND</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8527" w:type="dxa"/>
                  <w:gridSpan w:val="24"/>
                  <w:tcBorders>
                    <w:tl2br w:val="nil"/>
                    <w:tr2bl w:val="nil"/>
                  </w:tcBorders>
                  <w:vAlign w:val="center"/>
                </w:tcPr>
                <w:p>
                  <w:pPr>
                    <w:pStyle w:val="141"/>
                    <w:spacing w:line="240" w:lineRule="auto"/>
                    <w:jc w:val="both"/>
                    <w:rPr>
                      <w:rFonts w:ascii="Times New Roman" w:hAnsi="Times New Roman" w:eastAsia="新宋体"/>
                      <w:sz w:val="21"/>
                      <w:szCs w:val="21"/>
                    </w:rPr>
                  </w:pPr>
                  <w:r>
                    <w:rPr>
                      <w:rFonts w:hint="eastAsia" w:ascii="Times New Roman" w:hAnsi="Times New Roman" w:eastAsia="新宋体"/>
                      <w:sz w:val="21"/>
                      <w:szCs w:val="21"/>
                    </w:rPr>
                    <w:t>备注：“N</w:t>
                  </w:r>
                  <w:r>
                    <w:rPr>
                      <w:rFonts w:ascii="Times New Roman" w:hAnsi="Times New Roman" w:eastAsia="新宋体"/>
                      <w:sz w:val="21"/>
                      <w:szCs w:val="21"/>
                    </w:rPr>
                    <w:t>D</w:t>
                  </w:r>
                  <w:r>
                    <w:rPr>
                      <w:rFonts w:hint="eastAsia" w:ascii="Times New Roman" w:hAnsi="Times New Roman" w:eastAsia="新宋体"/>
                      <w:sz w:val="21"/>
                      <w:szCs w:val="21"/>
                    </w:rPr>
                    <w:t>”表示低于检出限或未检出。</w:t>
                  </w:r>
                </w:p>
              </w:tc>
            </w:tr>
          </w:tbl>
          <w:p>
            <w:pPr>
              <w:pStyle w:val="169"/>
              <w:spacing w:line="240" w:lineRule="auto"/>
              <w:rPr>
                <w:rFonts w:hint="default" w:hAnsi="Times New Roman" w:eastAsiaTheme="minorEastAsia"/>
                <w:sz w:val="24"/>
                <w:szCs w:val="24"/>
              </w:rPr>
            </w:pPr>
            <w:r>
              <w:rPr>
                <w:rFonts w:hAnsi="Times New Roman" w:eastAsiaTheme="minorEastAsia"/>
                <w:sz w:val="24"/>
                <w:szCs w:val="24"/>
              </w:rPr>
              <w:t>表3-3 地表水各水质监测断面监测项目的标准指数值</w:t>
            </w:r>
          </w:p>
          <w:tbl>
            <w:tblPr>
              <w:tblStyle w:val="40"/>
              <w:tblW w:w="5000"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Layout w:type="fixed"/>
              <w:tblCellMar>
                <w:top w:w="0" w:type="dxa"/>
                <w:left w:w="0" w:type="dxa"/>
                <w:bottom w:w="0" w:type="dxa"/>
                <w:right w:w="0" w:type="dxa"/>
              </w:tblCellMar>
            </w:tblPr>
            <w:tblGrid>
              <w:gridCol w:w="924"/>
              <w:gridCol w:w="441"/>
              <w:gridCol w:w="501"/>
              <w:gridCol w:w="567"/>
              <w:gridCol w:w="135"/>
              <w:gridCol w:w="460"/>
              <w:gridCol w:w="423"/>
              <w:gridCol w:w="171"/>
              <w:gridCol w:w="702"/>
              <w:gridCol w:w="43"/>
              <w:gridCol w:w="619"/>
              <w:gridCol w:w="20"/>
              <w:gridCol w:w="641"/>
              <w:gridCol w:w="16"/>
              <w:gridCol w:w="619"/>
              <w:gridCol w:w="38"/>
              <w:gridCol w:w="749"/>
              <w:gridCol w:w="64"/>
              <w:gridCol w:w="712"/>
              <w:gridCol w:w="14"/>
              <w:gridCol w:w="668"/>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24" w:type="dxa"/>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监测点位</w:t>
                  </w:r>
                </w:p>
              </w:tc>
              <w:tc>
                <w:tcPr>
                  <w:tcW w:w="942" w:type="dxa"/>
                  <w:gridSpan w:val="2"/>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采样日期</w:t>
                  </w:r>
                </w:p>
              </w:tc>
              <w:tc>
                <w:tcPr>
                  <w:tcW w:w="567" w:type="dxa"/>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pH值</w:t>
                  </w:r>
                </w:p>
              </w:tc>
              <w:tc>
                <w:tcPr>
                  <w:tcW w:w="595" w:type="dxa"/>
                  <w:gridSpan w:val="2"/>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DO</w:t>
                  </w:r>
                </w:p>
              </w:tc>
              <w:tc>
                <w:tcPr>
                  <w:tcW w:w="594" w:type="dxa"/>
                  <w:gridSpan w:val="2"/>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SS</w:t>
                  </w:r>
                </w:p>
              </w:tc>
              <w:tc>
                <w:tcPr>
                  <w:tcW w:w="702" w:type="dxa"/>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CODcr</w:t>
                  </w:r>
                </w:p>
              </w:tc>
              <w:tc>
                <w:tcPr>
                  <w:tcW w:w="662" w:type="dxa"/>
                  <w:gridSpan w:val="2"/>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BOD</w:t>
                  </w:r>
                  <w:r>
                    <w:rPr>
                      <w:rFonts w:ascii="Times New Roman" w:hAnsi="Times New Roman" w:eastAsia="新宋体"/>
                      <w:b/>
                      <w:bCs/>
                      <w:sz w:val="21"/>
                      <w:szCs w:val="21"/>
                      <w:vertAlign w:val="subscript"/>
                    </w:rPr>
                    <w:t>5</w:t>
                  </w:r>
                </w:p>
              </w:tc>
              <w:tc>
                <w:tcPr>
                  <w:tcW w:w="661" w:type="dxa"/>
                  <w:gridSpan w:val="2"/>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氨氮</w:t>
                  </w:r>
                </w:p>
              </w:tc>
              <w:tc>
                <w:tcPr>
                  <w:tcW w:w="635" w:type="dxa"/>
                  <w:gridSpan w:val="2"/>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总磷</w:t>
                  </w:r>
                </w:p>
              </w:tc>
              <w:tc>
                <w:tcPr>
                  <w:tcW w:w="787" w:type="dxa"/>
                  <w:gridSpan w:val="2"/>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石油类</w:t>
                  </w:r>
                </w:p>
              </w:tc>
              <w:tc>
                <w:tcPr>
                  <w:tcW w:w="776" w:type="dxa"/>
                  <w:gridSpan w:val="2"/>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氰化物</w:t>
                  </w:r>
                </w:p>
              </w:tc>
              <w:tc>
                <w:tcPr>
                  <w:tcW w:w="682" w:type="dxa"/>
                  <w:gridSpan w:val="2"/>
                  <w:vAlign w:val="center"/>
                </w:tcPr>
                <w:p>
                  <w:pPr>
                    <w:pStyle w:val="141"/>
                    <w:spacing w:line="240" w:lineRule="auto"/>
                    <w:rPr>
                      <w:rFonts w:ascii="Times New Roman" w:hAnsi="Times New Roman" w:eastAsia="新宋体"/>
                      <w:b/>
                      <w:bCs/>
                      <w:sz w:val="21"/>
                      <w:szCs w:val="21"/>
                    </w:rPr>
                  </w:pPr>
                  <w:r>
                    <w:rPr>
                      <w:rFonts w:ascii="Times New Roman" w:hAnsi="Times New Roman" w:eastAsia="新宋体"/>
                      <w:b/>
                      <w:bCs/>
                      <w:sz w:val="21"/>
                      <w:szCs w:val="21"/>
                    </w:rPr>
                    <w:t>氟化物</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24" w:type="dxa"/>
                  <w:vMerge w:val="restart"/>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W1</w:t>
                  </w:r>
                </w:p>
              </w:tc>
              <w:tc>
                <w:tcPr>
                  <w:tcW w:w="94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2019.6.13</w:t>
                  </w:r>
                </w:p>
              </w:tc>
              <w:tc>
                <w:tcPr>
                  <w:tcW w:w="567"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0.25</w:t>
                  </w:r>
                </w:p>
              </w:tc>
              <w:tc>
                <w:tcPr>
                  <w:tcW w:w="59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0.76</w:t>
                  </w:r>
                </w:p>
              </w:tc>
              <w:tc>
                <w:tcPr>
                  <w:tcW w:w="594"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0.93</w:t>
                  </w:r>
                </w:p>
              </w:tc>
              <w:tc>
                <w:tcPr>
                  <w:tcW w:w="702"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0.90</w:t>
                  </w:r>
                </w:p>
              </w:tc>
              <w:tc>
                <w:tcPr>
                  <w:tcW w:w="66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0.83</w:t>
                  </w:r>
                </w:p>
              </w:tc>
              <w:tc>
                <w:tcPr>
                  <w:tcW w:w="661"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0.74</w:t>
                  </w:r>
                </w:p>
              </w:tc>
              <w:tc>
                <w:tcPr>
                  <w:tcW w:w="63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0.40</w:t>
                  </w:r>
                </w:p>
              </w:tc>
              <w:tc>
                <w:tcPr>
                  <w:tcW w:w="787"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0.60</w:t>
                  </w:r>
                </w:p>
              </w:tc>
              <w:tc>
                <w:tcPr>
                  <w:tcW w:w="776" w:type="dxa"/>
                  <w:gridSpan w:val="2"/>
                  <w:vAlign w:val="center"/>
                </w:tcPr>
                <w:p>
                  <w:pPr>
                    <w:pStyle w:val="141"/>
                    <w:spacing w:line="240" w:lineRule="auto"/>
                    <w:rPr>
                      <w:rFonts w:ascii="Times New Roman" w:hAnsi="Times New Roman" w:eastAsia="新宋体"/>
                      <w:sz w:val="21"/>
                      <w:szCs w:val="21"/>
                    </w:rPr>
                  </w:pPr>
                  <w:r>
                    <w:rPr>
                      <w:rFonts w:hint="eastAsia"/>
                      <w:sz w:val="21"/>
                      <w:szCs w:val="21"/>
                    </w:rPr>
                    <w:t>-</w:t>
                  </w:r>
                </w:p>
              </w:tc>
              <w:tc>
                <w:tcPr>
                  <w:tcW w:w="68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24" w:type="dxa"/>
                  <w:vMerge w:val="continue"/>
                  <w:vAlign w:val="center"/>
                </w:tcPr>
                <w:p>
                  <w:pPr>
                    <w:pStyle w:val="141"/>
                    <w:spacing w:line="240" w:lineRule="auto"/>
                    <w:rPr>
                      <w:rFonts w:ascii="Times New Roman" w:hAnsi="Times New Roman" w:eastAsia="新宋体"/>
                      <w:sz w:val="21"/>
                      <w:szCs w:val="21"/>
                    </w:rPr>
                  </w:pPr>
                </w:p>
              </w:tc>
              <w:tc>
                <w:tcPr>
                  <w:tcW w:w="94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2019.6.14</w:t>
                  </w:r>
                </w:p>
              </w:tc>
              <w:tc>
                <w:tcPr>
                  <w:tcW w:w="567"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0.23</w:t>
                  </w:r>
                </w:p>
              </w:tc>
              <w:tc>
                <w:tcPr>
                  <w:tcW w:w="59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0.77</w:t>
                  </w:r>
                </w:p>
              </w:tc>
              <w:tc>
                <w:tcPr>
                  <w:tcW w:w="594"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0.90</w:t>
                  </w:r>
                </w:p>
              </w:tc>
              <w:tc>
                <w:tcPr>
                  <w:tcW w:w="702"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0.95</w:t>
                  </w:r>
                </w:p>
              </w:tc>
              <w:tc>
                <w:tcPr>
                  <w:tcW w:w="66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0.80</w:t>
                  </w:r>
                </w:p>
              </w:tc>
              <w:tc>
                <w:tcPr>
                  <w:tcW w:w="661"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0.71</w:t>
                  </w:r>
                </w:p>
              </w:tc>
              <w:tc>
                <w:tcPr>
                  <w:tcW w:w="63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0.30</w:t>
                  </w:r>
                </w:p>
              </w:tc>
              <w:tc>
                <w:tcPr>
                  <w:tcW w:w="787"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0.60</w:t>
                  </w:r>
                </w:p>
              </w:tc>
              <w:tc>
                <w:tcPr>
                  <w:tcW w:w="776" w:type="dxa"/>
                  <w:gridSpan w:val="2"/>
                  <w:vAlign w:val="center"/>
                </w:tcPr>
                <w:p>
                  <w:pPr>
                    <w:pStyle w:val="141"/>
                    <w:spacing w:line="240" w:lineRule="auto"/>
                    <w:rPr>
                      <w:rFonts w:ascii="Times New Roman" w:hAnsi="Times New Roman" w:eastAsia="新宋体"/>
                      <w:sz w:val="21"/>
                      <w:szCs w:val="21"/>
                    </w:rPr>
                  </w:pPr>
                  <w:r>
                    <w:rPr>
                      <w:rFonts w:hint="eastAsia"/>
                      <w:sz w:val="21"/>
                      <w:szCs w:val="21"/>
                    </w:rPr>
                    <w:t>-</w:t>
                  </w:r>
                </w:p>
              </w:tc>
              <w:tc>
                <w:tcPr>
                  <w:tcW w:w="68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24" w:type="dxa"/>
                  <w:vMerge w:val="continue"/>
                  <w:vAlign w:val="center"/>
                </w:tcPr>
                <w:p>
                  <w:pPr>
                    <w:pStyle w:val="141"/>
                    <w:spacing w:line="240" w:lineRule="auto"/>
                    <w:rPr>
                      <w:rFonts w:ascii="Times New Roman" w:hAnsi="Times New Roman" w:eastAsia="新宋体"/>
                      <w:sz w:val="21"/>
                      <w:szCs w:val="21"/>
                    </w:rPr>
                  </w:pPr>
                </w:p>
              </w:tc>
              <w:tc>
                <w:tcPr>
                  <w:tcW w:w="94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2019.6.15</w:t>
                  </w:r>
                </w:p>
              </w:tc>
              <w:tc>
                <w:tcPr>
                  <w:tcW w:w="567"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0.22</w:t>
                  </w:r>
                </w:p>
              </w:tc>
              <w:tc>
                <w:tcPr>
                  <w:tcW w:w="59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0.77</w:t>
                  </w:r>
                </w:p>
              </w:tc>
              <w:tc>
                <w:tcPr>
                  <w:tcW w:w="594"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0.77</w:t>
                  </w:r>
                </w:p>
              </w:tc>
              <w:tc>
                <w:tcPr>
                  <w:tcW w:w="702"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0.90</w:t>
                  </w:r>
                </w:p>
              </w:tc>
              <w:tc>
                <w:tcPr>
                  <w:tcW w:w="66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0.80</w:t>
                  </w:r>
                </w:p>
              </w:tc>
              <w:tc>
                <w:tcPr>
                  <w:tcW w:w="661"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0.76</w:t>
                  </w:r>
                </w:p>
              </w:tc>
              <w:tc>
                <w:tcPr>
                  <w:tcW w:w="63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0.40</w:t>
                  </w:r>
                </w:p>
              </w:tc>
              <w:tc>
                <w:tcPr>
                  <w:tcW w:w="787"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0.60</w:t>
                  </w:r>
                </w:p>
              </w:tc>
              <w:tc>
                <w:tcPr>
                  <w:tcW w:w="776" w:type="dxa"/>
                  <w:gridSpan w:val="2"/>
                  <w:vAlign w:val="center"/>
                </w:tcPr>
                <w:p>
                  <w:pPr>
                    <w:pStyle w:val="141"/>
                    <w:spacing w:line="240" w:lineRule="auto"/>
                    <w:rPr>
                      <w:rFonts w:ascii="Times New Roman" w:hAnsi="Times New Roman" w:eastAsia="新宋体"/>
                      <w:sz w:val="21"/>
                      <w:szCs w:val="21"/>
                    </w:rPr>
                  </w:pPr>
                  <w:r>
                    <w:rPr>
                      <w:rFonts w:hint="eastAsia"/>
                      <w:sz w:val="21"/>
                      <w:szCs w:val="21"/>
                    </w:rPr>
                    <w:t>-</w:t>
                  </w:r>
                </w:p>
              </w:tc>
              <w:tc>
                <w:tcPr>
                  <w:tcW w:w="68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0.08</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24" w:type="dxa"/>
                  <w:vMerge w:val="restart"/>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W2</w:t>
                  </w:r>
                </w:p>
              </w:tc>
              <w:tc>
                <w:tcPr>
                  <w:tcW w:w="94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2019.6.13</w:t>
                  </w:r>
                </w:p>
              </w:tc>
              <w:tc>
                <w:tcPr>
                  <w:tcW w:w="567"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0.21</w:t>
                  </w:r>
                </w:p>
              </w:tc>
              <w:tc>
                <w:tcPr>
                  <w:tcW w:w="59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0.72</w:t>
                  </w:r>
                </w:p>
              </w:tc>
              <w:tc>
                <w:tcPr>
                  <w:tcW w:w="594"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0.87</w:t>
                  </w:r>
                </w:p>
              </w:tc>
              <w:tc>
                <w:tcPr>
                  <w:tcW w:w="702"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0.85</w:t>
                  </w:r>
                </w:p>
              </w:tc>
              <w:tc>
                <w:tcPr>
                  <w:tcW w:w="66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0.78</w:t>
                  </w:r>
                </w:p>
              </w:tc>
              <w:tc>
                <w:tcPr>
                  <w:tcW w:w="661"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0.62</w:t>
                  </w:r>
                </w:p>
              </w:tc>
              <w:tc>
                <w:tcPr>
                  <w:tcW w:w="63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0.35</w:t>
                  </w:r>
                </w:p>
              </w:tc>
              <w:tc>
                <w:tcPr>
                  <w:tcW w:w="787"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0.60</w:t>
                  </w:r>
                </w:p>
              </w:tc>
              <w:tc>
                <w:tcPr>
                  <w:tcW w:w="776" w:type="dxa"/>
                  <w:gridSpan w:val="2"/>
                  <w:vAlign w:val="center"/>
                </w:tcPr>
                <w:p>
                  <w:pPr>
                    <w:pStyle w:val="141"/>
                    <w:spacing w:line="240" w:lineRule="auto"/>
                    <w:rPr>
                      <w:rFonts w:ascii="Times New Roman" w:hAnsi="Times New Roman" w:eastAsia="新宋体"/>
                      <w:sz w:val="21"/>
                      <w:szCs w:val="21"/>
                    </w:rPr>
                  </w:pPr>
                  <w:r>
                    <w:rPr>
                      <w:rFonts w:hint="eastAsia"/>
                      <w:sz w:val="21"/>
                      <w:szCs w:val="21"/>
                    </w:rPr>
                    <w:t>-</w:t>
                  </w:r>
                </w:p>
              </w:tc>
              <w:tc>
                <w:tcPr>
                  <w:tcW w:w="68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24" w:type="dxa"/>
                  <w:vMerge w:val="continue"/>
                  <w:vAlign w:val="center"/>
                </w:tcPr>
                <w:p>
                  <w:pPr>
                    <w:pStyle w:val="141"/>
                    <w:spacing w:line="240" w:lineRule="auto"/>
                    <w:rPr>
                      <w:rFonts w:ascii="Times New Roman" w:hAnsi="Times New Roman" w:eastAsia="新宋体"/>
                      <w:sz w:val="21"/>
                      <w:szCs w:val="21"/>
                    </w:rPr>
                  </w:pPr>
                </w:p>
              </w:tc>
              <w:tc>
                <w:tcPr>
                  <w:tcW w:w="94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2019.6.14</w:t>
                  </w:r>
                </w:p>
              </w:tc>
              <w:tc>
                <w:tcPr>
                  <w:tcW w:w="567"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0.17</w:t>
                  </w:r>
                </w:p>
              </w:tc>
              <w:tc>
                <w:tcPr>
                  <w:tcW w:w="59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0.75</w:t>
                  </w:r>
                </w:p>
              </w:tc>
              <w:tc>
                <w:tcPr>
                  <w:tcW w:w="594"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0.83</w:t>
                  </w:r>
                </w:p>
              </w:tc>
              <w:tc>
                <w:tcPr>
                  <w:tcW w:w="702"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0.75</w:t>
                  </w:r>
                </w:p>
              </w:tc>
              <w:tc>
                <w:tcPr>
                  <w:tcW w:w="66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0.83</w:t>
                  </w:r>
                </w:p>
              </w:tc>
              <w:tc>
                <w:tcPr>
                  <w:tcW w:w="661"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0.60</w:t>
                  </w:r>
                </w:p>
              </w:tc>
              <w:tc>
                <w:tcPr>
                  <w:tcW w:w="63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0.40</w:t>
                  </w:r>
                </w:p>
              </w:tc>
              <w:tc>
                <w:tcPr>
                  <w:tcW w:w="787"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0.60</w:t>
                  </w:r>
                </w:p>
              </w:tc>
              <w:tc>
                <w:tcPr>
                  <w:tcW w:w="776" w:type="dxa"/>
                  <w:gridSpan w:val="2"/>
                  <w:vAlign w:val="center"/>
                </w:tcPr>
                <w:p>
                  <w:pPr>
                    <w:pStyle w:val="141"/>
                    <w:spacing w:line="240" w:lineRule="auto"/>
                    <w:rPr>
                      <w:rFonts w:ascii="Times New Roman" w:hAnsi="Times New Roman" w:eastAsia="新宋体"/>
                      <w:sz w:val="21"/>
                      <w:szCs w:val="21"/>
                    </w:rPr>
                  </w:pPr>
                  <w:r>
                    <w:rPr>
                      <w:rFonts w:hint="eastAsia"/>
                      <w:sz w:val="21"/>
                      <w:szCs w:val="21"/>
                    </w:rPr>
                    <w:t>-</w:t>
                  </w:r>
                </w:p>
              </w:tc>
              <w:tc>
                <w:tcPr>
                  <w:tcW w:w="68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24" w:type="dxa"/>
                  <w:vMerge w:val="continue"/>
                  <w:vAlign w:val="center"/>
                </w:tcPr>
                <w:p>
                  <w:pPr>
                    <w:pStyle w:val="141"/>
                    <w:spacing w:line="240" w:lineRule="auto"/>
                    <w:rPr>
                      <w:rFonts w:ascii="Times New Roman" w:hAnsi="Times New Roman" w:eastAsia="新宋体"/>
                      <w:sz w:val="21"/>
                      <w:szCs w:val="21"/>
                    </w:rPr>
                  </w:pPr>
                </w:p>
              </w:tc>
              <w:tc>
                <w:tcPr>
                  <w:tcW w:w="94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2019.6.15</w:t>
                  </w:r>
                </w:p>
              </w:tc>
              <w:tc>
                <w:tcPr>
                  <w:tcW w:w="567"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0.18</w:t>
                  </w:r>
                </w:p>
              </w:tc>
              <w:tc>
                <w:tcPr>
                  <w:tcW w:w="59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0.81</w:t>
                  </w:r>
                </w:p>
              </w:tc>
              <w:tc>
                <w:tcPr>
                  <w:tcW w:w="594"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0.63</w:t>
                  </w:r>
                </w:p>
              </w:tc>
              <w:tc>
                <w:tcPr>
                  <w:tcW w:w="702"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0.75</w:t>
                  </w:r>
                </w:p>
              </w:tc>
              <w:tc>
                <w:tcPr>
                  <w:tcW w:w="66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0.80</w:t>
                  </w:r>
                </w:p>
              </w:tc>
              <w:tc>
                <w:tcPr>
                  <w:tcW w:w="661"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0.59</w:t>
                  </w:r>
                </w:p>
              </w:tc>
              <w:tc>
                <w:tcPr>
                  <w:tcW w:w="63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0.35</w:t>
                  </w:r>
                </w:p>
              </w:tc>
              <w:tc>
                <w:tcPr>
                  <w:tcW w:w="787"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0.60</w:t>
                  </w:r>
                </w:p>
              </w:tc>
              <w:tc>
                <w:tcPr>
                  <w:tcW w:w="776" w:type="dxa"/>
                  <w:gridSpan w:val="2"/>
                  <w:vAlign w:val="center"/>
                </w:tcPr>
                <w:p>
                  <w:pPr>
                    <w:pStyle w:val="141"/>
                    <w:spacing w:line="240" w:lineRule="auto"/>
                    <w:rPr>
                      <w:rFonts w:ascii="Times New Roman" w:hAnsi="Times New Roman" w:eastAsia="新宋体"/>
                      <w:sz w:val="21"/>
                      <w:szCs w:val="21"/>
                    </w:rPr>
                  </w:pPr>
                  <w:r>
                    <w:rPr>
                      <w:rFonts w:hint="eastAsia"/>
                      <w:sz w:val="21"/>
                      <w:szCs w:val="21"/>
                    </w:rPr>
                    <w:t>-</w:t>
                  </w:r>
                </w:p>
              </w:tc>
              <w:tc>
                <w:tcPr>
                  <w:tcW w:w="68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0.08</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24" w:type="dxa"/>
                  <w:vMerge w:val="restart"/>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W3</w:t>
                  </w:r>
                </w:p>
              </w:tc>
              <w:tc>
                <w:tcPr>
                  <w:tcW w:w="94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2019.6.13</w:t>
                  </w:r>
                </w:p>
              </w:tc>
              <w:tc>
                <w:tcPr>
                  <w:tcW w:w="567"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0.15</w:t>
                  </w:r>
                </w:p>
              </w:tc>
              <w:tc>
                <w:tcPr>
                  <w:tcW w:w="59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0.92</w:t>
                  </w:r>
                </w:p>
              </w:tc>
              <w:tc>
                <w:tcPr>
                  <w:tcW w:w="594"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0.84</w:t>
                  </w:r>
                </w:p>
              </w:tc>
              <w:tc>
                <w:tcPr>
                  <w:tcW w:w="702"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0.87</w:t>
                  </w:r>
                </w:p>
              </w:tc>
              <w:tc>
                <w:tcPr>
                  <w:tcW w:w="66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0.73</w:t>
                  </w:r>
                </w:p>
              </w:tc>
              <w:tc>
                <w:tcPr>
                  <w:tcW w:w="661"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0.58</w:t>
                  </w:r>
                </w:p>
              </w:tc>
              <w:tc>
                <w:tcPr>
                  <w:tcW w:w="63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0.60</w:t>
                  </w:r>
                </w:p>
              </w:tc>
              <w:tc>
                <w:tcPr>
                  <w:tcW w:w="787"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0.40</w:t>
                  </w:r>
                </w:p>
              </w:tc>
              <w:tc>
                <w:tcPr>
                  <w:tcW w:w="776" w:type="dxa"/>
                  <w:gridSpan w:val="2"/>
                  <w:vAlign w:val="center"/>
                </w:tcPr>
                <w:p>
                  <w:pPr>
                    <w:pStyle w:val="141"/>
                    <w:spacing w:line="240" w:lineRule="auto"/>
                    <w:rPr>
                      <w:rFonts w:ascii="Times New Roman" w:hAnsi="Times New Roman" w:eastAsia="新宋体"/>
                      <w:sz w:val="21"/>
                      <w:szCs w:val="21"/>
                    </w:rPr>
                  </w:pPr>
                  <w:r>
                    <w:rPr>
                      <w:rFonts w:hint="eastAsia"/>
                      <w:sz w:val="21"/>
                      <w:szCs w:val="21"/>
                    </w:rPr>
                    <w:t>-</w:t>
                  </w:r>
                </w:p>
              </w:tc>
              <w:tc>
                <w:tcPr>
                  <w:tcW w:w="68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24" w:type="dxa"/>
                  <w:vMerge w:val="continue"/>
                  <w:vAlign w:val="center"/>
                </w:tcPr>
                <w:p>
                  <w:pPr>
                    <w:pStyle w:val="141"/>
                    <w:spacing w:line="240" w:lineRule="auto"/>
                    <w:rPr>
                      <w:rFonts w:ascii="Times New Roman" w:hAnsi="Times New Roman" w:eastAsia="新宋体"/>
                      <w:sz w:val="21"/>
                      <w:szCs w:val="21"/>
                    </w:rPr>
                  </w:pPr>
                </w:p>
              </w:tc>
              <w:tc>
                <w:tcPr>
                  <w:tcW w:w="94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2019.6.14</w:t>
                  </w:r>
                </w:p>
              </w:tc>
              <w:tc>
                <w:tcPr>
                  <w:tcW w:w="567"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0.20</w:t>
                  </w:r>
                </w:p>
              </w:tc>
              <w:tc>
                <w:tcPr>
                  <w:tcW w:w="59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0.91</w:t>
                  </w:r>
                </w:p>
              </w:tc>
              <w:tc>
                <w:tcPr>
                  <w:tcW w:w="594"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0.88</w:t>
                  </w:r>
                </w:p>
              </w:tc>
              <w:tc>
                <w:tcPr>
                  <w:tcW w:w="702"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0.93</w:t>
                  </w:r>
                </w:p>
              </w:tc>
              <w:tc>
                <w:tcPr>
                  <w:tcW w:w="66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0.77</w:t>
                  </w:r>
                </w:p>
              </w:tc>
              <w:tc>
                <w:tcPr>
                  <w:tcW w:w="661"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0.54</w:t>
                  </w:r>
                </w:p>
              </w:tc>
              <w:tc>
                <w:tcPr>
                  <w:tcW w:w="63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0.80</w:t>
                  </w:r>
                </w:p>
              </w:tc>
              <w:tc>
                <w:tcPr>
                  <w:tcW w:w="787"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0.40</w:t>
                  </w:r>
                </w:p>
              </w:tc>
              <w:tc>
                <w:tcPr>
                  <w:tcW w:w="776" w:type="dxa"/>
                  <w:gridSpan w:val="2"/>
                  <w:vAlign w:val="center"/>
                </w:tcPr>
                <w:p>
                  <w:pPr>
                    <w:pStyle w:val="141"/>
                    <w:spacing w:line="240" w:lineRule="auto"/>
                    <w:rPr>
                      <w:rFonts w:ascii="Times New Roman" w:hAnsi="Times New Roman" w:eastAsia="新宋体"/>
                      <w:sz w:val="21"/>
                      <w:szCs w:val="21"/>
                    </w:rPr>
                  </w:pPr>
                  <w:r>
                    <w:rPr>
                      <w:rFonts w:hint="eastAsia"/>
                      <w:sz w:val="21"/>
                      <w:szCs w:val="21"/>
                    </w:rPr>
                    <w:t>-</w:t>
                  </w:r>
                </w:p>
              </w:tc>
              <w:tc>
                <w:tcPr>
                  <w:tcW w:w="68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24" w:type="dxa"/>
                  <w:vMerge w:val="continue"/>
                  <w:vAlign w:val="center"/>
                </w:tcPr>
                <w:p>
                  <w:pPr>
                    <w:pStyle w:val="141"/>
                    <w:spacing w:line="240" w:lineRule="auto"/>
                    <w:rPr>
                      <w:rFonts w:ascii="Times New Roman" w:hAnsi="Times New Roman" w:eastAsia="新宋体"/>
                      <w:sz w:val="21"/>
                      <w:szCs w:val="21"/>
                    </w:rPr>
                  </w:pPr>
                </w:p>
              </w:tc>
              <w:tc>
                <w:tcPr>
                  <w:tcW w:w="94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2019.6.15</w:t>
                  </w:r>
                </w:p>
              </w:tc>
              <w:tc>
                <w:tcPr>
                  <w:tcW w:w="567"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0.25</w:t>
                  </w:r>
                </w:p>
              </w:tc>
              <w:tc>
                <w:tcPr>
                  <w:tcW w:w="59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0.90</w:t>
                  </w:r>
                </w:p>
              </w:tc>
              <w:tc>
                <w:tcPr>
                  <w:tcW w:w="594"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0.84</w:t>
                  </w:r>
                </w:p>
              </w:tc>
              <w:tc>
                <w:tcPr>
                  <w:tcW w:w="702"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0.87</w:t>
                  </w:r>
                </w:p>
              </w:tc>
              <w:tc>
                <w:tcPr>
                  <w:tcW w:w="66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0.83</w:t>
                  </w:r>
                </w:p>
              </w:tc>
              <w:tc>
                <w:tcPr>
                  <w:tcW w:w="661"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0.52</w:t>
                  </w:r>
                </w:p>
              </w:tc>
              <w:tc>
                <w:tcPr>
                  <w:tcW w:w="63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0.60</w:t>
                  </w:r>
                </w:p>
              </w:tc>
              <w:tc>
                <w:tcPr>
                  <w:tcW w:w="787"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0.40</w:t>
                  </w:r>
                </w:p>
              </w:tc>
              <w:tc>
                <w:tcPr>
                  <w:tcW w:w="776" w:type="dxa"/>
                  <w:gridSpan w:val="2"/>
                  <w:vAlign w:val="center"/>
                </w:tcPr>
                <w:p>
                  <w:pPr>
                    <w:pStyle w:val="141"/>
                    <w:spacing w:line="240" w:lineRule="auto"/>
                    <w:rPr>
                      <w:rFonts w:ascii="Times New Roman" w:hAnsi="Times New Roman" w:eastAsia="新宋体"/>
                      <w:sz w:val="21"/>
                      <w:szCs w:val="21"/>
                    </w:rPr>
                  </w:pPr>
                  <w:r>
                    <w:rPr>
                      <w:rFonts w:hint="eastAsia"/>
                      <w:sz w:val="21"/>
                      <w:szCs w:val="21"/>
                    </w:rPr>
                    <w:t>-</w:t>
                  </w:r>
                </w:p>
              </w:tc>
              <w:tc>
                <w:tcPr>
                  <w:tcW w:w="68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24" w:type="dxa"/>
                  <w:vMerge w:val="restart"/>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W4</w:t>
                  </w:r>
                </w:p>
              </w:tc>
              <w:tc>
                <w:tcPr>
                  <w:tcW w:w="94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2019.6.13</w:t>
                  </w:r>
                </w:p>
              </w:tc>
              <w:tc>
                <w:tcPr>
                  <w:tcW w:w="567"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0.16</w:t>
                  </w:r>
                </w:p>
              </w:tc>
              <w:tc>
                <w:tcPr>
                  <w:tcW w:w="59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0.90</w:t>
                  </w:r>
                </w:p>
              </w:tc>
              <w:tc>
                <w:tcPr>
                  <w:tcW w:w="594"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0.60</w:t>
                  </w:r>
                </w:p>
              </w:tc>
              <w:tc>
                <w:tcPr>
                  <w:tcW w:w="702"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0.73</w:t>
                  </w:r>
                </w:p>
              </w:tc>
              <w:tc>
                <w:tcPr>
                  <w:tcW w:w="66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0.63</w:t>
                  </w:r>
                </w:p>
              </w:tc>
              <w:tc>
                <w:tcPr>
                  <w:tcW w:w="661"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0.64</w:t>
                  </w:r>
                </w:p>
              </w:tc>
              <w:tc>
                <w:tcPr>
                  <w:tcW w:w="63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0.60</w:t>
                  </w:r>
                </w:p>
              </w:tc>
              <w:tc>
                <w:tcPr>
                  <w:tcW w:w="787"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0.40</w:t>
                  </w:r>
                </w:p>
              </w:tc>
              <w:tc>
                <w:tcPr>
                  <w:tcW w:w="776" w:type="dxa"/>
                  <w:gridSpan w:val="2"/>
                  <w:vAlign w:val="center"/>
                </w:tcPr>
                <w:p>
                  <w:pPr>
                    <w:pStyle w:val="141"/>
                    <w:spacing w:line="240" w:lineRule="auto"/>
                    <w:rPr>
                      <w:rFonts w:ascii="Times New Roman" w:hAnsi="Times New Roman" w:eastAsia="新宋体"/>
                      <w:sz w:val="21"/>
                      <w:szCs w:val="21"/>
                    </w:rPr>
                  </w:pPr>
                  <w:r>
                    <w:rPr>
                      <w:rFonts w:hint="eastAsia"/>
                      <w:sz w:val="21"/>
                      <w:szCs w:val="21"/>
                    </w:rPr>
                    <w:t>-</w:t>
                  </w:r>
                </w:p>
              </w:tc>
              <w:tc>
                <w:tcPr>
                  <w:tcW w:w="68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24" w:type="dxa"/>
                  <w:vMerge w:val="continue"/>
                  <w:vAlign w:val="center"/>
                </w:tcPr>
                <w:p>
                  <w:pPr>
                    <w:pStyle w:val="141"/>
                    <w:spacing w:line="240" w:lineRule="auto"/>
                    <w:rPr>
                      <w:rFonts w:ascii="Times New Roman" w:hAnsi="Times New Roman" w:eastAsia="新宋体"/>
                      <w:sz w:val="21"/>
                      <w:szCs w:val="21"/>
                    </w:rPr>
                  </w:pPr>
                </w:p>
              </w:tc>
              <w:tc>
                <w:tcPr>
                  <w:tcW w:w="94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2019.6.14</w:t>
                  </w:r>
                </w:p>
              </w:tc>
              <w:tc>
                <w:tcPr>
                  <w:tcW w:w="567"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0.14</w:t>
                  </w:r>
                </w:p>
              </w:tc>
              <w:tc>
                <w:tcPr>
                  <w:tcW w:w="59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0.87</w:t>
                  </w:r>
                </w:p>
              </w:tc>
              <w:tc>
                <w:tcPr>
                  <w:tcW w:w="594"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0.68</w:t>
                  </w:r>
                </w:p>
              </w:tc>
              <w:tc>
                <w:tcPr>
                  <w:tcW w:w="702"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0.80</w:t>
                  </w:r>
                </w:p>
              </w:tc>
              <w:tc>
                <w:tcPr>
                  <w:tcW w:w="66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0.67</w:t>
                  </w:r>
                </w:p>
              </w:tc>
              <w:tc>
                <w:tcPr>
                  <w:tcW w:w="661"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0.58</w:t>
                  </w:r>
                </w:p>
              </w:tc>
              <w:tc>
                <w:tcPr>
                  <w:tcW w:w="63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0.70</w:t>
                  </w:r>
                </w:p>
              </w:tc>
              <w:tc>
                <w:tcPr>
                  <w:tcW w:w="787"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0.40</w:t>
                  </w:r>
                </w:p>
              </w:tc>
              <w:tc>
                <w:tcPr>
                  <w:tcW w:w="776" w:type="dxa"/>
                  <w:gridSpan w:val="2"/>
                  <w:vAlign w:val="center"/>
                </w:tcPr>
                <w:p>
                  <w:pPr>
                    <w:pStyle w:val="141"/>
                    <w:spacing w:line="240" w:lineRule="auto"/>
                    <w:rPr>
                      <w:rFonts w:ascii="Times New Roman" w:hAnsi="Times New Roman" w:eastAsia="新宋体"/>
                      <w:sz w:val="21"/>
                      <w:szCs w:val="21"/>
                    </w:rPr>
                  </w:pPr>
                  <w:r>
                    <w:rPr>
                      <w:rFonts w:hint="eastAsia"/>
                      <w:sz w:val="21"/>
                      <w:szCs w:val="21"/>
                    </w:rPr>
                    <w:t>-</w:t>
                  </w:r>
                </w:p>
              </w:tc>
              <w:tc>
                <w:tcPr>
                  <w:tcW w:w="68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24" w:type="dxa"/>
                  <w:vMerge w:val="continue"/>
                  <w:vAlign w:val="center"/>
                </w:tcPr>
                <w:p>
                  <w:pPr>
                    <w:pStyle w:val="141"/>
                    <w:spacing w:line="240" w:lineRule="auto"/>
                    <w:rPr>
                      <w:rFonts w:ascii="Times New Roman" w:hAnsi="Times New Roman" w:eastAsia="新宋体"/>
                      <w:sz w:val="21"/>
                      <w:szCs w:val="21"/>
                    </w:rPr>
                  </w:pPr>
                </w:p>
              </w:tc>
              <w:tc>
                <w:tcPr>
                  <w:tcW w:w="94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2019.6.15</w:t>
                  </w:r>
                </w:p>
              </w:tc>
              <w:tc>
                <w:tcPr>
                  <w:tcW w:w="567"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0.20</w:t>
                  </w:r>
                </w:p>
              </w:tc>
              <w:tc>
                <w:tcPr>
                  <w:tcW w:w="59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0.87</w:t>
                  </w:r>
                </w:p>
              </w:tc>
              <w:tc>
                <w:tcPr>
                  <w:tcW w:w="594"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0.64</w:t>
                  </w:r>
                </w:p>
              </w:tc>
              <w:tc>
                <w:tcPr>
                  <w:tcW w:w="702"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0.93</w:t>
                  </w:r>
                </w:p>
              </w:tc>
              <w:tc>
                <w:tcPr>
                  <w:tcW w:w="66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0.77</w:t>
                  </w:r>
                </w:p>
              </w:tc>
              <w:tc>
                <w:tcPr>
                  <w:tcW w:w="661"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0.56</w:t>
                  </w:r>
                </w:p>
              </w:tc>
              <w:tc>
                <w:tcPr>
                  <w:tcW w:w="63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0.80</w:t>
                  </w:r>
                </w:p>
              </w:tc>
              <w:tc>
                <w:tcPr>
                  <w:tcW w:w="787"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0.40</w:t>
                  </w:r>
                </w:p>
              </w:tc>
              <w:tc>
                <w:tcPr>
                  <w:tcW w:w="776" w:type="dxa"/>
                  <w:gridSpan w:val="2"/>
                  <w:vAlign w:val="center"/>
                </w:tcPr>
                <w:p>
                  <w:pPr>
                    <w:pStyle w:val="141"/>
                    <w:spacing w:line="240" w:lineRule="auto"/>
                    <w:rPr>
                      <w:rFonts w:ascii="Times New Roman" w:hAnsi="Times New Roman" w:eastAsia="新宋体"/>
                      <w:sz w:val="21"/>
                      <w:szCs w:val="21"/>
                    </w:rPr>
                  </w:pPr>
                  <w:r>
                    <w:rPr>
                      <w:rFonts w:hint="eastAsia"/>
                      <w:sz w:val="21"/>
                      <w:szCs w:val="21"/>
                    </w:rPr>
                    <w:t>-</w:t>
                  </w:r>
                </w:p>
              </w:tc>
              <w:tc>
                <w:tcPr>
                  <w:tcW w:w="68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24" w:type="dxa"/>
                  <w:vMerge w:val="restart"/>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W5</w:t>
                  </w:r>
                </w:p>
              </w:tc>
              <w:tc>
                <w:tcPr>
                  <w:tcW w:w="94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2019.6.13</w:t>
                  </w:r>
                </w:p>
              </w:tc>
              <w:tc>
                <w:tcPr>
                  <w:tcW w:w="567"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0.20</w:t>
                  </w:r>
                </w:p>
              </w:tc>
              <w:tc>
                <w:tcPr>
                  <w:tcW w:w="59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0.94</w:t>
                  </w:r>
                </w:p>
              </w:tc>
              <w:tc>
                <w:tcPr>
                  <w:tcW w:w="594"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0.68</w:t>
                  </w:r>
                </w:p>
              </w:tc>
              <w:tc>
                <w:tcPr>
                  <w:tcW w:w="702"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0.93</w:t>
                  </w:r>
                </w:p>
              </w:tc>
              <w:tc>
                <w:tcPr>
                  <w:tcW w:w="66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0.73</w:t>
                  </w:r>
                </w:p>
              </w:tc>
              <w:tc>
                <w:tcPr>
                  <w:tcW w:w="661"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0.54</w:t>
                  </w:r>
                </w:p>
              </w:tc>
              <w:tc>
                <w:tcPr>
                  <w:tcW w:w="63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0.80</w:t>
                  </w:r>
                </w:p>
              </w:tc>
              <w:tc>
                <w:tcPr>
                  <w:tcW w:w="787"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0.40</w:t>
                  </w:r>
                </w:p>
              </w:tc>
              <w:tc>
                <w:tcPr>
                  <w:tcW w:w="776" w:type="dxa"/>
                  <w:gridSpan w:val="2"/>
                  <w:vAlign w:val="center"/>
                </w:tcPr>
                <w:p>
                  <w:pPr>
                    <w:pStyle w:val="141"/>
                    <w:spacing w:line="240" w:lineRule="auto"/>
                    <w:rPr>
                      <w:rFonts w:ascii="Times New Roman" w:hAnsi="Times New Roman" w:eastAsia="新宋体"/>
                      <w:sz w:val="21"/>
                      <w:szCs w:val="21"/>
                    </w:rPr>
                  </w:pPr>
                  <w:r>
                    <w:rPr>
                      <w:rFonts w:hint="eastAsia"/>
                      <w:sz w:val="21"/>
                      <w:szCs w:val="21"/>
                    </w:rPr>
                    <w:t>-</w:t>
                  </w:r>
                </w:p>
              </w:tc>
              <w:tc>
                <w:tcPr>
                  <w:tcW w:w="68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24" w:type="dxa"/>
                  <w:vMerge w:val="continue"/>
                  <w:vAlign w:val="center"/>
                </w:tcPr>
                <w:p>
                  <w:pPr>
                    <w:pStyle w:val="141"/>
                    <w:spacing w:line="240" w:lineRule="auto"/>
                    <w:rPr>
                      <w:rFonts w:ascii="Times New Roman" w:hAnsi="Times New Roman" w:eastAsia="新宋体"/>
                      <w:sz w:val="21"/>
                      <w:szCs w:val="21"/>
                    </w:rPr>
                  </w:pPr>
                </w:p>
              </w:tc>
              <w:tc>
                <w:tcPr>
                  <w:tcW w:w="94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2019.6.14</w:t>
                  </w:r>
                </w:p>
              </w:tc>
              <w:tc>
                <w:tcPr>
                  <w:tcW w:w="567"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0.21</w:t>
                  </w:r>
                </w:p>
              </w:tc>
              <w:tc>
                <w:tcPr>
                  <w:tcW w:w="59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0.88</w:t>
                  </w:r>
                </w:p>
              </w:tc>
              <w:tc>
                <w:tcPr>
                  <w:tcW w:w="594"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0.76</w:t>
                  </w:r>
                </w:p>
              </w:tc>
              <w:tc>
                <w:tcPr>
                  <w:tcW w:w="702"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1.00</w:t>
                  </w:r>
                </w:p>
              </w:tc>
              <w:tc>
                <w:tcPr>
                  <w:tcW w:w="66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0.73</w:t>
                  </w:r>
                </w:p>
              </w:tc>
              <w:tc>
                <w:tcPr>
                  <w:tcW w:w="661"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0.50</w:t>
                  </w:r>
                </w:p>
              </w:tc>
              <w:tc>
                <w:tcPr>
                  <w:tcW w:w="63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0.70</w:t>
                  </w:r>
                </w:p>
              </w:tc>
              <w:tc>
                <w:tcPr>
                  <w:tcW w:w="787"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0.40</w:t>
                  </w:r>
                </w:p>
              </w:tc>
              <w:tc>
                <w:tcPr>
                  <w:tcW w:w="776" w:type="dxa"/>
                  <w:gridSpan w:val="2"/>
                  <w:vAlign w:val="center"/>
                </w:tcPr>
                <w:p>
                  <w:pPr>
                    <w:pStyle w:val="141"/>
                    <w:spacing w:line="240" w:lineRule="auto"/>
                    <w:rPr>
                      <w:rFonts w:ascii="Times New Roman" w:hAnsi="Times New Roman" w:eastAsia="新宋体"/>
                      <w:sz w:val="21"/>
                      <w:szCs w:val="21"/>
                    </w:rPr>
                  </w:pPr>
                  <w:r>
                    <w:rPr>
                      <w:rFonts w:hint="eastAsia"/>
                      <w:sz w:val="21"/>
                      <w:szCs w:val="21"/>
                    </w:rPr>
                    <w:t>-</w:t>
                  </w:r>
                </w:p>
              </w:tc>
              <w:tc>
                <w:tcPr>
                  <w:tcW w:w="68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0.08</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57" w:hRule="atLeast"/>
                <w:jc w:val="center"/>
              </w:trPr>
              <w:tc>
                <w:tcPr>
                  <w:tcW w:w="924" w:type="dxa"/>
                  <w:vMerge w:val="continue"/>
                  <w:vAlign w:val="center"/>
                </w:tcPr>
                <w:p>
                  <w:pPr>
                    <w:pStyle w:val="141"/>
                    <w:spacing w:line="240" w:lineRule="auto"/>
                    <w:rPr>
                      <w:rFonts w:ascii="Times New Roman" w:hAnsi="Times New Roman" w:eastAsia="新宋体"/>
                      <w:sz w:val="21"/>
                      <w:szCs w:val="21"/>
                    </w:rPr>
                  </w:pPr>
                </w:p>
              </w:tc>
              <w:tc>
                <w:tcPr>
                  <w:tcW w:w="94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2019.6.15</w:t>
                  </w:r>
                </w:p>
              </w:tc>
              <w:tc>
                <w:tcPr>
                  <w:tcW w:w="567"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0.23</w:t>
                  </w:r>
                </w:p>
              </w:tc>
              <w:tc>
                <w:tcPr>
                  <w:tcW w:w="59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0.94</w:t>
                  </w:r>
                </w:p>
              </w:tc>
              <w:tc>
                <w:tcPr>
                  <w:tcW w:w="594"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0.68</w:t>
                  </w:r>
                </w:p>
              </w:tc>
              <w:tc>
                <w:tcPr>
                  <w:tcW w:w="702" w:type="dxa"/>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0.80</w:t>
                  </w:r>
                </w:p>
              </w:tc>
              <w:tc>
                <w:tcPr>
                  <w:tcW w:w="66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0.70</w:t>
                  </w:r>
                </w:p>
              </w:tc>
              <w:tc>
                <w:tcPr>
                  <w:tcW w:w="661"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0.54</w:t>
                  </w:r>
                </w:p>
              </w:tc>
              <w:tc>
                <w:tcPr>
                  <w:tcW w:w="635"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0.80</w:t>
                  </w:r>
                </w:p>
              </w:tc>
              <w:tc>
                <w:tcPr>
                  <w:tcW w:w="787"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0.40</w:t>
                  </w:r>
                </w:p>
              </w:tc>
              <w:tc>
                <w:tcPr>
                  <w:tcW w:w="776" w:type="dxa"/>
                  <w:gridSpan w:val="2"/>
                  <w:vAlign w:val="center"/>
                </w:tcPr>
                <w:p>
                  <w:pPr>
                    <w:pStyle w:val="141"/>
                    <w:spacing w:line="240" w:lineRule="auto"/>
                    <w:rPr>
                      <w:rFonts w:ascii="Times New Roman" w:hAnsi="Times New Roman" w:eastAsia="新宋体"/>
                      <w:sz w:val="21"/>
                      <w:szCs w:val="21"/>
                    </w:rPr>
                  </w:pPr>
                  <w:r>
                    <w:rPr>
                      <w:rFonts w:hint="eastAsia"/>
                      <w:sz w:val="21"/>
                      <w:szCs w:val="21"/>
                    </w:rPr>
                    <w:t>-</w:t>
                  </w:r>
                </w:p>
              </w:tc>
              <w:tc>
                <w:tcPr>
                  <w:tcW w:w="682" w:type="dxa"/>
                  <w:gridSpan w:val="2"/>
                  <w:vAlign w:val="center"/>
                </w:tcPr>
                <w:p>
                  <w:pPr>
                    <w:pStyle w:val="141"/>
                    <w:spacing w:line="240" w:lineRule="auto"/>
                    <w:rPr>
                      <w:rFonts w:ascii="Times New Roman" w:hAnsi="Times New Roman" w:eastAsia="新宋体"/>
                      <w:sz w:val="21"/>
                      <w:szCs w:val="21"/>
                    </w:rPr>
                  </w:pPr>
                  <w:r>
                    <w:rPr>
                      <w:rFonts w:ascii="Times New Roman" w:hAnsi="Times New Roman" w:eastAsia="新宋体"/>
                      <w:sz w:val="21"/>
                      <w:szCs w:val="21"/>
                    </w:rPr>
                    <w:t>0.08</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365" w:type="dxa"/>
                  <w:gridSpan w:val="2"/>
                  <w:vAlign w:val="center"/>
                </w:tcPr>
                <w:p>
                  <w:pPr>
                    <w:pStyle w:val="119"/>
                    <w:spacing w:line="240" w:lineRule="auto"/>
                    <w:jc w:val="center"/>
                    <w:rPr>
                      <w:b/>
                      <w:bCs/>
                      <w:sz w:val="21"/>
                      <w:szCs w:val="21"/>
                    </w:rPr>
                  </w:pPr>
                  <w:r>
                    <w:rPr>
                      <w:b/>
                      <w:bCs/>
                      <w:sz w:val="21"/>
                      <w:szCs w:val="21"/>
                    </w:rPr>
                    <w:t>监测点位</w:t>
                  </w:r>
                </w:p>
              </w:tc>
              <w:tc>
                <w:tcPr>
                  <w:tcW w:w="1203" w:type="dxa"/>
                  <w:gridSpan w:val="3"/>
                  <w:vAlign w:val="center"/>
                </w:tcPr>
                <w:p>
                  <w:pPr>
                    <w:pStyle w:val="119"/>
                    <w:spacing w:line="240" w:lineRule="auto"/>
                    <w:jc w:val="center"/>
                    <w:rPr>
                      <w:b/>
                      <w:bCs/>
                      <w:sz w:val="21"/>
                      <w:szCs w:val="21"/>
                    </w:rPr>
                  </w:pPr>
                  <w:r>
                    <w:rPr>
                      <w:b/>
                      <w:bCs/>
                      <w:sz w:val="21"/>
                      <w:szCs w:val="21"/>
                    </w:rPr>
                    <w:t>采样日期</w:t>
                  </w:r>
                </w:p>
              </w:tc>
              <w:tc>
                <w:tcPr>
                  <w:tcW w:w="883" w:type="dxa"/>
                  <w:gridSpan w:val="2"/>
                  <w:vAlign w:val="center"/>
                </w:tcPr>
                <w:p>
                  <w:pPr>
                    <w:pStyle w:val="119"/>
                    <w:spacing w:line="240" w:lineRule="auto"/>
                    <w:jc w:val="center"/>
                    <w:rPr>
                      <w:b/>
                      <w:bCs/>
                      <w:sz w:val="21"/>
                      <w:szCs w:val="21"/>
                    </w:rPr>
                  </w:pPr>
                  <w:r>
                    <w:rPr>
                      <w:b/>
                      <w:bCs/>
                      <w:sz w:val="21"/>
                      <w:szCs w:val="21"/>
                    </w:rPr>
                    <w:t>挥发酚</w:t>
                  </w:r>
                </w:p>
              </w:tc>
              <w:tc>
                <w:tcPr>
                  <w:tcW w:w="916" w:type="dxa"/>
                  <w:gridSpan w:val="3"/>
                  <w:vAlign w:val="center"/>
                </w:tcPr>
                <w:p>
                  <w:pPr>
                    <w:pStyle w:val="119"/>
                    <w:spacing w:line="240" w:lineRule="auto"/>
                    <w:jc w:val="center"/>
                    <w:rPr>
                      <w:b/>
                      <w:bCs/>
                      <w:sz w:val="21"/>
                      <w:szCs w:val="21"/>
                    </w:rPr>
                  </w:pPr>
                  <w:r>
                    <w:rPr>
                      <w:b/>
                      <w:bCs/>
                      <w:sz w:val="21"/>
                      <w:szCs w:val="21"/>
                    </w:rPr>
                    <w:t>六价铬</w:t>
                  </w:r>
                </w:p>
              </w:tc>
              <w:tc>
                <w:tcPr>
                  <w:tcW w:w="639" w:type="dxa"/>
                  <w:gridSpan w:val="2"/>
                  <w:vAlign w:val="center"/>
                </w:tcPr>
                <w:p>
                  <w:pPr>
                    <w:pStyle w:val="119"/>
                    <w:spacing w:line="240" w:lineRule="auto"/>
                    <w:jc w:val="center"/>
                    <w:rPr>
                      <w:b/>
                      <w:bCs/>
                      <w:sz w:val="21"/>
                      <w:szCs w:val="21"/>
                    </w:rPr>
                  </w:pPr>
                  <w:r>
                    <w:rPr>
                      <w:b/>
                      <w:bCs/>
                      <w:sz w:val="21"/>
                      <w:szCs w:val="21"/>
                    </w:rPr>
                    <w:t>铜</w:t>
                  </w:r>
                </w:p>
              </w:tc>
              <w:tc>
                <w:tcPr>
                  <w:tcW w:w="657" w:type="dxa"/>
                  <w:gridSpan w:val="2"/>
                  <w:vAlign w:val="center"/>
                </w:tcPr>
                <w:p>
                  <w:pPr>
                    <w:pStyle w:val="119"/>
                    <w:spacing w:line="240" w:lineRule="auto"/>
                    <w:jc w:val="center"/>
                    <w:rPr>
                      <w:b/>
                      <w:bCs/>
                      <w:sz w:val="21"/>
                      <w:szCs w:val="21"/>
                    </w:rPr>
                  </w:pPr>
                  <w:r>
                    <w:rPr>
                      <w:b/>
                      <w:bCs/>
                      <w:sz w:val="21"/>
                      <w:szCs w:val="21"/>
                    </w:rPr>
                    <w:t>锌</w:t>
                  </w:r>
                </w:p>
              </w:tc>
              <w:tc>
                <w:tcPr>
                  <w:tcW w:w="657" w:type="dxa"/>
                  <w:gridSpan w:val="2"/>
                  <w:vAlign w:val="center"/>
                </w:tcPr>
                <w:p>
                  <w:pPr>
                    <w:pStyle w:val="119"/>
                    <w:spacing w:line="240" w:lineRule="auto"/>
                    <w:jc w:val="center"/>
                    <w:rPr>
                      <w:b/>
                      <w:bCs/>
                      <w:sz w:val="21"/>
                      <w:szCs w:val="21"/>
                    </w:rPr>
                  </w:pPr>
                  <w:r>
                    <w:rPr>
                      <w:b/>
                      <w:bCs/>
                      <w:sz w:val="21"/>
                      <w:szCs w:val="21"/>
                    </w:rPr>
                    <w:t>镉</w:t>
                  </w:r>
                </w:p>
              </w:tc>
              <w:tc>
                <w:tcPr>
                  <w:tcW w:w="813" w:type="dxa"/>
                  <w:gridSpan w:val="2"/>
                  <w:vAlign w:val="center"/>
                </w:tcPr>
                <w:p>
                  <w:pPr>
                    <w:pStyle w:val="119"/>
                    <w:spacing w:line="240" w:lineRule="auto"/>
                    <w:jc w:val="center"/>
                    <w:rPr>
                      <w:b/>
                      <w:bCs/>
                      <w:sz w:val="21"/>
                      <w:szCs w:val="21"/>
                    </w:rPr>
                  </w:pPr>
                  <w:r>
                    <w:rPr>
                      <w:b/>
                      <w:bCs/>
                      <w:sz w:val="21"/>
                      <w:szCs w:val="21"/>
                    </w:rPr>
                    <w:t>铅</w:t>
                  </w:r>
                </w:p>
              </w:tc>
              <w:tc>
                <w:tcPr>
                  <w:tcW w:w="726" w:type="dxa"/>
                  <w:gridSpan w:val="2"/>
                  <w:vAlign w:val="center"/>
                </w:tcPr>
                <w:p>
                  <w:pPr>
                    <w:pStyle w:val="119"/>
                    <w:spacing w:line="240" w:lineRule="auto"/>
                    <w:jc w:val="center"/>
                    <w:rPr>
                      <w:b/>
                      <w:bCs/>
                      <w:sz w:val="21"/>
                      <w:szCs w:val="21"/>
                    </w:rPr>
                  </w:pPr>
                  <w:r>
                    <w:rPr>
                      <w:b/>
                      <w:bCs/>
                      <w:sz w:val="21"/>
                      <w:szCs w:val="21"/>
                    </w:rPr>
                    <w:t>镍</w:t>
                  </w:r>
                </w:p>
              </w:tc>
              <w:tc>
                <w:tcPr>
                  <w:tcW w:w="668" w:type="dxa"/>
                  <w:vAlign w:val="center"/>
                </w:tcPr>
                <w:p>
                  <w:pPr>
                    <w:pStyle w:val="119"/>
                    <w:spacing w:line="240" w:lineRule="auto"/>
                    <w:jc w:val="center"/>
                    <w:rPr>
                      <w:b/>
                      <w:bCs/>
                      <w:sz w:val="21"/>
                      <w:szCs w:val="21"/>
                    </w:rPr>
                  </w:pPr>
                  <w:r>
                    <w:rPr>
                      <w:b/>
                      <w:bCs/>
                      <w:sz w:val="21"/>
                      <w:szCs w:val="21"/>
                    </w:rPr>
                    <w:t>铁</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365" w:type="dxa"/>
                  <w:gridSpan w:val="2"/>
                  <w:vMerge w:val="restart"/>
                  <w:vAlign w:val="center"/>
                </w:tcPr>
                <w:p>
                  <w:pPr>
                    <w:pStyle w:val="119"/>
                    <w:spacing w:line="240" w:lineRule="auto"/>
                    <w:jc w:val="center"/>
                    <w:rPr>
                      <w:rFonts w:eastAsia="Times New Roman"/>
                      <w:sz w:val="21"/>
                      <w:szCs w:val="21"/>
                    </w:rPr>
                  </w:pPr>
                  <w:r>
                    <w:rPr>
                      <w:sz w:val="21"/>
                      <w:szCs w:val="21"/>
                    </w:rPr>
                    <w:t>W1</w:t>
                  </w:r>
                </w:p>
              </w:tc>
              <w:tc>
                <w:tcPr>
                  <w:tcW w:w="1203" w:type="dxa"/>
                  <w:gridSpan w:val="3"/>
                  <w:vAlign w:val="center"/>
                </w:tcPr>
                <w:p>
                  <w:pPr>
                    <w:pStyle w:val="119"/>
                    <w:spacing w:line="240" w:lineRule="auto"/>
                    <w:jc w:val="center"/>
                    <w:rPr>
                      <w:rFonts w:eastAsia="Times New Roman"/>
                      <w:sz w:val="21"/>
                      <w:szCs w:val="21"/>
                    </w:rPr>
                  </w:pPr>
                  <w:r>
                    <w:rPr>
                      <w:sz w:val="21"/>
                      <w:szCs w:val="21"/>
                    </w:rPr>
                    <w:t>2019.6.13</w:t>
                  </w:r>
                </w:p>
              </w:tc>
              <w:tc>
                <w:tcPr>
                  <w:tcW w:w="883"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916" w:type="dxa"/>
                  <w:gridSpan w:val="3"/>
                  <w:vAlign w:val="center"/>
                </w:tcPr>
                <w:p>
                  <w:pPr>
                    <w:pStyle w:val="119"/>
                    <w:spacing w:line="240" w:lineRule="auto"/>
                    <w:jc w:val="center"/>
                    <w:rPr>
                      <w:rFonts w:eastAsia="Times New Roman"/>
                      <w:sz w:val="21"/>
                      <w:szCs w:val="21"/>
                    </w:rPr>
                  </w:pPr>
                  <w:r>
                    <w:rPr>
                      <w:rFonts w:hint="eastAsia"/>
                      <w:sz w:val="21"/>
                      <w:szCs w:val="21"/>
                    </w:rPr>
                    <w:t>-</w:t>
                  </w:r>
                </w:p>
              </w:tc>
              <w:tc>
                <w:tcPr>
                  <w:tcW w:w="639" w:type="dxa"/>
                  <w:gridSpan w:val="2"/>
                  <w:vAlign w:val="center"/>
                </w:tcPr>
                <w:p>
                  <w:pPr>
                    <w:pStyle w:val="119"/>
                    <w:spacing w:line="240" w:lineRule="auto"/>
                    <w:jc w:val="center"/>
                    <w:rPr>
                      <w:rFonts w:eastAsia="Times New Roman"/>
                      <w:sz w:val="21"/>
                      <w:szCs w:val="21"/>
                    </w:rPr>
                  </w:pPr>
                  <w:r>
                    <w:rPr>
                      <w:sz w:val="21"/>
                      <w:szCs w:val="21"/>
                    </w:rPr>
                    <w:t>0.00</w:t>
                  </w:r>
                </w:p>
              </w:tc>
              <w:tc>
                <w:tcPr>
                  <w:tcW w:w="657"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657"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813"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726"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668" w:type="dxa"/>
                  <w:vAlign w:val="center"/>
                </w:tcPr>
                <w:p>
                  <w:pPr>
                    <w:pStyle w:val="119"/>
                    <w:spacing w:line="240" w:lineRule="auto"/>
                    <w:jc w:val="center"/>
                    <w:rPr>
                      <w:rFonts w:eastAsia="Times New Roman"/>
                      <w:sz w:val="21"/>
                      <w:szCs w:val="21"/>
                    </w:rPr>
                  </w:pPr>
                  <w:r>
                    <w:rPr>
                      <w:sz w:val="21"/>
                      <w:szCs w:val="21"/>
                    </w:rPr>
                    <w:t>0.08</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365" w:type="dxa"/>
                  <w:gridSpan w:val="2"/>
                  <w:vMerge w:val="continue"/>
                  <w:vAlign w:val="center"/>
                </w:tcPr>
                <w:p>
                  <w:pPr>
                    <w:spacing w:line="240" w:lineRule="auto"/>
                    <w:jc w:val="center"/>
                    <w:rPr>
                      <w:sz w:val="21"/>
                      <w:szCs w:val="21"/>
                    </w:rPr>
                  </w:pPr>
                </w:p>
              </w:tc>
              <w:tc>
                <w:tcPr>
                  <w:tcW w:w="1203" w:type="dxa"/>
                  <w:gridSpan w:val="3"/>
                  <w:vAlign w:val="center"/>
                </w:tcPr>
                <w:p>
                  <w:pPr>
                    <w:pStyle w:val="119"/>
                    <w:spacing w:line="240" w:lineRule="auto"/>
                    <w:jc w:val="center"/>
                    <w:rPr>
                      <w:rFonts w:eastAsia="Times New Roman"/>
                      <w:sz w:val="21"/>
                      <w:szCs w:val="21"/>
                    </w:rPr>
                  </w:pPr>
                  <w:r>
                    <w:rPr>
                      <w:sz w:val="21"/>
                      <w:szCs w:val="21"/>
                    </w:rPr>
                    <w:t>2019.6.14</w:t>
                  </w:r>
                </w:p>
              </w:tc>
              <w:tc>
                <w:tcPr>
                  <w:tcW w:w="883"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916" w:type="dxa"/>
                  <w:gridSpan w:val="3"/>
                  <w:vAlign w:val="center"/>
                </w:tcPr>
                <w:p>
                  <w:pPr>
                    <w:pStyle w:val="119"/>
                    <w:spacing w:line="240" w:lineRule="auto"/>
                    <w:jc w:val="center"/>
                    <w:rPr>
                      <w:rFonts w:eastAsia="Times New Roman"/>
                      <w:sz w:val="21"/>
                      <w:szCs w:val="21"/>
                    </w:rPr>
                  </w:pPr>
                  <w:r>
                    <w:rPr>
                      <w:rFonts w:hint="eastAsia"/>
                      <w:sz w:val="21"/>
                      <w:szCs w:val="21"/>
                    </w:rPr>
                    <w:t>-</w:t>
                  </w:r>
                </w:p>
              </w:tc>
              <w:tc>
                <w:tcPr>
                  <w:tcW w:w="639" w:type="dxa"/>
                  <w:gridSpan w:val="2"/>
                  <w:vAlign w:val="center"/>
                </w:tcPr>
                <w:p>
                  <w:pPr>
                    <w:pStyle w:val="119"/>
                    <w:spacing w:line="240" w:lineRule="auto"/>
                    <w:jc w:val="center"/>
                    <w:rPr>
                      <w:rFonts w:eastAsia="Times New Roman"/>
                      <w:sz w:val="21"/>
                      <w:szCs w:val="21"/>
                    </w:rPr>
                  </w:pPr>
                  <w:r>
                    <w:rPr>
                      <w:sz w:val="21"/>
                      <w:szCs w:val="21"/>
                    </w:rPr>
                    <w:t>0.00</w:t>
                  </w:r>
                </w:p>
              </w:tc>
              <w:tc>
                <w:tcPr>
                  <w:tcW w:w="657"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657"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813"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726"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668" w:type="dxa"/>
                  <w:vAlign w:val="center"/>
                </w:tcPr>
                <w:p>
                  <w:pPr>
                    <w:pStyle w:val="119"/>
                    <w:spacing w:line="240" w:lineRule="auto"/>
                    <w:jc w:val="center"/>
                    <w:rPr>
                      <w:rFonts w:eastAsia="Times New Roman"/>
                      <w:sz w:val="21"/>
                      <w:szCs w:val="21"/>
                    </w:rPr>
                  </w:pPr>
                  <w:r>
                    <w:rPr>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365" w:type="dxa"/>
                  <w:gridSpan w:val="2"/>
                  <w:vMerge w:val="continue"/>
                  <w:vAlign w:val="center"/>
                </w:tcPr>
                <w:p>
                  <w:pPr>
                    <w:spacing w:line="240" w:lineRule="auto"/>
                    <w:jc w:val="center"/>
                    <w:rPr>
                      <w:sz w:val="21"/>
                      <w:szCs w:val="21"/>
                    </w:rPr>
                  </w:pPr>
                </w:p>
              </w:tc>
              <w:tc>
                <w:tcPr>
                  <w:tcW w:w="1203" w:type="dxa"/>
                  <w:gridSpan w:val="3"/>
                  <w:vAlign w:val="center"/>
                </w:tcPr>
                <w:p>
                  <w:pPr>
                    <w:pStyle w:val="119"/>
                    <w:spacing w:line="240" w:lineRule="auto"/>
                    <w:jc w:val="center"/>
                    <w:rPr>
                      <w:rFonts w:eastAsia="Times New Roman"/>
                      <w:sz w:val="21"/>
                      <w:szCs w:val="21"/>
                    </w:rPr>
                  </w:pPr>
                  <w:r>
                    <w:rPr>
                      <w:sz w:val="21"/>
                      <w:szCs w:val="21"/>
                    </w:rPr>
                    <w:t>2019.6.15</w:t>
                  </w:r>
                </w:p>
              </w:tc>
              <w:tc>
                <w:tcPr>
                  <w:tcW w:w="883"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916" w:type="dxa"/>
                  <w:gridSpan w:val="3"/>
                  <w:vAlign w:val="center"/>
                </w:tcPr>
                <w:p>
                  <w:pPr>
                    <w:pStyle w:val="119"/>
                    <w:spacing w:line="240" w:lineRule="auto"/>
                    <w:jc w:val="center"/>
                    <w:rPr>
                      <w:rFonts w:eastAsia="Times New Roman"/>
                      <w:sz w:val="21"/>
                      <w:szCs w:val="21"/>
                    </w:rPr>
                  </w:pPr>
                  <w:r>
                    <w:rPr>
                      <w:rFonts w:hint="eastAsia"/>
                      <w:sz w:val="21"/>
                      <w:szCs w:val="21"/>
                    </w:rPr>
                    <w:t>-</w:t>
                  </w:r>
                </w:p>
              </w:tc>
              <w:tc>
                <w:tcPr>
                  <w:tcW w:w="639" w:type="dxa"/>
                  <w:gridSpan w:val="2"/>
                  <w:vAlign w:val="center"/>
                </w:tcPr>
                <w:p>
                  <w:pPr>
                    <w:pStyle w:val="119"/>
                    <w:spacing w:line="240" w:lineRule="auto"/>
                    <w:jc w:val="center"/>
                    <w:rPr>
                      <w:rFonts w:eastAsia="Times New Roman"/>
                      <w:sz w:val="21"/>
                      <w:szCs w:val="21"/>
                    </w:rPr>
                  </w:pPr>
                  <w:r>
                    <w:rPr>
                      <w:sz w:val="21"/>
                      <w:szCs w:val="21"/>
                    </w:rPr>
                    <w:t>0.00</w:t>
                  </w:r>
                </w:p>
              </w:tc>
              <w:tc>
                <w:tcPr>
                  <w:tcW w:w="657"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657"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813"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726"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668" w:type="dxa"/>
                  <w:vAlign w:val="center"/>
                </w:tcPr>
                <w:p>
                  <w:pPr>
                    <w:pStyle w:val="119"/>
                    <w:spacing w:line="240" w:lineRule="auto"/>
                    <w:jc w:val="center"/>
                    <w:rPr>
                      <w:rFonts w:eastAsia="Times New Roman"/>
                      <w:sz w:val="21"/>
                      <w:szCs w:val="21"/>
                    </w:rPr>
                  </w:pPr>
                  <w:r>
                    <w:rPr>
                      <w:sz w:val="21"/>
                      <w:szCs w:val="21"/>
                    </w:rPr>
                    <w:t>0.08</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365" w:type="dxa"/>
                  <w:gridSpan w:val="2"/>
                  <w:vMerge w:val="restart"/>
                  <w:vAlign w:val="center"/>
                </w:tcPr>
                <w:p>
                  <w:pPr>
                    <w:pStyle w:val="119"/>
                    <w:spacing w:line="240" w:lineRule="auto"/>
                    <w:jc w:val="center"/>
                    <w:rPr>
                      <w:rFonts w:eastAsia="Times New Roman"/>
                      <w:sz w:val="21"/>
                      <w:szCs w:val="21"/>
                    </w:rPr>
                  </w:pPr>
                  <w:r>
                    <w:rPr>
                      <w:sz w:val="21"/>
                      <w:szCs w:val="21"/>
                    </w:rPr>
                    <w:t>W2</w:t>
                  </w:r>
                </w:p>
              </w:tc>
              <w:tc>
                <w:tcPr>
                  <w:tcW w:w="1203" w:type="dxa"/>
                  <w:gridSpan w:val="3"/>
                  <w:vAlign w:val="center"/>
                </w:tcPr>
                <w:p>
                  <w:pPr>
                    <w:pStyle w:val="119"/>
                    <w:spacing w:line="240" w:lineRule="auto"/>
                    <w:jc w:val="center"/>
                    <w:rPr>
                      <w:rFonts w:eastAsia="Times New Roman"/>
                      <w:sz w:val="21"/>
                      <w:szCs w:val="21"/>
                    </w:rPr>
                  </w:pPr>
                  <w:r>
                    <w:rPr>
                      <w:sz w:val="21"/>
                      <w:szCs w:val="21"/>
                    </w:rPr>
                    <w:t>2019.6.13</w:t>
                  </w:r>
                </w:p>
              </w:tc>
              <w:tc>
                <w:tcPr>
                  <w:tcW w:w="883"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916" w:type="dxa"/>
                  <w:gridSpan w:val="3"/>
                  <w:vAlign w:val="center"/>
                </w:tcPr>
                <w:p>
                  <w:pPr>
                    <w:pStyle w:val="119"/>
                    <w:spacing w:line="240" w:lineRule="auto"/>
                    <w:jc w:val="center"/>
                    <w:rPr>
                      <w:rFonts w:eastAsia="Times New Roman"/>
                      <w:sz w:val="21"/>
                      <w:szCs w:val="21"/>
                    </w:rPr>
                  </w:pPr>
                  <w:r>
                    <w:rPr>
                      <w:rFonts w:hint="eastAsia"/>
                      <w:sz w:val="21"/>
                      <w:szCs w:val="21"/>
                    </w:rPr>
                    <w:t>-</w:t>
                  </w:r>
                </w:p>
              </w:tc>
              <w:tc>
                <w:tcPr>
                  <w:tcW w:w="639" w:type="dxa"/>
                  <w:gridSpan w:val="2"/>
                  <w:vAlign w:val="center"/>
                </w:tcPr>
                <w:p>
                  <w:pPr>
                    <w:pStyle w:val="119"/>
                    <w:spacing w:line="240" w:lineRule="auto"/>
                    <w:jc w:val="center"/>
                    <w:rPr>
                      <w:rFonts w:eastAsia="Times New Roman"/>
                      <w:sz w:val="21"/>
                      <w:szCs w:val="21"/>
                    </w:rPr>
                  </w:pPr>
                  <w:r>
                    <w:rPr>
                      <w:sz w:val="21"/>
                      <w:szCs w:val="21"/>
                    </w:rPr>
                    <w:t>0.00</w:t>
                  </w:r>
                </w:p>
              </w:tc>
              <w:tc>
                <w:tcPr>
                  <w:tcW w:w="657"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657"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813"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726"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668" w:type="dxa"/>
                  <w:vAlign w:val="center"/>
                </w:tcPr>
                <w:p>
                  <w:pPr>
                    <w:pStyle w:val="119"/>
                    <w:spacing w:line="240" w:lineRule="auto"/>
                    <w:jc w:val="center"/>
                    <w:rPr>
                      <w:rFonts w:eastAsia="Times New Roman"/>
                      <w:sz w:val="21"/>
                      <w:szCs w:val="21"/>
                    </w:rPr>
                  </w:pPr>
                  <w:r>
                    <w:rPr>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365" w:type="dxa"/>
                  <w:gridSpan w:val="2"/>
                  <w:vMerge w:val="continue"/>
                  <w:vAlign w:val="center"/>
                </w:tcPr>
                <w:p>
                  <w:pPr>
                    <w:spacing w:line="240" w:lineRule="auto"/>
                    <w:jc w:val="center"/>
                    <w:rPr>
                      <w:sz w:val="21"/>
                      <w:szCs w:val="21"/>
                    </w:rPr>
                  </w:pPr>
                </w:p>
              </w:tc>
              <w:tc>
                <w:tcPr>
                  <w:tcW w:w="1203" w:type="dxa"/>
                  <w:gridSpan w:val="3"/>
                  <w:vAlign w:val="center"/>
                </w:tcPr>
                <w:p>
                  <w:pPr>
                    <w:pStyle w:val="119"/>
                    <w:spacing w:line="240" w:lineRule="auto"/>
                    <w:jc w:val="center"/>
                    <w:rPr>
                      <w:rFonts w:eastAsia="Times New Roman"/>
                      <w:sz w:val="21"/>
                      <w:szCs w:val="21"/>
                    </w:rPr>
                  </w:pPr>
                  <w:r>
                    <w:rPr>
                      <w:sz w:val="21"/>
                      <w:szCs w:val="21"/>
                    </w:rPr>
                    <w:t>2019.6.14</w:t>
                  </w:r>
                </w:p>
              </w:tc>
              <w:tc>
                <w:tcPr>
                  <w:tcW w:w="883"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916" w:type="dxa"/>
                  <w:gridSpan w:val="3"/>
                  <w:vAlign w:val="center"/>
                </w:tcPr>
                <w:p>
                  <w:pPr>
                    <w:pStyle w:val="119"/>
                    <w:spacing w:line="240" w:lineRule="auto"/>
                    <w:jc w:val="center"/>
                    <w:rPr>
                      <w:rFonts w:eastAsia="Times New Roman"/>
                      <w:sz w:val="21"/>
                      <w:szCs w:val="21"/>
                    </w:rPr>
                  </w:pPr>
                  <w:r>
                    <w:rPr>
                      <w:rFonts w:hint="eastAsia"/>
                      <w:sz w:val="21"/>
                      <w:szCs w:val="21"/>
                    </w:rPr>
                    <w:t>-</w:t>
                  </w:r>
                </w:p>
              </w:tc>
              <w:tc>
                <w:tcPr>
                  <w:tcW w:w="639" w:type="dxa"/>
                  <w:gridSpan w:val="2"/>
                  <w:vAlign w:val="center"/>
                </w:tcPr>
                <w:p>
                  <w:pPr>
                    <w:pStyle w:val="119"/>
                    <w:spacing w:line="240" w:lineRule="auto"/>
                    <w:jc w:val="center"/>
                    <w:rPr>
                      <w:rFonts w:eastAsia="Times New Roman"/>
                      <w:sz w:val="21"/>
                      <w:szCs w:val="21"/>
                    </w:rPr>
                  </w:pPr>
                  <w:r>
                    <w:rPr>
                      <w:sz w:val="21"/>
                      <w:szCs w:val="21"/>
                    </w:rPr>
                    <w:t>0.00</w:t>
                  </w:r>
                </w:p>
              </w:tc>
              <w:tc>
                <w:tcPr>
                  <w:tcW w:w="657"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657"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813"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726"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668" w:type="dxa"/>
                  <w:vAlign w:val="center"/>
                </w:tcPr>
                <w:p>
                  <w:pPr>
                    <w:pStyle w:val="119"/>
                    <w:spacing w:line="240" w:lineRule="auto"/>
                    <w:jc w:val="center"/>
                    <w:rPr>
                      <w:rFonts w:eastAsia="Times New Roman"/>
                      <w:sz w:val="21"/>
                      <w:szCs w:val="21"/>
                    </w:rPr>
                  </w:pPr>
                  <w:r>
                    <w:rPr>
                      <w:sz w:val="21"/>
                      <w:szCs w:val="21"/>
                    </w:rPr>
                    <w:t>0.09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365" w:type="dxa"/>
                  <w:gridSpan w:val="2"/>
                  <w:vMerge w:val="continue"/>
                  <w:vAlign w:val="center"/>
                </w:tcPr>
                <w:p>
                  <w:pPr>
                    <w:spacing w:line="240" w:lineRule="auto"/>
                    <w:jc w:val="center"/>
                    <w:rPr>
                      <w:sz w:val="21"/>
                      <w:szCs w:val="21"/>
                    </w:rPr>
                  </w:pPr>
                </w:p>
              </w:tc>
              <w:tc>
                <w:tcPr>
                  <w:tcW w:w="1203" w:type="dxa"/>
                  <w:gridSpan w:val="3"/>
                  <w:vAlign w:val="center"/>
                </w:tcPr>
                <w:p>
                  <w:pPr>
                    <w:pStyle w:val="119"/>
                    <w:spacing w:line="240" w:lineRule="auto"/>
                    <w:jc w:val="center"/>
                    <w:rPr>
                      <w:rFonts w:eastAsia="Times New Roman"/>
                      <w:sz w:val="21"/>
                      <w:szCs w:val="21"/>
                    </w:rPr>
                  </w:pPr>
                  <w:r>
                    <w:rPr>
                      <w:sz w:val="21"/>
                      <w:szCs w:val="21"/>
                    </w:rPr>
                    <w:t>2019.6.15</w:t>
                  </w:r>
                </w:p>
              </w:tc>
              <w:tc>
                <w:tcPr>
                  <w:tcW w:w="883"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916" w:type="dxa"/>
                  <w:gridSpan w:val="3"/>
                  <w:vAlign w:val="center"/>
                </w:tcPr>
                <w:p>
                  <w:pPr>
                    <w:pStyle w:val="119"/>
                    <w:spacing w:line="240" w:lineRule="auto"/>
                    <w:jc w:val="center"/>
                    <w:rPr>
                      <w:rFonts w:eastAsia="Times New Roman"/>
                      <w:sz w:val="21"/>
                      <w:szCs w:val="21"/>
                    </w:rPr>
                  </w:pPr>
                  <w:r>
                    <w:rPr>
                      <w:rFonts w:hint="eastAsia"/>
                      <w:sz w:val="21"/>
                      <w:szCs w:val="21"/>
                    </w:rPr>
                    <w:t>-</w:t>
                  </w:r>
                </w:p>
              </w:tc>
              <w:tc>
                <w:tcPr>
                  <w:tcW w:w="639" w:type="dxa"/>
                  <w:gridSpan w:val="2"/>
                  <w:vAlign w:val="center"/>
                </w:tcPr>
                <w:p>
                  <w:pPr>
                    <w:pStyle w:val="119"/>
                    <w:spacing w:line="240" w:lineRule="auto"/>
                    <w:jc w:val="center"/>
                    <w:rPr>
                      <w:rFonts w:eastAsia="Times New Roman"/>
                      <w:sz w:val="21"/>
                      <w:szCs w:val="21"/>
                    </w:rPr>
                  </w:pPr>
                  <w:r>
                    <w:rPr>
                      <w:sz w:val="21"/>
                      <w:szCs w:val="21"/>
                    </w:rPr>
                    <w:t>0.00</w:t>
                  </w:r>
                </w:p>
              </w:tc>
              <w:tc>
                <w:tcPr>
                  <w:tcW w:w="657"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657"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813"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726"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668" w:type="dxa"/>
                  <w:vAlign w:val="center"/>
                </w:tcPr>
                <w:p>
                  <w:pPr>
                    <w:pStyle w:val="119"/>
                    <w:spacing w:line="240" w:lineRule="auto"/>
                    <w:jc w:val="center"/>
                    <w:rPr>
                      <w:rFonts w:eastAsia="Times New Roman"/>
                      <w:sz w:val="21"/>
                      <w:szCs w:val="21"/>
                    </w:rPr>
                  </w:pPr>
                  <w:r>
                    <w:rPr>
                      <w:sz w:val="21"/>
                      <w:szCs w:val="21"/>
                    </w:rPr>
                    <w:t>0.08</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365" w:type="dxa"/>
                  <w:gridSpan w:val="2"/>
                  <w:vMerge w:val="restart"/>
                  <w:vAlign w:val="center"/>
                </w:tcPr>
                <w:p>
                  <w:pPr>
                    <w:pStyle w:val="119"/>
                    <w:spacing w:line="240" w:lineRule="auto"/>
                    <w:jc w:val="center"/>
                    <w:rPr>
                      <w:rFonts w:eastAsia="Times New Roman"/>
                      <w:sz w:val="21"/>
                      <w:szCs w:val="21"/>
                    </w:rPr>
                  </w:pPr>
                  <w:r>
                    <w:rPr>
                      <w:sz w:val="21"/>
                      <w:szCs w:val="21"/>
                    </w:rPr>
                    <w:t>W3</w:t>
                  </w:r>
                </w:p>
              </w:tc>
              <w:tc>
                <w:tcPr>
                  <w:tcW w:w="1203" w:type="dxa"/>
                  <w:gridSpan w:val="3"/>
                  <w:vAlign w:val="center"/>
                </w:tcPr>
                <w:p>
                  <w:pPr>
                    <w:pStyle w:val="119"/>
                    <w:spacing w:line="240" w:lineRule="auto"/>
                    <w:jc w:val="center"/>
                    <w:rPr>
                      <w:rFonts w:eastAsia="Times New Roman"/>
                      <w:sz w:val="21"/>
                      <w:szCs w:val="21"/>
                    </w:rPr>
                  </w:pPr>
                  <w:r>
                    <w:rPr>
                      <w:sz w:val="21"/>
                      <w:szCs w:val="21"/>
                    </w:rPr>
                    <w:t>2019.6.13</w:t>
                  </w:r>
                </w:p>
              </w:tc>
              <w:tc>
                <w:tcPr>
                  <w:tcW w:w="883"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916" w:type="dxa"/>
                  <w:gridSpan w:val="3"/>
                  <w:vAlign w:val="center"/>
                </w:tcPr>
                <w:p>
                  <w:pPr>
                    <w:pStyle w:val="119"/>
                    <w:spacing w:line="240" w:lineRule="auto"/>
                    <w:jc w:val="center"/>
                    <w:rPr>
                      <w:rFonts w:eastAsia="Times New Roman"/>
                      <w:sz w:val="21"/>
                      <w:szCs w:val="21"/>
                    </w:rPr>
                  </w:pPr>
                  <w:r>
                    <w:rPr>
                      <w:rFonts w:hint="eastAsia"/>
                      <w:sz w:val="21"/>
                      <w:szCs w:val="21"/>
                    </w:rPr>
                    <w:t>-</w:t>
                  </w:r>
                </w:p>
              </w:tc>
              <w:tc>
                <w:tcPr>
                  <w:tcW w:w="639" w:type="dxa"/>
                  <w:gridSpan w:val="2"/>
                  <w:vAlign w:val="center"/>
                </w:tcPr>
                <w:p>
                  <w:pPr>
                    <w:pStyle w:val="119"/>
                    <w:spacing w:line="240" w:lineRule="auto"/>
                    <w:jc w:val="center"/>
                    <w:rPr>
                      <w:rFonts w:eastAsia="Times New Roman"/>
                      <w:sz w:val="21"/>
                      <w:szCs w:val="21"/>
                    </w:rPr>
                  </w:pPr>
                  <w:r>
                    <w:rPr>
                      <w:sz w:val="21"/>
                      <w:szCs w:val="21"/>
                    </w:rPr>
                    <w:t>0.00</w:t>
                  </w:r>
                </w:p>
              </w:tc>
              <w:tc>
                <w:tcPr>
                  <w:tcW w:w="657" w:type="dxa"/>
                  <w:gridSpan w:val="2"/>
                  <w:vAlign w:val="center"/>
                </w:tcPr>
                <w:p>
                  <w:pPr>
                    <w:pStyle w:val="119"/>
                    <w:spacing w:line="240" w:lineRule="auto"/>
                    <w:jc w:val="center"/>
                    <w:rPr>
                      <w:rFonts w:eastAsia="Times New Roman"/>
                      <w:sz w:val="21"/>
                      <w:szCs w:val="21"/>
                    </w:rPr>
                  </w:pPr>
                  <w:r>
                    <w:rPr>
                      <w:sz w:val="21"/>
                      <w:szCs w:val="21"/>
                    </w:rPr>
                    <w:t>0.01</w:t>
                  </w:r>
                </w:p>
              </w:tc>
              <w:tc>
                <w:tcPr>
                  <w:tcW w:w="657"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813" w:type="dxa"/>
                  <w:gridSpan w:val="2"/>
                  <w:vAlign w:val="center"/>
                </w:tcPr>
                <w:p>
                  <w:pPr>
                    <w:pStyle w:val="119"/>
                    <w:spacing w:line="240" w:lineRule="auto"/>
                    <w:jc w:val="center"/>
                    <w:rPr>
                      <w:rFonts w:eastAsia="Times New Roman"/>
                      <w:sz w:val="21"/>
                      <w:szCs w:val="21"/>
                    </w:rPr>
                  </w:pPr>
                  <w:r>
                    <w:rPr>
                      <w:sz w:val="21"/>
                      <w:szCs w:val="21"/>
                    </w:rPr>
                    <w:t>0.03</w:t>
                  </w:r>
                </w:p>
              </w:tc>
              <w:tc>
                <w:tcPr>
                  <w:tcW w:w="726" w:type="dxa"/>
                  <w:gridSpan w:val="2"/>
                  <w:vAlign w:val="center"/>
                </w:tcPr>
                <w:p>
                  <w:pPr>
                    <w:pStyle w:val="119"/>
                    <w:spacing w:line="240" w:lineRule="auto"/>
                    <w:jc w:val="center"/>
                    <w:rPr>
                      <w:rFonts w:eastAsia="Times New Roman"/>
                      <w:sz w:val="21"/>
                      <w:szCs w:val="21"/>
                    </w:rPr>
                  </w:pPr>
                  <w:r>
                    <w:rPr>
                      <w:sz w:val="21"/>
                      <w:szCs w:val="21"/>
                    </w:rPr>
                    <w:t>0.01</w:t>
                  </w:r>
                </w:p>
              </w:tc>
              <w:tc>
                <w:tcPr>
                  <w:tcW w:w="668" w:type="dxa"/>
                  <w:vAlign w:val="center"/>
                </w:tcPr>
                <w:p>
                  <w:pPr>
                    <w:pStyle w:val="119"/>
                    <w:spacing w:line="240" w:lineRule="auto"/>
                    <w:jc w:val="center"/>
                    <w:rPr>
                      <w:rFonts w:eastAsia="Times New Roman"/>
                      <w:sz w:val="21"/>
                      <w:szCs w:val="21"/>
                    </w:rPr>
                  </w:pPr>
                  <w:r>
                    <w:rPr>
                      <w:sz w:val="21"/>
                      <w:szCs w:val="21"/>
                    </w:rPr>
                    <w:t>0.26</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365" w:type="dxa"/>
                  <w:gridSpan w:val="2"/>
                  <w:vMerge w:val="continue"/>
                  <w:vAlign w:val="center"/>
                </w:tcPr>
                <w:p>
                  <w:pPr>
                    <w:spacing w:line="240" w:lineRule="auto"/>
                    <w:jc w:val="center"/>
                    <w:rPr>
                      <w:sz w:val="21"/>
                      <w:szCs w:val="21"/>
                    </w:rPr>
                  </w:pPr>
                </w:p>
              </w:tc>
              <w:tc>
                <w:tcPr>
                  <w:tcW w:w="1203" w:type="dxa"/>
                  <w:gridSpan w:val="3"/>
                  <w:vAlign w:val="center"/>
                </w:tcPr>
                <w:p>
                  <w:pPr>
                    <w:pStyle w:val="119"/>
                    <w:spacing w:line="240" w:lineRule="auto"/>
                    <w:jc w:val="center"/>
                    <w:rPr>
                      <w:rFonts w:eastAsia="Times New Roman"/>
                      <w:sz w:val="21"/>
                      <w:szCs w:val="21"/>
                    </w:rPr>
                  </w:pPr>
                  <w:r>
                    <w:rPr>
                      <w:sz w:val="21"/>
                      <w:szCs w:val="21"/>
                    </w:rPr>
                    <w:t>2019.6.14</w:t>
                  </w:r>
                </w:p>
              </w:tc>
              <w:tc>
                <w:tcPr>
                  <w:tcW w:w="883"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916" w:type="dxa"/>
                  <w:gridSpan w:val="3"/>
                  <w:vAlign w:val="center"/>
                </w:tcPr>
                <w:p>
                  <w:pPr>
                    <w:pStyle w:val="119"/>
                    <w:spacing w:line="240" w:lineRule="auto"/>
                    <w:jc w:val="center"/>
                    <w:rPr>
                      <w:rFonts w:eastAsia="Times New Roman"/>
                      <w:sz w:val="21"/>
                      <w:szCs w:val="21"/>
                    </w:rPr>
                  </w:pPr>
                  <w:r>
                    <w:rPr>
                      <w:rFonts w:hint="eastAsia"/>
                      <w:sz w:val="21"/>
                      <w:szCs w:val="21"/>
                    </w:rPr>
                    <w:t>-</w:t>
                  </w:r>
                </w:p>
              </w:tc>
              <w:tc>
                <w:tcPr>
                  <w:tcW w:w="639" w:type="dxa"/>
                  <w:gridSpan w:val="2"/>
                  <w:vAlign w:val="center"/>
                </w:tcPr>
                <w:p>
                  <w:pPr>
                    <w:pStyle w:val="119"/>
                    <w:spacing w:line="240" w:lineRule="auto"/>
                    <w:jc w:val="center"/>
                    <w:rPr>
                      <w:rFonts w:eastAsia="Times New Roman"/>
                      <w:sz w:val="21"/>
                      <w:szCs w:val="21"/>
                    </w:rPr>
                  </w:pPr>
                  <w:r>
                    <w:rPr>
                      <w:sz w:val="21"/>
                      <w:szCs w:val="21"/>
                    </w:rPr>
                    <w:t>0.00</w:t>
                  </w:r>
                </w:p>
              </w:tc>
              <w:tc>
                <w:tcPr>
                  <w:tcW w:w="657" w:type="dxa"/>
                  <w:gridSpan w:val="2"/>
                  <w:vAlign w:val="center"/>
                </w:tcPr>
                <w:p>
                  <w:pPr>
                    <w:pStyle w:val="119"/>
                    <w:spacing w:line="240" w:lineRule="auto"/>
                    <w:jc w:val="center"/>
                    <w:rPr>
                      <w:rFonts w:eastAsia="Times New Roman"/>
                      <w:sz w:val="21"/>
                      <w:szCs w:val="21"/>
                    </w:rPr>
                  </w:pPr>
                  <w:r>
                    <w:rPr>
                      <w:sz w:val="21"/>
                      <w:szCs w:val="21"/>
                    </w:rPr>
                    <w:t>0.01</w:t>
                  </w:r>
                </w:p>
              </w:tc>
              <w:tc>
                <w:tcPr>
                  <w:tcW w:w="657"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813" w:type="dxa"/>
                  <w:gridSpan w:val="2"/>
                  <w:vAlign w:val="center"/>
                </w:tcPr>
                <w:p>
                  <w:pPr>
                    <w:pStyle w:val="119"/>
                    <w:spacing w:line="240" w:lineRule="auto"/>
                    <w:jc w:val="center"/>
                    <w:rPr>
                      <w:rFonts w:eastAsia="Times New Roman"/>
                      <w:sz w:val="21"/>
                      <w:szCs w:val="21"/>
                    </w:rPr>
                  </w:pPr>
                  <w:r>
                    <w:rPr>
                      <w:sz w:val="21"/>
                      <w:szCs w:val="21"/>
                    </w:rPr>
                    <w:t>0.03</w:t>
                  </w:r>
                </w:p>
              </w:tc>
              <w:tc>
                <w:tcPr>
                  <w:tcW w:w="726" w:type="dxa"/>
                  <w:gridSpan w:val="2"/>
                  <w:vAlign w:val="center"/>
                </w:tcPr>
                <w:p>
                  <w:pPr>
                    <w:pStyle w:val="119"/>
                    <w:spacing w:line="240" w:lineRule="auto"/>
                    <w:jc w:val="center"/>
                    <w:rPr>
                      <w:rFonts w:eastAsia="Times New Roman"/>
                      <w:sz w:val="21"/>
                      <w:szCs w:val="21"/>
                    </w:rPr>
                  </w:pPr>
                  <w:r>
                    <w:rPr>
                      <w:sz w:val="21"/>
                      <w:szCs w:val="21"/>
                    </w:rPr>
                    <w:t>0.01</w:t>
                  </w:r>
                </w:p>
              </w:tc>
              <w:tc>
                <w:tcPr>
                  <w:tcW w:w="668" w:type="dxa"/>
                  <w:vAlign w:val="center"/>
                </w:tcPr>
                <w:p>
                  <w:pPr>
                    <w:pStyle w:val="119"/>
                    <w:spacing w:line="240" w:lineRule="auto"/>
                    <w:jc w:val="center"/>
                    <w:rPr>
                      <w:rFonts w:eastAsia="Times New Roman"/>
                      <w:sz w:val="21"/>
                      <w:szCs w:val="21"/>
                    </w:rPr>
                  </w:pPr>
                  <w:r>
                    <w:rPr>
                      <w:sz w:val="21"/>
                      <w:szCs w:val="21"/>
                    </w:rPr>
                    <w:t>0.25</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365" w:type="dxa"/>
                  <w:gridSpan w:val="2"/>
                  <w:vMerge w:val="continue"/>
                  <w:vAlign w:val="center"/>
                </w:tcPr>
                <w:p>
                  <w:pPr>
                    <w:spacing w:line="240" w:lineRule="auto"/>
                    <w:jc w:val="center"/>
                    <w:rPr>
                      <w:sz w:val="21"/>
                      <w:szCs w:val="21"/>
                    </w:rPr>
                  </w:pPr>
                </w:p>
              </w:tc>
              <w:tc>
                <w:tcPr>
                  <w:tcW w:w="1203" w:type="dxa"/>
                  <w:gridSpan w:val="3"/>
                  <w:vAlign w:val="center"/>
                </w:tcPr>
                <w:p>
                  <w:pPr>
                    <w:pStyle w:val="119"/>
                    <w:spacing w:line="240" w:lineRule="auto"/>
                    <w:jc w:val="center"/>
                    <w:rPr>
                      <w:rFonts w:eastAsia="Times New Roman"/>
                      <w:sz w:val="21"/>
                      <w:szCs w:val="21"/>
                    </w:rPr>
                  </w:pPr>
                  <w:r>
                    <w:rPr>
                      <w:sz w:val="21"/>
                      <w:szCs w:val="21"/>
                    </w:rPr>
                    <w:t>2019.6.15</w:t>
                  </w:r>
                </w:p>
              </w:tc>
              <w:tc>
                <w:tcPr>
                  <w:tcW w:w="883"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916" w:type="dxa"/>
                  <w:gridSpan w:val="3"/>
                  <w:vAlign w:val="center"/>
                </w:tcPr>
                <w:p>
                  <w:pPr>
                    <w:pStyle w:val="119"/>
                    <w:spacing w:line="240" w:lineRule="auto"/>
                    <w:jc w:val="center"/>
                    <w:rPr>
                      <w:rFonts w:eastAsia="Times New Roman"/>
                      <w:sz w:val="21"/>
                      <w:szCs w:val="21"/>
                    </w:rPr>
                  </w:pPr>
                  <w:r>
                    <w:rPr>
                      <w:rFonts w:hint="eastAsia"/>
                      <w:sz w:val="21"/>
                      <w:szCs w:val="21"/>
                    </w:rPr>
                    <w:t>-</w:t>
                  </w:r>
                </w:p>
              </w:tc>
              <w:tc>
                <w:tcPr>
                  <w:tcW w:w="639" w:type="dxa"/>
                  <w:gridSpan w:val="2"/>
                  <w:vAlign w:val="center"/>
                </w:tcPr>
                <w:p>
                  <w:pPr>
                    <w:pStyle w:val="119"/>
                    <w:spacing w:line="240" w:lineRule="auto"/>
                    <w:jc w:val="center"/>
                    <w:rPr>
                      <w:rFonts w:eastAsia="Times New Roman"/>
                      <w:sz w:val="21"/>
                      <w:szCs w:val="21"/>
                    </w:rPr>
                  </w:pPr>
                  <w:r>
                    <w:rPr>
                      <w:sz w:val="21"/>
                      <w:szCs w:val="21"/>
                    </w:rPr>
                    <w:t>0.00</w:t>
                  </w:r>
                </w:p>
              </w:tc>
              <w:tc>
                <w:tcPr>
                  <w:tcW w:w="657" w:type="dxa"/>
                  <w:gridSpan w:val="2"/>
                  <w:vAlign w:val="center"/>
                </w:tcPr>
                <w:p>
                  <w:pPr>
                    <w:pStyle w:val="119"/>
                    <w:spacing w:line="240" w:lineRule="auto"/>
                    <w:jc w:val="center"/>
                    <w:rPr>
                      <w:rFonts w:eastAsia="Times New Roman"/>
                      <w:sz w:val="21"/>
                      <w:szCs w:val="21"/>
                    </w:rPr>
                  </w:pPr>
                  <w:r>
                    <w:rPr>
                      <w:sz w:val="21"/>
                      <w:szCs w:val="21"/>
                    </w:rPr>
                    <w:t>0.01</w:t>
                  </w:r>
                </w:p>
              </w:tc>
              <w:tc>
                <w:tcPr>
                  <w:tcW w:w="657"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813" w:type="dxa"/>
                  <w:gridSpan w:val="2"/>
                  <w:vAlign w:val="center"/>
                </w:tcPr>
                <w:p>
                  <w:pPr>
                    <w:pStyle w:val="119"/>
                    <w:spacing w:line="240" w:lineRule="auto"/>
                    <w:jc w:val="center"/>
                    <w:rPr>
                      <w:rFonts w:eastAsia="Times New Roman"/>
                      <w:sz w:val="21"/>
                      <w:szCs w:val="21"/>
                    </w:rPr>
                  </w:pPr>
                  <w:r>
                    <w:rPr>
                      <w:sz w:val="21"/>
                      <w:szCs w:val="21"/>
                    </w:rPr>
                    <w:t>0.03</w:t>
                  </w:r>
                </w:p>
              </w:tc>
              <w:tc>
                <w:tcPr>
                  <w:tcW w:w="726" w:type="dxa"/>
                  <w:gridSpan w:val="2"/>
                  <w:vAlign w:val="center"/>
                </w:tcPr>
                <w:p>
                  <w:pPr>
                    <w:pStyle w:val="119"/>
                    <w:spacing w:line="240" w:lineRule="auto"/>
                    <w:jc w:val="center"/>
                    <w:rPr>
                      <w:rFonts w:eastAsia="Times New Roman"/>
                      <w:sz w:val="21"/>
                      <w:szCs w:val="21"/>
                    </w:rPr>
                  </w:pPr>
                  <w:r>
                    <w:rPr>
                      <w:sz w:val="21"/>
                      <w:szCs w:val="21"/>
                    </w:rPr>
                    <w:t>0.01</w:t>
                  </w:r>
                </w:p>
              </w:tc>
              <w:tc>
                <w:tcPr>
                  <w:tcW w:w="668" w:type="dxa"/>
                  <w:vAlign w:val="center"/>
                </w:tcPr>
                <w:p>
                  <w:pPr>
                    <w:pStyle w:val="119"/>
                    <w:spacing w:line="240" w:lineRule="auto"/>
                    <w:jc w:val="center"/>
                    <w:rPr>
                      <w:rFonts w:eastAsia="Times New Roman"/>
                      <w:sz w:val="21"/>
                      <w:szCs w:val="21"/>
                    </w:rPr>
                  </w:pPr>
                  <w:r>
                    <w:rPr>
                      <w:sz w:val="21"/>
                      <w:szCs w:val="21"/>
                    </w:rPr>
                    <w:t>0.24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365" w:type="dxa"/>
                  <w:gridSpan w:val="2"/>
                  <w:vMerge w:val="restart"/>
                  <w:vAlign w:val="center"/>
                </w:tcPr>
                <w:p>
                  <w:pPr>
                    <w:pStyle w:val="119"/>
                    <w:spacing w:line="240" w:lineRule="auto"/>
                    <w:jc w:val="center"/>
                    <w:rPr>
                      <w:rFonts w:eastAsia="Times New Roman"/>
                      <w:sz w:val="21"/>
                      <w:szCs w:val="21"/>
                    </w:rPr>
                  </w:pPr>
                  <w:r>
                    <w:rPr>
                      <w:sz w:val="21"/>
                      <w:szCs w:val="21"/>
                    </w:rPr>
                    <w:t>W4</w:t>
                  </w:r>
                </w:p>
              </w:tc>
              <w:tc>
                <w:tcPr>
                  <w:tcW w:w="1203" w:type="dxa"/>
                  <w:gridSpan w:val="3"/>
                  <w:vAlign w:val="center"/>
                </w:tcPr>
                <w:p>
                  <w:pPr>
                    <w:pStyle w:val="119"/>
                    <w:spacing w:line="240" w:lineRule="auto"/>
                    <w:jc w:val="center"/>
                    <w:rPr>
                      <w:rFonts w:eastAsia="Times New Roman"/>
                      <w:sz w:val="21"/>
                      <w:szCs w:val="21"/>
                    </w:rPr>
                  </w:pPr>
                  <w:r>
                    <w:rPr>
                      <w:sz w:val="21"/>
                      <w:szCs w:val="21"/>
                    </w:rPr>
                    <w:t>2019.6.13</w:t>
                  </w:r>
                </w:p>
              </w:tc>
              <w:tc>
                <w:tcPr>
                  <w:tcW w:w="883"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916" w:type="dxa"/>
                  <w:gridSpan w:val="3"/>
                  <w:vAlign w:val="center"/>
                </w:tcPr>
                <w:p>
                  <w:pPr>
                    <w:pStyle w:val="119"/>
                    <w:spacing w:line="240" w:lineRule="auto"/>
                    <w:jc w:val="center"/>
                    <w:rPr>
                      <w:rFonts w:eastAsia="Times New Roman"/>
                      <w:sz w:val="21"/>
                      <w:szCs w:val="21"/>
                    </w:rPr>
                  </w:pPr>
                  <w:r>
                    <w:rPr>
                      <w:rFonts w:hint="eastAsia"/>
                      <w:sz w:val="21"/>
                      <w:szCs w:val="21"/>
                    </w:rPr>
                    <w:t>-</w:t>
                  </w:r>
                </w:p>
              </w:tc>
              <w:tc>
                <w:tcPr>
                  <w:tcW w:w="639" w:type="dxa"/>
                  <w:gridSpan w:val="2"/>
                  <w:vAlign w:val="center"/>
                </w:tcPr>
                <w:p>
                  <w:pPr>
                    <w:pStyle w:val="119"/>
                    <w:spacing w:line="240" w:lineRule="auto"/>
                    <w:jc w:val="center"/>
                    <w:rPr>
                      <w:rFonts w:eastAsia="Times New Roman"/>
                      <w:sz w:val="21"/>
                      <w:szCs w:val="21"/>
                    </w:rPr>
                  </w:pPr>
                  <w:r>
                    <w:rPr>
                      <w:sz w:val="21"/>
                      <w:szCs w:val="21"/>
                    </w:rPr>
                    <w:t>0.00</w:t>
                  </w:r>
                </w:p>
              </w:tc>
              <w:tc>
                <w:tcPr>
                  <w:tcW w:w="657" w:type="dxa"/>
                  <w:gridSpan w:val="2"/>
                  <w:vAlign w:val="center"/>
                </w:tcPr>
                <w:p>
                  <w:pPr>
                    <w:pStyle w:val="119"/>
                    <w:spacing w:line="240" w:lineRule="auto"/>
                    <w:jc w:val="center"/>
                    <w:rPr>
                      <w:rFonts w:eastAsia="Times New Roman"/>
                      <w:sz w:val="21"/>
                      <w:szCs w:val="21"/>
                    </w:rPr>
                  </w:pPr>
                  <w:r>
                    <w:rPr>
                      <w:sz w:val="21"/>
                      <w:szCs w:val="21"/>
                    </w:rPr>
                    <w:t>0.01</w:t>
                  </w:r>
                </w:p>
              </w:tc>
              <w:tc>
                <w:tcPr>
                  <w:tcW w:w="657"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813" w:type="dxa"/>
                  <w:gridSpan w:val="2"/>
                  <w:vAlign w:val="center"/>
                </w:tcPr>
                <w:p>
                  <w:pPr>
                    <w:pStyle w:val="119"/>
                    <w:spacing w:line="240" w:lineRule="auto"/>
                    <w:jc w:val="center"/>
                    <w:rPr>
                      <w:rFonts w:eastAsia="Times New Roman"/>
                      <w:sz w:val="21"/>
                      <w:szCs w:val="21"/>
                    </w:rPr>
                  </w:pPr>
                  <w:r>
                    <w:rPr>
                      <w:sz w:val="21"/>
                      <w:szCs w:val="21"/>
                    </w:rPr>
                    <w:t>0.03</w:t>
                  </w:r>
                </w:p>
              </w:tc>
              <w:tc>
                <w:tcPr>
                  <w:tcW w:w="726" w:type="dxa"/>
                  <w:gridSpan w:val="2"/>
                  <w:vAlign w:val="center"/>
                </w:tcPr>
                <w:p>
                  <w:pPr>
                    <w:pStyle w:val="119"/>
                    <w:spacing w:line="240" w:lineRule="auto"/>
                    <w:jc w:val="center"/>
                    <w:rPr>
                      <w:rFonts w:eastAsia="Times New Roman"/>
                      <w:sz w:val="21"/>
                      <w:szCs w:val="21"/>
                    </w:rPr>
                  </w:pPr>
                  <w:r>
                    <w:rPr>
                      <w:sz w:val="21"/>
                      <w:szCs w:val="21"/>
                    </w:rPr>
                    <w:t>0.00</w:t>
                  </w:r>
                </w:p>
              </w:tc>
              <w:tc>
                <w:tcPr>
                  <w:tcW w:w="668" w:type="dxa"/>
                  <w:vAlign w:val="center"/>
                </w:tcPr>
                <w:p>
                  <w:pPr>
                    <w:pStyle w:val="119"/>
                    <w:spacing w:line="240" w:lineRule="auto"/>
                    <w:jc w:val="center"/>
                    <w:rPr>
                      <w:rFonts w:eastAsia="Times New Roman"/>
                      <w:sz w:val="21"/>
                      <w:szCs w:val="21"/>
                    </w:rPr>
                  </w:pPr>
                  <w:r>
                    <w:rPr>
                      <w:sz w:val="21"/>
                      <w:szCs w:val="21"/>
                    </w:rPr>
                    <w:t>0.23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365" w:type="dxa"/>
                  <w:gridSpan w:val="2"/>
                  <w:vMerge w:val="continue"/>
                  <w:vAlign w:val="center"/>
                </w:tcPr>
                <w:p>
                  <w:pPr>
                    <w:spacing w:line="240" w:lineRule="auto"/>
                    <w:jc w:val="center"/>
                    <w:rPr>
                      <w:sz w:val="21"/>
                      <w:szCs w:val="21"/>
                    </w:rPr>
                  </w:pPr>
                </w:p>
              </w:tc>
              <w:tc>
                <w:tcPr>
                  <w:tcW w:w="1203" w:type="dxa"/>
                  <w:gridSpan w:val="3"/>
                  <w:vAlign w:val="center"/>
                </w:tcPr>
                <w:p>
                  <w:pPr>
                    <w:pStyle w:val="119"/>
                    <w:spacing w:line="240" w:lineRule="auto"/>
                    <w:jc w:val="center"/>
                    <w:rPr>
                      <w:rFonts w:eastAsia="Times New Roman"/>
                      <w:sz w:val="21"/>
                      <w:szCs w:val="21"/>
                    </w:rPr>
                  </w:pPr>
                  <w:r>
                    <w:rPr>
                      <w:sz w:val="21"/>
                      <w:szCs w:val="21"/>
                    </w:rPr>
                    <w:t>2019.6.14</w:t>
                  </w:r>
                </w:p>
              </w:tc>
              <w:tc>
                <w:tcPr>
                  <w:tcW w:w="883"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916" w:type="dxa"/>
                  <w:gridSpan w:val="3"/>
                  <w:vAlign w:val="center"/>
                </w:tcPr>
                <w:p>
                  <w:pPr>
                    <w:pStyle w:val="119"/>
                    <w:spacing w:line="240" w:lineRule="auto"/>
                    <w:jc w:val="center"/>
                    <w:rPr>
                      <w:rFonts w:eastAsia="Times New Roman"/>
                      <w:sz w:val="21"/>
                      <w:szCs w:val="21"/>
                    </w:rPr>
                  </w:pPr>
                  <w:r>
                    <w:rPr>
                      <w:rFonts w:hint="eastAsia"/>
                      <w:sz w:val="21"/>
                      <w:szCs w:val="21"/>
                    </w:rPr>
                    <w:t>-</w:t>
                  </w:r>
                </w:p>
              </w:tc>
              <w:tc>
                <w:tcPr>
                  <w:tcW w:w="639" w:type="dxa"/>
                  <w:gridSpan w:val="2"/>
                  <w:vAlign w:val="center"/>
                </w:tcPr>
                <w:p>
                  <w:pPr>
                    <w:pStyle w:val="119"/>
                    <w:spacing w:line="240" w:lineRule="auto"/>
                    <w:jc w:val="center"/>
                    <w:rPr>
                      <w:rFonts w:eastAsia="Times New Roman"/>
                      <w:sz w:val="21"/>
                      <w:szCs w:val="21"/>
                    </w:rPr>
                  </w:pPr>
                  <w:r>
                    <w:rPr>
                      <w:sz w:val="21"/>
                      <w:szCs w:val="21"/>
                    </w:rPr>
                    <w:t>0.00</w:t>
                  </w:r>
                </w:p>
              </w:tc>
              <w:tc>
                <w:tcPr>
                  <w:tcW w:w="657" w:type="dxa"/>
                  <w:gridSpan w:val="2"/>
                  <w:vAlign w:val="center"/>
                </w:tcPr>
                <w:p>
                  <w:pPr>
                    <w:pStyle w:val="119"/>
                    <w:spacing w:line="240" w:lineRule="auto"/>
                    <w:jc w:val="center"/>
                    <w:rPr>
                      <w:rFonts w:eastAsia="Times New Roman"/>
                      <w:sz w:val="21"/>
                      <w:szCs w:val="21"/>
                    </w:rPr>
                  </w:pPr>
                  <w:r>
                    <w:rPr>
                      <w:sz w:val="21"/>
                      <w:szCs w:val="21"/>
                    </w:rPr>
                    <w:t>0.01</w:t>
                  </w:r>
                </w:p>
              </w:tc>
              <w:tc>
                <w:tcPr>
                  <w:tcW w:w="657"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813" w:type="dxa"/>
                  <w:gridSpan w:val="2"/>
                  <w:vAlign w:val="center"/>
                </w:tcPr>
                <w:p>
                  <w:pPr>
                    <w:pStyle w:val="119"/>
                    <w:spacing w:line="240" w:lineRule="auto"/>
                    <w:jc w:val="center"/>
                    <w:rPr>
                      <w:rFonts w:eastAsia="Times New Roman"/>
                      <w:sz w:val="21"/>
                      <w:szCs w:val="21"/>
                    </w:rPr>
                  </w:pPr>
                  <w:r>
                    <w:rPr>
                      <w:sz w:val="21"/>
                      <w:szCs w:val="21"/>
                    </w:rPr>
                    <w:t>0.03</w:t>
                  </w:r>
                </w:p>
              </w:tc>
              <w:tc>
                <w:tcPr>
                  <w:tcW w:w="726" w:type="dxa"/>
                  <w:gridSpan w:val="2"/>
                  <w:vAlign w:val="center"/>
                </w:tcPr>
                <w:p>
                  <w:pPr>
                    <w:pStyle w:val="119"/>
                    <w:spacing w:line="240" w:lineRule="auto"/>
                    <w:jc w:val="center"/>
                    <w:rPr>
                      <w:rFonts w:eastAsia="Times New Roman"/>
                      <w:sz w:val="21"/>
                      <w:szCs w:val="21"/>
                    </w:rPr>
                  </w:pPr>
                  <w:r>
                    <w:rPr>
                      <w:sz w:val="21"/>
                      <w:szCs w:val="21"/>
                    </w:rPr>
                    <w:t>0.00</w:t>
                  </w:r>
                </w:p>
              </w:tc>
              <w:tc>
                <w:tcPr>
                  <w:tcW w:w="668" w:type="dxa"/>
                  <w:vAlign w:val="center"/>
                </w:tcPr>
                <w:p>
                  <w:pPr>
                    <w:pStyle w:val="119"/>
                    <w:spacing w:line="240" w:lineRule="auto"/>
                    <w:jc w:val="center"/>
                    <w:rPr>
                      <w:rFonts w:eastAsia="Times New Roman"/>
                      <w:sz w:val="21"/>
                      <w:szCs w:val="21"/>
                    </w:rPr>
                  </w:pPr>
                  <w:r>
                    <w:rPr>
                      <w:sz w:val="21"/>
                      <w:szCs w:val="21"/>
                    </w:rPr>
                    <w:t>0.24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365" w:type="dxa"/>
                  <w:gridSpan w:val="2"/>
                  <w:vMerge w:val="continue"/>
                  <w:vAlign w:val="center"/>
                </w:tcPr>
                <w:p>
                  <w:pPr>
                    <w:spacing w:line="240" w:lineRule="auto"/>
                    <w:jc w:val="center"/>
                    <w:rPr>
                      <w:sz w:val="21"/>
                      <w:szCs w:val="21"/>
                    </w:rPr>
                  </w:pPr>
                </w:p>
              </w:tc>
              <w:tc>
                <w:tcPr>
                  <w:tcW w:w="1203" w:type="dxa"/>
                  <w:gridSpan w:val="3"/>
                  <w:vAlign w:val="center"/>
                </w:tcPr>
                <w:p>
                  <w:pPr>
                    <w:pStyle w:val="119"/>
                    <w:spacing w:line="240" w:lineRule="auto"/>
                    <w:jc w:val="center"/>
                    <w:rPr>
                      <w:rFonts w:eastAsia="Times New Roman"/>
                      <w:sz w:val="21"/>
                      <w:szCs w:val="21"/>
                    </w:rPr>
                  </w:pPr>
                  <w:r>
                    <w:rPr>
                      <w:sz w:val="21"/>
                      <w:szCs w:val="21"/>
                    </w:rPr>
                    <w:t>2019.6.15</w:t>
                  </w:r>
                </w:p>
              </w:tc>
              <w:tc>
                <w:tcPr>
                  <w:tcW w:w="883"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916" w:type="dxa"/>
                  <w:gridSpan w:val="3"/>
                  <w:vAlign w:val="center"/>
                </w:tcPr>
                <w:p>
                  <w:pPr>
                    <w:pStyle w:val="119"/>
                    <w:spacing w:line="240" w:lineRule="auto"/>
                    <w:jc w:val="center"/>
                    <w:rPr>
                      <w:rFonts w:eastAsia="Times New Roman"/>
                      <w:sz w:val="21"/>
                      <w:szCs w:val="21"/>
                    </w:rPr>
                  </w:pPr>
                  <w:r>
                    <w:rPr>
                      <w:rFonts w:hint="eastAsia"/>
                      <w:sz w:val="21"/>
                      <w:szCs w:val="21"/>
                    </w:rPr>
                    <w:t>-</w:t>
                  </w:r>
                </w:p>
              </w:tc>
              <w:tc>
                <w:tcPr>
                  <w:tcW w:w="639" w:type="dxa"/>
                  <w:gridSpan w:val="2"/>
                  <w:vAlign w:val="center"/>
                </w:tcPr>
                <w:p>
                  <w:pPr>
                    <w:pStyle w:val="119"/>
                    <w:spacing w:line="240" w:lineRule="auto"/>
                    <w:jc w:val="center"/>
                    <w:rPr>
                      <w:rFonts w:eastAsia="Times New Roman"/>
                      <w:sz w:val="21"/>
                      <w:szCs w:val="21"/>
                    </w:rPr>
                  </w:pPr>
                  <w:r>
                    <w:rPr>
                      <w:sz w:val="21"/>
                      <w:szCs w:val="21"/>
                    </w:rPr>
                    <w:t>0.00</w:t>
                  </w:r>
                </w:p>
              </w:tc>
              <w:tc>
                <w:tcPr>
                  <w:tcW w:w="657" w:type="dxa"/>
                  <w:gridSpan w:val="2"/>
                  <w:vAlign w:val="center"/>
                </w:tcPr>
                <w:p>
                  <w:pPr>
                    <w:pStyle w:val="119"/>
                    <w:spacing w:line="240" w:lineRule="auto"/>
                    <w:jc w:val="center"/>
                    <w:rPr>
                      <w:rFonts w:eastAsia="Times New Roman"/>
                      <w:sz w:val="21"/>
                      <w:szCs w:val="21"/>
                    </w:rPr>
                  </w:pPr>
                  <w:r>
                    <w:rPr>
                      <w:sz w:val="21"/>
                      <w:szCs w:val="21"/>
                    </w:rPr>
                    <w:t>0.01</w:t>
                  </w:r>
                </w:p>
              </w:tc>
              <w:tc>
                <w:tcPr>
                  <w:tcW w:w="657"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813" w:type="dxa"/>
                  <w:gridSpan w:val="2"/>
                  <w:vAlign w:val="center"/>
                </w:tcPr>
                <w:p>
                  <w:pPr>
                    <w:pStyle w:val="119"/>
                    <w:spacing w:line="240" w:lineRule="auto"/>
                    <w:jc w:val="center"/>
                    <w:rPr>
                      <w:rFonts w:eastAsia="Times New Roman"/>
                      <w:sz w:val="21"/>
                      <w:szCs w:val="21"/>
                    </w:rPr>
                  </w:pPr>
                  <w:r>
                    <w:rPr>
                      <w:sz w:val="21"/>
                      <w:szCs w:val="21"/>
                    </w:rPr>
                    <w:t>0.03</w:t>
                  </w:r>
                </w:p>
              </w:tc>
              <w:tc>
                <w:tcPr>
                  <w:tcW w:w="726" w:type="dxa"/>
                  <w:gridSpan w:val="2"/>
                  <w:vAlign w:val="center"/>
                </w:tcPr>
                <w:p>
                  <w:pPr>
                    <w:pStyle w:val="119"/>
                    <w:spacing w:line="240" w:lineRule="auto"/>
                    <w:jc w:val="center"/>
                    <w:rPr>
                      <w:rFonts w:eastAsia="Times New Roman"/>
                      <w:sz w:val="21"/>
                      <w:szCs w:val="21"/>
                    </w:rPr>
                  </w:pPr>
                  <w:r>
                    <w:rPr>
                      <w:sz w:val="21"/>
                      <w:szCs w:val="21"/>
                    </w:rPr>
                    <w:t>0.00</w:t>
                  </w:r>
                </w:p>
              </w:tc>
              <w:tc>
                <w:tcPr>
                  <w:tcW w:w="668" w:type="dxa"/>
                  <w:vAlign w:val="center"/>
                </w:tcPr>
                <w:p>
                  <w:pPr>
                    <w:pStyle w:val="119"/>
                    <w:spacing w:line="240" w:lineRule="auto"/>
                    <w:jc w:val="center"/>
                    <w:rPr>
                      <w:rFonts w:eastAsia="Times New Roman"/>
                      <w:sz w:val="21"/>
                      <w:szCs w:val="21"/>
                    </w:rPr>
                  </w:pPr>
                  <w:r>
                    <w:rPr>
                      <w:sz w:val="21"/>
                      <w:szCs w:val="21"/>
                    </w:rPr>
                    <w:t>0.24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365" w:type="dxa"/>
                  <w:gridSpan w:val="2"/>
                  <w:vMerge w:val="restart"/>
                  <w:vAlign w:val="center"/>
                </w:tcPr>
                <w:p>
                  <w:pPr>
                    <w:pStyle w:val="119"/>
                    <w:spacing w:line="240" w:lineRule="auto"/>
                    <w:jc w:val="center"/>
                    <w:rPr>
                      <w:rFonts w:eastAsia="Times New Roman"/>
                      <w:sz w:val="21"/>
                      <w:szCs w:val="21"/>
                    </w:rPr>
                  </w:pPr>
                  <w:r>
                    <w:rPr>
                      <w:sz w:val="21"/>
                      <w:szCs w:val="21"/>
                    </w:rPr>
                    <w:t>W5</w:t>
                  </w:r>
                </w:p>
              </w:tc>
              <w:tc>
                <w:tcPr>
                  <w:tcW w:w="1203" w:type="dxa"/>
                  <w:gridSpan w:val="3"/>
                  <w:vAlign w:val="center"/>
                </w:tcPr>
                <w:p>
                  <w:pPr>
                    <w:pStyle w:val="119"/>
                    <w:spacing w:line="240" w:lineRule="auto"/>
                    <w:jc w:val="center"/>
                    <w:rPr>
                      <w:rFonts w:eastAsia="Times New Roman"/>
                      <w:sz w:val="21"/>
                      <w:szCs w:val="21"/>
                    </w:rPr>
                  </w:pPr>
                  <w:r>
                    <w:rPr>
                      <w:sz w:val="21"/>
                      <w:szCs w:val="21"/>
                    </w:rPr>
                    <w:t>2019.6.13</w:t>
                  </w:r>
                </w:p>
              </w:tc>
              <w:tc>
                <w:tcPr>
                  <w:tcW w:w="883"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916" w:type="dxa"/>
                  <w:gridSpan w:val="3"/>
                  <w:vAlign w:val="center"/>
                </w:tcPr>
                <w:p>
                  <w:pPr>
                    <w:pStyle w:val="119"/>
                    <w:spacing w:line="240" w:lineRule="auto"/>
                    <w:jc w:val="center"/>
                    <w:rPr>
                      <w:rFonts w:eastAsia="Times New Roman"/>
                      <w:sz w:val="21"/>
                      <w:szCs w:val="21"/>
                    </w:rPr>
                  </w:pPr>
                  <w:r>
                    <w:rPr>
                      <w:rFonts w:hint="eastAsia"/>
                      <w:sz w:val="21"/>
                      <w:szCs w:val="21"/>
                    </w:rPr>
                    <w:t>-</w:t>
                  </w:r>
                </w:p>
              </w:tc>
              <w:tc>
                <w:tcPr>
                  <w:tcW w:w="639" w:type="dxa"/>
                  <w:gridSpan w:val="2"/>
                  <w:vAlign w:val="center"/>
                </w:tcPr>
                <w:p>
                  <w:pPr>
                    <w:pStyle w:val="119"/>
                    <w:spacing w:line="240" w:lineRule="auto"/>
                    <w:jc w:val="center"/>
                    <w:rPr>
                      <w:rFonts w:eastAsia="Times New Roman"/>
                      <w:sz w:val="21"/>
                      <w:szCs w:val="21"/>
                    </w:rPr>
                  </w:pPr>
                  <w:r>
                    <w:rPr>
                      <w:sz w:val="21"/>
                      <w:szCs w:val="21"/>
                    </w:rPr>
                    <w:t>0.00</w:t>
                  </w:r>
                </w:p>
              </w:tc>
              <w:tc>
                <w:tcPr>
                  <w:tcW w:w="657" w:type="dxa"/>
                  <w:gridSpan w:val="2"/>
                  <w:vAlign w:val="center"/>
                </w:tcPr>
                <w:p>
                  <w:pPr>
                    <w:pStyle w:val="119"/>
                    <w:spacing w:line="240" w:lineRule="auto"/>
                    <w:jc w:val="center"/>
                    <w:rPr>
                      <w:rFonts w:eastAsia="Times New Roman"/>
                      <w:sz w:val="21"/>
                      <w:szCs w:val="21"/>
                    </w:rPr>
                  </w:pPr>
                  <w:r>
                    <w:rPr>
                      <w:sz w:val="21"/>
                      <w:szCs w:val="21"/>
                    </w:rPr>
                    <w:t>0.01</w:t>
                  </w:r>
                </w:p>
              </w:tc>
              <w:tc>
                <w:tcPr>
                  <w:tcW w:w="657"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813" w:type="dxa"/>
                  <w:gridSpan w:val="2"/>
                  <w:vAlign w:val="center"/>
                </w:tcPr>
                <w:p>
                  <w:pPr>
                    <w:pStyle w:val="119"/>
                    <w:spacing w:line="240" w:lineRule="auto"/>
                    <w:jc w:val="center"/>
                    <w:rPr>
                      <w:rFonts w:eastAsia="Times New Roman"/>
                      <w:sz w:val="21"/>
                      <w:szCs w:val="21"/>
                    </w:rPr>
                  </w:pPr>
                  <w:r>
                    <w:rPr>
                      <w:sz w:val="21"/>
                      <w:szCs w:val="21"/>
                    </w:rPr>
                    <w:t>0.04</w:t>
                  </w:r>
                </w:p>
              </w:tc>
              <w:tc>
                <w:tcPr>
                  <w:tcW w:w="726" w:type="dxa"/>
                  <w:gridSpan w:val="2"/>
                  <w:vAlign w:val="center"/>
                </w:tcPr>
                <w:p>
                  <w:pPr>
                    <w:pStyle w:val="119"/>
                    <w:spacing w:line="240" w:lineRule="auto"/>
                    <w:jc w:val="center"/>
                    <w:rPr>
                      <w:rFonts w:eastAsia="Times New Roman"/>
                      <w:sz w:val="21"/>
                      <w:szCs w:val="21"/>
                    </w:rPr>
                  </w:pPr>
                  <w:r>
                    <w:rPr>
                      <w:sz w:val="21"/>
                      <w:szCs w:val="21"/>
                    </w:rPr>
                    <w:t>0.01</w:t>
                  </w:r>
                </w:p>
              </w:tc>
              <w:tc>
                <w:tcPr>
                  <w:tcW w:w="668" w:type="dxa"/>
                  <w:vAlign w:val="center"/>
                </w:tcPr>
                <w:p>
                  <w:pPr>
                    <w:pStyle w:val="119"/>
                    <w:spacing w:line="240" w:lineRule="auto"/>
                    <w:jc w:val="center"/>
                    <w:rPr>
                      <w:rFonts w:eastAsia="Times New Roman"/>
                      <w:sz w:val="21"/>
                      <w:szCs w:val="21"/>
                    </w:rPr>
                  </w:pPr>
                  <w:r>
                    <w:rPr>
                      <w:sz w:val="21"/>
                      <w:szCs w:val="21"/>
                    </w:rPr>
                    <w:t>0.30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365" w:type="dxa"/>
                  <w:gridSpan w:val="2"/>
                  <w:vMerge w:val="continue"/>
                  <w:vAlign w:val="center"/>
                </w:tcPr>
                <w:p>
                  <w:pPr>
                    <w:spacing w:line="240" w:lineRule="auto"/>
                    <w:jc w:val="center"/>
                    <w:rPr>
                      <w:sz w:val="21"/>
                      <w:szCs w:val="21"/>
                    </w:rPr>
                  </w:pPr>
                </w:p>
              </w:tc>
              <w:tc>
                <w:tcPr>
                  <w:tcW w:w="1203" w:type="dxa"/>
                  <w:gridSpan w:val="3"/>
                  <w:vAlign w:val="center"/>
                </w:tcPr>
                <w:p>
                  <w:pPr>
                    <w:pStyle w:val="119"/>
                    <w:spacing w:line="240" w:lineRule="auto"/>
                    <w:jc w:val="center"/>
                    <w:rPr>
                      <w:rFonts w:eastAsia="Times New Roman"/>
                      <w:sz w:val="21"/>
                      <w:szCs w:val="21"/>
                    </w:rPr>
                  </w:pPr>
                  <w:r>
                    <w:rPr>
                      <w:sz w:val="21"/>
                      <w:szCs w:val="21"/>
                    </w:rPr>
                    <w:t>2019.6.14</w:t>
                  </w:r>
                </w:p>
              </w:tc>
              <w:tc>
                <w:tcPr>
                  <w:tcW w:w="883"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916" w:type="dxa"/>
                  <w:gridSpan w:val="3"/>
                  <w:vAlign w:val="center"/>
                </w:tcPr>
                <w:p>
                  <w:pPr>
                    <w:pStyle w:val="119"/>
                    <w:spacing w:line="240" w:lineRule="auto"/>
                    <w:jc w:val="center"/>
                    <w:rPr>
                      <w:rFonts w:eastAsia="Times New Roman"/>
                      <w:sz w:val="21"/>
                      <w:szCs w:val="21"/>
                    </w:rPr>
                  </w:pPr>
                  <w:r>
                    <w:rPr>
                      <w:rFonts w:hint="eastAsia"/>
                      <w:sz w:val="21"/>
                      <w:szCs w:val="21"/>
                    </w:rPr>
                    <w:t>-</w:t>
                  </w:r>
                </w:p>
              </w:tc>
              <w:tc>
                <w:tcPr>
                  <w:tcW w:w="639" w:type="dxa"/>
                  <w:gridSpan w:val="2"/>
                  <w:vAlign w:val="center"/>
                </w:tcPr>
                <w:p>
                  <w:pPr>
                    <w:pStyle w:val="119"/>
                    <w:spacing w:line="240" w:lineRule="auto"/>
                    <w:jc w:val="center"/>
                    <w:rPr>
                      <w:rFonts w:eastAsia="Times New Roman"/>
                      <w:sz w:val="21"/>
                      <w:szCs w:val="21"/>
                    </w:rPr>
                  </w:pPr>
                  <w:r>
                    <w:rPr>
                      <w:sz w:val="21"/>
                      <w:szCs w:val="21"/>
                    </w:rPr>
                    <w:t>0.00</w:t>
                  </w:r>
                </w:p>
              </w:tc>
              <w:tc>
                <w:tcPr>
                  <w:tcW w:w="657" w:type="dxa"/>
                  <w:gridSpan w:val="2"/>
                  <w:vAlign w:val="center"/>
                </w:tcPr>
                <w:p>
                  <w:pPr>
                    <w:pStyle w:val="119"/>
                    <w:spacing w:line="240" w:lineRule="auto"/>
                    <w:jc w:val="center"/>
                    <w:rPr>
                      <w:rFonts w:eastAsia="Times New Roman"/>
                      <w:sz w:val="21"/>
                      <w:szCs w:val="21"/>
                    </w:rPr>
                  </w:pPr>
                  <w:r>
                    <w:rPr>
                      <w:sz w:val="21"/>
                      <w:szCs w:val="21"/>
                    </w:rPr>
                    <w:t>0.01</w:t>
                  </w:r>
                </w:p>
              </w:tc>
              <w:tc>
                <w:tcPr>
                  <w:tcW w:w="657"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813" w:type="dxa"/>
                  <w:gridSpan w:val="2"/>
                  <w:vAlign w:val="center"/>
                </w:tcPr>
                <w:p>
                  <w:pPr>
                    <w:pStyle w:val="119"/>
                    <w:spacing w:line="240" w:lineRule="auto"/>
                    <w:jc w:val="center"/>
                    <w:rPr>
                      <w:rFonts w:eastAsia="Times New Roman"/>
                      <w:sz w:val="21"/>
                      <w:szCs w:val="21"/>
                    </w:rPr>
                  </w:pPr>
                  <w:r>
                    <w:rPr>
                      <w:sz w:val="21"/>
                      <w:szCs w:val="21"/>
                    </w:rPr>
                    <w:t>0.04</w:t>
                  </w:r>
                </w:p>
              </w:tc>
              <w:tc>
                <w:tcPr>
                  <w:tcW w:w="726" w:type="dxa"/>
                  <w:gridSpan w:val="2"/>
                  <w:vAlign w:val="center"/>
                </w:tcPr>
                <w:p>
                  <w:pPr>
                    <w:pStyle w:val="119"/>
                    <w:spacing w:line="240" w:lineRule="auto"/>
                    <w:jc w:val="center"/>
                    <w:rPr>
                      <w:rFonts w:eastAsia="Times New Roman"/>
                      <w:sz w:val="21"/>
                      <w:szCs w:val="21"/>
                    </w:rPr>
                  </w:pPr>
                  <w:r>
                    <w:rPr>
                      <w:sz w:val="21"/>
                      <w:szCs w:val="21"/>
                    </w:rPr>
                    <w:t>0.01</w:t>
                  </w:r>
                </w:p>
              </w:tc>
              <w:tc>
                <w:tcPr>
                  <w:tcW w:w="668" w:type="dxa"/>
                  <w:vAlign w:val="center"/>
                </w:tcPr>
                <w:p>
                  <w:pPr>
                    <w:pStyle w:val="119"/>
                    <w:spacing w:line="240" w:lineRule="auto"/>
                    <w:jc w:val="center"/>
                    <w:rPr>
                      <w:rFonts w:eastAsia="Times New Roman"/>
                      <w:sz w:val="21"/>
                      <w:szCs w:val="21"/>
                    </w:rPr>
                  </w:pPr>
                  <w:r>
                    <w:rPr>
                      <w:sz w:val="21"/>
                      <w:szCs w:val="21"/>
                    </w:rPr>
                    <w:t>0.32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1365" w:type="dxa"/>
                  <w:gridSpan w:val="2"/>
                  <w:vMerge w:val="continue"/>
                  <w:vAlign w:val="center"/>
                </w:tcPr>
                <w:p>
                  <w:pPr>
                    <w:spacing w:line="240" w:lineRule="auto"/>
                    <w:jc w:val="center"/>
                    <w:rPr>
                      <w:sz w:val="21"/>
                      <w:szCs w:val="21"/>
                    </w:rPr>
                  </w:pPr>
                </w:p>
              </w:tc>
              <w:tc>
                <w:tcPr>
                  <w:tcW w:w="1203" w:type="dxa"/>
                  <w:gridSpan w:val="3"/>
                  <w:vAlign w:val="center"/>
                </w:tcPr>
                <w:p>
                  <w:pPr>
                    <w:pStyle w:val="119"/>
                    <w:spacing w:line="240" w:lineRule="auto"/>
                    <w:jc w:val="center"/>
                    <w:rPr>
                      <w:rFonts w:eastAsia="Times New Roman"/>
                      <w:sz w:val="21"/>
                      <w:szCs w:val="21"/>
                    </w:rPr>
                  </w:pPr>
                  <w:r>
                    <w:rPr>
                      <w:sz w:val="21"/>
                      <w:szCs w:val="21"/>
                    </w:rPr>
                    <w:t>2019.6.15</w:t>
                  </w:r>
                </w:p>
              </w:tc>
              <w:tc>
                <w:tcPr>
                  <w:tcW w:w="883"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916" w:type="dxa"/>
                  <w:gridSpan w:val="3"/>
                  <w:vAlign w:val="center"/>
                </w:tcPr>
                <w:p>
                  <w:pPr>
                    <w:pStyle w:val="119"/>
                    <w:spacing w:line="240" w:lineRule="auto"/>
                    <w:jc w:val="center"/>
                    <w:rPr>
                      <w:rFonts w:eastAsia="Times New Roman"/>
                      <w:sz w:val="21"/>
                      <w:szCs w:val="21"/>
                    </w:rPr>
                  </w:pPr>
                  <w:r>
                    <w:rPr>
                      <w:rFonts w:hint="eastAsia"/>
                      <w:sz w:val="21"/>
                      <w:szCs w:val="21"/>
                    </w:rPr>
                    <w:t>-</w:t>
                  </w:r>
                </w:p>
              </w:tc>
              <w:tc>
                <w:tcPr>
                  <w:tcW w:w="639" w:type="dxa"/>
                  <w:gridSpan w:val="2"/>
                  <w:vAlign w:val="center"/>
                </w:tcPr>
                <w:p>
                  <w:pPr>
                    <w:pStyle w:val="119"/>
                    <w:spacing w:line="240" w:lineRule="auto"/>
                    <w:jc w:val="center"/>
                    <w:rPr>
                      <w:rFonts w:eastAsia="Times New Roman"/>
                      <w:sz w:val="21"/>
                      <w:szCs w:val="21"/>
                    </w:rPr>
                  </w:pPr>
                  <w:r>
                    <w:rPr>
                      <w:sz w:val="21"/>
                      <w:szCs w:val="21"/>
                    </w:rPr>
                    <w:t>0.00</w:t>
                  </w:r>
                </w:p>
              </w:tc>
              <w:tc>
                <w:tcPr>
                  <w:tcW w:w="657" w:type="dxa"/>
                  <w:gridSpan w:val="2"/>
                  <w:vAlign w:val="center"/>
                </w:tcPr>
                <w:p>
                  <w:pPr>
                    <w:pStyle w:val="119"/>
                    <w:spacing w:line="240" w:lineRule="auto"/>
                    <w:jc w:val="center"/>
                    <w:rPr>
                      <w:rFonts w:eastAsia="Times New Roman"/>
                      <w:sz w:val="21"/>
                      <w:szCs w:val="21"/>
                    </w:rPr>
                  </w:pPr>
                  <w:r>
                    <w:rPr>
                      <w:sz w:val="21"/>
                      <w:szCs w:val="21"/>
                    </w:rPr>
                    <w:t>0.01</w:t>
                  </w:r>
                </w:p>
              </w:tc>
              <w:tc>
                <w:tcPr>
                  <w:tcW w:w="657" w:type="dxa"/>
                  <w:gridSpan w:val="2"/>
                  <w:vAlign w:val="center"/>
                </w:tcPr>
                <w:p>
                  <w:pPr>
                    <w:pStyle w:val="119"/>
                    <w:spacing w:line="240" w:lineRule="auto"/>
                    <w:jc w:val="center"/>
                    <w:rPr>
                      <w:rFonts w:eastAsia="Times New Roman"/>
                      <w:sz w:val="21"/>
                      <w:szCs w:val="21"/>
                    </w:rPr>
                  </w:pPr>
                  <w:r>
                    <w:rPr>
                      <w:rFonts w:hint="eastAsia"/>
                      <w:sz w:val="21"/>
                      <w:szCs w:val="21"/>
                    </w:rPr>
                    <w:t>-</w:t>
                  </w:r>
                </w:p>
              </w:tc>
              <w:tc>
                <w:tcPr>
                  <w:tcW w:w="813" w:type="dxa"/>
                  <w:gridSpan w:val="2"/>
                  <w:vAlign w:val="center"/>
                </w:tcPr>
                <w:p>
                  <w:pPr>
                    <w:pStyle w:val="119"/>
                    <w:spacing w:line="240" w:lineRule="auto"/>
                    <w:jc w:val="center"/>
                    <w:rPr>
                      <w:rFonts w:eastAsia="Times New Roman"/>
                      <w:sz w:val="21"/>
                      <w:szCs w:val="21"/>
                    </w:rPr>
                  </w:pPr>
                  <w:r>
                    <w:rPr>
                      <w:sz w:val="21"/>
                      <w:szCs w:val="21"/>
                    </w:rPr>
                    <w:t>0.04</w:t>
                  </w:r>
                </w:p>
              </w:tc>
              <w:tc>
                <w:tcPr>
                  <w:tcW w:w="726" w:type="dxa"/>
                  <w:gridSpan w:val="2"/>
                  <w:vAlign w:val="center"/>
                </w:tcPr>
                <w:p>
                  <w:pPr>
                    <w:pStyle w:val="119"/>
                    <w:spacing w:line="240" w:lineRule="auto"/>
                    <w:jc w:val="center"/>
                    <w:rPr>
                      <w:rFonts w:eastAsia="Times New Roman"/>
                      <w:sz w:val="21"/>
                      <w:szCs w:val="21"/>
                    </w:rPr>
                  </w:pPr>
                  <w:r>
                    <w:rPr>
                      <w:sz w:val="21"/>
                      <w:szCs w:val="21"/>
                    </w:rPr>
                    <w:t>0.01</w:t>
                  </w:r>
                </w:p>
              </w:tc>
              <w:tc>
                <w:tcPr>
                  <w:tcW w:w="668" w:type="dxa"/>
                  <w:vAlign w:val="center"/>
                </w:tcPr>
                <w:p>
                  <w:pPr>
                    <w:pStyle w:val="119"/>
                    <w:spacing w:line="240" w:lineRule="auto"/>
                    <w:jc w:val="center"/>
                    <w:rPr>
                      <w:rFonts w:eastAsia="Times New Roman"/>
                      <w:sz w:val="21"/>
                      <w:szCs w:val="21"/>
                    </w:rPr>
                  </w:pPr>
                  <w:r>
                    <w:rPr>
                      <w:sz w:val="21"/>
                      <w:szCs w:val="21"/>
                    </w:rPr>
                    <w:t>0.31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69" w:hRule="atLeast"/>
                <w:jc w:val="center"/>
              </w:trPr>
              <w:tc>
                <w:tcPr>
                  <w:tcW w:w="8527" w:type="dxa"/>
                  <w:gridSpan w:val="21"/>
                  <w:vAlign w:val="center"/>
                </w:tcPr>
                <w:p>
                  <w:pPr>
                    <w:pStyle w:val="119"/>
                    <w:spacing w:line="240" w:lineRule="auto"/>
                    <w:rPr>
                      <w:sz w:val="21"/>
                      <w:szCs w:val="21"/>
                    </w:rPr>
                  </w:pPr>
                  <w:r>
                    <w:rPr>
                      <w:rFonts w:hint="eastAsia"/>
                      <w:sz w:val="21"/>
                      <w:szCs w:val="21"/>
                    </w:rPr>
                    <w:t>备注：“-”表示该污染物未检出或低于检出限，不需计算。</w:t>
                  </w:r>
                </w:p>
              </w:tc>
            </w:tr>
          </w:tbl>
          <w:p>
            <w:pPr>
              <w:ind w:firstLine="480" w:firstLineChars="200"/>
              <w:jc w:val="left"/>
              <w:rPr>
                <w:bCs/>
                <w:sz w:val="24"/>
              </w:rPr>
            </w:pPr>
            <w:r>
              <w:rPr>
                <w:bCs/>
                <w:sz w:val="24"/>
              </w:rPr>
              <w:t>监测结果表明，监测断面W3螺河汇入处上游 500m、W4螺河汇入处上游 3000m、W5螺河汇入处下游 500m各指标均能达到《地表水环境质量标准》（GB3838-2002）Ⅱ类标准，南北溪监测断面W1河口镇污水处理厂排污口汇入南北溪上游 500m、W2河口镇污水处理厂排污口汇入南北溪下游 1000m各指标均能达到《地表水环境质量标准》（GB3838-2002）Ⅲ类标准，区域水环境质量现状良好。</w:t>
            </w:r>
          </w:p>
          <w:p>
            <w:pPr>
              <w:ind w:firstLine="482" w:firstLineChars="200"/>
              <w:jc w:val="left"/>
              <w:rPr>
                <w:b/>
                <w:sz w:val="24"/>
              </w:rPr>
            </w:pPr>
            <w:r>
              <w:rPr>
                <w:b/>
                <w:sz w:val="24"/>
              </w:rPr>
              <w:t>2、环境空气质量现状</w:t>
            </w:r>
          </w:p>
          <w:p>
            <w:pPr>
              <w:ind w:firstLine="482" w:firstLineChars="200"/>
              <w:jc w:val="left"/>
              <w:rPr>
                <w:b/>
                <w:sz w:val="24"/>
              </w:rPr>
            </w:pPr>
            <w:r>
              <w:rPr>
                <w:b/>
                <w:sz w:val="24"/>
              </w:rPr>
              <w:t>（1）空气质量达标情况</w:t>
            </w:r>
          </w:p>
          <w:p>
            <w:pPr>
              <w:ind w:firstLine="480" w:firstLineChars="200"/>
              <w:jc w:val="left"/>
              <w:rPr>
                <w:bCs/>
                <w:sz w:val="24"/>
              </w:rPr>
            </w:pPr>
            <w:r>
              <w:rPr>
                <w:rFonts w:hint="eastAsia"/>
                <w:bCs/>
                <w:sz w:val="24"/>
              </w:rPr>
              <w:t>根据《陆河县环境保护规划暨陆河县重点生态功能区保护与建设规划》（2017-2030年），项目选址属于环境空气二类功能区。</w:t>
            </w:r>
          </w:p>
          <w:p>
            <w:pPr>
              <w:ind w:firstLine="480" w:firstLineChars="200"/>
              <w:jc w:val="left"/>
              <w:rPr>
                <w:bCs/>
                <w:sz w:val="24"/>
              </w:rPr>
            </w:pPr>
            <w:r>
              <w:rPr>
                <w:bCs/>
                <w:sz w:val="24"/>
              </w:rPr>
              <w:t>根据《2019年汕尾市生态环境状况公报》，2019年汕尾市全市生态环境质量继续保持良好，城市空气质量6项污染物年评价浓度均达到国家二级标准，说明项目所在</w:t>
            </w:r>
            <w:r>
              <w:rPr>
                <w:rFonts w:hint="eastAsia"/>
                <w:bCs/>
                <w:sz w:val="24"/>
              </w:rPr>
              <w:t>区域</w:t>
            </w:r>
            <w:r>
              <w:rPr>
                <w:bCs/>
                <w:sz w:val="24"/>
              </w:rPr>
              <w:t>环境空气质量现状良好，属于达标区。</w:t>
            </w:r>
          </w:p>
          <w:p>
            <w:pPr>
              <w:pStyle w:val="169"/>
              <w:spacing w:line="240" w:lineRule="auto"/>
              <w:rPr>
                <w:rFonts w:hint="default" w:hAnsi="Times New Roman" w:eastAsiaTheme="minorEastAsia"/>
                <w:sz w:val="24"/>
                <w:szCs w:val="24"/>
              </w:rPr>
            </w:pPr>
            <w:r>
              <w:rPr>
                <w:rFonts w:hAnsi="Times New Roman" w:eastAsiaTheme="minorEastAsia"/>
                <w:sz w:val="24"/>
                <w:szCs w:val="24"/>
              </w:rPr>
              <w:t>表3-4</w:t>
            </w:r>
            <w:r>
              <w:rPr>
                <w:rFonts w:hint="default" w:hAnsi="Times New Roman" w:eastAsiaTheme="minorEastAsia"/>
                <w:sz w:val="24"/>
                <w:szCs w:val="24"/>
              </w:rPr>
              <w:t xml:space="preserve">  </w:t>
            </w:r>
            <w:r>
              <w:rPr>
                <w:rFonts w:hAnsi="Times New Roman" w:eastAsiaTheme="minorEastAsia"/>
                <w:sz w:val="24"/>
                <w:szCs w:val="24"/>
              </w:rPr>
              <w:t>2019年汕尾市空气质量现状评价表</w:t>
            </w:r>
          </w:p>
          <w:tbl>
            <w:tblPr>
              <w:tblStyle w:val="4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8"/>
              <w:gridCol w:w="2691"/>
              <w:gridCol w:w="1134"/>
              <w:gridCol w:w="1417"/>
              <w:gridCol w:w="1276"/>
              <w:gridCol w:w="11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8" w:type="dxa"/>
                  <w:tcBorders>
                    <w:tl2br w:val="nil"/>
                    <w:tr2bl w:val="nil"/>
                  </w:tcBorders>
                  <w:vAlign w:val="center"/>
                </w:tcPr>
                <w:p>
                  <w:pPr>
                    <w:spacing w:line="240" w:lineRule="auto"/>
                    <w:jc w:val="center"/>
                    <w:rPr>
                      <w:b/>
                      <w:bCs/>
                      <w:kern w:val="1"/>
                      <w:sz w:val="21"/>
                      <w:szCs w:val="21"/>
                      <w:lang w:val="zh-CN"/>
                    </w:rPr>
                  </w:pPr>
                  <w:r>
                    <w:rPr>
                      <w:b/>
                      <w:bCs/>
                      <w:kern w:val="1"/>
                      <w:sz w:val="21"/>
                      <w:szCs w:val="21"/>
                      <w:lang w:val="zh-CN"/>
                    </w:rPr>
                    <w:t>污染物</w:t>
                  </w:r>
                </w:p>
              </w:tc>
              <w:tc>
                <w:tcPr>
                  <w:tcW w:w="2691" w:type="dxa"/>
                  <w:tcBorders>
                    <w:tl2br w:val="nil"/>
                    <w:tr2bl w:val="nil"/>
                  </w:tcBorders>
                  <w:vAlign w:val="center"/>
                </w:tcPr>
                <w:p>
                  <w:pPr>
                    <w:spacing w:line="240" w:lineRule="auto"/>
                    <w:jc w:val="center"/>
                    <w:rPr>
                      <w:b/>
                      <w:bCs/>
                      <w:kern w:val="1"/>
                      <w:sz w:val="21"/>
                      <w:szCs w:val="21"/>
                      <w:lang w:val="zh-CN"/>
                    </w:rPr>
                  </w:pPr>
                  <w:r>
                    <w:rPr>
                      <w:b/>
                      <w:bCs/>
                      <w:kern w:val="1"/>
                      <w:sz w:val="21"/>
                      <w:szCs w:val="21"/>
                      <w:lang w:val="zh-CN"/>
                    </w:rPr>
                    <w:t>年评价指标</w:t>
                  </w:r>
                </w:p>
              </w:tc>
              <w:tc>
                <w:tcPr>
                  <w:tcW w:w="1134" w:type="dxa"/>
                  <w:tcBorders>
                    <w:tl2br w:val="nil"/>
                    <w:tr2bl w:val="nil"/>
                  </w:tcBorders>
                  <w:vAlign w:val="center"/>
                </w:tcPr>
                <w:p>
                  <w:pPr>
                    <w:spacing w:line="240" w:lineRule="auto"/>
                    <w:jc w:val="center"/>
                    <w:rPr>
                      <w:b/>
                      <w:bCs/>
                      <w:kern w:val="1"/>
                      <w:sz w:val="21"/>
                      <w:szCs w:val="21"/>
                      <w:lang w:val="zh-CN"/>
                    </w:rPr>
                  </w:pPr>
                  <w:r>
                    <w:rPr>
                      <w:b/>
                      <w:bCs/>
                      <w:kern w:val="1"/>
                      <w:sz w:val="21"/>
                      <w:szCs w:val="21"/>
                      <w:lang w:val="zh-CN"/>
                    </w:rPr>
                    <w:t>现状浓度</w:t>
                  </w:r>
                </w:p>
              </w:tc>
              <w:tc>
                <w:tcPr>
                  <w:tcW w:w="1417" w:type="dxa"/>
                  <w:tcBorders>
                    <w:tl2br w:val="nil"/>
                    <w:tr2bl w:val="nil"/>
                  </w:tcBorders>
                  <w:vAlign w:val="center"/>
                </w:tcPr>
                <w:p>
                  <w:pPr>
                    <w:spacing w:line="240" w:lineRule="auto"/>
                    <w:jc w:val="center"/>
                    <w:rPr>
                      <w:b/>
                      <w:bCs/>
                      <w:kern w:val="1"/>
                      <w:sz w:val="21"/>
                      <w:szCs w:val="21"/>
                      <w:lang w:val="zh-CN"/>
                    </w:rPr>
                  </w:pPr>
                  <w:r>
                    <w:rPr>
                      <w:b/>
                      <w:bCs/>
                      <w:kern w:val="1"/>
                      <w:sz w:val="21"/>
                      <w:szCs w:val="21"/>
                      <w:lang w:val="zh-CN"/>
                    </w:rPr>
                    <w:t>标准值</w:t>
                  </w:r>
                </w:p>
              </w:tc>
              <w:tc>
                <w:tcPr>
                  <w:tcW w:w="1276" w:type="dxa"/>
                  <w:tcBorders>
                    <w:tl2br w:val="nil"/>
                    <w:tr2bl w:val="nil"/>
                  </w:tcBorders>
                  <w:vAlign w:val="center"/>
                </w:tcPr>
                <w:p>
                  <w:pPr>
                    <w:spacing w:line="240" w:lineRule="auto"/>
                    <w:jc w:val="center"/>
                    <w:rPr>
                      <w:b/>
                      <w:bCs/>
                      <w:kern w:val="1"/>
                      <w:sz w:val="21"/>
                      <w:szCs w:val="21"/>
                    </w:rPr>
                  </w:pPr>
                  <w:r>
                    <w:rPr>
                      <w:b/>
                      <w:bCs/>
                      <w:kern w:val="1"/>
                      <w:sz w:val="21"/>
                      <w:szCs w:val="21"/>
                      <w:lang w:val="zh-CN"/>
                    </w:rPr>
                    <w:t>占标率</w:t>
                  </w:r>
                </w:p>
              </w:tc>
              <w:tc>
                <w:tcPr>
                  <w:tcW w:w="1111" w:type="dxa"/>
                  <w:tcBorders>
                    <w:tl2br w:val="nil"/>
                    <w:tr2bl w:val="nil"/>
                  </w:tcBorders>
                  <w:vAlign w:val="center"/>
                </w:tcPr>
                <w:p>
                  <w:pPr>
                    <w:spacing w:line="240" w:lineRule="auto"/>
                    <w:jc w:val="center"/>
                    <w:rPr>
                      <w:b/>
                      <w:bCs/>
                      <w:kern w:val="1"/>
                      <w:sz w:val="21"/>
                      <w:szCs w:val="21"/>
                    </w:rPr>
                  </w:pPr>
                  <w:r>
                    <w:rPr>
                      <w:b/>
                      <w:bCs/>
                      <w:kern w:val="1"/>
                      <w:sz w:val="21"/>
                      <w:szCs w:val="21"/>
                      <w:lang w:val="zh-CN"/>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8" w:type="dxa"/>
                  <w:tcBorders>
                    <w:tl2br w:val="nil"/>
                    <w:tr2bl w:val="nil"/>
                  </w:tcBorders>
                  <w:vAlign w:val="center"/>
                </w:tcPr>
                <w:p>
                  <w:pPr>
                    <w:spacing w:line="240" w:lineRule="auto"/>
                    <w:jc w:val="center"/>
                    <w:rPr>
                      <w:kern w:val="1"/>
                      <w:sz w:val="21"/>
                      <w:szCs w:val="21"/>
                      <w:lang w:val="zh-CN"/>
                    </w:rPr>
                  </w:pPr>
                  <w:r>
                    <w:rPr>
                      <w:kern w:val="1"/>
                      <w:sz w:val="21"/>
                      <w:szCs w:val="21"/>
                      <w:lang w:val="zh-CN"/>
                    </w:rPr>
                    <w:t>SO</w:t>
                  </w:r>
                  <w:r>
                    <w:rPr>
                      <w:kern w:val="1"/>
                      <w:sz w:val="21"/>
                      <w:szCs w:val="21"/>
                      <w:vertAlign w:val="subscript"/>
                      <w:lang w:val="zh-CN"/>
                    </w:rPr>
                    <w:t>2</w:t>
                  </w:r>
                </w:p>
              </w:tc>
              <w:tc>
                <w:tcPr>
                  <w:tcW w:w="2691" w:type="dxa"/>
                  <w:tcBorders>
                    <w:tl2br w:val="nil"/>
                    <w:tr2bl w:val="nil"/>
                  </w:tcBorders>
                  <w:vAlign w:val="center"/>
                </w:tcPr>
                <w:p>
                  <w:pPr>
                    <w:spacing w:line="240" w:lineRule="auto"/>
                    <w:jc w:val="center"/>
                    <w:rPr>
                      <w:kern w:val="1"/>
                      <w:sz w:val="21"/>
                      <w:szCs w:val="21"/>
                      <w:lang w:val="zh-CN"/>
                    </w:rPr>
                  </w:pPr>
                  <w:r>
                    <w:rPr>
                      <w:kern w:val="1"/>
                      <w:sz w:val="21"/>
                      <w:szCs w:val="21"/>
                      <w:lang w:val="zh-CN"/>
                    </w:rPr>
                    <w:t>年平均质量浓度</w:t>
                  </w:r>
                </w:p>
              </w:tc>
              <w:tc>
                <w:tcPr>
                  <w:tcW w:w="1134" w:type="dxa"/>
                  <w:tcBorders>
                    <w:tl2br w:val="nil"/>
                    <w:tr2bl w:val="nil"/>
                  </w:tcBorders>
                  <w:vAlign w:val="center"/>
                </w:tcPr>
                <w:p>
                  <w:pPr>
                    <w:spacing w:line="240" w:lineRule="auto"/>
                    <w:jc w:val="center"/>
                    <w:rPr>
                      <w:kern w:val="1"/>
                      <w:sz w:val="21"/>
                      <w:szCs w:val="21"/>
                    </w:rPr>
                  </w:pPr>
                  <w:r>
                    <w:rPr>
                      <w:kern w:val="1"/>
                      <w:sz w:val="21"/>
                      <w:szCs w:val="21"/>
                    </w:rPr>
                    <w:t>9</w:t>
                  </w:r>
                  <w:r>
                    <w:rPr>
                      <w:kern w:val="1"/>
                      <w:sz w:val="21"/>
                      <w:szCs w:val="21"/>
                      <w:lang w:val="zh-CN"/>
                    </w:rPr>
                    <w:t>μ</w:t>
                  </w:r>
                  <w:r>
                    <w:rPr>
                      <w:kern w:val="1"/>
                      <w:sz w:val="21"/>
                      <w:szCs w:val="21"/>
                    </w:rPr>
                    <w:t>g/m</w:t>
                  </w:r>
                  <w:r>
                    <w:rPr>
                      <w:kern w:val="1"/>
                      <w:sz w:val="21"/>
                      <w:szCs w:val="21"/>
                      <w:vertAlign w:val="superscript"/>
                    </w:rPr>
                    <w:t>3</w:t>
                  </w:r>
                </w:p>
              </w:tc>
              <w:tc>
                <w:tcPr>
                  <w:tcW w:w="1417" w:type="dxa"/>
                  <w:tcBorders>
                    <w:tl2br w:val="nil"/>
                    <w:tr2bl w:val="nil"/>
                  </w:tcBorders>
                  <w:vAlign w:val="center"/>
                </w:tcPr>
                <w:p>
                  <w:pPr>
                    <w:spacing w:line="240" w:lineRule="auto"/>
                    <w:jc w:val="center"/>
                    <w:rPr>
                      <w:kern w:val="1"/>
                      <w:sz w:val="21"/>
                      <w:szCs w:val="21"/>
                    </w:rPr>
                  </w:pPr>
                  <w:r>
                    <w:rPr>
                      <w:kern w:val="1"/>
                      <w:sz w:val="21"/>
                      <w:szCs w:val="21"/>
                    </w:rPr>
                    <w:t>60</w:t>
                  </w:r>
                  <w:r>
                    <w:rPr>
                      <w:kern w:val="1"/>
                      <w:sz w:val="21"/>
                      <w:szCs w:val="21"/>
                      <w:lang w:val="zh-CN"/>
                    </w:rPr>
                    <w:t>μ</w:t>
                  </w:r>
                  <w:r>
                    <w:rPr>
                      <w:kern w:val="1"/>
                      <w:sz w:val="21"/>
                      <w:szCs w:val="21"/>
                    </w:rPr>
                    <w:t>g/m</w:t>
                  </w:r>
                  <w:r>
                    <w:rPr>
                      <w:kern w:val="1"/>
                      <w:sz w:val="21"/>
                      <w:szCs w:val="21"/>
                      <w:vertAlign w:val="superscript"/>
                    </w:rPr>
                    <w:t>3</w:t>
                  </w:r>
                </w:p>
              </w:tc>
              <w:tc>
                <w:tcPr>
                  <w:tcW w:w="1276" w:type="dxa"/>
                  <w:tcBorders>
                    <w:tl2br w:val="nil"/>
                    <w:tr2bl w:val="nil"/>
                  </w:tcBorders>
                  <w:vAlign w:val="center"/>
                </w:tcPr>
                <w:p>
                  <w:pPr>
                    <w:spacing w:line="240" w:lineRule="auto"/>
                    <w:jc w:val="center"/>
                    <w:rPr>
                      <w:kern w:val="1"/>
                      <w:sz w:val="21"/>
                      <w:szCs w:val="21"/>
                    </w:rPr>
                  </w:pPr>
                  <w:r>
                    <w:rPr>
                      <w:kern w:val="1"/>
                      <w:sz w:val="21"/>
                      <w:szCs w:val="21"/>
                    </w:rPr>
                    <w:t>24.0%</w:t>
                  </w:r>
                </w:p>
              </w:tc>
              <w:tc>
                <w:tcPr>
                  <w:tcW w:w="1111" w:type="dxa"/>
                  <w:tcBorders>
                    <w:tl2br w:val="nil"/>
                    <w:tr2bl w:val="nil"/>
                  </w:tcBorders>
                  <w:vAlign w:val="center"/>
                </w:tcPr>
                <w:p>
                  <w:pPr>
                    <w:spacing w:line="240" w:lineRule="auto"/>
                    <w:jc w:val="center"/>
                    <w:rPr>
                      <w:kern w:val="1"/>
                      <w:sz w:val="21"/>
                      <w:szCs w:val="21"/>
                    </w:rPr>
                  </w:pPr>
                  <w:r>
                    <w:rPr>
                      <w:kern w:val="1"/>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8" w:type="dxa"/>
                  <w:tcBorders>
                    <w:tl2br w:val="nil"/>
                    <w:tr2bl w:val="nil"/>
                  </w:tcBorders>
                  <w:vAlign w:val="center"/>
                </w:tcPr>
                <w:p>
                  <w:pPr>
                    <w:spacing w:line="240" w:lineRule="auto"/>
                    <w:jc w:val="center"/>
                    <w:rPr>
                      <w:kern w:val="1"/>
                      <w:sz w:val="21"/>
                      <w:szCs w:val="21"/>
                      <w:lang w:val="zh-CN"/>
                    </w:rPr>
                  </w:pPr>
                  <w:r>
                    <w:rPr>
                      <w:kern w:val="1"/>
                      <w:sz w:val="21"/>
                      <w:szCs w:val="21"/>
                      <w:lang w:val="zh-CN"/>
                    </w:rPr>
                    <w:t>NO</w:t>
                  </w:r>
                  <w:r>
                    <w:rPr>
                      <w:kern w:val="1"/>
                      <w:sz w:val="21"/>
                      <w:szCs w:val="21"/>
                      <w:vertAlign w:val="subscript"/>
                      <w:lang w:val="zh-CN"/>
                    </w:rPr>
                    <w:t>2</w:t>
                  </w:r>
                </w:p>
              </w:tc>
              <w:tc>
                <w:tcPr>
                  <w:tcW w:w="2691" w:type="dxa"/>
                  <w:tcBorders>
                    <w:tl2br w:val="nil"/>
                    <w:tr2bl w:val="nil"/>
                  </w:tcBorders>
                  <w:vAlign w:val="center"/>
                </w:tcPr>
                <w:p>
                  <w:pPr>
                    <w:spacing w:line="240" w:lineRule="auto"/>
                    <w:jc w:val="center"/>
                    <w:rPr>
                      <w:kern w:val="1"/>
                      <w:sz w:val="21"/>
                      <w:szCs w:val="21"/>
                      <w:lang w:val="zh-CN"/>
                    </w:rPr>
                  </w:pPr>
                  <w:r>
                    <w:rPr>
                      <w:kern w:val="1"/>
                      <w:sz w:val="21"/>
                      <w:szCs w:val="21"/>
                      <w:lang w:val="zh-CN"/>
                    </w:rPr>
                    <w:t>年平均质量浓度</w:t>
                  </w:r>
                </w:p>
              </w:tc>
              <w:tc>
                <w:tcPr>
                  <w:tcW w:w="1134" w:type="dxa"/>
                  <w:tcBorders>
                    <w:tl2br w:val="nil"/>
                    <w:tr2bl w:val="nil"/>
                  </w:tcBorders>
                  <w:vAlign w:val="center"/>
                </w:tcPr>
                <w:p>
                  <w:pPr>
                    <w:spacing w:line="240" w:lineRule="auto"/>
                    <w:jc w:val="center"/>
                    <w:rPr>
                      <w:kern w:val="1"/>
                      <w:sz w:val="21"/>
                      <w:szCs w:val="21"/>
                    </w:rPr>
                  </w:pPr>
                  <w:r>
                    <w:rPr>
                      <w:kern w:val="1"/>
                      <w:sz w:val="21"/>
                      <w:szCs w:val="21"/>
                    </w:rPr>
                    <w:t>13</w:t>
                  </w:r>
                  <w:r>
                    <w:rPr>
                      <w:kern w:val="1"/>
                      <w:sz w:val="21"/>
                      <w:szCs w:val="21"/>
                      <w:lang w:val="zh-CN"/>
                    </w:rPr>
                    <w:t>μ</w:t>
                  </w:r>
                  <w:r>
                    <w:rPr>
                      <w:kern w:val="1"/>
                      <w:sz w:val="21"/>
                      <w:szCs w:val="21"/>
                    </w:rPr>
                    <w:t>g/m</w:t>
                  </w:r>
                  <w:r>
                    <w:rPr>
                      <w:kern w:val="1"/>
                      <w:sz w:val="21"/>
                      <w:szCs w:val="21"/>
                      <w:vertAlign w:val="superscript"/>
                    </w:rPr>
                    <w:t>3</w:t>
                  </w:r>
                </w:p>
              </w:tc>
              <w:tc>
                <w:tcPr>
                  <w:tcW w:w="1417" w:type="dxa"/>
                  <w:tcBorders>
                    <w:tl2br w:val="nil"/>
                    <w:tr2bl w:val="nil"/>
                  </w:tcBorders>
                  <w:vAlign w:val="center"/>
                </w:tcPr>
                <w:p>
                  <w:pPr>
                    <w:spacing w:line="240" w:lineRule="auto"/>
                    <w:jc w:val="center"/>
                    <w:rPr>
                      <w:kern w:val="1"/>
                      <w:sz w:val="21"/>
                      <w:szCs w:val="21"/>
                    </w:rPr>
                  </w:pPr>
                  <w:r>
                    <w:rPr>
                      <w:kern w:val="1"/>
                      <w:sz w:val="21"/>
                      <w:szCs w:val="21"/>
                    </w:rPr>
                    <w:t>40</w:t>
                  </w:r>
                  <w:r>
                    <w:rPr>
                      <w:kern w:val="1"/>
                      <w:sz w:val="21"/>
                      <w:szCs w:val="21"/>
                      <w:lang w:val="zh-CN"/>
                    </w:rPr>
                    <w:t>μ</w:t>
                  </w:r>
                  <w:r>
                    <w:rPr>
                      <w:kern w:val="1"/>
                      <w:sz w:val="21"/>
                      <w:szCs w:val="21"/>
                    </w:rPr>
                    <w:t>g/m</w:t>
                  </w:r>
                  <w:r>
                    <w:rPr>
                      <w:kern w:val="1"/>
                      <w:sz w:val="21"/>
                      <w:szCs w:val="21"/>
                      <w:vertAlign w:val="superscript"/>
                    </w:rPr>
                    <w:t>3</w:t>
                  </w:r>
                </w:p>
              </w:tc>
              <w:tc>
                <w:tcPr>
                  <w:tcW w:w="1276" w:type="dxa"/>
                  <w:tcBorders>
                    <w:tl2br w:val="nil"/>
                    <w:tr2bl w:val="nil"/>
                  </w:tcBorders>
                  <w:vAlign w:val="center"/>
                </w:tcPr>
                <w:p>
                  <w:pPr>
                    <w:spacing w:line="240" w:lineRule="auto"/>
                    <w:jc w:val="center"/>
                    <w:rPr>
                      <w:kern w:val="1"/>
                      <w:sz w:val="21"/>
                      <w:szCs w:val="21"/>
                    </w:rPr>
                  </w:pPr>
                  <w:r>
                    <w:rPr>
                      <w:kern w:val="1"/>
                      <w:sz w:val="21"/>
                      <w:szCs w:val="21"/>
                    </w:rPr>
                    <w:t>31.8%</w:t>
                  </w:r>
                </w:p>
              </w:tc>
              <w:tc>
                <w:tcPr>
                  <w:tcW w:w="1111" w:type="dxa"/>
                  <w:tcBorders>
                    <w:tl2br w:val="nil"/>
                    <w:tr2bl w:val="nil"/>
                  </w:tcBorders>
                  <w:vAlign w:val="center"/>
                </w:tcPr>
                <w:p>
                  <w:pPr>
                    <w:spacing w:line="240" w:lineRule="auto"/>
                    <w:jc w:val="center"/>
                    <w:rPr>
                      <w:kern w:val="1"/>
                      <w:sz w:val="21"/>
                      <w:szCs w:val="21"/>
                      <w:lang w:val="zh-CN"/>
                    </w:rPr>
                  </w:pPr>
                  <w:r>
                    <w:rPr>
                      <w:kern w:val="1"/>
                      <w:sz w:val="21"/>
                      <w:szCs w:val="21"/>
                      <w:lang w:val="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8" w:type="dxa"/>
                  <w:tcBorders>
                    <w:tl2br w:val="nil"/>
                    <w:tr2bl w:val="nil"/>
                  </w:tcBorders>
                  <w:vAlign w:val="center"/>
                </w:tcPr>
                <w:p>
                  <w:pPr>
                    <w:spacing w:line="240" w:lineRule="auto"/>
                    <w:jc w:val="center"/>
                    <w:rPr>
                      <w:kern w:val="1"/>
                      <w:sz w:val="21"/>
                      <w:szCs w:val="21"/>
                      <w:lang w:val="zh-CN"/>
                    </w:rPr>
                  </w:pPr>
                  <w:r>
                    <w:rPr>
                      <w:kern w:val="1"/>
                      <w:sz w:val="21"/>
                      <w:szCs w:val="21"/>
                      <w:lang w:val="zh-CN"/>
                    </w:rPr>
                    <w:t>PM</w:t>
                  </w:r>
                  <w:r>
                    <w:rPr>
                      <w:kern w:val="1"/>
                      <w:sz w:val="21"/>
                      <w:szCs w:val="21"/>
                      <w:vertAlign w:val="subscript"/>
                      <w:lang w:val="zh-CN"/>
                    </w:rPr>
                    <w:t>2.5</w:t>
                  </w:r>
                </w:p>
              </w:tc>
              <w:tc>
                <w:tcPr>
                  <w:tcW w:w="2691" w:type="dxa"/>
                  <w:tcBorders>
                    <w:tl2br w:val="nil"/>
                    <w:tr2bl w:val="nil"/>
                  </w:tcBorders>
                  <w:vAlign w:val="center"/>
                </w:tcPr>
                <w:p>
                  <w:pPr>
                    <w:spacing w:line="240" w:lineRule="auto"/>
                    <w:jc w:val="center"/>
                    <w:rPr>
                      <w:kern w:val="1"/>
                      <w:sz w:val="21"/>
                      <w:szCs w:val="21"/>
                      <w:lang w:val="zh-CN"/>
                    </w:rPr>
                  </w:pPr>
                  <w:r>
                    <w:rPr>
                      <w:kern w:val="1"/>
                      <w:sz w:val="21"/>
                      <w:szCs w:val="21"/>
                      <w:lang w:val="zh-CN"/>
                    </w:rPr>
                    <w:t>年平均质量浓度</w:t>
                  </w:r>
                </w:p>
              </w:tc>
              <w:tc>
                <w:tcPr>
                  <w:tcW w:w="1134" w:type="dxa"/>
                  <w:tcBorders>
                    <w:tl2br w:val="nil"/>
                    <w:tr2bl w:val="nil"/>
                  </w:tcBorders>
                  <w:vAlign w:val="center"/>
                </w:tcPr>
                <w:p>
                  <w:pPr>
                    <w:spacing w:line="240" w:lineRule="auto"/>
                    <w:jc w:val="center"/>
                    <w:rPr>
                      <w:kern w:val="1"/>
                      <w:sz w:val="21"/>
                      <w:szCs w:val="21"/>
                    </w:rPr>
                  </w:pPr>
                  <w:r>
                    <w:rPr>
                      <w:kern w:val="1"/>
                      <w:sz w:val="21"/>
                      <w:szCs w:val="21"/>
                    </w:rPr>
                    <w:t>27</w:t>
                  </w:r>
                  <w:r>
                    <w:rPr>
                      <w:kern w:val="1"/>
                      <w:sz w:val="21"/>
                      <w:szCs w:val="21"/>
                      <w:lang w:val="zh-CN"/>
                    </w:rPr>
                    <w:t>μ</w:t>
                  </w:r>
                  <w:r>
                    <w:rPr>
                      <w:kern w:val="1"/>
                      <w:sz w:val="21"/>
                      <w:szCs w:val="21"/>
                    </w:rPr>
                    <w:t>g/m</w:t>
                  </w:r>
                  <w:r>
                    <w:rPr>
                      <w:kern w:val="1"/>
                      <w:sz w:val="21"/>
                      <w:szCs w:val="21"/>
                      <w:vertAlign w:val="superscript"/>
                    </w:rPr>
                    <w:t>3</w:t>
                  </w:r>
                </w:p>
              </w:tc>
              <w:tc>
                <w:tcPr>
                  <w:tcW w:w="1417" w:type="dxa"/>
                  <w:tcBorders>
                    <w:tl2br w:val="nil"/>
                    <w:tr2bl w:val="nil"/>
                  </w:tcBorders>
                  <w:vAlign w:val="center"/>
                </w:tcPr>
                <w:p>
                  <w:pPr>
                    <w:spacing w:line="240" w:lineRule="auto"/>
                    <w:jc w:val="center"/>
                    <w:rPr>
                      <w:kern w:val="1"/>
                      <w:sz w:val="21"/>
                      <w:szCs w:val="21"/>
                    </w:rPr>
                  </w:pPr>
                  <w:r>
                    <w:rPr>
                      <w:kern w:val="1"/>
                      <w:sz w:val="21"/>
                      <w:szCs w:val="21"/>
                    </w:rPr>
                    <w:t>35</w:t>
                  </w:r>
                  <w:r>
                    <w:rPr>
                      <w:kern w:val="1"/>
                      <w:sz w:val="21"/>
                      <w:szCs w:val="21"/>
                      <w:lang w:val="zh-CN"/>
                    </w:rPr>
                    <w:t>μ</w:t>
                  </w:r>
                  <w:r>
                    <w:rPr>
                      <w:kern w:val="1"/>
                      <w:sz w:val="21"/>
                      <w:szCs w:val="21"/>
                    </w:rPr>
                    <w:t>g/m</w:t>
                  </w:r>
                  <w:r>
                    <w:rPr>
                      <w:kern w:val="1"/>
                      <w:sz w:val="21"/>
                      <w:szCs w:val="21"/>
                      <w:vertAlign w:val="superscript"/>
                    </w:rPr>
                    <w:t>3</w:t>
                  </w:r>
                </w:p>
              </w:tc>
              <w:tc>
                <w:tcPr>
                  <w:tcW w:w="1276" w:type="dxa"/>
                  <w:tcBorders>
                    <w:tl2br w:val="nil"/>
                    <w:tr2bl w:val="nil"/>
                  </w:tcBorders>
                  <w:vAlign w:val="center"/>
                </w:tcPr>
                <w:p>
                  <w:pPr>
                    <w:spacing w:line="240" w:lineRule="auto"/>
                    <w:jc w:val="center"/>
                    <w:rPr>
                      <w:kern w:val="1"/>
                      <w:sz w:val="21"/>
                      <w:szCs w:val="21"/>
                    </w:rPr>
                  </w:pPr>
                  <w:r>
                    <w:rPr>
                      <w:kern w:val="1"/>
                      <w:sz w:val="21"/>
                      <w:szCs w:val="21"/>
                    </w:rPr>
                    <w:t>65.4%</w:t>
                  </w:r>
                </w:p>
              </w:tc>
              <w:tc>
                <w:tcPr>
                  <w:tcW w:w="1111" w:type="dxa"/>
                  <w:tcBorders>
                    <w:tl2br w:val="nil"/>
                    <w:tr2bl w:val="nil"/>
                  </w:tcBorders>
                  <w:vAlign w:val="center"/>
                </w:tcPr>
                <w:p>
                  <w:pPr>
                    <w:spacing w:line="240" w:lineRule="auto"/>
                    <w:jc w:val="center"/>
                    <w:rPr>
                      <w:kern w:val="1"/>
                      <w:sz w:val="21"/>
                      <w:szCs w:val="21"/>
                      <w:lang w:val="zh-CN"/>
                    </w:rPr>
                  </w:pPr>
                  <w:r>
                    <w:rPr>
                      <w:kern w:val="1"/>
                      <w:sz w:val="21"/>
                      <w:szCs w:val="21"/>
                      <w:lang w:val="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8" w:type="dxa"/>
                  <w:tcBorders>
                    <w:tl2br w:val="nil"/>
                    <w:tr2bl w:val="nil"/>
                  </w:tcBorders>
                  <w:vAlign w:val="center"/>
                </w:tcPr>
                <w:p>
                  <w:pPr>
                    <w:spacing w:line="240" w:lineRule="auto"/>
                    <w:jc w:val="center"/>
                    <w:rPr>
                      <w:kern w:val="1"/>
                      <w:sz w:val="21"/>
                      <w:szCs w:val="21"/>
                    </w:rPr>
                  </w:pPr>
                  <w:r>
                    <w:rPr>
                      <w:kern w:val="1"/>
                      <w:sz w:val="21"/>
                      <w:szCs w:val="21"/>
                      <w:lang w:val="zh-CN"/>
                    </w:rPr>
                    <w:t>PM</w:t>
                  </w:r>
                  <w:r>
                    <w:rPr>
                      <w:kern w:val="1"/>
                      <w:sz w:val="21"/>
                      <w:szCs w:val="21"/>
                      <w:vertAlign w:val="subscript"/>
                    </w:rPr>
                    <w:t>10</w:t>
                  </w:r>
                </w:p>
              </w:tc>
              <w:tc>
                <w:tcPr>
                  <w:tcW w:w="2691" w:type="dxa"/>
                  <w:tcBorders>
                    <w:tl2br w:val="nil"/>
                    <w:tr2bl w:val="nil"/>
                  </w:tcBorders>
                  <w:vAlign w:val="center"/>
                </w:tcPr>
                <w:p>
                  <w:pPr>
                    <w:spacing w:line="240" w:lineRule="auto"/>
                    <w:jc w:val="center"/>
                    <w:rPr>
                      <w:kern w:val="1"/>
                      <w:sz w:val="21"/>
                      <w:szCs w:val="21"/>
                      <w:lang w:val="zh-CN"/>
                    </w:rPr>
                  </w:pPr>
                  <w:r>
                    <w:rPr>
                      <w:kern w:val="1"/>
                      <w:sz w:val="21"/>
                      <w:szCs w:val="21"/>
                      <w:lang w:val="zh-CN"/>
                    </w:rPr>
                    <w:t>年平均质量浓度</w:t>
                  </w:r>
                </w:p>
              </w:tc>
              <w:tc>
                <w:tcPr>
                  <w:tcW w:w="1134" w:type="dxa"/>
                  <w:tcBorders>
                    <w:tl2br w:val="nil"/>
                    <w:tr2bl w:val="nil"/>
                  </w:tcBorders>
                  <w:vAlign w:val="center"/>
                </w:tcPr>
                <w:p>
                  <w:pPr>
                    <w:spacing w:line="240" w:lineRule="auto"/>
                    <w:jc w:val="center"/>
                    <w:rPr>
                      <w:kern w:val="1"/>
                      <w:sz w:val="21"/>
                      <w:szCs w:val="21"/>
                    </w:rPr>
                  </w:pPr>
                  <w:r>
                    <w:rPr>
                      <w:kern w:val="1"/>
                      <w:sz w:val="21"/>
                      <w:szCs w:val="21"/>
                    </w:rPr>
                    <w:t>43</w:t>
                  </w:r>
                  <w:r>
                    <w:rPr>
                      <w:kern w:val="1"/>
                      <w:sz w:val="21"/>
                      <w:szCs w:val="21"/>
                      <w:lang w:val="zh-CN"/>
                    </w:rPr>
                    <w:t>μ</w:t>
                  </w:r>
                  <w:r>
                    <w:rPr>
                      <w:kern w:val="1"/>
                      <w:sz w:val="21"/>
                      <w:szCs w:val="21"/>
                    </w:rPr>
                    <w:t>g/m</w:t>
                  </w:r>
                  <w:r>
                    <w:rPr>
                      <w:kern w:val="1"/>
                      <w:sz w:val="21"/>
                      <w:szCs w:val="21"/>
                      <w:vertAlign w:val="superscript"/>
                    </w:rPr>
                    <w:t>3</w:t>
                  </w:r>
                </w:p>
              </w:tc>
              <w:tc>
                <w:tcPr>
                  <w:tcW w:w="1417" w:type="dxa"/>
                  <w:tcBorders>
                    <w:tl2br w:val="nil"/>
                    <w:tr2bl w:val="nil"/>
                  </w:tcBorders>
                  <w:vAlign w:val="center"/>
                </w:tcPr>
                <w:p>
                  <w:pPr>
                    <w:spacing w:line="240" w:lineRule="auto"/>
                    <w:jc w:val="center"/>
                    <w:rPr>
                      <w:kern w:val="1"/>
                      <w:sz w:val="21"/>
                      <w:szCs w:val="21"/>
                    </w:rPr>
                  </w:pPr>
                  <w:r>
                    <w:rPr>
                      <w:kern w:val="1"/>
                      <w:sz w:val="21"/>
                      <w:szCs w:val="21"/>
                    </w:rPr>
                    <w:t>70</w:t>
                  </w:r>
                  <w:r>
                    <w:rPr>
                      <w:kern w:val="1"/>
                      <w:sz w:val="21"/>
                      <w:szCs w:val="21"/>
                      <w:lang w:val="zh-CN"/>
                    </w:rPr>
                    <w:t>μ</w:t>
                  </w:r>
                  <w:r>
                    <w:rPr>
                      <w:kern w:val="1"/>
                      <w:sz w:val="21"/>
                      <w:szCs w:val="21"/>
                    </w:rPr>
                    <w:t>g/m</w:t>
                  </w:r>
                  <w:r>
                    <w:rPr>
                      <w:kern w:val="1"/>
                      <w:sz w:val="21"/>
                      <w:szCs w:val="21"/>
                      <w:vertAlign w:val="superscript"/>
                    </w:rPr>
                    <w:t>3</w:t>
                  </w:r>
                </w:p>
              </w:tc>
              <w:tc>
                <w:tcPr>
                  <w:tcW w:w="1276" w:type="dxa"/>
                  <w:tcBorders>
                    <w:tl2br w:val="nil"/>
                    <w:tr2bl w:val="nil"/>
                  </w:tcBorders>
                  <w:vAlign w:val="center"/>
                </w:tcPr>
                <w:p>
                  <w:pPr>
                    <w:spacing w:line="240" w:lineRule="auto"/>
                    <w:jc w:val="center"/>
                    <w:rPr>
                      <w:kern w:val="1"/>
                      <w:sz w:val="21"/>
                      <w:szCs w:val="21"/>
                    </w:rPr>
                  </w:pPr>
                  <w:r>
                    <w:rPr>
                      <w:kern w:val="1"/>
                      <w:sz w:val="21"/>
                      <w:szCs w:val="21"/>
                    </w:rPr>
                    <w:t>60.4%</w:t>
                  </w:r>
                </w:p>
              </w:tc>
              <w:tc>
                <w:tcPr>
                  <w:tcW w:w="1111" w:type="dxa"/>
                  <w:tcBorders>
                    <w:tl2br w:val="nil"/>
                    <w:tr2bl w:val="nil"/>
                  </w:tcBorders>
                  <w:vAlign w:val="center"/>
                </w:tcPr>
                <w:p>
                  <w:pPr>
                    <w:spacing w:line="240" w:lineRule="auto"/>
                    <w:jc w:val="center"/>
                    <w:rPr>
                      <w:kern w:val="1"/>
                      <w:sz w:val="21"/>
                      <w:szCs w:val="21"/>
                      <w:lang w:val="zh-CN"/>
                    </w:rPr>
                  </w:pPr>
                  <w:r>
                    <w:rPr>
                      <w:kern w:val="1"/>
                      <w:sz w:val="21"/>
                      <w:szCs w:val="21"/>
                      <w:lang w:val="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8" w:type="dxa"/>
                  <w:tcBorders>
                    <w:tl2br w:val="nil"/>
                    <w:tr2bl w:val="nil"/>
                  </w:tcBorders>
                  <w:vAlign w:val="center"/>
                </w:tcPr>
                <w:p>
                  <w:pPr>
                    <w:spacing w:line="240" w:lineRule="auto"/>
                    <w:jc w:val="center"/>
                    <w:rPr>
                      <w:kern w:val="1"/>
                      <w:sz w:val="21"/>
                      <w:szCs w:val="21"/>
                    </w:rPr>
                  </w:pPr>
                  <w:r>
                    <w:rPr>
                      <w:kern w:val="1"/>
                      <w:sz w:val="21"/>
                      <w:szCs w:val="21"/>
                    </w:rPr>
                    <w:t>CO</w:t>
                  </w:r>
                </w:p>
              </w:tc>
              <w:tc>
                <w:tcPr>
                  <w:tcW w:w="2691" w:type="dxa"/>
                  <w:tcBorders>
                    <w:tl2br w:val="nil"/>
                    <w:tr2bl w:val="nil"/>
                  </w:tcBorders>
                  <w:vAlign w:val="center"/>
                </w:tcPr>
                <w:p>
                  <w:pPr>
                    <w:spacing w:line="240" w:lineRule="auto"/>
                    <w:jc w:val="center"/>
                    <w:rPr>
                      <w:kern w:val="1"/>
                      <w:sz w:val="21"/>
                      <w:szCs w:val="21"/>
                      <w:lang w:val="zh-CN"/>
                    </w:rPr>
                  </w:pPr>
                  <w:r>
                    <w:rPr>
                      <w:kern w:val="1"/>
                      <w:sz w:val="21"/>
                      <w:szCs w:val="21"/>
                      <w:lang w:val="zh-CN"/>
                    </w:rPr>
                    <w:t>日平均浓度第95百分位数</w:t>
                  </w:r>
                </w:p>
              </w:tc>
              <w:tc>
                <w:tcPr>
                  <w:tcW w:w="1134" w:type="dxa"/>
                  <w:tcBorders>
                    <w:tl2br w:val="nil"/>
                    <w:tr2bl w:val="nil"/>
                  </w:tcBorders>
                  <w:vAlign w:val="center"/>
                </w:tcPr>
                <w:p>
                  <w:pPr>
                    <w:spacing w:line="240" w:lineRule="auto"/>
                    <w:jc w:val="center"/>
                    <w:rPr>
                      <w:kern w:val="1"/>
                      <w:sz w:val="21"/>
                      <w:szCs w:val="21"/>
                    </w:rPr>
                  </w:pPr>
                  <w:r>
                    <w:rPr>
                      <w:kern w:val="1"/>
                      <w:sz w:val="21"/>
                      <w:szCs w:val="21"/>
                    </w:rPr>
                    <w:t>0.8</w:t>
                  </w:r>
                  <w:r>
                    <w:rPr>
                      <w:kern w:val="1"/>
                      <w:sz w:val="21"/>
                      <w:szCs w:val="21"/>
                      <w:lang w:val="zh-CN"/>
                    </w:rPr>
                    <w:t>μ</w:t>
                  </w:r>
                  <w:r>
                    <w:rPr>
                      <w:kern w:val="1"/>
                      <w:sz w:val="21"/>
                      <w:szCs w:val="21"/>
                    </w:rPr>
                    <w:t>g/m</w:t>
                  </w:r>
                  <w:r>
                    <w:rPr>
                      <w:kern w:val="1"/>
                      <w:sz w:val="21"/>
                      <w:szCs w:val="21"/>
                      <w:vertAlign w:val="superscript"/>
                    </w:rPr>
                    <w:t>3</w:t>
                  </w:r>
                </w:p>
              </w:tc>
              <w:tc>
                <w:tcPr>
                  <w:tcW w:w="1417" w:type="dxa"/>
                  <w:tcBorders>
                    <w:tl2br w:val="nil"/>
                    <w:tr2bl w:val="nil"/>
                  </w:tcBorders>
                  <w:vAlign w:val="center"/>
                </w:tcPr>
                <w:p>
                  <w:pPr>
                    <w:spacing w:line="240" w:lineRule="auto"/>
                    <w:jc w:val="center"/>
                    <w:rPr>
                      <w:kern w:val="1"/>
                      <w:sz w:val="21"/>
                      <w:szCs w:val="21"/>
                    </w:rPr>
                  </w:pPr>
                  <w:r>
                    <w:rPr>
                      <w:kern w:val="1"/>
                      <w:sz w:val="21"/>
                      <w:szCs w:val="21"/>
                    </w:rPr>
                    <w:t>4</w:t>
                  </w:r>
                  <w:r>
                    <w:rPr>
                      <w:kern w:val="1"/>
                      <w:sz w:val="21"/>
                      <w:szCs w:val="21"/>
                      <w:lang w:val="zh-CN"/>
                    </w:rPr>
                    <w:t>μ</w:t>
                  </w:r>
                  <w:r>
                    <w:rPr>
                      <w:kern w:val="1"/>
                      <w:sz w:val="21"/>
                      <w:szCs w:val="21"/>
                    </w:rPr>
                    <w:t>g/m</w:t>
                  </w:r>
                  <w:r>
                    <w:rPr>
                      <w:kern w:val="1"/>
                      <w:sz w:val="21"/>
                      <w:szCs w:val="21"/>
                      <w:vertAlign w:val="superscript"/>
                    </w:rPr>
                    <w:t>3</w:t>
                  </w:r>
                </w:p>
              </w:tc>
              <w:tc>
                <w:tcPr>
                  <w:tcW w:w="1276" w:type="dxa"/>
                  <w:tcBorders>
                    <w:tl2br w:val="nil"/>
                    <w:tr2bl w:val="nil"/>
                  </w:tcBorders>
                  <w:vAlign w:val="center"/>
                </w:tcPr>
                <w:p>
                  <w:pPr>
                    <w:spacing w:line="240" w:lineRule="auto"/>
                    <w:jc w:val="center"/>
                    <w:rPr>
                      <w:kern w:val="1"/>
                      <w:sz w:val="21"/>
                      <w:szCs w:val="21"/>
                    </w:rPr>
                  </w:pPr>
                  <w:r>
                    <w:rPr>
                      <w:kern w:val="1"/>
                      <w:sz w:val="21"/>
                      <w:szCs w:val="21"/>
                    </w:rPr>
                    <w:t>20.0%</w:t>
                  </w:r>
                </w:p>
              </w:tc>
              <w:tc>
                <w:tcPr>
                  <w:tcW w:w="1111" w:type="dxa"/>
                  <w:tcBorders>
                    <w:tl2br w:val="nil"/>
                    <w:tr2bl w:val="nil"/>
                  </w:tcBorders>
                  <w:vAlign w:val="center"/>
                </w:tcPr>
                <w:p>
                  <w:pPr>
                    <w:spacing w:line="240" w:lineRule="auto"/>
                    <w:jc w:val="center"/>
                    <w:rPr>
                      <w:kern w:val="1"/>
                      <w:sz w:val="21"/>
                      <w:szCs w:val="21"/>
                      <w:lang w:val="zh-CN"/>
                    </w:rPr>
                  </w:pPr>
                  <w:r>
                    <w:rPr>
                      <w:kern w:val="1"/>
                      <w:sz w:val="21"/>
                      <w:szCs w:val="21"/>
                      <w:lang w:val="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8" w:type="dxa"/>
                  <w:tcBorders>
                    <w:tl2br w:val="nil"/>
                    <w:tr2bl w:val="nil"/>
                  </w:tcBorders>
                  <w:vAlign w:val="center"/>
                </w:tcPr>
                <w:p>
                  <w:pPr>
                    <w:spacing w:line="240" w:lineRule="auto"/>
                    <w:jc w:val="center"/>
                    <w:rPr>
                      <w:kern w:val="1"/>
                      <w:sz w:val="21"/>
                      <w:szCs w:val="21"/>
                    </w:rPr>
                  </w:pPr>
                  <w:r>
                    <w:rPr>
                      <w:kern w:val="1"/>
                      <w:sz w:val="21"/>
                      <w:szCs w:val="21"/>
                    </w:rPr>
                    <w:t>O</w:t>
                  </w:r>
                  <w:r>
                    <w:rPr>
                      <w:kern w:val="1"/>
                      <w:sz w:val="21"/>
                      <w:szCs w:val="21"/>
                      <w:vertAlign w:val="subscript"/>
                    </w:rPr>
                    <w:t>3</w:t>
                  </w:r>
                </w:p>
              </w:tc>
              <w:tc>
                <w:tcPr>
                  <w:tcW w:w="2691" w:type="dxa"/>
                  <w:tcBorders>
                    <w:tl2br w:val="nil"/>
                    <w:tr2bl w:val="nil"/>
                  </w:tcBorders>
                  <w:vAlign w:val="center"/>
                </w:tcPr>
                <w:p>
                  <w:pPr>
                    <w:spacing w:line="240" w:lineRule="auto"/>
                    <w:jc w:val="center"/>
                    <w:rPr>
                      <w:kern w:val="1"/>
                      <w:sz w:val="21"/>
                      <w:szCs w:val="21"/>
                      <w:lang w:val="zh-CN"/>
                    </w:rPr>
                  </w:pPr>
                  <w:r>
                    <w:rPr>
                      <w:kern w:val="1"/>
                      <w:sz w:val="21"/>
                      <w:szCs w:val="21"/>
                      <w:lang w:val="zh-CN"/>
                    </w:rPr>
                    <w:t>日最大8小时滑动平均值第90百分位数</w:t>
                  </w:r>
                </w:p>
              </w:tc>
              <w:tc>
                <w:tcPr>
                  <w:tcW w:w="1134" w:type="dxa"/>
                  <w:tcBorders>
                    <w:tl2br w:val="nil"/>
                    <w:tr2bl w:val="nil"/>
                  </w:tcBorders>
                  <w:vAlign w:val="center"/>
                </w:tcPr>
                <w:p>
                  <w:pPr>
                    <w:spacing w:line="240" w:lineRule="auto"/>
                    <w:jc w:val="center"/>
                    <w:rPr>
                      <w:kern w:val="1"/>
                      <w:sz w:val="21"/>
                      <w:szCs w:val="21"/>
                    </w:rPr>
                  </w:pPr>
                  <w:r>
                    <w:rPr>
                      <w:kern w:val="1"/>
                      <w:sz w:val="21"/>
                      <w:szCs w:val="21"/>
                    </w:rPr>
                    <w:t>93</w:t>
                  </w:r>
                  <w:r>
                    <w:rPr>
                      <w:kern w:val="1"/>
                      <w:sz w:val="21"/>
                      <w:szCs w:val="21"/>
                      <w:lang w:val="zh-CN"/>
                    </w:rPr>
                    <w:t>μ</w:t>
                  </w:r>
                  <w:r>
                    <w:rPr>
                      <w:kern w:val="1"/>
                      <w:sz w:val="21"/>
                      <w:szCs w:val="21"/>
                    </w:rPr>
                    <w:t>g/m</w:t>
                  </w:r>
                  <w:r>
                    <w:rPr>
                      <w:kern w:val="1"/>
                      <w:sz w:val="21"/>
                      <w:szCs w:val="21"/>
                      <w:vertAlign w:val="superscript"/>
                    </w:rPr>
                    <w:t>3</w:t>
                  </w:r>
                </w:p>
              </w:tc>
              <w:tc>
                <w:tcPr>
                  <w:tcW w:w="1417" w:type="dxa"/>
                  <w:tcBorders>
                    <w:tl2br w:val="nil"/>
                    <w:tr2bl w:val="nil"/>
                  </w:tcBorders>
                  <w:vAlign w:val="center"/>
                </w:tcPr>
                <w:p>
                  <w:pPr>
                    <w:spacing w:line="240" w:lineRule="auto"/>
                    <w:jc w:val="center"/>
                    <w:rPr>
                      <w:kern w:val="1"/>
                      <w:sz w:val="21"/>
                      <w:szCs w:val="21"/>
                    </w:rPr>
                  </w:pPr>
                  <w:r>
                    <w:rPr>
                      <w:kern w:val="1"/>
                      <w:sz w:val="21"/>
                      <w:szCs w:val="21"/>
                    </w:rPr>
                    <w:t>160</w:t>
                  </w:r>
                  <w:r>
                    <w:rPr>
                      <w:kern w:val="1"/>
                      <w:sz w:val="21"/>
                      <w:szCs w:val="21"/>
                      <w:lang w:val="zh-CN"/>
                    </w:rPr>
                    <w:t>μ</w:t>
                  </w:r>
                  <w:r>
                    <w:rPr>
                      <w:kern w:val="1"/>
                      <w:sz w:val="21"/>
                      <w:szCs w:val="21"/>
                    </w:rPr>
                    <w:t>g/m</w:t>
                  </w:r>
                  <w:r>
                    <w:rPr>
                      <w:kern w:val="1"/>
                      <w:sz w:val="21"/>
                      <w:szCs w:val="21"/>
                      <w:vertAlign w:val="superscript"/>
                    </w:rPr>
                    <w:t>3</w:t>
                  </w:r>
                </w:p>
              </w:tc>
              <w:tc>
                <w:tcPr>
                  <w:tcW w:w="1276" w:type="dxa"/>
                  <w:tcBorders>
                    <w:tl2br w:val="nil"/>
                    <w:tr2bl w:val="nil"/>
                  </w:tcBorders>
                  <w:vAlign w:val="center"/>
                </w:tcPr>
                <w:p>
                  <w:pPr>
                    <w:spacing w:line="240" w:lineRule="auto"/>
                    <w:jc w:val="center"/>
                    <w:rPr>
                      <w:kern w:val="1"/>
                      <w:sz w:val="21"/>
                      <w:szCs w:val="21"/>
                    </w:rPr>
                  </w:pPr>
                  <w:r>
                    <w:rPr>
                      <w:kern w:val="1"/>
                      <w:sz w:val="21"/>
                      <w:szCs w:val="21"/>
                    </w:rPr>
                    <w:t>33.6%</w:t>
                  </w:r>
                </w:p>
              </w:tc>
              <w:tc>
                <w:tcPr>
                  <w:tcW w:w="1111" w:type="dxa"/>
                  <w:tcBorders>
                    <w:tl2br w:val="nil"/>
                    <w:tr2bl w:val="nil"/>
                  </w:tcBorders>
                  <w:vAlign w:val="center"/>
                </w:tcPr>
                <w:p>
                  <w:pPr>
                    <w:spacing w:line="240" w:lineRule="auto"/>
                    <w:jc w:val="center"/>
                    <w:rPr>
                      <w:kern w:val="1"/>
                      <w:sz w:val="21"/>
                      <w:szCs w:val="21"/>
                      <w:lang w:val="zh-CN"/>
                    </w:rPr>
                  </w:pPr>
                  <w:r>
                    <w:rPr>
                      <w:kern w:val="1"/>
                      <w:sz w:val="21"/>
                      <w:szCs w:val="21"/>
                      <w:lang w:val="zh-CN"/>
                    </w:rPr>
                    <w:t>达标</w:t>
                  </w:r>
                </w:p>
              </w:tc>
            </w:tr>
          </w:tbl>
          <w:p>
            <w:pPr>
              <w:ind w:firstLine="482" w:firstLineChars="200"/>
              <w:jc w:val="left"/>
              <w:rPr>
                <w:b/>
                <w:sz w:val="24"/>
              </w:rPr>
            </w:pPr>
            <w:r>
              <w:rPr>
                <w:b/>
                <w:sz w:val="24"/>
              </w:rPr>
              <w:t>（2）特征污染因子现状补充监测</w:t>
            </w:r>
          </w:p>
          <w:p>
            <w:pPr>
              <w:ind w:firstLine="480" w:firstLineChars="200"/>
              <w:jc w:val="left"/>
              <w:rPr>
                <w:bCs/>
                <w:sz w:val="24"/>
              </w:rPr>
            </w:pPr>
            <w:r>
              <w:rPr>
                <w:bCs/>
                <w:sz w:val="24"/>
              </w:rPr>
              <w:t>为了解建设项目特征污染因子</w:t>
            </w:r>
            <w:r>
              <w:rPr>
                <w:rFonts w:hint="eastAsia"/>
                <w:bCs/>
                <w:sz w:val="24"/>
              </w:rPr>
              <w:t>（T</w:t>
            </w:r>
            <w:r>
              <w:rPr>
                <w:bCs/>
                <w:sz w:val="24"/>
              </w:rPr>
              <w:t>VOC</w:t>
            </w:r>
            <w:r>
              <w:rPr>
                <w:rFonts w:hint="eastAsia"/>
                <w:bCs/>
                <w:sz w:val="24"/>
              </w:rPr>
              <w:t>）</w:t>
            </w:r>
            <w:r>
              <w:rPr>
                <w:bCs/>
                <w:sz w:val="24"/>
              </w:rPr>
              <w:t>环境质量现状，</w:t>
            </w:r>
            <w:r>
              <w:rPr>
                <w:rFonts w:hint="eastAsia"/>
                <w:bCs/>
                <w:sz w:val="24"/>
              </w:rPr>
              <w:t>本次评价引用</w:t>
            </w:r>
            <w:r>
              <w:rPr>
                <w:bCs/>
                <w:sz w:val="24"/>
              </w:rPr>
              <w:t>广东中诺检测技术有限公司于2021年6月30日~7月6日对比亚迪汕尾陆河工业园区内进行</w:t>
            </w:r>
            <w:r>
              <w:rPr>
                <w:rFonts w:hint="eastAsia"/>
                <w:bCs/>
                <w:sz w:val="24"/>
              </w:rPr>
              <w:t>环境空气</w:t>
            </w:r>
            <w:r>
              <w:rPr>
                <w:bCs/>
                <w:sz w:val="24"/>
              </w:rPr>
              <w:t>采样监测的数据，</w:t>
            </w:r>
            <w:r>
              <w:rPr>
                <w:rFonts w:hint="eastAsia"/>
                <w:bCs/>
                <w:sz w:val="24"/>
              </w:rPr>
              <w:t>引用的</w:t>
            </w:r>
            <w:r>
              <w:rPr>
                <w:bCs/>
                <w:sz w:val="24"/>
              </w:rPr>
              <w:t>监测</w:t>
            </w:r>
            <w:r>
              <w:rPr>
                <w:rFonts w:hint="eastAsia"/>
                <w:bCs/>
                <w:sz w:val="24"/>
              </w:rPr>
              <w:t>点位见附图7</w:t>
            </w:r>
            <w:r>
              <w:rPr>
                <w:bCs/>
                <w:sz w:val="24"/>
              </w:rPr>
              <w:t>，监测数据及评价结果如下。</w:t>
            </w:r>
          </w:p>
          <w:p>
            <w:pPr>
              <w:pStyle w:val="169"/>
              <w:spacing w:line="240" w:lineRule="auto"/>
              <w:rPr>
                <w:rFonts w:hint="default" w:hAnsi="Times New Roman" w:eastAsiaTheme="minorEastAsia"/>
                <w:sz w:val="24"/>
                <w:szCs w:val="24"/>
              </w:rPr>
            </w:pPr>
            <w:r>
              <w:rPr>
                <w:rFonts w:hAnsi="Times New Roman" w:eastAsiaTheme="minorEastAsia"/>
                <w:sz w:val="24"/>
                <w:szCs w:val="24"/>
              </w:rPr>
              <w:t>表3-5</w:t>
            </w:r>
            <w:r>
              <w:rPr>
                <w:rFonts w:hint="default" w:hAnsi="Times New Roman" w:eastAsiaTheme="minorEastAsia"/>
                <w:sz w:val="24"/>
                <w:szCs w:val="24"/>
              </w:rPr>
              <w:t xml:space="preserve"> </w:t>
            </w:r>
            <w:r>
              <w:rPr>
                <w:rFonts w:hAnsi="Times New Roman" w:eastAsiaTheme="minorEastAsia"/>
                <w:sz w:val="24"/>
                <w:szCs w:val="24"/>
              </w:rPr>
              <w:t>环境空气监测分析结果   单位：mg/m</w:t>
            </w:r>
            <w:r>
              <w:rPr>
                <w:rFonts w:hAnsi="Times New Roman" w:eastAsiaTheme="minorEastAsia"/>
                <w:sz w:val="24"/>
                <w:szCs w:val="24"/>
                <w:vertAlign w:val="superscript"/>
              </w:rPr>
              <w:t>3</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6"/>
              <w:gridCol w:w="1304"/>
              <w:gridCol w:w="819"/>
              <w:gridCol w:w="864"/>
              <w:gridCol w:w="825"/>
              <w:gridCol w:w="828"/>
              <w:gridCol w:w="864"/>
              <w:gridCol w:w="834"/>
              <w:gridCol w:w="834"/>
              <w:gridCol w:w="5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51" w:type="dxa"/>
                  <w:vMerge w:val="restart"/>
                  <w:tcBorders>
                    <w:tl2br w:val="nil"/>
                    <w:tr2bl w:val="nil"/>
                  </w:tcBorders>
                  <w:vAlign w:val="center"/>
                </w:tcPr>
                <w:p>
                  <w:pPr>
                    <w:spacing w:line="240" w:lineRule="auto"/>
                    <w:jc w:val="center"/>
                    <w:rPr>
                      <w:b/>
                      <w:bCs/>
                      <w:kern w:val="1"/>
                      <w:sz w:val="21"/>
                      <w:szCs w:val="21"/>
                    </w:rPr>
                  </w:pPr>
                  <w:r>
                    <w:rPr>
                      <w:b/>
                      <w:bCs/>
                      <w:kern w:val="1"/>
                      <w:sz w:val="21"/>
                      <w:szCs w:val="21"/>
                    </w:rPr>
                    <w:t>检测项目</w:t>
                  </w:r>
                </w:p>
              </w:tc>
              <w:tc>
                <w:tcPr>
                  <w:tcW w:w="1313" w:type="dxa"/>
                  <w:vMerge w:val="restart"/>
                  <w:tcBorders>
                    <w:tl2br w:val="nil"/>
                    <w:tr2bl w:val="nil"/>
                  </w:tcBorders>
                  <w:vAlign w:val="center"/>
                </w:tcPr>
                <w:p>
                  <w:pPr>
                    <w:spacing w:line="240" w:lineRule="auto"/>
                    <w:jc w:val="center"/>
                    <w:rPr>
                      <w:b/>
                      <w:bCs/>
                      <w:kern w:val="1"/>
                      <w:sz w:val="21"/>
                      <w:szCs w:val="21"/>
                    </w:rPr>
                  </w:pPr>
                  <w:r>
                    <w:rPr>
                      <w:b/>
                      <w:bCs/>
                      <w:kern w:val="1"/>
                      <w:sz w:val="21"/>
                      <w:szCs w:val="21"/>
                    </w:rPr>
                    <w:t>采样时间</w:t>
                  </w:r>
                </w:p>
              </w:tc>
              <w:tc>
                <w:tcPr>
                  <w:tcW w:w="5910" w:type="dxa"/>
                  <w:gridSpan w:val="7"/>
                  <w:tcBorders>
                    <w:tl2br w:val="nil"/>
                    <w:tr2bl w:val="nil"/>
                  </w:tcBorders>
                  <w:vAlign w:val="center"/>
                </w:tcPr>
                <w:p>
                  <w:pPr>
                    <w:spacing w:line="240" w:lineRule="auto"/>
                    <w:jc w:val="center"/>
                    <w:rPr>
                      <w:b/>
                      <w:bCs/>
                      <w:kern w:val="1"/>
                      <w:sz w:val="21"/>
                      <w:szCs w:val="21"/>
                    </w:rPr>
                  </w:pPr>
                  <w:r>
                    <w:rPr>
                      <w:b/>
                      <w:bCs/>
                      <w:kern w:val="1"/>
                      <w:sz w:val="21"/>
                      <w:szCs w:val="21"/>
                    </w:rPr>
                    <w:t xml:space="preserve">检测结果  </w:t>
                  </w:r>
                </w:p>
              </w:tc>
              <w:tc>
                <w:tcPr>
                  <w:tcW w:w="512" w:type="dxa"/>
                  <w:vMerge w:val="restart"/>
                  <w:tcBorders>
                    <w:tl2br w:val="nil"/>
                    <w:tr2bl w:val="nil"/>
                  </w:tcBorders>
                  <w:vAlign w:val="center"/>
                </w:tcPr>
                <w:p>
                  <w:pPr>
                    <w:spacing w:line="240" w:lineRule="auto"/>
                    <w:jc w:val="center"/>
                    <w:rPr>
                      <w:b/>
                      <w:bCs/>
                      <w:kern w:val="1"/>
                      <w:sz w:val="21"/>
                      <w:szCs w:val="21"/>
                    </w:rPr>
                  </w:pPr>
                  <w:r>
                    <w:rPr>
                      <w:b/>
                      <w:bCs/>
                      <w:kern w:val="1"/>
                      <w:sz w:val="21"/>
                      <w:szCs w:val="21"/>
                    </w:rPr>
                    <w:t>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51" w:type="dxa"/>
                  <w:vMerge w:val="continue"/>
                  <w:tcBorders>
                    <w:tl2br w:val="nil"/>
                    <w:tr2bl w:val="nil"/>
                  </w:tcBorders>
                  <w:vAlign w:val="center"/>
                </w:tcPr>
                <w:p>
                  <w:pPr>
                    <w:spacing w:line="240" w:lineRule="auto"/>
                    <w:jc w:val="center"/>
                    <w:rPr>
                      <w:b/>
                      <w:bCs/>
                      <w:kern w:val="1"/>
                      <w:sz w:val="21"/>
                      <w:szCs w:val="21"/>
                    </w:rPr>
                  </w:pPr>
                </w:p>
              </w:tc>
              <w:tc>
                <w:tcPr>
                  <w:tcW w:w="1313" w:type="dxa"/>
                  <w:vMerge w:val="continue"/>
                  <w:tcBorders>
                    <w:tl2br w:val="nil"/>
                    <w:tr2bl w:val="nil"/>
                  </w:tcBorders>
                  <w:vAlign w:val="center"/>
                </w:tcPr>
                <w:p>
                  <w:pPr>
                    <w:spacing w:line="240" w:lineRule="auto"/>
                    <w:jc w:val="center"/>
                    <w:rPr>
                      <w:b/>
                      <w:bCs/>
                      <w:kern w:val="1"/>
                      <w:sz w:val="21"/>
                      <w:szCs w:val="21"/>
                    </w:rPr>
                  </w:pPr>
                </w:p>
              </w:tc>
              <w:tc>
                <w:tcPr>
                  <w:tcW w:w="825" w:type="dxa"/>
                  <w:tcBorders>
                    <w:tl2br w:val="nil"/>
                    <w:tr2bl w:val="nil"/>
                  </w:tcBorders>
                  <w:vAlign w:val="center"/>
                </w:tcPr>
                <w:p>
                  <w:pPr>
                    <w:widowControl/>
                    <w:spacing w:line="240" w:lineRule="auto"/>
                    <w:jc w:val="center"/>
                    <w:rPr>
                      <w:b/>
                      <w:bCs/>
                      <w:kern w:val="1"/>
                      <w:sz w:val="21"/>
                      <w:szCs w:val="21"/>
                    </w:rPr>
                  </w:pPr>
                  <w:r>
                    <w:rPr>
                      <w:b/>
                      <w:bCs/>
                      <w:kern w:val="1"/>
                      <w:sz w:val="21"/>
                      <w:szCs w:val="21"/>
                    </w:rPr>
                    <w:t>2021-06-30</w:t>
                  </w:r>
                </w:p>
              </w:tc>
              <w:tc>
                <w:tcPr>
                  <w:tcW w:w="870" w:type="dxa"/>
                  <w:tcBorders>
                    <w:tl2br w:val="nil"/>
                    <w:tr2bl w:val="nil"/>
                  </w:tcBorders>
                  <w:vAlign w:val="center"/>
                </w:tcPr>
                <w:p>
                  <w:pPr>
                    <w:widowControl/>
                    <w:spacing w:line="240" w:lineRule="auto"/>
                    <w:jc w:val="center"/>
                    <w:rPr>
                      <w:b/>
                      <w:bCs/>
                      <w:kern w:val="1"/>
                      <w:sz w:val="21"/>
                      <w:szCs w:val="21"/>
                    </w:rPr>
                  </w:pPr>
                  <w:r>
                    <w:rPr>
                      <w:b/>
                      <w:bCs/>
                      <w:kern w:val="1"/>
                      <w:sz w:val="21"/>
                      <w:szCs w:val="21"/>
                    </w:rPr>
                    <w:t>2021-07-01</w:t>
                  </w:r>
                </w:p>
              </w:tc>
              <w:tc>
                <w:tcPr>
                  <w:tcW w:w="831" w:type="dxa"/>
                  <w:tcBorders>
                    <w:tl2br w:val="nil"/>
                    <w:tr2bl w:val="nil"/>
                  </w:tcBorders>
                  <w:vAlign w:val="center"/>
                </w:tcPr>
                <w:p>
                  <w:pPr>
                    <w:widowControl/>
                    <w:spacing w:line="240" w:lineRule="auto"/>
                    <w:jc w:val="center"/>
                    <w:rPr>
                      <w:b/>
                      <w:bCs/>
                      <w:kern w:val="1"/>
                      <w:sz w:val="21"/>
                      <w:szCs w:val="21"/>
                    </w:rPr>
                  </w:pPr>
                  <w:r>
                    <w:rPr>
                      <w:b/>
                      <w:bCs/>
                      <w:kern w:val="1"/>
                      <w:sz w:val="21"/>
                      <w:szCs w:val="21"/>
                    </w:rPr>
                    <w:t>2021-07-02</w:t>
                  </w:r>
                </w:p>
              </w:tc>
              <w:tc>
                <w:tcPr>
                  <w:tcW w:w="834" w:type="dxa"/>
                  <w:tcBorders>
                    <w:tl2br w:val="nil"/>
                    <w:tr2bl w:val="nil"/>
                  </w:tcBorders>
                  <w:vAlign w:val="center"/>
                </w:tcPr>
                <w:p>
                  <w:pPr>
                    <w:widowControl/>
                    <w:spacing w:line="240" w:lineRule="auto"/>
                    <w:jc w:val="center"/>
                    <w:rPr>
                      <w:b/>
                      <w:bCs/>
                      <w:kern w:val="1"/>
                      <w:sz w:val="21"/>
                      <w:szCs w:val="21"/>
                    </w:rPr>
                  </w:pPr>
                  <w:r>
                    <w:rPr>
                      <w:b/>
                      <w:bCs/>
                      <w:kern w:val="1"/>
                      <w:sz w:val="21"/>
                      <w:szCs w:val="21"/>
                    </w:rPr>
                    <w:t>2021-07-03</w:t>
                  </w:r>
                </w:p>
              </w:tc>
              <w:tc>
                <w:tcPr>
                  <w:tcW w:w="870" w:type="dxa"/>
                  <w:tcBorders>
                    <w:tl2br w:val="nil"/>
                    <w:tr2bl w:val="nil"/>
                  </w:tcBorders>
                  <w:vAlign w:val="center"/>
                </w:tcPr>
                <w:p>
                  <w:pPr>
                    <w:widowControl/>
                    <w:spacing w:line="240" w:lineRule="auto"/>
                    <w:jc w:val="center"/>
                    <w:rPr>
                      <w:b/>
                      <w:bCs/>
                      <w:kern w:val="1"/>
                      <w:sz w:val="21"/>
                      <w:szCs w:val="21"/>
                    </w:rPr>
                  </w:pPr>
                  <w:r>
                    <w:rPr>
                      <w:b/>
                      <w:bCs/>
                      <w:kern w:val="1"/>
                      <w:sz w:val="21"/>
                      <w:szCs w:val="21"/>
                    </w:rPr>
                    <w:t>2021-07-04</w:t>
                  </w:r>
                </w:p>
              </w:tc>
              <w:tc>
                <w:tcPr>
                  <w:tcW w:w="840" w:type="dxa"/>
                  <w:tcBorders>
                    <w:tl2br w:val="nil"/>
                    <w:tr2bl w:val="nil"/>
                  </w:tcBorders>
                  <w:vAlign w:val="center"/>
                </w:tcPr>
                <w:p>
                  <w:pPr>
                    <w:widowControl/>
                    <w:spacing w:line="240" w:lineRule="auto"/>
                    <w:jc w:val="center"/>
                    <w:rPr>
                      <w:b/>
                      <w:bCs/>
                      <w:kern w:val="1"/>
                      <w:sz w:val="21"/>
                      <w:szCs w:val="21"/>
                    </w:rPr>
                  </w:pPr>
                  <w:r>
                    <w:rPr>
                      <w:b/>
                      <w:bCs/>
                      <w:kern w:val="1"/>
                      <w:sz w:val="21"/>
                      <w:szCs w:val="21"/>
                    </w:rPr>
                    <w:t>2021-07-05</w:t>
                  </w:r>
                </w:p>
              </w:tc>
              <w:tc>
                <w:tcPr>
                  <w:tcW w:w="840" w:type="dxa"/>
                  <w:tcBorders>
                    <w:tl2br w:val="nil"/>
                    <w:tr2bl w:val="nil"/>
                  </w:tcBorders>
                  <w:vAlign w:val="center"/>
                </w:tcPr>
                <w:p>
                  <w:pPr>
                    <w:widowControl/>
                    <w:spacing w:line="240" w:lineRule="auto"/>
                    <w:jc w:val="center"/>
                    <w:rPr>
                      <w:b/>
                      <w:bCs/>
                      <w:kern w:val="1"/>
                      <w:sz w:val="21"/>
                      <w:szCs w:val="21"/>
                    </w:rPr>
                  </w:pPr>
                  <w:r>
                    <w:rPr>
                      <w:b/>
                      <w:bCs/>
                      <w:kern w:val="1"/>
                      <w:sz w:val="21"/>
                      <w:szCs w:val="21"/>
                    </w:rPr>
                    <w:t>2021-07-06</w:t>
                  </w:r>
                </w:p>
              </w:tc>
              <w:tc>
                <w:tcPr>
                  <w:tcW w:w="512" w:type="dxa"/>
                  <w:vMerge w:val="continue"/>
                  <w:tcBorders>
                    <w:tl2br w:val="nil"/>
                    <w:tr2bl w:val="nil"/>
                  </w:tcBorders>
                  <w:vAlign w:val="center"/>
                </w:tcPr>
                <w:p>
                  <w:pPr>
                    <w:widowControl/>
                    <w:spacing w:line="240" w:lineRule="auto"/>
                    <w:jc w:val="center"/>
                    <w:rPr>
                      <w:kern w:val="1"/>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51" w:type="dxa"/>
                  <w:tcBorders>
                    <w:tl2br w:val="nil"/>
                    <w:tr2bl w:val="nil"/>
                  </w:tcBorders>
                  <w:vAlign w:val="center"/>
                </w:tcPr>
                <w:p>
                  <w:pPr>
                    <w:spacing w:line="240" w:lineRule="auto"/>
                    <w:jc w:val="center"/>
                    <w:rPr>
                      <w:kern w:val="1"/>
                      <w:sz w:val="21"/>
                      <w:szCs w:val="21"/>
                    </w:rPr>
                  </w:pPr>
                  <w:r>
                    <w:rPr>
                      <w:kern w:val="1"/>
                      <w:sz w:val="21"/>
                      <w:szCs w:val="21"/>
                    </w:rPr>
                    <w:t>TVOC</w:t>
                  </w:r>
                </w:p>
              </w:tc>
              <w:tc>
                <w:tcPr>
                  <w:tcW w:w="1313" w:type="dxa"/>
                  <w:tcBorders>
                    <w:tl2br w:val="nil"/>
                    <w:tr2bl w:val="nil"/>
                  </w:tcBorders>
                  <w:vAlign w:val="center"/>
                </w:tcPr>
                <w:p>
                  <w:pPr>
                    <w:spacing w:line="240" w:lineRule="auto"/>
                    <w:jc w:val="center"/>
                    <w:rPr>
                      <w:kern w:val="1"/>
                      <w:sz w:val="21"/>
                      <w:szCs w:val="21"/>
                    </w:rPr>
                  </w:pPr>
                  <w:r>
                    <w:rPr>
                      <w:kern w:val="1"/>
                      <w:sz w:val="21"/>
                      <w:szCs w:val="21"/>
                    </w:rPr>
                    <w:t>8h均值</w:t>
                  </w:r>
                </w:p>
              </w:tc>
              <w:tc>
                <w:tcPr>
                  <w:tcW w:w="825" w:type="dxa"/>
                  <w:tcBorders>
                    <w:tl2br w:val="nil"/>
                    <w:tr2bl w:val="nil"/>
                  </w:tcBorders>
                  <w:vAlign w:val="center"/>
                </w:tcPr>
                <w:p>
                  <w:pPr>
                    <w:spacing w:line="240" w:lineRule="auto"/>
                    <w:jc w:val="center"/>
                    <w:rPr>
                      <w:kern w:val="1"/>
                      <w:sz w:val="21"/>
                      <w:szCs w:val="21"/>
                    </w:rPr>
                  </w:pPr>
                  <w:r>
                    <w:rPr>
                      <w:kern w:val="1"/>
                      <w:sz w:val="21"/>
                      <w:szCs w:val="21"/>
                    </w:rPr>
                    <w:t>0.133</w:t>
                  </w:r>
                </w:p>
              </w:tc>
              <w:tc>
                <w:tcPr>
                  <w:tcW w:w="870" w:type="dxa"/>
                  <w:tcBorders>
                    <w:tl2br w:val="nil"/>
                    <w:tr2bl w:val="nil"/>
                  </w:tcBorders>
                  <w:vAlign w:val="center"/>
                </w:tcPr>
                <w:p>
                  <w:pPr>
                    <w:spacing w:line="240" w:lineRule="auto"/>
                    <w:jc w:val="center"/>
                    <w:rPr>
                      <w:kern w:val="1"/>
                      <w:sz w:val="21"/>
                      <w:szCs w:val="21"/>
                    </w:rPr>
                  </w:pPr>
                  <w:r>
                    <w:rPr>
                      <w:kern w:val="1"/>
                      <w:sz w:val="21"/>
                      <w:szCs w:val="21"/>
                    </w:rPr>
                    <w:t>0.124</w:t>
                  </w:r>
                </w:p>
              </w:tc>
              <w:tc>
                <w:tcPr>
                  <w:tcW w:w="831" w:type="dxa"/>
                  <w:tcBorders>
                    <w:tl2br w:val="nil"/>
                    <w:tr2bl w:val="nil"/>
                  </w:tcBorders>
                  <w:vAlign w:val="center"/>
                </w:tcPr>
                <w:p>
                  <w:pPr>
                    <w:spacing w:line="240" w:lineRule="auto"/>
                    <w:jc w:val="center"/>
                    <w:rPr>
                      <w:kern w:val="1"/>
                      <w:sz w:val="21"/>
                      <w:szCs w:val="21"/>
                    </w:rPr>
                  </w:pPr>
                  <w:r>
                    <w:rPr>
                      <w:kern w:val="1"/>
                      <w:sz w:val="21"/>
                      <w:szCs w:val="21"/>
                    </w:rPr>
                    <w:t>0.140</w:t>
                  </w:r>
                </w:p>
              </w:tc>
              <w:tc>
                <w:tcPr>
                  <w:tcW w:w="834" w:type="dxa"/>
                  <w:tcBorders>
                    <w:tl2br w:val="nil"/>
                    <w:tr2bl w:val="nil"/>
                  </w:tcBorders>
                  <w:vAlign w:val="center"/>
                </w:tcPr>
                <w:p>
                  <w:pPr>
                    <w:spacing w:line="240" w:lineRule="auto"/>
                    <w:jc w:val="center"/>
                    <w:rPr>
                      <w:kern w:val="1"/>
                      <w:sz w:val="21"/>
                      <w:szCs w:val="21"/>
                    </w:rPr>
                  </w:pPr>
                  <w:r>
                    <w:rPr>
                      <w:kern w:val="1"/>
                      <w:sz w:val="21"/>
                      <w:szCs w:val="21"/>
                    </w:rPr>
                    <w:t>0.110</w:t>
                  </w:r>
                </w:p>
              </w:tc>
              <w:tc>
                <w:tcPr>
                  <w:tcW w:w="870" w:type="dxa"/>
                  <w:tcBorders>
                    <w:tl2br w:val="nil"/>
                    <w:tr2bl w:val="nil"/>
                  </w:tcBorders>
                  <w:vAlign w:val="center"/>
                </w:tcPr>
                <w:p>
                  <w:pPr>
                    <w:spacing w:line="240" w:lineRule="auto"/>
                    <w:jc w:val="center"/>
                    <w:rPr>
                      <w:kern w:val="1"/>
                      <w:sz w:val="21"/>
                      <w:szCs w:val="21"/>
                    </w:rPr>
                  </w:pPr>
                  <w:r>
                    <w:rPr>
                      <w:kern w:val="1"/>
                      <w:sz w:val="21"/>
                      <w:szCs w:val="21"/>
                    </w:rPr>
                    <w:t>0.117</w:t>
                  </w:r>
                </w:p>
              </w:tc>
              <w:tc>
                <w:tcPr>
                  <w:tcW w:w="840" w:type="dxa"/>
                  <w:tcBorders>
                    <w:tl2br w:val="nil"/>
                    <w:tr2bl w:val="nil"/>
                  </w:tcBorders>
                  <w:vAlign w:val="center"/>
                </w:tcPr>
                <w:p>
                  <w:pPr>
                    <w:spacing w:line="240" w:lineRule="auto"/>
                    <w:jc w:val="center"/>
                    <w:rPr>
                      <w:kern w:val="1"/>
                      <w:sz w:val="21"/>
                      <w:szCs w:val="21"/>
                    </w:rPr>
                  </w:pPr>
                  <w:r>
                    <w:rPr>
                      <w:kern w:val="1"/>
                      <w:sz w:val="21"/>
                      <w:szCs w:val="21"/>
                    </w:rPr>
                    <w:t>0.108</w:t>
                  </w:r>
                </w:p>
              </w:tc>
              <w:tc>
                <w:tcPr>
                  <w:tcW w:w="840" w:type="dxa"/>
                  <w:tcBorders>
                    <w:tl2br w:val="nil"/>
                    <w:tr2bl w:val="nil"/>
                  </w:tcBorders>
                  <w:vAlign w:val="center"/>
                </w:tcPr>
                <w:p>
                  <w:pPr>
                    <w:spacing w:line="240" w:lineRule="auto"/>
                    <w:jc w:val="center"/>
                    <w:rPr>
                      <w:kern w:val="1"/>
                      <w:sz w:val="21"/>
                      <w:szCs w:val="21"/>
                    </w:rPr>
                  </w:pPr>
                  <w:r>
                    <w:rPr>
                      <w:kern w:val="1"/>
                      <w:sz w:val="21"/>
                      <w:szCs w:val="21"/>
                    </w:rPr>
                    <w:t>0.142</w:t>
                  </w:r>
                </w:p>
              </w:tc>
              <w:tc>
                <w:tcPr>
                  <w:tcW w:w="512" w:type="dxa"/>
                  <w:tcBorders>
                    <w:tl2br w:val="nil"/>
                    <w:tr2bl w:val="nil"/>
                  </w:tcBorders>
                  <w:vAlign w:val="center"/>
                </w:tcPr>
                <w:p>
                  <w:pPr>
                    <w:spacing w:line="240" w:lineRule="auto"/>
                    <w:jc w:val="center"/>
                    <w:rPr>
                      <w:kern w:val="1"/>
                      <w:sz w:val="21"/>
                      <w:szCs w:val="21"/>
                    </w:rPr>
                  </w:pPr>
                  <w:r>
                    <w:rPr>
                      <w:kern w:val="1"/>
                      <w:sz w:val="21"/>
                      <w:szCs w:val="21"/>
                    </w:rPr>
                    <w:t>0.6</w:t>
                  </w:r>
                </w:p>
              </w:tc>
            </w:tr>
          </w:tbl>
          <w:p>
            <w:pPr>
              <w:ind w:firstLine="480" w:firstLineChars="200"/>
              <w:jc w:val="left"/>
              <w:rPr>
                <w:bCs/>
                <w:sz w:val="24"/>
              </w:rPr>
            </w:pPr>
            <w:r>
              <w:rPr>
                <w:bCs/>
                <w:sz w:val="24"/>
              </w:rPr>
              <w:t>根据上表可知，</w:t>
            </w:r>
            <w:r>
              <w:rPr>
                <w:rFonts w:hint="eastAsia"/>
                <w:bCs/>
                <w:sz w:val="24"/>
              </w:rPr>
              <w:t>区域</w:t>
            </w:r>
            <w:r>
              <w:rPr>
                <w:bCs/>
                <w:sz w:val="24"/>
              </w:rPr>
              <w:t>TVOC现状值可达到《环境影响评价技术导则 大气环境》（HJ2.2-2018）附录D 限值要求（8h均值≤0.6mg/m</w:t>
            </w:r>
            <w:r>
              <w:rPr>
                <w:bCs/>
                <w:sz w:val="24"/>
                <w:vertAlign w:val="superscript"/>
              </w:rPr>
              <w:t>3</w:t>
            </w:r>
            <w:r>
              <w:rPr>
                <w:bCs/>
                <w:sz w:val="24"/>
              </w:rPr>
              <w:t>）。</w:t>
            </w:r>
          </w:p>
          <w:p>
            <w:pPr>
              <w:ind w:firstLine="482" w:firstLineChars="200"/>
              <w:jc w:val="left"/>
              <w:rPr>
                <w:b/>
                <w:sz w:val="24"/>
              </w:rPr>
            </w:pPr>
            <w:r>
              <w:rPr>
                <w:b/>
                <w:sz w:val="24"/>
              </w:rPr>
              <w:t>3、声环境质量现状</w:t>
            </w:r>
          </w:p>
          <w:p>
            <w:pPr>
              <w:ind w:firstLine="480" w:firstLineChars="200"/>
              <w:jc w:val="left"/>
              <w:rPr>
                <w:bCs/>
                <w:sz w:val="24"/>
              </w:rPr>
            </w:pPr>
            <w:r>
              <w:rPr>
                <w:rFonts w:hint="eastAsia"/>
                <w:bCs/>
                <w:sz w:val="24"/>
              </w:rPr>
              <w:t>本项目为新建项目，其厂界外周边50米范围内不存在声环境保护目标，故无需对项目周边环境进行声环境质量现状监测</w:t>
            </w:r>
            <w:r>
              <w:rPr>
                <w:bCs/>
                <w:sz w:val="24"/>
              </w:rPr>
              <w:t>。</w:t>
            </w:r>
          </w:p>
          <w:p>
            <w:pPr>
              <w:ind w:firstLine="482" w:firstLineChars="200"/>
              <w:jc w:val="left"/>
              <w:rPr>
                <w:b/>
                <w:sz w:val="24"/>
              </w:rPr>
            </w:pPr>
            <w:r>
              <w:rPr>
                <w:b/>
                <w:sz w:val="24"/>
              </w:rPr>
              <w:t>4</w:t>
            </w:r>
            <w:r>
              <w:rPr>
                <w:rFonts w:hint="eastAsia"/>
                <w:b/>
                <w:sz w:val="24"/>
              </w:rPr>
              <w:t>、</w:t>
            </w:r>
            <w:r>
              <w:rPr>
                <w:b/>
                <w:sz w:val="24"/>
              </w:rPr>
              <w:t xml:space="preserve">地下水和土壤环境质量现状 </w:t>
            </w:r>
          </w:p>
          <w:p>
            <w:pPr>
              <w:ind w:firstLine="480" w:firstLineChars="200"/>
              <w:jc w:val="left"/>
              <w:rPr>
                <w:bCs/>
                <w:sz w:val="24"/>
              </w:rPr>
            </w:pPr>
          </w:p>
          <w:p>
            <w:pPr>
              <w:ind w:firstLine="480" w:firstLineChars="200"/>
              <w:jc w:val="left"/>
              <w:rPr>
                <w:bCs/>
                <w:sz w:val="24"/>
              </w:rPr>
            </w:pPr>
            <w:r>
              <w:rPr>
                <w:rFonts w:hint="eastAsia"/>
                <w:bCs/>
                <w:sz w:val="24"/>
              </w:rPr>
              <w:t>项目租赁现有厂房进行建设，场地内地面均已硬化，</w:t>
            </w:r>
            <w:r>
              <w:rPr>
                <w:bCs/>
                <w:sz w:val="24"/>
              </w:rPr>
              <w:t>不存在地下水和土壤污染途径</w:t>
            </w:r>
            <w:r>
              <w:rPr>
                <w:rFonts w:hint="eastAsia"/>
                <w:bCs/>
                <w:sz w:val="24"/>
              </w:rPr>
              <w:t>。根据广东省生态环境厅答复网友对土壤监测的疑问“建设项目环评文件编制土壤评价，若建设项目用地范围已全部硬化，不具备采样监测条件的，可采取拍照证明并在环评文件中体现，不进行厂区用地范围的土壤现状监测”。本项目符合不具备采样监测条件，项目现场硬化情况见下图。</w:t>
            </w:r>
          </w:p>
          <w:tbl>
            <w:tblPr>
              <w:tblStyle w:val="4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8"/>
              <w:gridCol w:w="42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8" w:type="dxa"/>
                </w:tcPr>
                <w:p>
                  <w:pPr>
                    <w:jc w:val="center"/>
                    <w:rPr>
                      <w:bCs/>
                      <w:sz w:val="24"/>
                    </w:rPr>
                  </w:pPr>
                  <w:r>
                    <w:drawing>
                      <wp:inline distT="0" distB="0" distL="0" distR="0">
                        <wp:extent cx="2566670" cy="2631440"/>
                        <wp:effectExtent l="0" t="0" r="508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6" cstate="print"/>
                                <a:stretch>
                                  <a:fillRect/>
                                </a:stretch>
                              </pic:blipFill>
                              <pic:spPr>
                                <a:xfrm>
                                  <a:off x="0" y="0"/>
                                  <a:ext cx="2566670" cy="2631440"/>
                                </a:xfrm>
                                <a:prstGeom prst="rect">
                                  <a:avLst/>
                                </a:prstGeom>
                              </pic:spPr>
                            </pic:pic>
                          </a:graphicData>
                        </a:graphic>
                      </wp:inline>
                    </w:drawing>
                  </w:r>
                </w:p>
              </w:tc>
              <w:tc>
                <w:tcPr>
                  <w:tcW w:w="4259" w:type="dxa"/>
                </w:tcPr>
                <w:p>
                  <w:pPr>
                    <w:jc w:val="center"/>
                    <w:rPr>
                      <w:bCs/>
                      <w:sz w:val="24"/>
                    </w:rPr>
                  </w:pPr>
                  <w:r>
                    <w:drawing>
                      <wp:inline distT="0" distB="0" distL="0" distR="0">
                        <wp:extent cx="2457450" cy="263144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7" cstate="print"/>
                                <a:stretch>
                                  <a:fillRect/>
                                </a:stretch>
                              </pic:blipFill>
                              <pic:spPr>
                                <a:xfrm>
                                  <a:off x="0" y="0"/>
                                  <a:ext cx="2457820" cy="2631836"/>
                                </a:xfrm>
                                <a:prstGeom prst="rect">
                                  <a:avLst/>
                                </a:prstGeom>
                              </pic:spPr>
                            </pic:pic>
                          </a:graphicData>
                        </a:graphic>
                      </wp:inline>
                    </w:drawing>
                  </w:r>
                </w:p>
              </w:tc>
            </w:tr>
          </w:tbl>
          <w:p>
            <w:pPr>
              <w:pStyle w:val="169"/>
              <w:spacing w:line="240" w:lineRule="auto"/>
              <w:rPr>
                <w:rFonts w:hint="default" w:hAnsi="Times New Roman" w:eastAsiaTheme="minorEastAsia"/>
                <w:sz w:val="24"/>
                <w:szCs w:val="24"/>
              </w:rPr>
            </w:pPr>
            <w:r>
              <w:rPr>
                <w:rFonts w:hAnsi="Times New Roman" w:eastAsiaTheme="minorEastAsia"/>
                <w:sz w:val="24"/>
                <w:szCs w:val="24"/>
              </w:rPr>
              <w:t>图3-</w:t>
            </w:r>
            <w:r>
              <w:rPr>
                <w:rFonts w:hint="default" w:hAnsi="Times New Roman" w:eastAsiaTheme="minorEastAsia"/>
                <w:sz w:val="24"/>
                <w:szCs w:val="24"/>
              </w:rPr>
              <w:t xml:space="preserve">1 </w:t>
            </w:r>
            <w:r>
              <w:rPr>
                <w:rFonts w:hAnsi="Times New Roman" w:eastAsiaTheme="minorEastAsia"/>
                <w:sz w:val="24"/>
                <w:szCs w:val="24"/>
              </w:rPr>
              <w:t>项目厂房内地面硬化照片</w:t>
            </w:r>
          </w:p>
          <w:p>
            <w:pPr>
              <w:ind w:firstLine="482" w:firstLineChars="200"/>
              <w:jc w:val="left"/>
              <w:rPr>
                <w:b/>
                <w:sz w:val="24"/>
              </w:rPr>
            </w:pPr>
            <w:r>
              <w:rPr>
                <w:b/>
                <w:sz w:val="24"/>
              </w:rPr>
              <w:t>5</w:t>
            </w:r>
            <w:r>
              <w:rPr>
                <w:rFonts w:hint="eastAsia"/>
                <w:b/>
                <w:sz w:val="24"/>
              </w:rPr>
              <w:t>、生态</w:t>
            </w:r>
            <w:r>
              <w:rPr>
                <w:b/>
                <w:sz w:val="24"/>
              </w:rPr>
              <w:t>环境质量现状</w:t>
            </w:r>
          </w:p>
          <w:p>
            <w:pPr>
              <w:ind w:firstLine="480" w:firstLineChars="200"/>
              <w:jc w:val="left"/>
              <w:rPr>
                <w:bCs/>
                <w:sz w:val="24"/>
              </w:rPr>
            </w:pPr>
            <w:r>
              <w:rPr>
                <w:rFonts w:hint="eastAsia"/>
                <w:bCs/>
                <w:sz w:val="24"/>
              </w:rPr>
              <w:t>项目依托现有厂房进行生产，未新增用地且用地范围内无生态环境保护目标，无需进行生态现状调查。</w:t>
            </w:r>
          </w:p>
          <w:p>
            <w:pPr>
              <w:ind w:firstLine="482" w:firstLineChars="200"/>
              <w:jc w:val="left"/>
              <w:rPr>
                <w:b/>
                <w:sz w:val="24"/>
              </w:rPr>
            </w:pPr>
            <w:r>
              <w:rPr>
                <w:b/>
                <w:sz w:val="24"/>
              </w:rPr>
              <w:t>6</w:t>
            </w:r>
            <w:r>
              <w:rPr>
                <w:rFonts w:hint="eastAsia"/>
                <w:b/>
                <w:sz w:val="24"/>
              </w:rPr>
              <w:t>、电磁辐射</w:t>
            </w:r>
            <w:r>
              <w:rPr>
                <w:b/>
                <w:sz w:val="24"/>
              </w:rPr>
              <w:t>环境质量现状</w:t>
            </w:r>
          </w:p>
          <w:p>
            <w:pPr>
              <w:ind w:firstLine="480" w:firstLineChars="200"/>
              <w:jc w:val="left"/>
            </w:pPr>
            <w:r>
              <w:rPr>
                <w:rFonts w:hint="eastAsia"/>
                <w:bCs/>
                <w:sz w:val="24"/>
              </w:rPr>
              <w:t>项目不属于广播电台、差转台、电视塔台、卫星地球上行站、雷达等电磁辐射类项目，无需开展电磁辐射现状开展监测与评价。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800" w:type="dxa"/>
            <w:vAlign w:val="center"/>
          </w:tcPr>
          <w:p>
            <w:pPr>
              <w:jc w:val="center"/>
              <w:rPr>
                <w:bCs/>
                <w:sz w:val="24"/>
              </w:rPr>
            </w:pPr>
            <w:r>
              <w:rPr>
                <w:bCs/>
                <w:sz w:val="24"/>
              </w:rPr>
              <w:t>环境</w:t>
            </w:r>
          </w:p>
          <w:p>
            <w:pPr>
              <w:jc w:val="center"/>
              <w:rPr>
                <w:bCs/>
                <w:sz w:val="24"/>
              </w:rPr>
            </w:pPr>
            <w:r>
              <w:rPr>
                <w:bCs/>
                <w:sz w:val="24"/>
              </w:rPr>
              <w:t>保护</w:t>
            </w:r>
          </w:p>
          <w:p>
            <w:pPr>
              <w:jc w:val="center"/>
              <w:rPr>
                <w:kern w:val="0"/>
                <w:sz w:val="21"/>
                <w:szCs w:val="21"/>
              </w:rPr>
            </w:pPr>
            <w:r>
              <w:rPr>
                <w:bCs/>
                <w:sz w:val="24"/>
              </w:rPr>
              <w:t>目标</w:t>
            </w:r>
          </w:p>
        </w:tc>
        <w:tc>
          <w:tcPr>
            <w:tcW w:w="8743" w:type="dxa"/>
            <w:vAlign w:val="center"/>
          </w:tcPr>
          <w:p>
            <w:pPr>
              <w:ind w:firstLine="482" w:firstLineChars="200"/>
              <w:jc w:val="left"/>
              <w:rPr>
                <w:b/>
                <w:sz w:val="24"/>
              </w:rPr>
            </w:pPr>
            <w:r>
              <w:rPr>
                <w:b/>
                <w:sz w:val="24"/>
              </w:rPr>
              <w:t>1、</w:t>
            </w:r>
            <w:r>
              <w:rPr>
                <w:rFonts w:hint="eastAsia"/>
                <w:b/>
                <w:sz w:val="24"/>
              </w:rPr>
              <w:t>环境空气</w:t>
            </w:r>
          </w:p>
          <w:p>
            <w:pPr>
              <w:ind w:firstLine="480" w:firstLineChars="200"/>
              <w:jc w:val="left"/>
              <w:rPr>
                <w:bCs/>
                <w:sz w:val="24"/>
              </w:rPr>
            </w:pPr>
            <w:r>
              <w:rPr>
                <w:bCs/>
                <w:sz w:val="24"/>
              </w:rPr>
              <w:t>项目位于</w:t>
            </w:r>
            <w:r>
              <w:rPr>
                <w:sz w:val="24"/>
              </w:rPr>
              <w:t>广东陆河县产业转移工业园区</w:t>
            </w:r>
            <w:r>
              <w:rPr>
                <w:bCs/>
                <w:sz w:val="24"/>
              </w:rPr>
              <w:t>陆河比亚迪车工业园1号厂房1-2，比亚迪汕尾陆河工业园区外500米范围内无自然保护区、风景名胜区，主要为居住区和农村地区中人群较集中的区域，其相关保护目标与项目厂界位置关系详见下表及附图5。</w:t>
            </w:r>
          </w:p>
          <w:p>
            <w:pPr>
              <w:pStyle w:val="2"/>
            </w:pPr>
          </w:p>
          <w:p>
            <w:pPr>
              <w:pStyle w:val="2"/>
            </w:pPr>
          </w:p>
          <w:p>
            <w:pPr>
              <w:pStyle w:val="2"/>
            </w:pPr>
          </w:p>
          <w:p>
            <w:pPr>
              <w:pStyle w:val="2"/>
            </w:pPr>
          </w:p>
          <w:p>
            <w:pPr>
              <w:pStyle w:val="2"/>
            </w:pPr>
          </w:p>
          <w:p>
            <w:pPr>
              <w:pStyle w:val="2"/>
            </w:pPr>
          </w:p>
          <w:p>
            <w:pPr>
              <w:pStyle w:val="169"/>
              <w:spacing w:line="240" w:lineRule="auto"/>
              <w:rPr>
                <w:rFonts w:hint="default" w:hAnsi="Times New Roman" w:eastAsiaTheme="minorEastAsia"/>
                <w:sz w:val="24"/>
                <w:szCs w:val="24"/>
              </w:rPr>
            </w:pPr>
            <w:r>
              <w:rPr>
                <w:rFonts w:hAnsi="Times New Roman" w:eastAsiaTheme="minorEastAsia"/>
                <w:sz w:val="24"/>
                <w:szCs w:val="24"/>
              </w:rPr>
              <w:t>表3-</w:t>
            </w:r>
            <w:r>
              <w:rPr>
                <w:rFonts w:hint="default" w:hAnsi="Times New Roman" w:eastAsiaTheme="minorEastAsia"/>
                <w:sz w:val="24"/>
                <w:szCs w:val="24"/>
              </w:rPr>
              <w:t xml:space="preserve">6 </w:t>
            </w:r>
            <w:r>
              <w:rPr>
                <w:rFonts w:hAnsi="Times New Roman" w:eastAsiaTheme="minorEastAsia"/>
                <w:sz w:val="24"/>
                <w:szCs w:val="24"/>
              </w:rPr>
              <w:t>项目厂界500米范围内环境敏感目标</w:t>
            </w:r>
          </w:p>
          <w:tbl>
            <w:tblPr>
              <w:tblStyle w:val="4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5"/>
              <w:gridCol w:w="1208"/>
              <w:gridCol w:w="1278"/>
              <w:gridCol w:w="1131"/>
              <w:gridCol w:w="677"/>
              <w:gridCol w:w="1250"/>
              <w:gridCol w:w="1275"/>
              <w:gridCol w:w="10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6" w:type="dxa"/>
                  <w:vMerge w:val="restart"/>
                  <w:tcBorders>
                    <w:tl2br w:val="nil"/>
                    <w:tr2bl w:val="nil"/>
                  </w:tcBorders>
                  <w:vAlign w:val="center"/>
                </w:tcPr>
                <w:p>
                  <w:pPr>
                    <w:spacing w:line="240" w:lineRule="auto"/>
                    <w:jc w:val="center"/>
                    <w:rPr>
                      <w:b/>
                      <w:bCs/>
                      <w:kern w:val="1"/>
                      <w:sz w:val="21"/>
                      <w:szCs w:val="21"/>
                    </w:rPr>
                  </w:pPr>
                  <w:r>
                    <w:rPr>
                      <w:b/>
                      <w:bCs/>
                      <w:kern w:val="1"/>
                      <w:sz w:val="21"/>
                      <w:szCs w:val="21"/>
                    </w:rPr>
                    <w:t>序号</w:t>
                  </w:r>
                </w:p>
              </w:tc>
              <w:tc>
                <w:tcPr>
                  <w:tcW w:w="1208" w:type="dxa"/>
                  <w:vMerge w:val="restart"/>
                  <w:tcBorders>
                    <w:tl2br w:val="nil"/>
                    <w:tr2bl w:val="nil"/>
                  </w:tcBorders>
                  <w:vAlign w:val="center"/>
                </w:tcPr>
                <w:p>
                  <w:pPr>
                    <w:spacing w:line="240" w:lineRule="auto"/>
                    <w:jc w:val="center"/>
                    <w:rPr>
                      <w:b/>
                      <w:bCs/>
                      <w:kern w:val="1"/>
                      <w:sz w:val="21"/>
                      <w:szCs w:val="21"/>
                    </w:rPr>
                  </w:pPr>
                  <w:r>
                    <w:rPr>
                      <w:b/>
                      <w:bCs/>
                      <w:kern w:val="1"/>
                      <w:sz w:val="21"/>
                      <w:szCs w:val="21"/>
                    </w:rPr>
                    <w:t>敏感点</w:t>
                  </w:r>
                </w:p>
              </w:tc>
              <w:tc>
                <w:tcPr>
                  <w:tcW w:w="2409" w:type="dxa"/>
                  <w:gridSpan w:val="2"/>
                  <w:tcBorders>
                    <w:tl2br w:val="nil"/>
                    <w:tr2bl w:val="nil"/>
                  </w:tcBorders>
                  <w:vAlign w:val="center"/>
                </w:tcPr>
                <w:p>
                  <w:pPr>
                    <w:spacing w:line="240" w:lineRule="auto"/>
                    <w:jc w:val="center"/>
                    <w:rPr>
                      <w:b/>
                      <w:bCs/>
                      <w:kern w:val="1"/>
                      <w:sz w:val="21"/>
                      <w:szCs w:val="21"/>
                    </w:rPr>
                  </w:pPr>
                  <w:r>
                    <w:rPr>
                      <w:b/>
                      <w:bCs/>
                      <w:kern w:val="1"/>
                      <w:sz w:val="21"/>
                      <w:szCs w:val="21"/>
                    </w:rPr>
                    <w:t>坐标</w:t>
                  </w:r>
                </w:p>
              </w:tc>
              <w:tc>
                <w:tcPr>
                  <w:tcW w:w="677" w:type="dxa"/>
                  <w:vMerge w:val="restart"/>
                  <w:tcBorders>
                    <w:tl2br w:val="nil"/>
                    <w:tr2bl w:val="nil"/>
                  </w:tcBorders>
                  <w:vAlign w:val="center"/>
                </w:tcPr>
                <w:p>
                  <w:pPr>
                    <w:spacing w:line="240" w:lineRule="auto"/>
                    <w:jc w:val="center"/>
                    <w:rPr>
                      <w:b/>
                      <w:bCs/>
                      <w:kern w:val="1"/>
                      <w:sz w:val="21"/>
                      <w:szCs w:val="21"/>
                    </w:rPr>
                  </w:pPr>
                  <w:r>
                    <w:rPr>
                      <w:b/>
                      <w:bCs/>
                      <w:kern w:val="1"/>
                      <w:sz w:val="21"/>
                      <w:szCs w:val="21"/>
                    </w:rPr>
                    <w:t>方位</w:t>
                  </w:r>
                </w:p>
              </w:tc>
              <w:tc>
                <w:tcPr>
                  <w:tcW w:w="1250" w:type="dxa"/>
                  <w:vMerge w:val="restart"/>
                  <w:tcBorders>
                    <w:tl2br w:val="nil"/>
                    <w:tr2bl w:val="nil"/>
                  </w:tcBorders>
                  <w:vAlign w:val="center"/>
                </w:tcPr>
                <w:p>
                  <w:pPr>
                    <w:spacing w:line="240" w:lineRule="auto"/>
                    <w:jc w:val="center"/>
                    <w:rPr>
                      <w:b/>
                      <w:bCs/>
                      <w:kern w:val="1"/>
                      <w:sz w:val="21"/>
                      <w:szCs w:val="21"/>
                    </w:rPr>
                  </w:pPr>
                  <w:r>
                    <w:rPr>
                      <w:b/>
                      <w:bCs/>
                      <w:kern w:val="1"/>
                      <w:sz w:val="21"/>
                      <w:szCs w:val="21"/>
                    </w:rPr>
                    <w:t>与项目厂房边界的距离/m</w:t>
                  </w:r>
                </w:p>
              </w:tc>
              <w:tc>
                <w:tcPr>
                  <w:tcW w:w="1275" w:type="dxa"/>
                  <w:vMerge w:val="restart"/>
                  <w:tcBorders>
                    <w:tl2br w:val="nil"/>
                    <w:tr2bl w:val="nil"/>
                  </w:tcBorders>
                  <w:vAlign w:val="center"/>
                </w:tcPr>
                <w:p>
                  <w:pPr>
                    <w:spacing w:line="240" w:lineRule="auto"/>
                    <w:jc w:val="center"/>
                    <w:rPr>
                      <w:b/>
                      <w:bCs/>
                      <w:kern w:val="1"/>
                      <w:sz w:val="21"/>
                      <w:szCs w:val="21"/>
                    </w:rPr>
                  </w:pPr>
                  <w:r>
                    <w:rPr>
                      <w:b/>
                      <w:bCs/>
                      <w:kern w:val="1"/>
                      <w:sz w:val="21"/>
                      <w:szCs w:val="21"/>
                    </w:rPr>
                    <w:t>与比亚迪厂界的距离/m</w:t>
                  </w:r>
                </w:p>
              </w:tc>
              <w:tc>
                <w:tcPr>
                  <w:tcW w:w="1080" w:type="dxa"/>
                  <w:vMerge w:val="restart"/>
                  <w:tcBorders>
                    <w:tl2br w:val="nil"/>
                    <w:tr2bl w:val="nil"/>
                  </w:tcBorders>
                  <w:vAlign w:val="center"/>
                </w:tcPr>
                <w:p>
                  <w:pPr>
                    <w:spacing w:line="240" w:lineRule="auto"/>
                    <w:jc w:val="center"/>
                    <w:rPr>
                      <w:b/>
                      <w:bCs/>
                      <w:kern w:val="1"/>
                      <w:sz w:val="21"/>
                      <w:szCs w:val="21"/>
                    </w:rPr>
                  </w:pPr>
                  <w:r>
                    <w:rPr>
                      <w:b/>
                      <w:bCs/>
                      <w:kern w:val="1"/>
                      <w:sz w:val="21"/>
                      <w:szCs w:val="21"/>
                    </w:rPr>
                    <w:t>影响规模</w:t>
                  </w:r>
                </w:p>
                <w:p>
                  <w:pPr>
                    <w:spacing w:line="240" w:lineRule="auto"/>
                    <w:jc w:val="center"/>
                    <w:rPr>
                      <w:b/>
                      <w:bCs/>
                      <w:kern w:val="1"/>
                      <w:sz w:val="21"/>
                      <w:szCs w:val="21"/>
                    </w:rPr>
                  </w:pPr>
                  <w:r>
                    <w:rPr>
                      <w:b/>
                      <w:bCs/>
                      <w:kern w:val="1"/>
                      <w:sz w:val="21"/>
                      <w:szCs w:val="21"/>
                    </w:rPr>
                    <w:t>/人数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6" w:type="dxa"/>
                  <w:vMerge w:val="continue"/>
                  <w:tcBorders>
                    <w:tl2br w:val="nil"/>
                    <w:tr2bl w:val="nil"/>
                  </w:tcBorders>
                  <w:vAlign w:val="center"/>
                </w:tcPr>
                <w:p>
                  <w:pPr>
                    <w:spacing w:line="240" w:lineRule="auto"/>
                    <w:jc w:val="center"/>
                    <w:rPr>
                      <w:b/>
                      <w:bCs/>
                      <w:kern w:val="1"/>
                      <w:sz w:val="21"/>
                      <w:szCs w:val="21"/>
                    </w:rPr>
                  </w:pPr>
                </w:p>
              </w:tc>
              <w:tc>
                <w:tcPr>
                  <w:tcW w:w="1208" w:type="dxa"/>
                  <w:vMerge w:val="continue"/>
                  <w:tcBorders>
                    <w:tl2br w:val="nil"/>
                    <w:tr2bl w:val="nil"/>
                  </w:tcBorders>
                  <w:vAlign w:val="center"/>
                </w:tcPr>
                <w:p>
                  <w:pPr>
                    <w:spacing w:line="240" w:lineRule="auto"/>
                    <w:jc w:val="center"/>
                    <w:rPr>
                      <w:b/>
                      <w:bCs/>
                      <w:kern w:val="1"/>
                      <w:sz w:val="21"/>
                      <w:szCs w:val="21"/>
                    </w:rPr>
                  </w:pPr>
                </w:p>
              </w:tc>
              <w:tc>
                <w:tcPr>
                  <w:tcW w:w="1278" w:type="dxa"/>
                  <w:tcBorders>
                    <w:tl2br w:val="nil"/>
                    <w:tr2bl w:val="nil"/>
                  </w:tcBorders>
                  <w:vAlign w:val="center"/>
                </w:tcPr>
                <w:p>
                  <w:pPr>
                    <w:spacing w:line="240" w:lineRule="auto"/>
                    <w:jc w:val="center"/>
                    <w:rPr>
                      <w:b/>
                      <w:bCs/>
                      <w:kern w:val="1"/>
                      <w:sz w:val="21"/>
                      <w:szCs w:val="21"/>
                    </w:rPr>
                  </w:pPr>
                  <w:r>
                    <w:rPr>
                      <w:b/>
                      <w:bCs/>
                      <w:kern w:val="1"/>
                      <w:sz w:val="21"/>
                      <w:szCs w:val="21"/>
                    </w:rPr>
                    <w:t>X（°E）</w:t>
                  </w:r>
                </w:p>
              </w:tc>
              <w:tc>
                <w:tcPr>
                  <w:tcW w:w="1131" w:type="dxa"/>
                  <w:tcBorders>
                    <w:tl2br w:val="nil"/>
                    <w:tr2bl w:val="nil"/>
                  </w:tcBorders>
                  <w:vAlign w:val="center"/>
                </w:tcPr>
                <w:p>
                  <w:pPr>
                    <w:spacing w:line="240" w:lineRule="auto"/>
                    <w:jc w:val="center"/>
                    <w:rPr>
                      <w:b/>
                      <w:bCs/>
                      <w:kern w:val="1"/>
                      <w:sz w:val="21"/>
                      <w:szCs w:val="21"/>
                    </w:rPr>
                  </w:pPr>
                  <w:r>
                    <w:rPr>
                      <w:b/>
                      <w:bCs/>
                      <w:kern w:val="1"/>
                      <w:sz w:val="21"/>
                      <w:szCs w:val="21"/>
                    </w:rPr>
                    <w:t>Y（°N）</w:t>
                  </w:r>
                </w:p>
              </w:tc>
              <w:tc>
                <w:tcPr>
                  <w:tcW w:w="677" w:type="dxa"/>
                  <w:vMerge w:val="continue"/>
                  <w:tcBorders>
                    <w:tl2br w:val="nil"/>
                    <w:tr2bl w:val="nil"/>
                  </w:tcBorders>
                  <w:vAlign w:val="center"/>
                </w:tcPr>
                <w:p>
                  <w:pPr>
                    <w:spacing w:line="240" w:lineRule="auto"/>
                    <w:jc w:val="center"/>
                    <w:rPr>
                      <w:kern w:val="1"/>
                      <w:sz w:val="21"/>
                      <w:szCs w:val="21"/>
                    </w:rPr>
                  </w:pPr>
                </w:p>
              </w:tc>
              <w:tc>
                <w:tcPr>
                  <w:tcW w:w="1250" w:type="dxa"/>
                  <w:vMerge w:val="continue"/>
                  <w:tcBorders>
                    <w:tl2br w:val="nil"/>
                    <w:tr2bl w:val="nil"/>
                  </w:tcBorders>
                  <w:vAlign w:val="center"/>
                </w:tcPr>
                <w:p>
                  <w:pPr>
                    <w:spacing w:line="240" w:lineRule="auto"/>
                    <w:jc w:val="center"/>
                    <w:rPr>
                      <w:kern w:val="1"/>
                      <w:sz w:val="21"/>
                      <w:szCs w:val="21"/>
                    </w:rPr>
                  </w:pPr>
                </w:p>
              </w:tc>
              <w:tc>
                <w:tcPr>
                  <w:tcW w:w="1275" w:type="dxa"/>
                  <w:vMerge w:val="continue"/>
                  <w:tcBorders>
                    <w:tl2br w:val="nil"/>
                    <w:tr2bl w:val="nil"/>
                  </w:tcBorders>
                  <w:vAlign w:val="center"/>
                </w:tcPr>
                <w:p>
                  <w:pPr>
                    <w:spacing w:line="240" w:lineRule="auto"/>
                    <w:jc w:val="center"/>
                    <w:rPr>
                      <w:kern w:val="1"/>
                      <w:sz w:val="21"/>
                      <w:szCs w:val="21"/>
                    </w:rPr>
                  </w:pPr>
                </w:p>
              </w:tc>
              <w:tc>
                <w:tcPr>
                  <w:tcW w:w="1080" w:type="dxa"/>
                  <w:vMerge w:val="continue"/>
                  <w:tcBorders>
                    <w:tl2br w:val="nil"/>
                    <w:tr2bl w:val="nil"/>
                  </w:tcBorders>
                  <w:vAlign w:val="center"/>
                </w:tcPr>
                <w:p>
                  <w:pPr>
                    <w:spacing w:line="240" w:lineRule="auto"/>
                    <w:jc w:val="center"/>
                    <w:rPr>
                      <w:kern w:val="1"/>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6" w:type="dxa"/>
                  <w:tcBorders>
                    <w:tl2br w:val="nil"/>
                    <w:tr2bl w:val="nil"/>
                  </w:tcBorders>
                  <w:vAlign w:val="center"/>
                </w:tcPr>
                <w:p>
                  <w:pPr>
                    <w:spacing w:line="240" w:lineRule="auto"/>
                    <w:jc w:val="center"/>
                    <w:rPr>
                      <w:kern w:val="1"/>
                      <w:sz w:val="21"/>
                      <w:szCs w:val="21"/>
                    </w:rPr>
                  </w:pPr>
                  <w:r>
                    <w:rPr>
                      <w:kern w:val="1"/>
                      <w:sz w:val="21"/>
                      <w:szCs w:val="21"/>
                    </w:rPr>
                    <w:t>1</w:t>
                  </w:r>
                </w:p>
              </w:tc>
              <w:tc>
                <w:tcPr>
                  <w:tcW w:w="1208" w:type="dxa"/>
                  <w:tcBorders>
                    <w:tl2br w:val="nil"/>
                    <w:tr2bl w:val="nil"/>
                  </w:tcBorders>
                  <w:vAlign w:val="center"/>
                </w:tcPr>
                <w:p>
                  <w:pPr>
                    <w:spacing w:line="240" w:lineRule="auto"/>
                    <w:jc w:val="center"/>
                    <w:rPr>
                      <w:kern w:val="1"/>
                      <w:sz w:val="21"/>
                      <w:szCs w:val="21"/>
                    </w:rPr>
                  </w:pPr>
                  <w:r>
                    <w:rPr>
                      <w:kern w:val="1"/>
                      <w:sz w:val="21"/>
                      <w:szCs w:val="21"/>
                    </w:rPr>
                    <w:t>云丰村回迁居住地</w:t>
                  </w:r>
                </w:p>
              </w:tc>
              <w:tc>
                <w:tcPr>
                  <w:tcW w:w="1278" w:type="dxa"/>
                  <w:tcBorders>
                    <w:tl2br w:val="nil"/>
                    <w:tr2bl w:val="nil"/>
                  </w:tcBorders>
                  <w:vAlign w:val="center"/>
                </w:tcPr>
                <w:p>
                  <w:pPr>
                    <w:spacing w:line="240" w:lineRule="auto"/>
                    <w:jc w:val="center"/>
                    <w:rPr>
                      <w:kern w:val="1"/>
                      <w:sz w:val="21"/>
                      <w:szCs w:val="21"/>
                    </w:rPr>
                  </w:pPr>
                  <w:r>
                    <w:rPr>
                      <w:kern w:val="1"/>
                      <w:sz w:val="21"/>
                      <w:szCs w:val="21"/>
                    </w:rPr>
                    <w:t>115.352821</w:t>
                  </w:r>
                </w:p>
              </w:tc>
              <w:tc>
                <w:tcPr>
                  <w:tcW w:w="1131" w:type="dxa"/>
                  <w:tcBorders>
                    <w:tl2br w:val="nil"/>
                    <w:tr2bl w:val="nil"/>
                  </w:tcBorders>
                  <w:vAlign w:val="center"/>
                </w:tcPr>
                <w:p>
                  <w:pPr>
                    <w:spacing w:line="240" w:lineRule="auto"/>
                    <w:jc w:val="center"/>
                    <w:rPr>
                      <w:kern w:val="1"/>
                      <w:sz w:val="21"/>
                      <w:szCs w:val="21"/>
                    </w:rPr>
                  </w:pPr>
                  <w:r>
                    <w:rPr>
                      <w:kern w:val="1"/>
                      <w:sz w:val="21"/>
                      <w:szCs w:val="21"/>
                    </w:rPr>
                    <w:t>23.114175</w:t>
                  </w:r>
                </w:p>
              </w:tc>
              <w:tc>
                <w:tcPr>
                  <w:tcW w:w="677" w:type="dxa"/>
                  <w:tcBorders>
                    <w:tl2br w:val="nil"/>
                    <w:tr2bl w:val="nil"/>
                  </w:tcBorders>
                  <w:vAlign w:val="center"/>
                </w:tcPr>
                <w:p>
                  <w:pPr>
                    <w:spacing w:line="240" w:lineRule="auto"/>
                    <w:jc w:val="center"/>
                    <w:rPr>
                      <w:kern w:val="1"/>
                      <w:sz w:val="21"/>
                      <w:szCs w:val="21"/>
                    </w:rPr>
                  </w:pPr>
                  <w:r>
                    <w:rPr>
                      <w:kern w:val="1"/>
                      <w:sz w:val="21"/>
                      <w:szCs w:val="21"/>
                    </w:rPr>
                    <w:t>E</w:t>
                  </w:r>
                </w:p>
              </w:tc>
              <w:tc>
                <w:tcPr>
                  <w:tcW w:w="1250" w:type="dxa"/>
                  <w:tcBorders>
                    <w:tl2br w:val="nil"/>
                    <w:tr2bl w:val="nil"/>
                  </w:tcBorders>
                  <w:vAlign w:val="center"/>
                </w:tcPr>
                <w:p>
                  <w:pPr>
                    <w:spacing w:line="240" w:lineRule="auto"/>
                    <w:jc w:val="center"/>
                    <w:rPr>
                      <w:kern w:val="1"/>
                      <w:sz w:val="21"/>
                      <w:szCs w:val="21"/>
                    </w:rPr>
                  </w:pPr>
                  <w:r>
                    <w:rPr>
                      <w:kern w:val="1"/>
                      <w:sz w:val="21"/>
                      <w:szCs w:val="21"/>
                    </w:rPr>
                    <w:t>94</w:t>
                  </w:r>
                </w:p>
              </w:tc>
              <w:tc>
                <w:tcPr>
                  <w:tcW w:w="1275" w:type="dxa"/>
                  <w:tcBorders>
                    <w:tl2br w:val="nil"/>
                    <w:tr2bl w:val="nil"/>
                  </w:tcBorders>
                  <w:vAlign w:val="center"/>
                </w:tcPr>
                <w:p>
                  <w:pPr>
                    <w:spacing w:line="240" w:lineRule="auto"/>
                    <w:jc w:val="center"/>
                    <w:rPr>
                      <w:kern w:val="1"/>
                      <w:sz w:val="21"/>
                      <w:szCs w:val="21"/>
                    </w:rPr>
                  </w:pPr>
                  <w:r>
                    <w:rPr>
                      <w:kern w:val="1"/>
                      <w:sz w:val="21"/>
                      <w:szCs w:val="21"/>
                    </w:rPr>
                    <w:t>63</w:t>
                  </w:r>
                </w:p>
              </w:tc>
              <w:tc>
                <w:tcPr>
                  <w:tcW w:w="1080" w:type="dxa"/>
                  <w:tcBorders>
                    <w:tl2br w:val="nil"/>
                    <w:tr2bl w:val="nil"/>
                  </w:tcBorders>
                  <w:vAlign w:val="center"/>
                </w:tcPr>
                <w:p>
                  <w:pPr>
                    <w:spacing w:line="240" w:lineRule="auto"/>
                    <w:jc w:val="center"/>
                    <w:rPr>
                      <w:kern w:val="1"/>
                      <w:sz w:val="21"/>
                      <w:szCs w:val="21"/>
                    </w:rPr>
                  </w:pPr>
                  <w:r>
                    <w:rPr>
                      <w:kern w:val="1"/>
                      <w:sz w:val="21"/>
                      <w:szCs w:val="21"/>
                    </w:rPr>
                    <w:t>1000</w:t>
                  </w:r>
                </w:p>
              </w:tc>
            </w:tr>
          </w:tbl>
          <w:p>
            <w:pPr>
              <w:ind w:firstLine="482" w:firstLineChars="200"/>
              <w:jc w:val="left"/>
              <w:rPr>
                <w:b/>
                <w:sz w:val="24"/>
              </w:rPr>
            </w:pPr>
            <w:r>
              <w:rPr>
                <w:b/>
                <w:sz w:val="24"/>
              </w:rPr>
              <w:t>2、声环境</w:t>
            </w:r>
          </w:p>
          <w:p>
            <w:pPr>
              <w:ind w:firstLine="480" w:firstLineChars="200"/>
              <w:jc w:val="left"/>
              <w:rPr>
                <w:bCs/>
                <w:sz w:val="24"/>
              </w:rPr>
            </w:pPr>
            <w:r>
              <w:rPr>
                <w:bCs/>
                <w:sz w:val="24"/>
              </w:rPr>
              <w:t>项目厂界外50米范围内无医院、学校、机关、科研单位、住宅及自然保护区等声环境保护目标。</w:t>
            </w:r>
          </w:p>
          <w:p>
            <w:pPr>
              <w:ind w:firstLine="482" w:firstLineChars="200"/>
              <w:jc w:val="left"/>
              <w:rPr>
                <w:b/>
                <w:sz w:val="24"/>
              </w:rPr>
            </w:pPr>
            <w:r>
              <w:rPr>
                <w:b/>
                <w:sz w:val="24"/>
              </w:rPr>
              <w:t>3、地下水</w:t>
            </w:r>
          </w:p>
          <w:p>
            <w:pPr>
              <w:ind w:firstLine="480" w:firstLineChars="200"/>
              <w:jc w:val="left"/>
              <w:rPr>
                <w:bCs/>
                <w:sz w:val="24"/>
              </w:rPr>
            </w:pPr>
            <w:r>
              <w:rPr>
                <w:bCs/>
                <w:sz w:val="24"/>
              </w:rPr>
              <w:t>项目厂界外500米范围内无地下水集中式饮用水水源和热水、矿泉水、温泉等特殊地下水资源。</w:t>
            </w:r>
          </w:p>
          <w:p>
            <w:pPr>
              <w:ind w:firstLine="482" w:firstLineChars="200"/>
              <w:jc w:val="left"/>
              <w:rPr>
                <w:b/>
                <w:sz w:val="24"/>
              </w:rPr>
            </w:pPr>
            <w:r>
              <w:rPr>
                <w:b/>
                <w:sz w:val="24"/>
              </w:rPr>
              <w:t>4、生态环境</w:t>
            </w:r>
          </w:p>
          <w:p>
            <w:pPr>
              <w:ind w:firstLine="480" w:firstLineChars="200"/>
              <w:jc w:val="left"/>
              <w:rPr>
                <w:kern w:val="0"/>
                <w:sz w:val="21"/>
                <w:szCs w:val="21"/>
              </w:rPr>
            </w:pPr>
            <w:r>
              <w:rPr>
                <w:bCs/>
                <w:sz w:val="24"/>
              </w:rPr>
              <w:t>项目依托现有厂房进行生产，用地范围内不含有生态环境保护目标。</w:t>
            </w:r>
            <w:r>
              <w:rPr>
                <w:kern w:val="0"/>
                <w:sz w:val="21"/>
                <w:szCs w:val="21"/>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69" w:hRule="atLeast"/>
          <w:jc w:val="center"/>
        </w:trPr>
        <w:tc>
          <w:tcPr>
            <w:tcW w:w="800" w:type="dxa"/>
            <w:tcMar>
              <w:left w:w="28" w:type="dxa"/>
              <w:right w:w="28" w:type="dxa"/>
            </w:tcMar>
            <w:vAlign w:val="center"/>
          </w:tcPr>
          <w:p>
            <w:pPr>
              <w:jc w:val="center"/>
              <w:rPr>
                <w:bCs/>
                <w:sz w:val="24"/>
              </w:rPr>
            </w:pPr>
            <w:r>
              <w:rPr>
                <w:bCs/>
                <w:sz w:val="24"/>
              </w:rPr>
              <w:t>污染</w:t>
            </w:r>
          </w:p>
          <w:p>
            <w:pPr>
              <w:jc w:val="center"/>
              <w:rPr>
                <w:bCs/>
                <w:sz w:val="24"/>
              </w:rPr>
            </w:pPr>
            <w:r>
              <w:rPr>
                <w:bCs/>
                <w:sz w:val="24"/>
              </w:rPr>
              <w:t>物排</w:t>
            </w:r>
          </w:p>
          <w:p>
            <w:pPr>
              <w:jc w:val="center"/>
              <w:rPr>
                <w:bCs/>
                <w:sz w:val="24"/>
              </w:rPr>
            </w:pPr>
            <w:r>
              <w:rPr>
                <w:bCs/>
                <w:sz w:val="24"/>
              </w:rPr>
              <w:t>放控</w:t>
            </w:r>
          </w:p>
          <w:p>
            <w:pPr>
              <w:jc w:val="center"/>
              <w:rPr>
                <w:bCs/>
                <w:sz w:val="24"/>
              </w:rPr>
            </w:pPr>
            <w:r>
              <w:rPr>
                <w:bCs/>
                <w:sz w:val="24"/>
              </w:rPr>
              <w:t>制标</w:t>
            </w:r>
          </w:p>
          <w:p>
            <w:pPr>
              <w:jc w:val="center"/>
              <w:rPr>
                <w:kern w:val="0"/>
                <w:sz w:val="21"/>
                <w:szCs w:val="21"/>
              </w:rPr>
            </w:pPr>
            <w:r>
              <w:rPr>
                <w:bCs/>
                <w:sz w:val="24"/>
              </w:rPr>
              <w:t>准</w:t>
            </w:r>
          </w:p>
        </w:tc>
        <w:tc>
          <w:tcPr>
            <w:tcW w:w="8743" w:type="dxa"/>
            <w:vAlign w:val="center"/>
          </w:tcPr>
          <w:p>
            <w:pPr>
              <w:ind w:firstLine="482" w:firstLineChars="200"/>
              <w:jc w:val="left"/>
              <w:rPr>
                <w:b/>
                <w:sz w:val="24"/>
              </w:rPr>
            </w:pPr>
            <w:r>
              <w:rPr>
                <w:b/>
                <w:sz w:val="24"/>
              </w:rPr>
              <w:t>1、废水</w:t>
            </w:r>
          </w:p>
          <w:p>
            <w:pPr>
              <w:ind w:firstLine="480" w:firstLineChars="200"/>
              <w:jc w:val="left"/>
              <w:rPr>
                <w:bCs/>
                <w:sz w:val="24"/>
              </w:rPr>
            </w:pPr>
            <w:r>
              <w:rPr>
                <w:bCs/>
                <w:sz w:val="24"/>
              </w:rPr>
              <w:t>项目生活污水</w:t>
            </w:r>
            <w:r>
              <w:rPr>
                <w:rFonts w:hint="eastAsia"/>
                <w:bCs/>
                <w:sz w:val="24"/>
              </w:rPr>
              <w:t>和近期淋雨测试</w:t>
            </w:r>
            <w:r>
              <w:rPr>
                <w:bCs/>
                <w:sz w:val="24"/>
              </w:rPr>
              <w:t>废水经预处理达到河口镇污水处理厂接管标准</w:t>
            </w:r>
            <w:r>
              <w:rPr>
                <w:rFonts w:hint="eastAsia"/>
                <w:bCs/>
                <w:sz w:val="24"/>
              </w:rPr>
              <w:t>与</w:t>
            </w:r>
            <w:r>
              <w:rPr>
                <w:bCs/>
                <w:sz w:val="24"/>
              </w:rPr>
              <w:t>广东省《水污染物排放限值》（DB44/26-2001）第二时段三级标准较严值后经市政污水管网排入河口镇污水处理厂；河口镇污水处理厂尾水达到《城镇污水处理厂污染物排放标准》（GB18918-2002）一级标准的A标准和广东省《水污染物排放限值》（DB44/26-2001）第二时段一级标准较严者后排入南北溪，然后汇入螺河。</w:t>
            </w:r>
          </w:p>
          <w:p>
            <w:pPr>
              <w:ind w:firstLine="480" w:firstLineChars="200"/>
              <w:jc w:val="left"/>
              <w:rPr>
                <w:rFonts w:eastAsia="新宋体"/>
                <w:b/>
                <w:sz w:val="21"/>
                <w:szCs w:val="21"/>
              </w:rPr>
            </w:pPr>
            <w:r>
              <w:rPr>
                <w:rFonts w:hint="eastAsia"/>
                <w:sz w:val="24"/>
              </w:rPr>
              <w:t>待</w:t>
            </w:r>
            <w:r>
              <w:rPr>
                <w:sz w:val="24"/>
              </w:rPr>
              <w:t>陆河产业转移工业园工业污水处理厂建成后，</w:t>
            </w:r>
            <w:r>
              <w:rPr>
                <w:rFonts w:hint="eastAsia"/>
                <w:sz w:val="24"/>
              </w:rPr>
              <w:t>远期</w:t>
            </w:r>
            <w:r>
              <w:rPr>
                <w:rFonts w:hint="eastAsia"/>
                <w:bCs/>
                <w:sz w:val="24"/>
              </w:rPr>
              <w:t>淋雨测试</w:t>
            </w:r>
            <w:r>
              <w:rPr>
                <w:bCs/>
                <w:sz w:val="24"/>
              </w:rPr>
              <w:t>废水</w:t>
            </w:r>
            <w:r>
              <w:rPr>
                <w:sz w:val="24"/>
              </w:rPr>
              <w:t>经比亚迪污水处理站预处理达到工业污水处理厂进水水质要求</w:t>
            </w:r>
            <w:r>
              <w:rPr>
                <w:rFonts w:hint="eastAsia"/>
                <w:sz w:val="24"/>
              </w:rPr>
              <w:t>与</w:t>
            </w:r>
            <w:r>
              <w:rPr>
                <w:sz w:val="24"/>
              </w:rPr>
              <w:t>广东省《水污染物排放限值》（DB44/26-2001）第二时段三级标准较严值后纳入到陆河产业转移工业园工业污水处理厂处理。陆河产业转移工业园工业污水处理厂尾水执行《地表水环境质量标准》（GB3838-2002）Ⅳ类标准，其余《地表水环境质量标准》（GB3838-2002）Ⅳ类标准未注明的指标，执行《城镇污水处理厂污染物排放标准》（GB18918-2002）一级A标准后，排至砂公磂小水塘，经砂公磂汇入螺河</w:t>
            </w:r>
            <w:r>
              <w:rPr>
                <w:bCs/>
                <w:sz w:val="24"/>
              </w:rPr>
              <w:t>。</w:t>
            </w:r>
          </w:p>
          <w:p>
            <w:pPr>
              <w:pStyle w:val="169"/>
              <w:spacing w:line="240" w:lineRule="auto"/>
              <w:rPr>
                <w:rFonts w:hint="default" w:hAnsi="Times New Roman" w:eastAsiaTheme="minorEastAsia"/>
                <w:sz w:val="24"/>
                <w:szCs w:val="24"/>
              </w:rPr>
            </w:pPr>
          </w:p>
          <w:p>
            <w:pPr>
              <w:pStyle w:val="169"/>
              <w:spacing w:line="240" w:lineRule="auto"/>
              <w:rPr>
                <w:rFonts w:hint="default" w:hAnsi="Times New Roman" w:eastAsiaTheme="minorEastAsia"/>
                <w:sz w:val="24"/>
                <w:szCs w:val="24"/>
              </w:rPr>
            </w:pPr>
          </w:p>
          <w:p>
            <w:pPr>
              <w:pStyle w:val="169"/>
              <w:spacing w:line="240" w:lineRule="auto"/>
              <w:rPr>
                <w:rFonts w:hint="default" w:hAnsi="Times New Roman" w:eastAsiaTheme="minorEastAsia"/>
                <w:sz w:val="24"/>
                <w:szCs w:val="24"/>
              </w:rPr>
            </w:pPr>
          </w:p>
          <w:p>
            <w:pPr>
              <w:pStyle w:val="169"/>
              <w:spacing w:line="240" w:lineRule="auto"/>
              <w:rPr>
                <w:rFonts w:hint="default" w:hAnsi="Times New Roman" w:eastAsiaTheme="minorEastAsia"/>
                <w:sz w:val="24"/>
                <w:szCs w:val="24"/>
              </w:rPr>
            </w:pPr>
          </w:p>
          <w:p>
            <w:pPr>
              <w:pStyle w:val="169"/>
              <w:spacing w:line="240" w:lineRule="auto"/>
              <w:rPr>
                <w:rFonts w:hint="default" w:hAnsi="Times New Roman" w:eastAsiaTheme="minorEastAsia"/>
                <w:sz w:val="24"/>
                <w:szCs w:val="24"/>
              </w:rPr>
            </w:pPr>
          </w:p>
          <w:p>
            <w:pPr>
              <w:pStyle w:val="169"/>
              <w:spacing w:line="240" w:lineRule="auto"/>
              <w:rPr>
                <w:rFonts w:hint="default" w:hAnsi="Times New Roman" w:eastAsiaTheme="minorEastAsia"/>
                <w:sz w:val="24"/>
                <w:szCs w:val="24"/>
              </w:rPr>
            </w:pPr>
          </w:p>
          <w:p>
            <w:pPr>
              <w:pStyle w:val="169"/>
              <w:spacing w:line="240" w:lineRule="auto"/>
              <w:rPr>
                <w:rFonts w:hint="default" w:hAnsi="Times New Roman" w:eastAsiaTheme="minorEastAsia"/>
                <w:sz w:val="24"/>
                <w:szCs w:val="24"/>
              </w:rPr>
            </w:pPr>
          </w:p>
          <w:p>
            <w:pPr>
              <w:pStyle w:val="169"/>
              <w:spacing w:line="240" w:lineRule="auto"/>
              <w:rPr>
                <w:rFonts w:hint="default" w:hAnsi="Times New Roman" w:eastAsiaTheme="minorEastAsia"/>
                <w:sz w:val="24"/>
                <w:szCs w:val="24"/>
              </w:rPr>
            </w:pPr>
          </w:p>
          <w:p>
            <w:pPr>
              <w:pStyle w:val="169"/>
              <w:spacing w:line="240" w:lineRule="auto"/>
              <w:rPr>
                <w:rFonts w:hint="default" w:hAnsi="Times New Roman" w:eastAsiaTheme="minorEastAsia"/>
                <w:sz w:val="24"/>
                <w:szCs w:val="24"/>
              </w:rPr>
            </w:pPr>
            <w:r>
              <w:rPr>
                <w:rFonts w:hAnsi="Times New Roman" w:eastAsiaTheme="minorEastAsia"/>
                <w:sz w:val="24"/>
                <w:szCs w:val="24"/>
              </w:rPr>
              <w:t>表3-</w:t>
            </w:r>
            <w:r>
              <w:rPr>
                <w:rFonts w:hint="default" w:hAnsi="Times New Roman" w:eastAsiaTheme="minorEastAsia"/>
                <w:sz w:val="24"/>
                <w:szCs w:val="24"/>
              </w:rPr>
              <w:t xml:space="preserve">7 </w:t>
            </w:r>
            <w:r>
              <w:rPr>
                <w:rFonts w:hAnsi="Times New Roman" w:eastAsiaTheme="minorEastAsia"/>
                <w:sz w:val="24"/>
                <w:szCs w:val="24"/>
              </w:rPr>
              <w:t>生活污水和近期淋雨测试废水排放标准 单位：mg/L，p</w:t>
            </w:r>
            <w:r>
              <w:rPr>
                <w:rFonts w:hint="default" w:hAnsi="Times New Roman" w:eastAsiaTheme="minorEastAsia"/>
                <w:sz w:val="24"/>
                <w:szCs w:val="24"/>
              </w:rPr>
              <w:t>H</w:t>
            </w:r>
            <w:r>
              <w:rPr>
                <w:rFonts w:hAnsi="Times New Roman" w:eastAsiaTheme="minorEastAsia"/>
                <w:sz w:val="24"/>
                <w:szCs w:val="24"/>
              </w:rPr>
              <w:t>无量纲</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85"/>
              <w:gridCol w:w="659"/>
              <w:gridCol w:w="709"/>
              <w:gridCol w:w="851"/>
              <w:gridCol w:w="849"/>
              <w:gridCol w:w="709"/>
              <w:gridCol w:w="9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19" w:type="pct"/>
                  <w:tcBorders>
                    <w:tl2br w:val="nil"/>
                    <w:tr2bl w:val="nil"/>
                  </w:tcBorders>
                  <w:vAlign w:val="center"/>
                </w:tcPr>
                <w:p>
                  <w:pPr>
                    <w:spacing w:line="240" w:lineRule="auto"/>
                    <w:jc w:val="center"/>
                    <w:rPr>
                      <w:b/>
                      <w:bCs/>
                      <w:kern w:val="0"/>
                      <w:sz w:val="21"/>
                      <w:szCs w:val="21"/>
                    </w:rPr>
                  </w:pPr>
                  <w:r>
                    <w:rPr>
                      <w:b/>
                      <w:bCs/>
                      <w:kern w:val="0"/>
                      <w:sz w:val="21"/>
                      <w:szCs w:val="21"/>
                    </w:rPr>
                    <w:t>标准类别</w:t>
                  </w:r>
                </w:p>
              </w:tc>
              <w:tc>
                <w:tcPr>
                  <w:tcW w:w="386" w:type="pct"/>
                  <w:tcBorders>
                    <w:tl2br w:val="nil"/>
                    <w:tr2bl w:val="nil"/>
                  </w:tcBorders>
                  <w:vAlign w:val="center"/>
                </w:tcPr>
                <w:p>
                  <w:pPr>
                    <w:spacing w:line="240" w:lineRule="auto"/>
                    <w:jc w:val="center"/>
                    <w:rPr>
                      <w:b/>
                      <w:bCs/>
                      <w:kern w:val="0"/>
                      <w:sz w:val="21"/>
                      <w:szCs w:val="21"/>
                    </w:rPr>
                  </w:pPr>
                  <w:r>
                    <w:rPr>
                      <w:b/>
                      <w:bCs/>
                      <w:kern w:val="0"/>
                      <w:sz w:val="21"/>
                      <w:szCs w:val="21"/>
                    </w:rPr>
                    <w:t>pH</w:t>
                  </w:r>
                </w:p>
              </w:tc>
              <w:tc>
                <w:tcPr>
                  <w:tcW w:w="416" w:type="pct"/>
                  <w:tcBorders>
                    <w:tl2br w:val="nil"/>
                    <w:tr2bl w:val="nil"/>
                  </w:tcBorders>
                  <w:vAlign w:val="center"/>
                </w:tcPr>
                <w:p>
                  <w:pPr>
                    <w:spacing w:line="240" w:lineRule="auto"/>
                    <w:jc w:val="center"/>
                    <w:rPr>
                      <w:b/>
                      <w:bCs/>
                      <w:kern w:val="0"/>
                      <w:sz w:val="21"/>
                      <w:szCs w:val="21"/>
                    </w:rPr>
                  </w:pPr>
                  <w:r>
                    <w:rPr>
                      <w:b/>
                      <w:bCs/>
                      <w:kern w:val="0"/>
                      <w:sz w:val="21"/>
                      <w:szCs w:val="21"/>
                    </w:rPr>
                    <w:t>COD</w:t>
                  </w:r>
                </w:p>
              </w:tc>
              <w:tc>
                <w:tcPr>
                  <w:tcW w:w="499" w:type="pct"/>
                  <w:tcBorders>
                    <w:tl2br w:val="nil"/>
                    <w:tr2bl w:val="nil"/>
                  </w:tcBorders>
                  <w:vAlign w:val="center"/>
                </w:tcPr>
                <w:p>
                  <w:pPr>
                    <w:spacing w:line="240" w:lineRule="auto"/>
                    <w:jc w:val="center"/>
                    <w:rPr>
                      <w:b/>
                      <w:bCs/>
                      <w:kern w:val="0"/>
                      <w:sz w:val="21"/>
                      <w:szCs w:val="21"/>
                    </w:rPr>
                  </w:pPr>
                  <w:r>
                    <w:rPr>
                      <w:b/>
                      <w:bCs/>
                      <w:kern w:val="0"/>
                      <w:sz w:val="21"/>
                      <w:szCs w:val="21"/>
                    </w:rPr>
                    <w:t>BOD</w:t>
                  </w:r>
                  <w:r>
                    <w:rPr>
                      <w:b/>
                      <w:bCs/>
                      <w:kern w:val="0"/>
                      <w:sz w:val="21"/>
                      <w:szCs w:val="21"/>
                      <w:vertAlign w:val="subscript"/>
                    </w:rPr>
                    <w:t>5</w:t>
                  </w:r>
                </w:p>
              </w:tc>
              <w:tc>
                <w:tcPr>
                  <w:tcW w:w="498" w:type="pct"/>
                  <w:tcBorders>
                    <w:tl2br w:val="nil"/>
                    <w:tr2bl w:val="nil"/>
                  </w:tcBorders>
                  <w:vAlign w:val="center"/>
                </w:tcPr>
                <w:p>
                  <w:pPr>
                    <w:spacing w:line="240" w:lineRule="auto"/>
                    <w:jc w:val="center"/>
                    <w:rPr>
                      <w:b/>
                      <w:bCs/>
                      <w:kern w:val="0"/>
                      <w:sz w:val="21"/>
                      <w:szCs w:val="21"/>
                    </w:rPr>
                  </w:pPr>
                  <w:r>
                    <w:rPr>
                      <w:b/>
                      <w:bCs/>
                      <w:kern w:val="0"/>
                      <w:sz w:val="21"/>
                      <w:szCs w:val="21"/>
                    </w:rPr>
                    <w:t>SS</w:t>
                  </w:r>
                </w:p>
              </w:tc>
              <w:tc>
                <w:tcPr>
                  <w:tcW w:w="416" w:type="pct"/>
                  <w:tcBorders>
                    <w:tl2br w:val="nil"/>
                    <w:tr2bl w:val="nil"/>
                  </w:tcBorders>
                  <w:vAlign w:val="center"/>
                </w:tcPr>
                <w:p>
                  <w:pPr>
                    <w:spacing w:line="240" w:lineRule="auto"/>
                    <w:jc w:val="center"/>
                    <w:rPr>
                      <w:b/>
                      <w:bCs/>
                      <w:kern w:val="0"/>
                      <w:sz w:val="21"/>
                      <w:szCs w:val="21"/>
                    </w:rPr>
                  </w:pPr>
                  <w:r>
                    <w:rPr>
                      <w:b/>
                      <w:bCs/>
                      <w:kern w:val="0"/>
                      <w:sz w:val="21"/>
                      <w:szCs w:val="21"/>
                    </w:rPr>
                    <w:t>氨氮</w:t>
                  </w:r>
                </w:p>
              </w:tc>
              <w:tc>
                <w:tcPr>
                  <w:tcW w:w="566" w:type="pct"/>
                  <w:tcBorders>
                    <w:tl2br w:val="nil"/>
                    <w:tr2bl w:val="nil"/>
                  </w:tcBorders>
                  <w:vAlign w:val="center"/>
                </w:tcPr>
                <w:p>
                  <w:pPr>
                    <w:spacing w:line="240" w:lineRule="auto"/>
                    <w:jc w:val="center"/>
                    <w:rPr>
                      <w:b/>
                      <w:bCs/>
                      <w:kern w:val="0"/>
                      <w:sz w:val="21"/>
                      <w:szCs w:val="21"/>
                    </w:rPr>
                  </w:pPr>
                  <w:r>
                    <w:rPr>
                      <w:rFonts w:hint="eastAsia"/>
                      <w:b/>
                      <w:bCs/>
                      <w:kern w:val="0"/>
                      <w:sz w:val="21"/>
                      <w:szCs w:val="21"/>
                    </w:rPr>
                    <w:t>石油类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19" w:type="pct"/>
                  <w:tcBorders>
                    <w:tl2br w:val="nil"/>
                    <w:tr2bl w:val="nil"/>
                  </w:tcBorders>
                  <w:vAlign w:val="center"/>
                </w:tcPr>
                <w:p>
                  <w:pPr>
                    <w:spacing w:line="240" w:lineRule="auto"/>
                    <w:jc w:val="center"/>
                    <w:rPr>
                      <w:kern w:val="0"/>
                      <w:sz w:val="21"/>
                      <w:szCs w:val="21"/>
                    </w:rPr>
                  </w:pPr>
                  <w:r>
                    <w:rPr>
                      <w:kern w:val="0"/>
                      <w:sz w:val="21"/>
                      <w:szCs w:val="21"/>
                    </w:rPr>
                    <w:t>河口镇污水处理厂设计接管标准</w:t>
                  </w:r>
                </w:p>
              </w:tc>
              <w:tc>
                <w:tcPr>
                  <w:tcW w:w="386" w:type="pct"/>
                  <w:tcBorders>
                    <w:tl2br w:val="nil"/>
                    <w:tr2bl w:val="nil"/>
                  </w:tcBorders>
                  <w:vAlign w:val="center"/>
                </w:tcPr>
                <w:p>
                  <w:pPr>
                    <w:spacing w:line="240" w:lineRule="auto"/>
                    <w:jc w:val="center"/>
                    <w:rPr>
                      <w:kern w:val="0"/>
                      <w:sz w:val="21"/>
                      <w:szCs w:val="21"/>
                    </w:rPr>
                  </w:pPr>
                  <w:r>
                    <w:rPr>
                      <w:kern w:val="0"/>
                      <w:sz w:val="21"/>
                      <w:szCs w:val="21"/>
                    </w:rPr>
                    <w:t>6～9</w:t>
                  </w:r>
                </w:p>
              </w:tc>
              <w:tc>
                <w:tcPr>
                  <w:tcW w:w="416" w:type="pct"/>
                  <w:tcBorders>
                    <w:tl2br w:val="nil"/>
                    <w:tr2bl w:val="nil"/>
                  </w:tcBorders>
                  <w:vAlign w:val="center"/>
                </w:tcPr>
                <w:p>
                  <w:pPr>
                    <w:spacing w:line="240" w:lineRule="auto"/>
                    <w:jc w:val="center"/>
                    <w:rPr>
                      <w:kern w:val="0"/>
                      <w:sz w:val="21"/>
                      <w:szCs w:val="21"/>
                    </w:rPr>
                  </w:pPr>
                  <w:r>
                    <w:rPr>
                      <w:kern w:val="0"/>
                      <w:sz w:val="21"/>
                      <w:szCs w:val="21"/>
                    </w:rPr>
                    <w:t>250</w:t>
                  </w:r>
                </w:p>
              </w:tc>
              <w:tc>
                <w:tcPr>
                  <w:tcW w:w="499" w:type="pct"/>
                  <w:tcBorders>
                    <w:tl2br w:val="nil"/>
                    <w:tr2bl w:val="nil"/>
                  </w:tcBorders>
                  <w:vAlign w:val="center"/>
                </w:tcPr>
                <w:p>
                  <w:pPr>
                    <w:spacing w:line="240" w:lineRule="auto"/>
                    <w:jc w:val="center"/>
                    <w:rPr>
                      <w:kern w:val="0"/>
                      <w:sz w:val="21"/>
                      <w:szCs w:val="21"/>
                    </w:rPr>
                  </w:pPr>
                  <w:r>
                    <w:rPr>
                      <w:kern w:val="0"/>
                      <w:sz w:val="21"/>
                      <w:szCs w:val="21"/>
                    </w:rPr>
                    <w:t>150</w:t>
                  </w:r>
                </w:p>
              </w:tc>
              <w:tc>
                <w:tcPr>
                  <w:tcW w:w="498" w:type="pct"/>
                  <w:tcBorders>
                    <w:tl2br w:val="nil"/>
                    <w:tr2bl w:val="nil"/>
                  </w:tcBorders>
                  <w:vAlign w:val="center"/>
                </w:tcPr>
                <w:p>
                  <w:pPr>
                    <w:spacing w:line="240" w:lineRule="auto"/>
                    <w:jc w:val="center"/>
                    <w:rPr>
                      <w:kern w:val="0"/>
                      <w:sz w:val="21"/>
                      <w:szCs w:val="21"/>
                    </w:rPr>
                  </w:pPr>
                  <w:r>
                    <w:rPr>
                      <w:kern w:val="0"/>
                      <w:sz w:val="21"/>
                      <w:szCs w:val="21"/>
                    </w:rPr>
                    <w:t>150</w:t>
                  </w:r>
                </w:p>
              </w:tc>
              <w:tc>
                <w:tcPr>
                  <w:tcW w:w="416" w:type="pct"/>
                  <w:tcBorders>
                    <w:tl2br w:val="nil"/>
                    <w:tr2bl w:val="nil"/>
                  </w:tcBorders>
                  <w:vAlign w:val="center"/>
                </w:tcPr>
                <w:p>
                  <w:pPr>
                    <w:spacing w:line="240" w:lineRule="auto"/>
                    <w:jc w:val="center"/>
                    <w:rPr>
                      <w:kern w:val="0"/>
                      <w:sz w:val="21"/>
                      <w:szCs w:val="21"/>
                    </w:rPr>
                  </w:pPr>
                  <w:r>
                    <w:rPr>
                      <w:kern w:val="0"/>
                      <w:sz w:val="21"/>
                      <w:szCs w:val="21"/>
                    </w:rPr>
                    <w:t>30</w:t>
                  </w:r>
                </w:p>
              </w:tc>
              <w:tc>
                <w:tcPr>
                  <w:tcW w:w="566" w:type="pct"/>
                  <w:tcBorders>
                    <w:tl2br w:val="nil"/>
                    <w:tr2bl w:val="nil"/>
                  </w:tcBorders>
                  <w:vAlign w:val="center"/>
                </w:tcPr>
                <w:p>
                  <w:pPr>
                    <w:spacing w:line="240" w:lineRule="auto"/>
                    <w:jc w:val="center"/>
                    <w:rPr>
                      <w:kern w:val="0"/>
                      <w:sz w:val="21"/>
                      <w:szCs w:val="21"/>
                    </w:rPr>
                  </w:pPr>
                  <w:r>
                    <w:rPr>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19" w:type="pct"/>
                  <w:tcBorders>
                    <w:tl2br w:val="nil"/>
                    <w:tr2bl w:val="nil"/>
                  </w:tcBorders>
                  <w:vAlign w:val="center"/>
                </w:tcPr>
                <w:p>
                  <w:pPr>
                    <w:spacing w:line="240" w:lineRule="auto"/>
                    <w:jc w:val="center"/>
                    <w:rPr>
                      <w:kern w:val="0"/>
                      <w:sz w:val="21"/>
                      <w:szCs w:val="21"/>
                    </w:rPr>
                  </w:pPr>
                  <w:r>
                    <w:rPr>
                      <w:sz w:val="21"/>
                      <w:szCs w:val="21"/>
                    </w:rPr>
                    <w:t>广东省《水污染物排放限值》（DB44/26-2001）第二时段三级标准</w:t>
                  </w:r>
                </w:p>
              </w:tc>
              <w:tc>
                <w:tcPr>
                  <w:tcW w:w="386" w:type="pct"/>
                  <w:tcBorders>
                    <w:tl2br w:val="nil"/>
                    <w:tr2bl w:val="nil"/>
                  </w:tcBorders>
                  <w:vAlign w:val="center"/>
                </w:tcPr>
                <w:p>
                  <w:pPr>
                    <w:spacing w:line="240" w:lineRule="auto"/>
                    <w:jc w:val="center"/>
                    <w:rPr>
                      <w:kern w:val="0"/>
                      <w:sz w:val="21"/>
                      <w:szCs w:val="21"/>
                    </w:rPr>
                  </w:pPr>
                  <w:r>
                    <w:rPr>
                      <w:kern w:val="0"/>
                      <w:sz w:val="21"/>
                      <w:szCs w:val="21"/>
                    </w:rPr>
                    <w:t>6～9</w:t>
                  </w:r>
                </w:p>
              </w:tc>
              <w:tc>
                <w:tcPr>
                  <w:tcW w:w="416" w:type="pct"/>
                  <w:tcBorders>
                    <w:tl2br w:val="nil"/>
                    <w:tr2bl w:val="nil"/>
                  </w:tcBorders>
                  <w:vAlign w:val="center"/>
                </w:tcPr>
                <w:p>
                  <w:pPr>
                    <w:spacing w:line="240" w:lineRule="auto"/>
                    <w:jc w:val="center"/>
                    <w:rPr>
                      <w:kern w:val="0"/>
                      <w:sz w:val="21"/>
                      <w:szCs w:val="21"/>
                    </w:rPr>
                  </w:pPr>
                  <w:r>
                    <w:rPr>
                      <w:kern w:val="0"/>
                      <w:sz w:val="21"/>
                      <w:szCs w:val="21"/>
                    </w:rPr>
                    <w:t>500</w:t>
                  </w:r>
                </w:p>
              </w:tc>
              <w:tc>
                <w:tcPr>
                  <w:tcW w:w="499" w:type="pct"/>
                  <w:tcBorders>
                    <w:tl2br w:val="nil"/>
                    <w:tr2bl w:val="nil"/>
                  </w:tcBorders>
                  <w:vAlign w:val="center"/>
                </w:tcPr>
                <w:p>
                  <w:pPr>
                    <w:spacing w:line="240" w:lineRule="auto"/>
                    <w:jc w:val="center"/>
                    <w:rPr>
                      <w:kern w:val="0"/>
                      <w:sz w:val="21"/>
                      <w:szCs w:val="21"/>
                    </w:rPr>
                  </w:pPr>
                  <w:r>
                    <w:rPr>
                      <w:kern w:val="0"/>
                      <w:sz w:val="21"/>
                      <w:szCs w:val="21"/>
                    </w:rPr>
                    <w:t>300</w:t>
                  </w:r>
                </w:p>
              </w:tc>
              <w:tc>
                <w:tcPr>
                  <w:tcW w:w="498" w:type="pct"/>
                  <w:tcBorders>
                    <w:tl2br w:val="nil"/>
                    <w:tr2bl w:val="nil"/>
                  </w:tcBorders>
                  <w:vAlign w:val="center"/>
                </w:tcPr>
                <w:p>
                  <w:pPr>
                    <w:spacing w:line="240" w:lineRule="auto"/>
                    <w:jc w:val="center"/>
                    <w:rPr>
                      <w:kern w:val="0"/>
                      <w:sz w:val="21"/>
                      <w:szCs w:val="21"/>
                    </w:rPr>
                  </w:pPr>
                  <w:r>
                    <w:rPr>
                      <w:kern w:val="0"/>
                      <w:sz w:val="21"/>
                      <w:szCs w:val="21"/>
                    </w:rPr>
                    <w:t>400</w:t>
                  </w:r>
                </w:p>
              </w:tc>
              <w:tc>
                <w:tcPr>
                  <w:tcW w:w="416" w:type="pct"/>
                  <w:tcBorders>
                    <w:tl2br w:val="nil"/>
                    <w:tr2bl w:val="nil"/>
                  </w:tcBorders>
                  <w:vAlign w:val="center"/>
                </w:tcPr>
                <w:p>
                  <w:pPr>
                    <w:spacing w:line="240" w:lineRule="auto"/>
                    <w:jc w:val="center"/>
                    <w:rPr>
                      <w:kern w:val="0"/>
                      <w:sz w:val="21"/>
                      <w:szCs w:val="21"/>
                    </w:rPr>
                  </w:pPr>
                  <w:r>
                    <w:rPr>
                      <w:kern w:val="0"/>
                      <w:sz w:val="21"/>
                      <w:szCs w:val="21"/>
                    </w:rPr>
                    <w:t>--</w:t>
                  </w:r>
                </w:p>
              </w:tc>
              <w:tc>
                <w:tcPr>
                  <w:tcW w:w="566" w:type="pct"/>
                  <w:tcBorders>
                    <w:tl2br w:val="nil"/>
                    <w:tr2bl w:val="nil"/>
                  </w:tcBorders>
                  <w:vAlign w:val="center"/>
                </w:tcPr>
                <w:p>
                  <w:pPr>
                    <w:spacing w:line="240" w:lineRule="auto"/>
                    <w:jc w:val="center"/>
                    <w:rPr>
                      <w:kern w:val="0"/>
                      <w:sz w:val="21"/>
                      <w:szCs w:val="21"/>
                    </w:rPr>
                  </w:pPr>
                  <w:r>
                    <w:rPr>
                      <w:rFonts w:hint="eastAsia"/>
                      <w:kern w:val="0"/>
                      <w:sz w:val="21"/>
                      <w:szCs w:val="21"/>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19" w:type="pct"/>
                  <w:tcBorders>
                    <w:tl2br w:val="nil"/>
                    <w:tr2bl w:val="nil"/>
                  </w:tcBorders>
                  <w:vAlign w:val="center"/>
                </w:tcPr>
                <w:p>
                  <w:pPr>
                    <w:spacing w:line="240" w:lineRule="auto"/>
                    <w:jc w:val="center"/>
                    <w:rPr>
                      <w:kern w:val="0"/>
                      <w:sz w:val="21"/>
                      <w:szCs w:val="21"/>
                    </w:rPr>
                  </w:pPr>
                  <w:r>
                    <w:rPr>
                      <w:kern w:val="0"/>
                      <w:sz w:val="21"/>
                      <w:szCs w:val="21"/>
                    </w:rPr>
                    <w:t>项目排放标准</w:t>
                  </w:r>
                </w:p>
              </w:tc>
              <w:tc>
                <w:tcPr>
                  <w:tcW w:w="386" w:type="pct"/>
                  <w:tcBorders>
                    <w:tl2br w:val="nil"/>
                    <w:tr2bl w:val="nil"/>
                  </w:tcBorders>
                  <w:vAlign w:val="center"/>
                </w:tcPr>
                <w:p>
                  <w:pPr>
                    <w:spacing w:line="240" w:lineRule="auto"/>
                    <w:jc w:val="center"/>
                    <w:rPr>
                      <w:kern w:val="0"/>
                      <w:sz w:val="21"/>
                      <w:szCs w:val="21"/>
                    </w:rPr>
                  </w:pPr>
                  <w:r>
                    <w:rPr>
                      <w:kern w:val="0"/>
                      <w:sz w:val="21"/>
                      <w:szCs w:val="21"/>
                    </w:rPr>
                    <w:t>6～9</w:t>
                  </w:r>
                </w:p>
              </w:tc>
              <w:tc>
                <w:tcPr>
                  <w:tcW w:w="416" w:type="pct"/>
                  <w:tcBorders>
                    <w:tl2br w:val="nil"/>
                    <w:tr2bl w:val="nil"/>
                  </w:tcBorders>
                  <w:vAlign w:val="center"/>
                </w:tcPr>
                <w:p>
                  <w:pPr>
                    <w:spacing w:line="240" w:lineRule="auto"/>
                    <w:jc w:val="center"/>
                    <w:rPr>
                      <w:kern w:val="0"/>
                      <w:sz w:val="21"/>
                      <w:szCs w:val="21"/>
                    </w:rPr>
                  </w:pPr>
                  <w:r>
                    <w:rPr>
                      <w:kern w:val="0"/>
                      <w:sz w:val="21"/>
                      <w:szCs w:val="21"/>
                    </w:rPr>
                    <w:t>250</w:t>
                  </w:r>
                </w:p>
              </w:tc>
              <w:tc>
                <w:tcPr>
                  <w:tcW w:w="499" w:type="pct"/>
                  <w:tcBorders>
                    <w:tl2br w:val="nil"/>
                    <w:tr2bl w:val="nil"/>
                  </w:tcBorders>
                  <w:vAlign w:val="center"/>
                </w:tcPr>
                <w:p>
                  <w:pPr>
                    <w:spacing w:line="240" w:lineRule="auto"/>
                    <w:jc w:val="center"/>
                    <w:rPr>
                      <w:kern w:val="0"/>
                      <w:sz w:val="21"/>
                      <w:szCs w:val="21"/>
                    </w:rPr>
                  </w:pPr>
                  <w:r>
                    <w:rPr>
                      <w:kern w:val="0"/>
                      <w:sz w:val="21"/>
                      <w:szCs w:val="21"/>
                    </w:rPr>
                    <w:t>150</w:t>
                  </w:r>
                </w:p>
              </w:tc>
              <w:tc>
                <w:tcPr>
                  <w:tcW w:w="498" w:type="pct"/>
                  <w:tcBorders>
                    <w:tl2br w:val="nil"/>
                    <w:tr2bl w:val="nil"/>
                  </w:tcBorders>
                  <w:vAlign w:val="center"/>
                </w:tcPr>
                <w:p>
                  <w:pPr>
                    <w:spacing w:line="240" w:lineRule="auto"/>
                    <w:jc w:val="center"/>
                    <w:rPr>
                      <w:kern w:val="0"/>
                      <w:sz w:val="21"/>
                      <w:szCs w:val="21"/>
                    </w:rPr>
                  </w:pPr>
                  <w:r>
                    <w:rPr>
                      <w:kern w:val="0"/>
                      <w:sz w:val="21"/>
                      <w:szCs w:val="21"/>
                    </w:rPr>
                    <w:t>150</w:t>
                  </w:r>
                </w:p>
              </w:tc>
              <w:tc>
                <w:tcPr>
                  <w:tcW w:w="416" w:type="pct"/>
                  <w:tcBorders>
                    <w:tl2br w:val="nil"/>
                    <w:tr2bl w:val="nil"/>
                  </w:tcBorders>
                  <w:vAlign w:val="center"/>
                </w:tcPr>
                <w:p>
                  <w:pPr>
                    <w:spacing w:line="240" w:lineRule="auto"/>
                    <w:jc w:val="center"/>
                    <w:rPr>
                      <w:kern w:val="0"/>
                      <w:sz w:val="21"/>
                      <w:szCs w:val="21"/>
                    </w:rPr>
                  </w:pPr>
                  <w:r>
                    <w:rPr>
                      <w:kern w:val="0"/>
                      <w:sz w:val="21"/>
                      <w:szCs w:val="21"/>
                    </w:rPr>
                    <w:t>30</w:t>
                  </w:r>
                </w:p>
              </w:tc>
              <w:tc>
                <w:tcPr>
                  <w:tcW w:w="566" w:type="pct"/>
                  <w:tcBorders>
                    <w:tl2br w:val="nil"/>
                    <w:tr2bl w:val="nil"/>
                  </w:tcBorders>
                  <w:vAlign w:val="center"/>
                </w:tcPr>
                <w:p>
                  <w:pPr>
                    <w:spacing w:line="240" w:lineRule="auto"/>
                    <w:jc w:val="center"/>
                    <w:rPr>
                      <w:kern w:val="0"/>
                      <w:sz w:val="21"/>
                      <w:szCs w:val="21"/>
                    </w:rPr>
                  </w:pPr>
                  <w:r>
                    <w:rPr>
                      <w:rFonts w:hint="eastAsia"/>
                      <w:kern w:val="0"/>
                      <w:sz w:val="21"/>
                      <w:szCs w:val="21"/>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19" w:type="pct"/>
                  <w:tcBorders>
                    <w:tl2br w:val="nil"/>
                    <w:tr2bl w:val="nil"/>
                  </w:tcBorders>
                  <w:vAlign w:val="center"/>
                </w:tcPr>
                <w:p>
                  <w:pPr>
                    <w:pStyle w:val="92"/>
                    <w:spacing w:before="0" w:after="0" w:line="240" w:lineRule="auto"/>
                    <w:ind w:firstLine="0" w:firstLineChars="0"/>
                    <w:jc w:val="center"/>
                    <w:rPr>
                      <w:kern w:val="0"/>
                      <w:sz w:val="21"/>
                      <w:szCs w:val="21"/>
                    </w:rPr>
                  </w:pPr>
                  <w:r>
                    <w:rPr>
                      <w:rFonts w:eastAsia="新宋体"/>
                      <w:sz w:val="21"/>
                      <w:szCs w:val="21"/>
                    </w:rPr>
                    <w:t>《城镇污水处理厂污染物排放标准》（GB18918-2002）一级A标准</w:t>
                  </w:r>
                </w:p>
              </w:tc>
              <w:tc>
                <w:tcPr>
                  <w:tcW w:w="386" w:type="pct"/>
                  <w:tcBorders>
                    <w:tl2br w:val="nil"/>
                    <w:tr2bl w:val="nil"/>
                  </w:tcBorders>
                  <w:vAlign w:val="center"/>
                </w:tcPr>
                <w:p>
                  <w:pPr>
                    <w:pStyle w:val="92"/>
                    <w:spacing w:before="0" w:after="0" w:line="240" w:lineRule="auto"/>
                    <w:ind w:firstLine="0" w:firstLineChars="0"/>
                    <w:jc w:val="center"/>
                    <w:rPr>
                      <w:kern w:val="0"/>
                      <w:sz w:val="21"/>
                      <w:szCs w:val="21"/>
                    </w:rPr>
                  </w:pPr>
                  <w:r>
                    <w:rPr>
                      <w:rFonts w:eastAsia="新宋体"/>
                      <w:sz w:val="21"/>
                      <w:szCs w:val="21"/>
                    </w:rPr>
                    <w:t>6~9</w:t>
                  </w:r>
                </w:p>
              </w:tc>
              <w:tc>
                <w:tcPr>
                  <w:tcW w:w="416" w:type="pct"/>
                  <w:tcBorders>
                    <w:tl2br w:val="nil"/>
                    <w:tr2bl w:val="nil"/>
                  </w:tcBorders>
                  <w:vAlign w:val="center"/>
                </w:tcPr>
                <w:p>
                  <w:pPr>
                    <w:pStyle w:val="92"/>
                    <w:spacing w:before="0" w:after="0" w:line="240" w:lineRule="auto"/>
                    <w:ind w:firstLine="0" w:firstLineChars="0"/>
                    <w:jc w:val="center"/>
                    <w:rPr>
                      <w:kern w:val="0"/>
                      <w:sz w:val="21"/>
                      <w:szCs w:val="21"/>
                    </w:rPr>
                  </w:pPr>
                  <w:r>
                    <w:rPr>
                      <w:rFonts w:eastAsia="新宋体"/>
                      <w:sz w:val="21"/>
                      <w:szCs w:val="21"/>
                    </w:rPr>
                    <w:t>50</w:t>
                  </w:r>
                </w:p>
              </w:tc>
              <w:tc>
                <w:tcPr>
                  <w:tcW w:w="499" w:type="pct"/>
                  <w:tcBorders>
                    <w:tl2br w:val="nil"/>
                    <w:tr2bl w:val="nil"/>
                  </w:tcBorders>
                  <w:vAlign w:val="center"/>
                </w:tcPr>
                <w:p>
                  <w:pPr>
                    <w:pStyle w:val="92"/>
                    <w:spacing w:before="0" w:after="0" w:line="240" w:lineRule="auto"/>
                    <w:ind w:firstLine="0" w:firstLineChars="0"/>
                    <w:jc w:val="center"/>
                    <w:rPr>
                      <w:kern w:val="0"/>
                      <w:sz w:val="21"/>
                      <w:szCs w:val="21"/>
                    </w:rPr>
                  </w:pPr>
                  <w:r>
                    <w:rPr>
                      <w:rFonts w:eastAsia="新宋体"/>
                      <w:sz w:val="21"/>
                      <w:szCs w:val="21"/>
                    </w:rPr>
                    <w:t>10</w:t>
                  </w:r>
                </w:p>
              </w:tc>
              <w:tc>
                <w:tcPr>
                  <w:tcW w:w="498" w:type="pct"/>
                  <w:tcBorders>
                    <w:tl2br w:val="nil"/>
                    <w:tr2bl w:val="nil"/>
                  </w:tcBorders>
                  <w:vAlign w:val="center"/>
                </w:tcPr>
                <w:p>
                  <w:pPr>
                    <w:pStyle w:val="92"/>
                    <w:spacing w:before="0" w:after="0" w:line="240" w:lineRule="auto"/>
                    <w:ind w:firstLine="0" w:firstLineChars="0"/>
                    <w:jc w:val="center"/>
                    <w:rPr>
                      <w:kern w:val="0"/>
                      <w:sz w:val="21"/>
                      <w:szCs w:val="21"/>
                    </w:rPr>
                  </w:pPr>
                  <w:r>
                    <w:rPr>
                      <w:rFonts w:eastAsia="新宋体"/>
                      <w:sz w:val="21"/>
                      <w:szCs w:val="21"/>
                    </w:rPr>
                    <w:t>10</w:t>
                  </w:r>
                </w:p>
              </w:tc>
              <w:tc>
                <w:tcPr>
                  <w:tcW w:w="416" w:type="pct"/>
                  <w:tcBorders>
                    <w:tl2br w:val="nil"/>
                    <w:tr2bl w:val="nil"/>
                  </w:tcBorders>
                  <w:vAlign w:val="center"/>
                </w:tcPr>
                <w:p>
                  <w:pPr>
                    <w:pStyle w:val="92"/>
                    <w:spacing w:before="0" w:after="0" w:line="240" w:lineRule="auto"/>
                    <w:ind w:firstLine="0" w:firstLineChars="0"/>
                    <w:jc w:val="center"/>
                    <w:rPr>
                      <w:kern w:val="0"/>
                      <w:sz w:val="21"/>
                      <w:szCs w:val="21"/>
                    </w:rPr>
                  </w:pPr>
                  <w:r>
                    <w:rPr>
                      <w:rFonts w:eastAsia="新宋体"/>
                      <w:sz w:val="21"/>
                      <w:szCs w:val="21"/>
                    </w:rPr>
                    <w:t>5（8）</w:t>
                  </w:r>
                </w:p>
              </w:tc>
              <w:tc>
                <w:tcPr>
                  <w:tcW w:w="566" w:type="pct"/>
                  <w:tcBorders>
                    <w:tl2br w:val="nil"/>
                    <w:tr2bl w:val="nil"/>
                  </w:tcBorders>
                  <w:vAlign w:val="center"/>
                </w:tcPr>
                <w:p>
                  <w:pPr>
                    <w:pStyle w:val="92"/>
                    <w:spacing w:before="0" w:after="0" w:line="240" w:lineRule="auto"/>
                    <w:ind w:firstLine="0" w:firstLineChars="0"/>
                    <w:jc w:val="center"/>
                    <w:rPr>
                      <w:kern w:val="0"/>
                      <w:sz w:val="21"/>
                      <w:szCs w:val="21"/>
                    </w:rPr>
                  </w:pPr>
                  <w:r>
                    <w:rPr>
                      <w:rFonts w:hint="eastAsia"/>
                      <w:kern w:val="0"/>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19" w:type="pct"/>
                  <w:tcBorders>
                    <w:tl2br w:val="nil"/>
                    <w:tr2bl w:val="nil"/>
                  </w:tcBorders>
                  <w:vAlign w:val="center"/>
                </w:tcPr>
                <w:p>
                  <w:pPr>
                    <w:spacing w:line="240" w:lineRule="auto"/>
                    <w:jc w:val="center"/>
                    <w:rPr>
                      <w:kern w:val="0"/>
                      <w:sz w:val="21"/>
                      <w:szCs w:val="21"/>
                    </w:rPr>
                  </w:pPr>
                  <w:r>
                    <w:rPr>
                      <w:kern w:val="0"/>
                      <w:sz w:val="21"/>
                      <w:szCs w:val="21"/>
                    </w:rPr>
                    <w:t>广东省《水污染物排放限值》（DB44/26-2001）第二时段一级标准</w:t>
                  </w:r>
                </w:p>
              </w:tc>
              <w:tc>
                <w:tcPr>
                  <w:tcW w:w="386" w:type="pct"/>
                  <w:tcBorders>
                    <w:tl2br w:val="nil"/>
                    <w:tr2bl w:val="nil"/>
                  </w:tcBorders>
                  <w:vAlign w:val="center"/>
                </w:tcPr>
                <w:p>
                  <w:pPr>
                    <w:spacing w:line="240" w:lineRule="auto"/>
                    <w:jc w:val="center"/>
                    <w:rPr>
                      <w:kern w:val="0"/>
                      <w:sz w:val="21"/>
                      <w:szCs w:val="21"/>
                    </w:rPr>
                  </w:pPr>
                  <w:r>
                    <w:rPr>
                      <w:kern w:val="0"/>
                      <w:sz w:val="21"/>
                      <w:szCs w:val="21"/>
                    </w:rPr>
                    <w:t>6～9</w:t>
                  </w:r>
                </w:p>
              </w:tc>
              <w:tc>
                <w:tcPr>
                  <w:tcW w:w="416" w:type="pct"/>
                  <w:tcBorders>
                    <w:tl2br w:val="nil"/>
                    <w:tr2bl w:val="nil"/>
                  </w:tcBorders>
                  <w:vAlign w:val="center"/>
                </w:tcPr>
                <w:p>
                  <w:pPr>
                    <w:spacing w:line="240" w:lineRule="auto"/>
                    <w:jc w:val="center"/>
                    <w:rPr>
                      <w:kern w:val="0"/>
                      <w:sz w:val="21"/>
                      <w:szCs w:val="21"/>
                    </w:rPr>
                  </w:pPr>
                  <w:r>
                    <w:rPr>
                      <w:kern w:val="0"/>
                      <w:sz w:val="21"/>
                      <w:szCs w:val="21"/>
                    </w:rPr>
                    <w:t>40</w:t>
                  </w:r>
                </w:p>
              </w:tc>
              <w:tc>
                <w:tcPr>
                  <w:tcW w:w="499" w:type="pct"/>
                  <w:tcBorders>
                    <w:tl2br w:val="nil"/>
                    <w:tr2bl w:val="nil"/>
                  </w:tcBorders>
                  <w:vAlign w:val="center"/>
                </w:tcPr>
                <w:p>
                  <w:pPr>
                    <w:spacing w:line="240" w:lineRule="auto"/>
                    <w:jc w:val="center"/>
                    <w:rPr>
                      <w:kern w:val="0"/>
                      <w:sz w:val="21"/>
                      <w:szCs w:val="21"/>
                    </w:rPr>
                  </w:pPr>
                  <w:r>
                    <w:rPr>
                      <w:kern w:val="0"/>
                      <w:sz w:val="21"/>
                      <w:szCs w:val="21"/>
                    </w:rPr>
                    <w:t>20</w:t>
                  </w:r>
                </w:p>
              </w:tc>
              <w:tc>
                <w:tcPr>
                  <w:tcW w:w="498" w:type="pct"/>
                  <w:tcBorders>
                    <w:tl2br w:val="nil"/>
                    <w:tr2bl w:val="nil"/>
                  </w:tcBorders>
                  <w:vAlign w:val="center"/>
                </w:tcPr>
                <w:p>
                  <w:pPr>
                    <w:spacing w:line="240" w:lineRule="auto"/>
                    <w:jc w:val="center"/>
                    <w:rPr>
                      <w:kern w:val="0"/>
                      <w:sz w:val="21"/>
                      <w:szCs w:val="21"/>
                    </w:rPr>
                  </w:pPr>
                  <w:r>
                    <w:rPr>
                      <w:kern w:val="0"/>
                      <w:sz w:val="21"/>
                      <w:szCs w:val="21"/>
                    </w:rPr>
                    <w:t>20</w:t>
                  </w:r>
                </w:p>
              </w:tc>
              <w:tc>
                <w:tcPr>
                  <w:tcW w:w="416" w:type="pct"/>
                  <w:tcBorders>
                    <w:tl2br w:val="nil"/>
                    <w:tr2bl w:val="nil"/>
                  </w:tcBorders>
                  <w:vAlign w:val="center"/>
                </w:tcPr>
                <w:p>
                  <w:pPr>
                    <w:spacing w:line="240" w:lineRule="auto"/>
                    <w:jc w:val="center"/>
                    <w:rPr>
                      <w:kern w:val="0"/>
                      <w:sz w:val="21"/>
                      <w:szCs w:val="21"/>
                    </w:rPr>
                  </w:pPr>
                  <w:r>
                    <w:rPr>
                      <w:kern w:val="0"/>
                      <w:sz w:val="21"/>
                      <w:szCs w:val="21"/>
                    </w:rPr>
                    <w:t>10</w:t>
                  </w:r>
                </w:p>
              </w:tc>
              <w:tc>
                <w:tcPr>
                  <w:tcW w:w="566" w:type="pct"/>
                  <w:tcBorders>
                    <w:tl2br w:val="nil"/>
                    <w:tr2bl w:val="nil"/>
                  </w:tcBorders>
                  <w:vAlign w:val="center"/>
                </w:tcPr>
                <w:p>
                  <w:pPr>
                    <w:spacing w:line="240" w:lineRule="auto"/>
                    <w:jc w:val="center"/>
                    <w:rPr>
                      <w:kern w:val="0"/>
                      <w:sz w:val="21"/>
                      <w:szCs w:val="21"/>
                    </w:rPr>
                  </w:pPr>
                  <w:r>
                    <w:rPr>
                      <w:rFonts w:hint="eastAsia"/>
                      <w:kern w:val="0"/>
                      <w:sz w:val="21"/>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19" w:type="pct"/>
                  <w:tcBorders>
                    <w:tl2br w:val="nil"/>
                    <w:tr2bl w:val="nil"/>
                  </w:tcBorders>
                  <w:vAlign w:val="center"/>
                </w:tcPr>
                <w:p>
                  <w:pPr>
                    <w:spacing w:line="240" w:lineRule="auto"/>
                    <w:jc w:val="center"/>
                    <w:rPr>
                      <w:kern w:val="0"/>
                      <w:sz w:val="21"/>
                      <w:szCs w:val="21"/>
                    </w:rPr>
                  </w:pPr>
                  <w:r>
                    <w:rPr>
                      <w:kern w:val="0"/>
                      <w:sz w:val="21"/>
                      <w:szCs w:val="21"/>
                    </w:rPr>
                    <w:t>河口污水处理厂出水标准</w:t>
                  </w:r>
                </w:p>
              </w:tc>
              <w:tc>
                <w:tcPr>
                  <w:tcW w:w="386" w:type="pct"/>
                  <w:tcBorders>
                    <w:tl2br w:val="nil"/>
                    <w:tr2bl w:val="nil"/>
                  </w:tcBorders>
                  <w:vAlign w:val="center"/>
                </w:tcPr>
                <w:p>
                  <w:pPr>
                    <w:spacing w:line="240" w:lineRule="auto"/>
                    <w:jc w:val="center"/>
                    <w:rPr>
                      <w:kern w:val="0"/>
                      <w:sz w:val="21"/>
                      <w:szCs w:val="21"/>
                    </w:rPr>
                  </w:pPr>
                  <w:r>
                    <w:rPr>
                      <w:kern w:val="0"/>
                      <w:sz w:val="21"/>
                      <w:szCs w:val="21"/>
                    </w:rPr>
                    <w:t>6～9</w:t>
                  </w:r>
                </w:p>
              </w:tc>
              <w:tc>
                <w:tcPr>
                  <w:tcW w:w="416" w:type="pct"/>
                  <w:tcBorders>
                    <w:tl2br w:val="nil"/>
                    <w:tr2bl w:val="nil"/>
                  </w:tcBorders>
                  <w:vAlign w:val="center"/>
                </w:tcPr>
                <w:p>
                  <w:pPr>
                    <w:spacing w:line="240" w:lineRule="auto"/>
                    <w:jc w:val="center"/>
                    <w:rPr>
                      <w:kern w:val="0"/>
                      <w:sz w:val="21"/>
                      <w:szCs w:val="21"/>
                    </w:rPr>
                  </w:pPr>
                  <w:r>
                    <w:rPr>
                      <w:kern w:val="0"/>
                      <w:sz w:val="21"/>
                      <w:szCs w:val="21"/>
                    </w:rPr>
                    <w:t>40</w:t>
                  </w:r>
                </w:p>
              </w:tc>
              <w:tc>
                <w:tcPr>
                  <w:tcW w:w="499" w:type="pct"/>
                  <w:tcBorders>
                    <w:tl2br w:val="nil"/>
                    <w:tr2bl w:val="nil"/>
                  </w:tcBorders>
                  <w:vAlign w:val="center"/>
                </w:tcPr>
                <w:p>
                  <w:pPr>
                    <w:spacing w:line="240" w:lineRule="auto"/>
                    <w:jc w:val="center"/>
                    <w:rPr>
                      <w:kern w:val="0"/>
                      <w:sz w:val="21"/>
                      <w:szCs w:val="21"/>
                    </w:rPr>
                  </w:pPr>
                  <w:r>
                    <w:rPr>
                      <w:kern w:val="0"/>
                      <w:sz w:val="21"/>
                      <w:szCs w:val="21"/>
                    </w:rPr>
                    <w:t>10</w:t>
                  </w:r>
                </w:p>
              </w:tc>
              <w:tc>
                <w:tcPr>
                  <w:tcW w:w="498" w:type="pct"/>
                  <w:tcBorders>
                    <w:tl2br w:val="nil"/>
                    <w:tr2bl w:val="nil"/>
                  </w:tcBorders>
                  <w:vAlign w:val="center"/>
                </w:tcPr>
                <w:p>
                  <w:pPr>
                    <w:spacing w:line="240" w:lineRule="auto"/>
                    <w:jc w:val="center"/>
                    <w:rPr>
                      <w:kern w:val="0"/>
                      <w:sz w:val="21"/>
                      <w:szCs w:val="21"/>
                    </w:rPr>
                  </w:pPr>
                  <w:r>
                    <w:rPr>
                      <w:kern w:val="0"/>
                      <w:sz w:val="21"/>
                      <w:szCs w:val="21"/>
                    </w:rPr>
                    <w:t>10</w:t>
                  </w:r>
                </w:p>
              </w:tc>
              <w:tc>
                <w:tcPr>
                  <w:tcW w:w="416" w:type="pct"/>
                  <w:tcBorders>
                    <w:tl2br w:val="nil"/>
                    <w:tr2bl w:val="nil"/>
                  </w:tcBorders>
                  <w:vAlign w:val="center"/>
                </w:tcPr>
                <w:p>
                  <w:pPr>
                    <w:spacing w:line="240" w:lineRule="auto"/>
                    <w:jc w:val="center"/>
                    <w:rPr>
                      <w:kern w:val="0"/>
                      <w:sz w:val="21"/>
                      <w:szCs w:val="21"/>
                    </w:rPr>
                  </w:pPr>
                  <w:r>
                    <w:rPr>
                      <w:kern w:val="0"/>
                      <w:sz w:val="21"/>
                      <w:szCs w:val="21"/>
                    </w:rPr>
                    <w:t>5</w:t>
                  </w:r>
                </w:p>
              </w:tc>
              <w:tc>
                <w:tcPr>
                  <w:tcW w:w="566" w:type="pct"/>
                  <w:tcBorders>
                    <w:tl2br w:val="nil"/>
                    <w:tr2bl w:val="nil"/>
                  </w:tcBorders>
                  <w:vAlign w:val="center"/>
                </w:tcPr>
                <w:p>
                  <w:pPr>
                    <w:spacing w:line="240" w:lineRule="auto"/>
                    <w:jc w:val="center"/>
                    <w:rPr>
                      <w:kern w:val="0"/>
                      <w:sz w:val="21"/>
                      <w:szCs w:val="21"/>
                    </w:rPr>
                  </w:pPr>
                  <w:r>
                    <w:rPr>
                      <w:rFonts w:hint="eastAsia"/>
                      <w:kern w:val="0"/>
                      <w:sz w:val="21"/>
                      <w:szCs w:val="21"/>
                    </w:rPr>
                    <w:t>1</w:t>
                  </w:r>
                </w:p>
              </w:tc>
            </w:tr>
          </w:tbl>
          <w:p>
            <w:pPr>
              <w:pStyle w:val="169"/>
              <w:spacing w:line="240" w:lineRule="auto"/>
              <w:rPr>
                <w:rFonts w:hint="default" w:hAnsi="Times New Roman" w:eastAsiaTheme="minorEastAsia"/>
                <w:sz w:val="24"/>
                <w:szCs w:val="24"/>
              </w:rPr>
            </w:pPr>
          </w:p>
          <w:p>
            <w:pPr>
              <w:pStyle w:val="169"/>
              <w:spacing w:line="240" w:lineRule="auto"/>
              <w:rPr>
                <w:rFonts w:hint="default" w:hAnsi="Times New Roman" w:eastAsiaTheme="minorEastAsia"/>
                <w:sz w:val="24"/>
                <w:szCs w:val="24"/>
              </w:rPr>
            </w:pPr>
            <w:r>
              <w:rPr>
                <w:rFonts w:hAnsi="Times New Roman" w:eastAsiaTheme="minorEastAsia"/>
                <w:sz w:val="24"/>
                <w:szCs w:val="24"/>
              </w:rPr>
              <w:t>表3-</w:t>
            </w:r>
            <w:r>
              <w:rPr>
                <w:rFonts w:hint="default" w:hAnsi="Times New Roman" w:eastAsiaTheme="minorEastAsia"/>
                <w:sz w:val="24"/>
                <w:szCs w:val="24"/>
              </w:rPr>
              <w:t xml:space="preserve">8 </w:t>
            </w:r>
            <w:r>
              <w:rPr>
                <w:rFonts w:hAnsi="Times New Roman" w:eastAsiaTheme="minorEastAsia"/>
                <w:sz w:val="24"/>
                <w:szCs w:val="24"/>
              </w:rPr>
              <w:t>远期淋雨测试废水排放标准单位：mg/L，p</w:t>
            </w:r>
            <w:r>
              <w:rPr>
                <w:rFonts w:hint="default" w:hAnsi="Times New Roman" w:eastAsiaTheme="minorEastAsia"/>
                <w:sz w:val="24"/>
                <w:szCs w:val="24"/>
              </w:rPr>
              <w:t>H</w:t>
            </w:r>
            <w:r>
              <w:rPr>
                <w:rFonts w:hAnsi="Times New Roman" w:eastAsiaTheme="minorEastAsia"/>
                <w:sz w:val="24"/>
                <w:szCs w:val="24"/>
              </w:rPr>
              <w:t>无量纲</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90"/>
              <w:gridCol w:w="657"/>
              <w:gridCol w:w="709"/>
              <w:gridCol w:w="849"/>
              <w:gridCol w:w="709"/>
              <w:gridCol w:w="849"/>
              <w:gridCol w:w="9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22" w:type="pct"/>
                  <w:tcBorders>
                    <w:tl2br w:val="nil"/>
                    <w:tr2bl w:val="nil"/>
                  </w:tcBorders>
                  <w:vAlign w:val="center"/>
                </w:tcPr>
                <w:p>
                  <w:pPr>
                    <w:spacing w:line="240" w:lineRule="auto"/>
                    <w:jc w:val="center"/>
                    <w:rPr>
                      <w:b/>
                      <w:bCs/>
                      <w:kern w:val="0"/>
                      <w:sz w:val="21"/>
                      <w:szCs w:val="21"/>
                    </w:rPr>
                  </w:pPr>
                  <w:r>
                    <w:rPr>
                      <w:b/>
                      <w:bCs/>
                      <w:kern w:val="0"/>
                      <w:sz w:val="21"/>
                      <w:szCs w:val="21"/>
                    </w:rPr>
                    <w:t>标准类别</w:t>
                  </w:r>
                </w:p>
              </w:tc>
              <w:tc>
                <w:tcPr>
                  <w:tcW w:w="385" w:type="pct"/>
                  <w:tcBorders>
                    <w:tl2br w:val="nil"/>
                    <w:tr2bl w:val="nil"/>
                  </w:tcBorders>
                  <w:vAlign w:val="center"/>
                </w:tcPr>
                <w:p>
                  <w:pPr>
                    <w:spacing w:line="240" w:lineRule="auto"/>
                    <w:jc w:val="center"/>
                    <w:rPr>
                      <w:b/>
                      <w:bCs/>
                      <w:kern w:val="0"/>
                      <w:sz w:val="21"/>
                      <w:szCs w:val="21"/>
                    </w:rPr>
                  </w:pPr>
                  <w:r>
                    <w:rPr>
                      <w:b/>
                      <w:bCs/>
                      <w:kern w:val="0"/>
                      <w:sz w:val="21"/>
                      <w:szCs w:val="21"/>
                    </w:rPr>
                    <w:t>pH</w:t>
                  </w:r>
                </w:p>
              </w:tc>
              <w:tc>
                <w:tcPr>
                  <w:tcW w:w="416" w:type="pct"/>
                  <w:tcBorders>
                    <w:tl2br w:val="nil"/>
                    <w:tr2bl w:val="nil"/>
                  </w:tcBorders>
                  <w:vAlign w:val="center"/>
                </w:tcPr>
                <w:p>
                  <w:pPr>
                    <w:spacing w:line="240" w:lineRule="auto"/>
                    <w:jc w:val="center"/>
                    <w:rPr>
                      <w:b/>
                      <w:bCs/>
                      <w:kern w:val="0"/>
                      <w:sz w:val="21"/>
                      <w:szCs w:val="21"/>
                    </w:rPr>
                  </w:pPr>
                  <w:r>
                    <w:rPr>
                      <w:b/>
                      <w:bCs/>
                      <w:kern w:val="0"/>
                      <w:sz w:val="21"/>
                      <w:szCs w:val="21"/>
                    </w:rPr>
                    <w:t>COD</w:t>
                  </w:r>
                </w:p>
              </w:tc>
              <w:tc>
                <w:tcPr>
                  <w:tcW w:w="498" w:type="pct"/>
                  <w:tcBorders>
                    <w:tl2br w:val="nil"/>
                    <w:tr2bl w:val="nil"/>
                  </w:tcBorders>
                  <w:vAlign w:val="center"/>
                </w:tcPr>
                <w:p>
                  <w:pPr>
                    <w:spacing w:line="240" w:lineRule="auto"/>
                    <w:jc w:val="center"/>
                    <w:rPr>
                      <w:b/>
                      <w:bCs/>
                      <w:kern w:val="0"/>
                      <w:sz w:val="21"/>
                      <w:szCs w:val="21"/>
                    </w:rPr>
                  </w:pPr>
                  <w:r>
                    <w:rPr>
                      <w:b/>
                      <w:bCs/>
                      <w:kern w:val="0"/>
                      <w:sz w:val="21"/>
                      <w:szCs w:val="21"/>
                    </w:rPr>
                    <w:t>BOD</w:t>
                  </w:r>
                  <w:r>
                    <w:rPr>
                      <w:b/>
                      <w:bCs/>
                      <w:kern w:val="0"/>
                      <w:sz w:val="21"/>
                      <w:szCs w:val="21"/>
                      <w:vertAlign w:val="subscript"/>
                    </w:rPr>
                    <w:t>5</w:t>
                  </w:r>
                </w:p>
              </w:tc>
              <w:tc>
                <w:tcPr>
                  <w:tcW w:w="416" w:type="pct"/>
                  <w:tcBorders>
                    <w:tl2br w:val="nil"/>
                    <w:tr2bl w:val="nil"/>
                  </w:tcBorders>
                  <w:vAlign w:val="center"/>
                </w:tcPr>
                <w:p>
                  <w:pPr>
                    <w:spacing w:line="240" w:lineRule="auto"/>
                    <w:jc w:val="center"/>
                    <w:rPr>
                      <w:b/>
                      <w:bCs/>
                      <w:kern w:val="0"/>
                      <w:sz w:val="21"/>
                      <w:szCs w:val="21"/>
                    </w:rPr>
                  </w:pPr>
                  <w:r>
                    <w:rPr>
                      <w:b/>
                      <w:bCs/>
                      <w:kern w:val="0"/>
                      <w:sz w:val="21"/>
                      <w:szCs w:val="21"/>
                    </w:rPr>
                    <w:t>SS</w:t>
                  </w:r>
                </w:p>
              </w:tc>
              <w:tc>
                <w:tcPr>
                  <w:tcW w:w="498" w:type="pct"/>
                  <w:tcBorders>
                    <w:tl2br w:val="nil"/>
                    <w:tr2bl w:val="nil"/>
                  </w:tcBorders>
                  <w:vAlign w:val="center"/>
                </w:tcPr>
                <w:p>
                  <w:pPr>
                    <w:spacing w:line="240" w:lineRule="auto"/>
                    <w:jc w:val="center"/>
                    <w:rPr>
                      <w:b/>
                      <w:bCs/>
                      <w:kern w:val="0"/>
                      <w:sz w:val="21"/>
                      <w:szCs w:val="21"/>
                    </w:rPr>
                  </w:pPr>
                  <w:r>
                    <w:rPr>
                      <w:b/>
                      <w:bCs/>
                      <w:kern w:val="0"/>
                      <w:sz w:val="21"/>
                      <w:szCs w:val="21"/>
                    </w:rPr>
                    <w:t>氨氮</w:t>
                  </w:r>
                </w:p>
              </w:tc>
              <w:tc>
                <w:tcPr>
                  <w:tcW w:w="566" w:type="pct"/>
                  <w:tcBorders>
                    <w:tl2br w:val="nil"/>
                    <w:tr2bl w:val="nil"/>
                  </w:tcBorders>
                  <w:vAlign w:val="center"/>
                </w:tcPr>
                <w:p>
                  <w:pPr>
                    <w:spacing w:line="240" w:lineRule="auto"/>
                    <w:jc w:val="center"/>
                    <w:rPr>
                      <w:b/>
                      <w:bCs/>
                      <w:kern w:val="0"/>
                      <w:sz w:val="21"/>
                      <w:szCs w:val="21"/>
                    </w:rPr>
                  </w:pPr>
                  <w:r>
                    <w:rPr>
                      <w:rFonts w:hint="eastAsia"/>
                      <w:b/>
                      <w:bCs/>
                      <w:kern w:val="0"/>
                      <w:sz w:val="21"/>
                      <w:szCs w:val="21"/>
                    </w:rPr>
                    <w:t>石油类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22" w:type="pct"/>
                  <w:tcBorders>
                    <w:tl2br w:val="nil"/>
                    <w:tr2bl w:val="nil"/>
                  </w:tcBorders>
                  <w:vAlign w:val="center"/>
                </w:tcPr>
                <w:p>
                  <w:pPr>
                    <w:spacing w:line="240" w:lineRule="auto"/>
                    <w:jc w:val="center"/>
                    <w:rPr>
                      <w:kern w:val="0"/>
                      <w:sz w:val="21"/>
                      <w:szCs w:val="21"/>
                    </w:rPr>
                  </w:pPr>
                  <w:r>
                    <w:rPr>
                      <w:kern w:val="0"/>
                      <w:sz w:val="21"/>
                      <w:szCs w:val="21"/>
                    </w:rPr>
                    <w:t>陆河产业转移工业园工业污水处理厂进水水质要求</w:t>
                  </w:r>
                </w:p>
              </w:tc>
              <w:tc>
                <w:tcPr>
                  <w:tcW w:w="385" w:type="pct"/>
                  <w:tcBorders>
                    <w:tl2br w:val="nil"/>
                    <w:tr2bl w:val="nil"/>
                  </w:tcBorders>
                  <w:vAlign w:val="center"/>
                </w:tcPr>
                <w:p>
                  <w:pPr>
                    <w:spacing w:line="240" w:lineRule="auto"/>
                    <w:jc w:val="center"/>
                    <w:rPr>
                      <w:kern w:val="0"/>
                      <w:sz w:val="21"/>
                      <w:szCs w:val="21"/>
                    </w:rPr>
                  </w:pPr>
                  <w:r>
                    <w:rPr>
                      <w:kern w:val="0"/>
                      <w:sz w:val="21"/>
                      <w:szCs w:val="21"/>
                    </w:rPr>
                    <w:t>6～9</w:t>
                  </w:r>
                </w:p>
              </w:tc>
              <w:tc>
                <w:tcPr>
                  <w:tcW w:w="416" w:type="pct"/>
                  <w:tcBorders>
                    <w:tl2br w:val="nil"/>
                    <w:tr2bl w:val="nil"/>
                  </w:tcBorders>
                  <w:vAlign w:val="center"/>
                </w:tcPr>
                <w:p>
                  <w:pPr>
                    <w:spacing w:line="240" w:lineRule="auto"/>
                    <w:jc w:val="center"/>
                    <w:rPr>
                      <w:kern w:val="0"/>
                      <w:sz w:val="21"/>
                      <w:szCs w:val="21"/>
                    </w:rPr>
                  </w:pPr>
                  <w:r>
                    <w:rPr>
                      <w:kern w:val="0"/>
                      <w:sz w:val="21"/>
                      <w:szCs w:val="21"/>
                    </w:rPr>
                    <w:t>500</w:t>
                  </w:r>
                </w:p>
              </w:tc>
              <w:tc>
                <w:tcPr>
                  <w:tcW w:w="498" w:type="pct"/>
                  <w:tcBorders>
                    <w:tl2br w:val="nil"/>
                    <w:tr2bl w:val="nil"/>
                  </w:tcBorders>
                  <w:vAlign w:val="center"/>
                </w:tcPr>
                <w:p>
                  <w:pPr>
                    <w:spacing w:line="240" w:lineRule="auto"/>
                    <w:jc w:val="center"/>
                    <w:rPr>
                      <w:kern w:val="0"/>
                      <w:sz w:val="21"/>
                      <w:szCs w:val="21"/>
                    </w:rPr>
                  </w:pPr>
                  <w:r>
                    <w:rPr>
                      <w:kern w:val="0"/>
                      <w:sz w:val="21"/>
                      <w:szCs w:val="21"/>
                    </w:rPr>
                    <w:t>300</w:t>
                  </w:r>
                </w:p>
              </w:tc>
              <w:tc>
                <w:tcPr>
                  <w:tcW w:w="416" w:type="pct"/>
                  <w:tcBorders>
                    <w:tl2br w:val="nil"/>
                    <w:tr2bl w:val="nil"/>
                  </w:tcBorders>
                  <w:vAlign w:val="center"/>
                </w:tcPr>
                <w:p>
                  <w:pPr>
                    <w:spacing w:line="240" w:lineRule="auto"/>
                    <w:jc w:val="center"/>
                    <w:rPr>
                      <w:kern w:val="0"/>
                      <w:sz w:val="21"/>
                      <w:szCs w:val="21"/>
                    </w:rPr>
                  </w:pPr>
                  <w:r>
                    <w:rPr>
                      <w:kern w:val="0"/>
                      <w:sz w:val="21"/>
                      <w:szCs w:val="21"/>
                    </w:rPr>
                    <w:t>400</w:t>
                  </w:r>
                </w:p>
              </w:tc>
              <w:tc>
                <w:tcPr>
                  <w:tcW w:w="498" w:type="pct"/>
                  <w:tcBorders>
                    <w:tl2br w:val="nil"/>
                    <w:tr2bl w:val="nil"/>
                  </w:tcBorders>
                  <w:vAlign w:val="center"/>
                </w:tcPr>
                <w:p>
                  <w:pPr>
                    <w:spacing w:line="240" w:lineRule="auto"/>
                    <w:jc w:val="center"/>
                    <w:rPr>
                      <w:kern w:val="0"/>
                      <w:sz w:val="21"/>
                      <w:szCs w:val="21"/>
                    </w:rPr>
                  </w:pPr>
                  <w:r>
                    <w:rPr>
                      <w:kern w:val="0"/>
                      <w:sz w:val="21"/>
                      <w:szCs w:val="21"/>
                    </w:rPr>
                    <w:t>40</w:t>
                  </w:r>
                </w:p>
              </w:tc>
              <w:tc>
                <w:tcPr>
                  <w:tcW w:w="566" w:type="pct"/>
                  <w:tcBorders>
                    <w:tl2br w:val="nil"/>
                    <w:tr2bl w:val="nil"/>
                  </w:tcBorders>
                  <w:vAlign w:val="center"/>
                </w:tcPr>
                <w:p>
                  <w:pPr>
                    <w:spacing w:line="240" w:lineRule="auto"/>
                    <w:jc w:val="center"/>
                    <w:rPr>
                      <w:kern w:val="0"/>
                      <w:sz w:val="21"/>
                      <w:szCs w:val="21"/>
                    </w:rPr>
                  </w:pPr>
                  <w:r>
                    <w:rPr>
                      <w:kern w:val="0"/>
                      <w:sz w:val="21"/>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22" w:type="pct"/>
                  <w:tcBorders>
                    <w:tl2br w:val="nil"/>
                    <w:tr2bl w:val="nil"/>
                  </w:tcBorders>
                  <w:vAlign w:val="center"/>
                </w:tcPr>
                <w:p>
                  <w:pPr>
                    <w:spacing w:line="240" w:lineRule="auto"/>
                    <w:jc w:val="center"/>
                    <w:rPr>
                      <w:kern w:val="0"/>
                      <w:sz w:val="21"/>
                      <w:szCs w:val="21"/>
                    </w:rPr>
                  </w:pPr>
                  <w:r>
                    <w:rPr>
                      <w:kern w:val="0"/>
                      <w:sz w:val="21"/>
                      <w:szCs w:val="21"/>
                    </w:rPr>
                    <w:t>广东省《水污染物排放限值》（DB44/26-2001）第二时段三级标准</w:t>
                  </w:r>
                </w:p>
              </w:tc>
              <w:tc>
                <w:tcPr>
                  <w:tcW w:w="385" w:type="pct"/>
                  <w:tcBorders>
                    <w:tl2br w:val="nil"/>
                    <w:tr2bl w:val="nil"/>
                  </w:tcBorders>
                  <w:vAlign w:val="center"/>
                </w:tcPr>
                <w:p>
                  <w:pPr>
                    <w:spacing w:line="240" w:lineRule="auto"/>
                    <w:jc w:val="center"/>
                    <w:rPr>
                      <w:kern w:val="0"/>
                      <w:sz w:val="21"/>
                      <w:szCs w:val="21"/>
                    </w:rPr>
                  </w:pPr>
                  <w:r>
                    <w:rPr>
                      <w:kern w:val="0"/>
                      <w:sz w:val="21"/>
                      <w:szCs w:val="21"/>
                    </w:rPr>
                    <w:t>6～9</w:t>
                  </w:r>
                </w:p>
              </w:tc>
              <w:tc>
                <w:tcPr>
                  <w:tcW w:w="416" w:type="pct"/>
                  <w:tcBorders>
                    <w:tl2br w:val="nil"/>
                    <w:tr2bl w:val="nil"/>
                  </w:tcBorders>
                  <w:vAlign w:val="center"/>
                </w:tcPr>
                <w:p>
                  <w:pPr>
                    <w:spacing w:line="240" w:lineRule="auto"/>
                    <w:jc w:val="center"/>
                    <w:rPr>
                      <w:kern w:val="0"/>
                      <w:sz w:val="21"/>
                      <w:szCs w:val="21"/>
                    </w:rPr>
                  </w:pPr>
                  <w:r>
                    <w:rPr>
                      <w:kern w:val="0"/>
                      <w:sz w:val="21"/>
                      <w:szCs w:val="21"/>
                    </w:rPr>
                    <w:t>500</w:t>
                  </w:r>
                </w:p>
              </w:tc>
              <w:tc>
                <w:tcPr>
                  <w:tcW w:w="498" w:type="pct"/>
                  <w:tcBorders>
                    <w:tl2br w:val="nil"/>
                    <w:tr2bl w:val="nil"/>
                  </w:tcBorders>
                  <w:vAlign w:val="center"/>
                </w:tcPr>
                <w:p>
                  <w:pPr>
                    <w:spacing w:line="240" w:lineRule="auto"/>
                    <w:jc w:val="center"/>
                    <w:rPr>
                      <w:kern w:val="0"/>
                      <w:sz w:val="21"/>
                      <w:szCs w:val="21"/>
                    </w:rPr>
                  </w:pPr>
                  <w:r>
                    <w:rPr>
                      <w:kern w:val="0"/>
                      <w:sz w:val="21"/>
                      <w:szCs w:val="21"/>
                    </w:rPr>
                    <w:t>300</w:t>
                  </w:r>
                </w:p>
              </w:tc>
              <w:tc>
                <w:tcPr>
                  <w:tcW w:w="416" w:type="pct"/>
                  <w:tcBorders>
                    <w:tl2br w:val="nil"/>
                    <w:tr2bl w:val="nil"/>
                  </w:tcBorders>
                  <w:vAlign w:val="center"/>
                </w:tcPr>
                <w:p>
                  <w:pPr>
                    <w:spacing w:line="240" w:lineRule="auto"/>
                    <w:jc w:val="center"/>
                    <w:rPr>
                      <w:kern w:val="0"/>
                      <w:sz w:val="21"/>
                      <w:szCs w:val="21"/>
                    </w:rPr>
                  </w:pPr>
                  <w:r>
                    <w:rPr>
                      <w:kern w:val="0"/>
                      <w:sz w:val="21"/>
                      <w:szCs w:val="21"/>
                    </w:rPr>
                    <w:t>400</w:t>
                  </w:r>
                </w:p>
              </w:tc>
              <w:tc>
                <w:tcPr>
                  <w:tcW w:w="498" w:type="pct"/>
                  <w:tcBorders>
                    <w:tl2br w:val="nil"/>
                    <w:tr2bl w:val="nil"/>
                  </w:tcBorders>
                  <w:vAlign w:val="center"/>
                </w:tcPr>
                <w:p>
                  <w:pPr>
                    <w:spacing w:line="240" w:lineRule="auto"/>
                    <w:jc w:val="center"/>
                    <w:rPr>
                      <w:kern w:val="0"/>
                      <w:sz w:val="21"/>
                      <w:szCs w:val="21"/>
                    </w:rPr>
                  </w:pPr>
                  <w:r>
                    <w:rPr>
                      <w:kern w:val="0"/>
                      <w:sz w:val="21"/>
                      <w:szCs w:val="21"/>
                    </w:rPr>
                    <w:t>--</w:t>
                  </w:r>
                </w:p>
              </w:tc>
              <w:tc>
                <w:tcPr>
                  <w:tcW w:w="566" w:type="pct"/>
                  <w:tcBorders>
                    <w:tl2br w:val="nil"/>
                    <w:tr2bl w:val="nil"/>
                  </w:tcBorders>
                  <w:vAlign w:val="center"/>
                </w:tcPr>
                <w:p>
                  <w:pPr>
                    <w:spacing w:line="240" w:lineRule="auto"/>
                    <w:jc w:val="center"/>
                    <w:rPr>
                      <w:kern w:val="0"/>
                      <w:sz w:val="21"/>
                      <w:szCs w:val="21"/>
                    </w:rPr>
                  </w:pPr>
                  <w:r>
                    <w:rPr>
                      <w:kern w:val="0"/>
                      <w:sz w:val="21"/>
                      <w:szCs w:val="21"/>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22" w:type="pct"/>
                  <w:tcBorders>
                    <w:tl2br w:val="nil"/>
                    <w:tr2bl w:val="nil"/>
                  </w:tcBorders>
                  <w:vAlign w:val="center"/>
                </w:tcPr>
                <w:p>
                  <w:pPr>
                    <w:spacing w:line="240" w:lineRule="auto"/>
                    <w:jc w:val="center"/>
                    <w:rPr>
                      <w:kern w:val="0"/>
                      <w:sz w:val="21"/>
                      <w:szCs w:val="21"/>
                    </w:rPr>
                  </w:pPr>
                  <w:r>
                    <w:rPr>
                      <w:kern w:val="0"/>
                      <w:sz w:val="21"/>
                      <w:szCs w:val="21"/>
                    </w:rPr>
                    <w:t>项目远期生产废水排放标准</w:t>
                  </w:r>
                </w:p>
              </w:tc>
              <w:tc>
                <w:tcPr>
                  <w:tcW w:w="385" w:type="pct"/>
                  <w:tcBorders>
                    <w:tl2br w:val="nil"/>
                    <w:tr2bl w:val="nil"/>
                  </w:tcBorders>
                  <w:vAlign w:val="center"/>
                </w:tcPr>
                <w:p>
                  <w:pPr>
                    <w:spacing w:line="240" w:lineRule="auto"/>
                    <w:jc w:val="center"/>
                    <w:rPr>
                      <w:kern w:val="0"/>
                      <w:sz w:val="21"/>
                      <w:szCs w:val="21"/>
                    </w:rPr>
                  </w:pPr>
                  <w:r>
                    <w:rPr>
                      <w:kern w:val="0"/>
                      <w:sz w:val="21"/>
                      <w:szCs w:val="21"/>
                    </w:rPr>
                    <w:t>6～9</w:t>
                  </w:r>
                </w:p>
              </w:tc>
              <w:tc>
                <w:tcPr>
                  <w:tcW w:w="416" w:type="pct"/>
                  <w:tcBorders>
                    <w:tl2br w:val="nil"/>
                    <w:tr2bl w:val="nil"/>
                  </w:tcBorders>
                  <w:vAlign w:val="center"/>
                </w:tcPr>
                <w:p>
                  <w:pPr>
                    <w:spacing w:line="240" w:lineRule="auto"/>
                    <w:jc w:val="center"/>
                    <w:rPr>
                      <w:kern w:val="0"/>
                      <w:sz w:val="21"/>
                      <w:szCs w:val="21"/>
                    </w:rPr>
                  </w:pPr>
                  <w:r>
                    <w:rPr>
                      <w:kern w:val="0"/>
                      <w:sz w:val="21"/>
                      <w:szCs w:val="21"/>
                    </w:rPr>
                    <w:t>500</w:t>
                  </w:r>
                </w:p>
              </w:tc>
              <w:tc>
                <w:tcPr>
                  <w:tcW w:w="498" w:type="pct"/>
                  <w:tcBorders>
                    <w:tl2br w:val="nil"/>
                    <w:tr2bl w:val="nil"/>
                  </w:tcBorders>
                  <w:vAlign w:val="center"/>
                </w:tcPr>
                <w:p>
                  <w:pPr>
                    <w:spacing w:line="240" w:lineRule="auto"/>
                    <w:jc w:val="center"/>
                    <w:rPr>
                      <w:kern w:val="0"/>
                      <w:sz w:val="21"/>
                      <w:szCs w:val="21"/>
                    </w:rPr>
                  </w:pPr>
                  <w:r>
                    <w:rPr>
                      <w:kern w:val="0"/>
                      <w:sz w:val="21"/>
                      <w:szCs w:val="21"/>
                    </w:rPr>
                    <w:t>300</w:t>
                  </w:r>
                </w:p>
              </w:tc>
              <w:tc>
                <w:tcPr>
                  <w:tcW w:w="416" w:type="pct"/>
                  <w:tcBorders>
                    <w:tl2br w:val="nil"/>
                    <w:tr2bl w:val="nil"/>
                  </w:tcBorders>
                  <w:vAlign w:val="center"/>
                </w:tcPr>
                <w:p>
                  <w:pPr>
                    <w:spacing w:line="240" w:lineRule="auto"/>
                    <w:jc w:val="center"/>
                    <w:rPr>
                      <w:kern w:val="0"/>
                      <w:sz w:val="21"/>
                      <w:szCs w:val="21"/>
                    </w:rPr>
                  </w:pPr>
                  <w:r>
                    <w:rPr>
                      <w:kern w:val="0"/>
                      <w:sz w:val="21"/>
                      <w:szCs w:val="21"/>
                    </w:rPr>
                    <w:t>400</w:t>
                  </w:r>
                </w:p>
              </w:tc>
              <w:tc>
                <w:tcPr>
                  <w:tcW w:w="498" w:type="pct"/>
                  <w:tcBorders>
                    <w:tl2br w:val="nil"/>
                    <w:tr2bl w:val="nil"/>
                  </w:tcBorders>
                  <w:vAlign w:val="center"/>
                </w:tcPr>
                <w:p>
                  <w:pPr>
                    <w:spacing w:line="240" w:lineRule="auto"/>
                    <w:jc w:val="center"/>
                    <w:rPr>
                      <w:kern w:val="0"/>
                      <w:sz w:val="21"/>
                      <w:szCs w:val="21"/>
                    </w:rPr>
                  </w:pPr>
                  <w:r>
                    <w:rPr>
                      <w:kern w:val="0"/>
                      <w:sz w:val="21"/>
                      <w:szCs w:val="21"/>
                    </w:rPr>
                    <w:t>40</w:t>
                  </w:r>
                </w:p>
              </w:tc>
              <w:tc>
                <w:tcPr>
                  <w:tcW w:w="566" w:type="pct"/>
                  <w:tcBorders>
                    <w:tl2br w:val="nil"/>
                    <w:tr2bl w:val="nil"/>
                  </w:tcBorders>
                  <w:vAlign w:val="center"/>
                </w:tcPr>
                <w:p>
                  <w:pPr>
                    <w:spacing w:line="240" w:lineRule="auto"/>
                    <w:jc w:val="center"/>
                    <w:rPr>
                      <w:kern w:val="0"/>
                      <w:sz w:val="21"/>
                      <w:szCs w:val="21"/>
                    </w:rPr>
                  </w:pPr>
                  <w:r>
                    <w:rPr>
                      <w:rFonts w:hint="eastAsia"/>
                      <w:kern w:val="0"/>
                      <w:sz w:val="21"/>
                      <w:szCs w:val="21"/>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222" w:type="pct"/>
                  <w:tcBorders>
                    <w:tl2br w:val="nil"/>
                    <w:tr2bl w:val="nil"/>
                  </w:tcBorders>
                  <w:vAlign w:val="center"/>
                </w:tcPr>
                <w:p>
                  <w:pPr>
                    <w:spacing w:line="240" w:lineRule="auto"/>
                    <w:jc w:val="center"/>
                    <w:rPr>
                      <w:kern w:val="0"/>
                      <w:sz w:val="21"/>
                      <w:szCs w:val="21"/>
                    </w:rPr>
                  </w:pPr>
                  <w:r>
                    <w:rPr>
                      <w:kern w:val="0"/>
                      <w:sz w:val="21"/>
                      <w:szCs w:val="21"/>
                    </w:rPr>
                    <w:t>陆河产业转移工业园工业污水处理厂出水标准</w:t>
                  </w:r>
                </w:p>
              </w:tc>
              <w:tc>
                <w:tcPr>
                  <w:tcW w:w="385" w:type="pct"/>
                  <w:tcBorders>
                    <w:tl2br w:val="nil"/>
                    <w:tr2bl w:val="nil"/>
                  </w:tcBorders>
                  <w:vAlign w:val="center"/>
                </w:tcPr>
                <w:p>
                  <w:pPr>
                    <w:spacing w:line="240" w:lineRule="auto"/>
                    <w:jc w:val="center"/>
                    <w:rPr>
                      <w:kern w:val="0"/>
                      <w:sz w:val="21"/>
                      <w:szCs w:val="21"/>
                    </w:rPr>
                  </w:pPr>
                  <w:r>
                    <w:rPr>
                      <w:kern w:val="0"/>
                      <w:sz w:val="21"/>
                      <w:szCs w:val="21"/>
                    </w:rPr>
                    <w:t>6～9</w:t>
                  </w:r>
                </w:p>
              </w:tc>
              <w:tc>
                <w:tcPr>
                  <w:tcW w:w="416" w:type="pct"/>
                  <w:tcBorders>
                    <w:tl2br w:val="nil"/>
                    <w:tr2bl w:val="nil"/>
                  </w:tcBorders>
                  <w:vAlign w:val="center"/>
                </w:tcPr>
                <w:p>
                  <w:pPr>
                    <w:spacing w:line="240" w:lineRule="auto"/>
                    <w:jc w:val="center"/>
                    <w:rPr>
                      <w:kern w:val="0"/>
                      <w:sz w:val="21"/>
                      <w:szCs w:val="21"/>
                    </w:rPr>
                  </w:pPr>
                  <w:r>
                    <w:rPr>
                      <w:kern w:val="0"/>
                      <w:sz w:val="21"/>
                      <w:szCs w:val="21"/>
                    </w:rPr>
                    <w:t>30</w:t>
                  </w:r>
                </w:p>
              </w:tc>
              <w:tc>
                <w:tcPr>
                  <w:tcW w:w="498" w:type="pct"/>
                  <w:tcBorders>
                    <w:tl2br w:val="nil"/>
                    <w:tr2bl w:val="nil"/>
                  </w:tcBorders>
                  <w:vAlign w:val="center"/>
                </w:tcPr>
                <w:p>
                  <w:pPr>
                    <w:spacing w:line="240" w:lineRule="auto"/>
                    <w:jc w:val="center"/>
                    <w:rPr>
                      <w:kern w:val="0"/>
                      <w:sz w:val="21"/>
                      <w:szCs w:val="21"/>
                    </w:rPr>
                  </w:pPr>
                  <w:r>
                    <w:rPr>
                      <w:kern w:val="0"/>
                      <w:sz w:val="21"/>
                      <w:szCs w:val="21"/>
                    </w:rPr>
                    <w:t>6</w:t>
                  </w:r>
                </w:p>
              </w:tc>
              <w:tc>
                <w:tcPr>
                  <w:tcW w:w="416" w:type="pct"/>
                  <w:tcBorders>
                    <w:tl2br w:val="nil"/>
                    <w:tr2bl w:val="nil"/>
                  </w:tcBorders>
                  <w:vAlign w:val="center"/>
                </w:tcPr>
                <w:p>
                  <w:pPr>
                    <w:spacing w:line="240" w:lineRule="auto"/>
                    <w:jc w:val="center"/>
                    <w:rPr>
                      <w:kern w:val="0"/>
                      <w:sz w:val="21"/>
                      <w:szCs w:val="21"/>
                    </w:rPr>
                  </w:pPr>
                  <w:r>
                    <w:rPr>
                      <w:kern w:val="0"/>
                      <w:sz w:val="21"/>
                      <w:szCs w:val="21"/>
                    </w:rPr>
                    <w:t>10</w:t>
                  </w:r>
                </w:p>
              </w:tc>
              <w:tc>
                <w:tcPr>
                  <w:tcW w:w="498" w:type="pct"/>
                  <w:tcBorders>
                    <w:tl2br w:val="nil"/>
                    <w:tr2bl w:val="nil"/>
                  </w:tcBorders>
                  <w:vAlign w:val="center"/>
                </w:tcPr>
                <w:p>
                  <w:pPr>
                    <w:spacing w:line="240" w:lineRule="auto"/>
                    <w:jc w:val="center"/>
                    <w:rPr>
                      <w:kern w:val="0"/>
                      <w:sz w:val="21"/>
                      <w:szCs w:val="21"/>
                    </w:rPr>
                  </w:pPr>
                  <w:r>
                    <w:rPr>
                      <w:kern w:val="0"/>
                      <w:sz w:val="21"/>
                      <w:szCs w:val="21"/>
                    </w:rPr>
                    <w:t>1.5</w:t>
                  </w:r>
                </w:p>
              </w:tc>
              <w:tc>
                <w:tcPr>
                  <w:tcW w:w="566" w:type="pct"/>
                  <w:tcBorders>
                    <w:tl2br w:val="nil"/>
                    <w:tr2bl w:val="nil"/>
                  </w:tcBorders>
                  <w:vAlign w:val="center"/>
                </w:tcPr>
                <w:p>
                  <w:pPr>
                    <w:spacing w:line="240" w:lineRule="auto"/>
                    <w:jc w:val="center"/>
                    <w:rPr>
                      <w:kern w:val="0"/>
                      <w:sz w:val="21"/>
                      <w:szCs w:val="21"/>
                    </w:rPr>
                  </w:pPr>
                  <w:r>
                    <w:rPr>
                      <w:rFonts w:hint="eastAsia"/>
                      <w:kern w:val="0"/>
                      <w:sz w:val="21"/>
                      <w:szCs w:val="21"/>
                    </w:rPr>
                    <w:t>0</w:t>
                  </w:r>
                  <w:r>
                    <w:rPr>
                      <w:kern w:val="0"/>
                      <w:sz w:val="21"/>
                      <w:szCs w:val="21"/>
                    </w:rPr>
                    <w:t>.5</w:t>
                  </w:r>
                </w:p>
              </w:tc>
            </w:tr>
          </w:tbl>
          <w:p>
            <w:pPr>
              <w:ind w:firstLine="482" w:firstLineChars="200"/>
              <w:jc w:val="left"/>
              <w:rPr>
                <w:b/>
                <w:bCs/>
                <w:sz w:val="24"/>
              </w:rPr>
            </w:pPr>
            <w:r>
              <w:rPr>
                <w:b/>
                <w:bCs/>
                <w:sz w:val="24"/>
              </w:rPr>
              <w:t>2、</w:t>
            </w:r>
            <w:r>
              <w:rPr>
                <w:rFonts w:hint="eastAsia"/>
                <w:b/>
                <w:bCs/>
                <w:sz w:val="24"/>
              </w:rPr>
              <w:t>废气</w:t>
            </w:r>
          </w:p>
          <w:p>
            <w:pPr>
              <w:ind w:firstLine="480" w:firstLineChars="200"/>
              <w:jc w:val="left"/>
              <w:rPr>
                <w:sz w:val="24"/>
              </w:rPr>
            </w:pPr>
            <w:r>
              <w:rPr>
                <w:rFonts w:hint="eastAsia"/>
                <w:sz w:val="24"/>
              </w:rPr>
              <w:t>项目施工期无组织排放的颗粒物执行广东省《大气污染物排放限值》（DB44/27-2001）第二时段无组织排放监控浓度限值（1mg/m</w:t>
            </w:r>
            <w:r>
              <w:rPr>
                <w:rFonts w:hint="eastAsia"/>
                <w:sz w:val="24"/>
                <w:vertAlign w:val="superscript"/>
              </w:rPr>
              <w:t>3</w:t>
            </w:r>
            <w:r>
              <w:rPr>
                <w:rFonts w:hint="eastAsia"/>
                <w:sz w:val="24"/>
              </w:rPr>
              <w:t>）；运营期组装</w:t>
            </w:r>
            <w:r>
              <w:rPr>
                <w:sz w:val="24"/>
              </w:rPr>
              <w:t>工序产生的VOCs参照执行《家具制造行业挥发性有机化合物排放标准》（DB 44/814-2010）表2无组织排放监控点浓度限值，详见下表。</w:t>
            </w:r>
          </w:p>
          <w:p>
            <w:pPr>
              <w:pStyle w:val="169"/>
              <w:spacing w:line="240" w:lineRule="auto"/>
              <w:rPr>
                <w:rFonts w:hint="default" w:hAnsi="Times New Roman" w:eastAsiaTheme="minorEastAsia"/>
                <w:sz w:val="24"/>
                <w:szCs w:val="24"/>
              </w:rPr>
            </w:pPr>
            <w:r>
              <w:rPr>
                <w:rFonts w:hAnsi="Times New Roman" w:eastAsiaTheme="minorEastAsia"/>
                <w:sz w:val="24"/>
                <w:szCs w:val="24"/>
              </w:rPr>
              <w:t>表3-9</w:t>
            </w:r>
            <w:r>
              <w:rPr>
                <w:rFonts w:hint="default" w:hAnsi="Times New Roman" w:eastAsiaTheme="minorEastAsia"/>
                <w:sz w:val="24"/>
                <w:szCs w:val="24"/>
              </w:rPr>
              <w:t xml:space="preserve"> </w:t>
            </w:r>
            <w:r>
              <w:rPr>
                <w:rFonts w:hAnsi="Times New Roman" w:eastAsiaTheme="minorEastAsia"/>
                <w:sz w:val="24"/>
                <w:szCs w:val="24"/>
              </w:rPr>
              <w:t>建设项目生产废气排放标准单位：mg/m</w:t>
            </w:r>
            <w:r>
              <w:rPr>
                <w:rFonts w:hAnsi="Times New Roman" w:eastAsiaTheme="minorEastAsia"/>
                <w:sz w:val="24"/>
                <w:szCs w:val="24"/>
                <w:vertAlign w:val="superscript"/>
              </w:rPr>
              <w:t>3</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6"/>
              <w:gridCol w:w="2638"/>
              <w:gridCol w:w="45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90" w:type="dxa"/>
                  <w:tcBorders>
                    <w:tl2br w:val="nil"/>
                    <w:tr2bl w:val="nil"/>
                  </w:tcBorders>
                  <w:vAlign w:val="center"/>
                </w:tcPr>
                <w:p>
                  <w:pPr>
                    <w:spacing w:line="240" w:lineRule="auto"/>
                    <w:jc w:val="center"/>
                    <w:rPr>
                      <w:b/>
                      <w:bCs/>
                      <w:kern w:val="0"/>
                      <w:sz w:val="21"/>
                      <w:szCs w:val="21"/>
                    </w:rPr>
                  </w:pPr>
                  <w:r>
                    <w:rPr>
                      <w:b/>
                      <w:bCs/>
                      <w:kern w:val="0"/>
                      <w:sz w:val="21"/>
                      <w:szCs w:val="21"/>
                    </w:rPr>
                    <w:t>污染物</w:t>
                  </w:r>
                </w:p>
              </w:tc>
              <w:tc>
                <w:tcPr>
                  <w:tcW w:w="2624" w:type="dxa"/>
                  <w:tcBorders>
                    <w:tl2br w:val="nil"/>
                    <w:tr2bl w:val="nil"/>
                  </w:tcBorders>
                  <w:vAlign w:val="center"/>
                </w:tcPr>
                <w:p>
                  <w:pPr>
                    <w:spacing w:line="240" w:lineRule="auto"/>
                    <w:jc w:val="center"/>
                    <w:rPr>
                      <w:b/>
                      <w:bCs/>
                      <w:kern w:val="0"/>
                      <w:sz w:val="21"/>
                      <w:szCs w:val="21"/>
                    </w:rPr>
                  </w:pPr>
                  <w:r>
                    <w:rPr>
                      <w:b/>
                      <w:bCs/>
                      <w:kern w:val="0"/>
                      <w:sz w:val="21"/>
                      <w:szCs w:val="21"/>
                    </w:rPr>
                    <w:t>无组织排放监控浓度限值</w:t>
                  </w:r>
                </w:p>
              </w:tc>
              <w:tc>
                <w:tcPr>
                  <w:tcW w:w="4569" w:type="dxa"/>
                  <w:tcBorders>
                    <w:tl2br w:val="nil"/>
                    <w:tr2bl w:val="nil"/>
                  </w:tcBorders>
                  <w:vAlign w:val="center"/>
                </w:tcPr>
                <w:p>
                  <w:pPr>
                    <w:spacing w:line="240" w:lineRule="auto"/>
                    <w:jc w:val="center"/>
                    <w:rPr>
                      <w:b/>
                      <w:bCs/>
                      <w:kern w:val="0"/>
                      <w:sz w:val="21"/>
                      <w:szCs w:val="21"/>
                    </w:rPr>
                  </w:pPr>
                  <w:r>
                    <w:rPr>
                      <w:b/>
                      <w:bCs/>
                      <w:kern w:val="0"/>
                      <w:sz w:val="21"/>
                      <w:szCs w:val="21"/>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90" w:type="dxa"/>
                  <w:tcBorders>
                    <w:tl2br w:val="nil"/>
                    <w:tr2bl w:val="nil"/>
                  </w:tcBorders>
                  <w:vAlign w:val="center"/>
                </w:tcPr>
                <w:p>
                  <w:pPr>
                    <w:spacing w:line="240" w:lineRule="auto"/>
                    <w:jc w:val="center"/>
                    <w:rPr>
                      <w:kern w:val="0"/>
                      <w:sz w:val="21"/>
                      <w:szCs w:val="21"/>
                    </w:rPr>
                  </w:pPr>
                  <w:r>
                    <w:rPr>
                      <w:kern w:val="0"/>
                      <w:sz w:val="21"/>
                      <w:szCs w:val="21"/>
                    </w:rPr>
                    <w:t>总VOCs</w:t>
                  </w:r>
                </w:p>
              </w:tc>
              <w:tc>
                <w:tcPr>
                  <w:tcW w:w="2624" w:type="dxa"/>
                  <w:tcBorders>
                    <w:tl2br w:val="nil"/>
                    <w:tr2bl w:val="nil"/>
                  </w:tcBorders>
                  <w:vAlign w:val="center"/>
                </w:tcPr>
                <w:p>
                  <w:pPr>
                    <w:spacing w:line="240" w:lineRule="auto"/>
                    <w:jc w:val="center"/>
                    <w:rPr>
                      <w:kern w:val="0"/>
                      <w:sz w:val="21"/>
                      <w:szCs w:val="21"/>
                    </w:rPr>
                  </w:pPr>
                  <w:r>
                    <w:rPr>
                      <w:kern w:val="0"/>
                      <w:sz w:val="21"/>
                      <w:szCs w:val="21"/>
                    </w:rPr>
                    <w:t>2.0</w:t>
                  </w:r>
                </w:p>
              </w:tc>
              <w:tc>
                <w:tcPr>
                  <w:tcW w:w="4569" w:type="dxa"/>
                  <w:tcBorders>
                    <w:tl2br w:val="nil"/>
                    <w:tr2bl w:val="nil"/>
                  </w:tcBorders>
                  <w:vAlign w:val="center"/>
                </w:tcPr>
                <w:p>
                  <w:pPr>
                    <w:spacing w:line="240" w:lineRule="auto"/>
                    <w:jc w:val="center"/>
                    <w:rPr>
                      <w:kern w:val="0"/>
                      <w:sz w:val="21"/>
                      <w:szCs w:val="21"/>
                    </w:rPr>
                  </w:pPr>
                  <w:r>
                    <w:rPr>
                      <w:kern w:val="0"/>
                      <w:sz w:val="21"/>
                      <w:szCs w:val="21"/>
                    </w:rPr>
                    <w:t>《家具制造行业挥发性有机化合物排放标准》（DB 44/814-2010）</w:t>
                  </w:r>
                </w:p>
              </w:tc>
            </w:tr>
          </w:tbl>
          <w:p>
            <w:pPr>
              <w:ind w:firstLine="480" w:firstLineChars="200"/>
              <w:jc w:val="left"/>
              <w:rPr>
                <w:sz w:val="24"/>
              </w:rPr>
            </w:pPr>
            <w:r>
              <w:rPr>
                <w:sz w:val="24"/>
              </w:rPr>
              <w:t>厂区内无组织排放的有机废气执行《挥发性有机物无组织排放控制标准》（GB37822-2019）附录A.1中的特别排放限值，具体如下表：</w:t>
            </w:r>
          </w:p>
          <w:p>
            <w:pPr>
              <w:pStyle w:val="169"/>
              <w:spacing w:line="240" w:lineRule="auto"/>
              <w:rPr>
                <w:rFonts w:hint="default" w:hAnsi="Times New Roman" w:eastAsiaTheme="minorEastAsia"/>
                <w:sz w:val="24"/>
                <w:szCs w:val="24"/>
              </w:rPr>
            </w:pPr>
            <w:r>
              <w:rPr>
                <w:rFonts w:hAnsi="Times New Roman" w:eastAsiaTheme="minorEastAsia"/>
                <w:sz w:val="24"/>
                <w:szCs w:val="24"/>
              </w:rPr>
              <w:t>表3-10</w:t>
            </w:r>
            <w:r>
              <w:rPr>
                <w:rFonts w:hint="default" w:hAnsi="Times New Roman" w:eastAsiaTheme="minorEastAsia"/>
                <w:sz w:val="24"/>
                <w:szCs w:val="24"/>
              </w:rPr>
              <w:t xml:space="preserve"> </w:t>
            </w:r>
            <w:r>
              <w:rPr>
                <w:rFonts w:hAnsi="Times New Roman" w:eastAsiaTheme="minorEastAsia"/>
                <w:sz w:val="24"/>
                <w:szCs w:val="24"/>
              </w:rPr>
              <w:t>厂区内VOCs无组织控制标准</w:t>
            </w:r>
            <w:r>
              <w:rPr>
                <w:rFonts w:hint="default" w:hAnsi="Times New Roman" w:eastAsiaTheme="minorEastAsia"/>
                <w:sz w:val="24"/>
                <w:szCs w:val="24"/>
              </w:rPr>
              <w:t xml:space="preserve"> </w:t>
            </w:r>
            <w:r>
              <w:rPr>
                <w:rFonts w:hAnsi="Times New Roman" w:eastAsiaTheme="minorEastAsia"/>
                <w:sz w:val="24"/>
                <w:szCs w:val="24"/>
              </w:rPr>
              <w:t>单位：mg/m</w:t>
            </w:r>
            <w:r>
              <w:rPr>
                <w:rFonts w:hAnsi="Times New Roman" w:eastAsiaTheme="minorEastAsia"/>
                <w:sz w:val="24"/>
                <w:szCs w:val="24"/>
                <w:vertAlign w:val="superscript"/>
              </w:rPr>
              <w:t>3</w:t>
            </w:r>
          </w:p>
          <w:tbl>
            <w:tblPr>
              <w:tblStyle w:val="4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63"/>
              <w:gridCol w:w="1813"/>
              <w:gridCol w:w="2736"/>
              <w:gridCol w:w="24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555" w:type="dxa"/>
                  <w:tcBorders>
                    <w:tl2br w:val="nil"/>
                    <w:tr2bl w:val="nil"/>
                  </w:tcBorders>
                  <w:vAlign w:val="center"/>
                </w:tcPr>
                <w:p>
                  <w:pPr>
                    <w:pStyle w:val="49"/>
                    <w:spacing w:line="240" w:lineRule="auto"/>
                    <w:jc w:val="center"/>
                    <w:textAlignment w:val="baseline"/>
                    <w:rPr>
                      <w:rFonts w:hint="default" w:ascii="Times New Roman" w:hAnsi="Times New Roman"/>
                      <w:b/>
                      <w:bCs/>
                      <w:color w:val="auto"/>
                      <w:sz w:val="21"/>
                      <w:szCs w:val="21"/>
                    </w:rPr>
                  </w:pPr>
                  <w:r>
                    <w:rPr>
                      <w:rFonts w:hint="default" w:ascii="Times New Roman" w:hAnsi="Times New Roman"/>
                      <w:b/>
                      <w:bCs/>
                      <w:color w:val="auto"/>
                      <w:sz w:val="21"/>
                      <w:szCs w:val="21"/>
                    </w:rPr>
                    <w:t>监测项目</w:t>
                  </w:r>
                </w:p>
              </w:tc>
              <w:tc>
                <w:tcPr>
                  <w:tcW w:w="1804" w:type="dxa"/>
                  <w:tcBorders>
                    <w:tl2br w:val="nil"/>
                    <w:tr2bl w:val="nil"/>
                  </w:tcBorders>
                  <w:vAlign w:val="center"/>
                </w:tcPr>
                <w:p>
                  <w:pPr>
                    <w:pStyle w:val="49"/>
                    <w:spacing w:line="240" w:lineRule="auto"/>
                    <w:jc w:val="center"/>
                    <w:textAlignment w:val="baseline"/>
                    <w:rPr>
                      <w:rFonts w:hint="default" w:ascii="Times New Roman" w:hAnsi="Times New Roman"/>
                      <w:b/>
                      <w:bCs/>
                      <w:color w:val="auto"/>
                      <w:sz w:val="21"/>
                      <w:szCs w:val="21"/>
                    </w:rPr>
                  </w:pPr>
                  <w:r>
                    <w:rPr>
                      <w:rFonts w:hint="default" w:ascii="Times New Roman" w:hAnsi="Times New Roman"/>
                      <w:b/>
                      <w:bCs/>
                      <w:color w:val="auto"/>
                      <w:sz w:val="21"/>
                      <w:szCs w:val="21"/>
                    </w:rPr>
                    <w:t>特别排放限值</w:t>
                  </w:r>
                </w:p>
              </w:tc>
              <w:tc>
                <w:tcPr>
                  <w:tcW w:w="2722" w:type="dxa"/>
                  <w:tcBorders>
                    <w:tl2br w:val="nil"/>
                    <w:tr2bl w:val="nil"/>
                  </w:tcBorders>
                  <w:vAlign w:val="center"/>
                </w:tcPr>
                <w:p>
                  <w:pPr>
                    <w:pStyle w:val="49"/>
                    <w:spacing w:line="240" w:lineRule="auto"/>
                    <w:jc w:val="center"/>
                    <w:textAlignment w:val="baseline"/>
                    <w:rPr>
                      <w:rFonts w:hint="default" w:ascii="Times New Roman" w:hAnsi="Times New Roman"/>
                      <w:b/>
                      <w:bCs/>
                      <w:color w:val="auto"/>
                      <w:sz w:val="21"/>
                      <w:szCs w:val="21"/>
                    </w:rPr>
                  </w:pPr>
                  <w:r>
                    <w:rPr>
                      <w:rFonts w:hint="default" w:ascii="Times New Roman" w:hAnsi="Times New Roman"/>
                      <w:b/>
                      <w:bCs/>
                      <w:color w:val="auto"/>
                      <w:sz w:val="21"/>
                      <w:szCs w:val="21"/>
                    </w:rPr>
                    <w:t>限值含义</w:t>
                  </w:r>
                </w:p>
              </w:tc>
              <w:tc>
                <w:tcPr>
                  <w:tcW w:w="2403" w:type="dxa"/>
                  <w:tcBorders>
                    <w:tl2br w:val="nil"/>
                    <w:tr2bl w:val="nil"/>
                  </w:tcBorders>
                  <w:vAlign w:val="center"/>
                </w:tcPr>
                <w:p>
                  <w:pPr>
                    <w:pStyle w:val="49"/>
                    <w:spacing w:line="240" w:lineRule="auto"/>
                    <w:jc w:val="center"/>
                    <w:textAlignment w:val="baseline"/>
                    <w:rPr>
                      <w:rFonts w:hint="default" w:ascii="Times New Roman" w:hAnsi="Times New Roman"/>
                      <w:b/>
                      <w:bCs/>
                      <w:color w:val="auto"/>
                      <w:sz w:val="21"/>
                      <w:szCs w:val="21"/>
                    </w:rPr>
                  </w:pPr>
                  <w:r>
                    <w:rPr>
                      <w:rFonts w:hint="default" w:ascii="Times New Roman" w:hAnsi="Times New Roman"/>
                      <w:b/>
                      <w:bCs/>
                      <w:color w:val="auto"/>
                      <w:sz w:val="21"/>
                      <w:szCs w:val="21"/>
                    </w:rPr>
                    <w:t>无组织排放监控位置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555" w:type="dxa"/>
                  <w:vMerge w:val="restart"/>
                  <w:tcBorders>
                    <w:tl2br w:val="nil"/>
                    <w:tr2bl w:val="nil"/>
                  </w:tcBorders>
                  <w:vAlign w:val="center"/>
                </w:tcPr>
                <w:p>
                  <w:pPr>
                    <w:pStyle w:val="49"/>
                    <w:spacing w:line="240" w:lineRule="auto"/>
                    <w:jc w:val="center"/>
                    <w:textAlignment w:val="baseline"/>
                    <w:rPr>
                      <w:rFonts w:hint="default" w:ascii="Times New Roman" w:hAnsi="Times New Roman"/>
                      <w:color w:val="auto"/>
                      <w:sz w:val="21"/>
                      <w:szCs w:val="21"/>
                    </w:rPr>
                  </w:pPr>
                  <w:r>
                    <w:rPr>
                      <w:rFonts w:hint="default" w:ascii="Times New Roman" w:hAnsi="Times New Roman"/>
                      <w:color w:val="auto"/>
                      <w:sz w:val="21"/>
                      <w:szCs w:val="21"/>
                    </w:rPr>
                    <w:t>NMHC</w:t>
                  </w:r>
                </w:p>
              </w:tc>
              <w:tc>
                <w:tcPr>
                  <w:tcW w:w="1804" w:type="dxa"/>
                  <w:tcBorders>
                    <w:tl2br w:val="nil"/>
                    <w:tr2bl w:val="nil"/>
                  </w:tcBorders>
                  <w:vAlign w:val="center"/>
                </w:tcPr>
                <w:p>
                  <w:pPr>
                    <w:pStyle w:val="49"/>
                    <w:spacing w:line="240" w:lineRule="auto"/>
                    <w:jc w:val="center"/>
                    <w:textAlignment w:val="baseline"/>
                    <w:rPr>
                      <w:rFonts w:hint="default" w:ascii="Times New Roman" w:hAnsi="Times New Roman"/>
                      <w:color w:val="auto"/>
                      <w:sz w:val="21"/>
                      <w:szCs w:val="21"/>
                    </w:rPr>
                  </w:pPr>
                  <w:r>
                    <w:rPr>
                      <w:rFonts w:hint="default" w:ascii="Times New Roman" w:hAnsi="Times New Roman"/>
                      <w:color w:val="auto"/>
                      <w:sz w:val="21"/>
                      <w:szCs w:val="21"/>
                    </w:rPr>
                    <w:t>6</w:t>
                  </w:r>
                </w:p>
              </w:tc>
              <w:tc>
                <w:tcPr>
                  <w:tcW w:w="2722" w:type="dxa"/>
                  <w:tcBorders>
                    <w:tl2br w:val="nil"/>
                    <w:tr2bl w:val="nil"/>
                  </w:tcBorders>
                  <w:vAlign w:val="center"/>
                </w:tcPr>
                <w:p>
                  <w:pPr>
                    <w:pStyle w:val="49"/>
                    <w:spacing w:line="240" w:lineRule="auto"/>
                    <w:jc w:val="center"/>
                    <w:textAlignment w:val="baseline"/>
                    <w:rPr>
                      <w:rFonts w:hint="default" w:ascii="Times New Roman" w:hAnsi="Times New Roman"/>
                      <w:color w:val="auto"/>
                      <w:sz w:val="21"/>
                      <w:szCs w:val="21"/>
                    </w:rPr>
                  </w:pPr>
                  <w:r>
                    <w:rPr>
                      <w:rFonts w:hint="default" w:ascii="Times New Roman" w:hAnsi="Times New Roman"/>
                      <w:color w:val="auto"/>
                      <w:sz w:val="21"/>
                      <w:szCs w:val="21"/>
                    </w:rPr>
                    <w:t>监控点处1h平均浓度值</w:t>
                  </w:r>
                </w:p>
              </w:tc>
              <w:tc>
                <w:tcPr>
                  <w:tcW w:w="2403" w:type="dxa"/>
                  <w:vMerge w:val="restart"/>
                  <w:tcBorders>
                    <w:tl2br w:val="nil"/>
                    <w:tr2bl w:val="nil"/>
                  </w:tcBorders>
                  <w:vAlign w:val="center"/>
                </w:tcPr>
                <w:p>
                  <w:pPr>
                    <w:pStyle w:val="49"/>
                    <w:spacing w:line="240" w:lineRule="auto"/>
                    <w:jc w:val="center"/>
                    <w:textAlignment w:val="baseline"/>
                    <w:rPr>
                      <w:rFonts w:hint="default" w:ascii="Times New Roman" w:hAnsi="Times New Roman"/>
                      <w:color w:val="auto"/>
                      <w:sz w:val="21"/>
                      <w:szCs w:val="21"/>
                    </w:rPr>
                  </w:pPr>
                  <w:r>
                    <w:rPr>
                      <w:rFonts w:hint="default" w:ascii="Times New Roman" w:hAnsi="Times New Roman"/>
                      <w:color w:val="auto"/>
                      <w:sz w:val="21"/>
                      <w:szCs w:val="21"/>
                    </w:rPr>
                    <w:t>在厂房外设置监控点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555" w:type="dxa"/>
                  <w:vMerge w:val="continue"/>
                  <w:tcBorders>
                    <w:tl2br w:val="nil"/>
                    <w:tr2bl w:val="nil"/>
                  </w:tcBorders>
                  <w:vAlign w:val="center"/>
                </w:tcPr>
                <w:p>
                  <w:pPr>
                    <w:pStyle w:val="49"/>
                    <w:spacing w:line="240" w:lineRule="auto"/>
                    <w:jc w:val="center"/>
                    <w:textAlignment w:val="baseline"/>
                    <w:rPr>
                      <w:rFonts w:hint="default" w:ascii="Times New Roman" w:hAnsi="Times New Roman"/>
                      <w:color w:val="auto"/>
                      <w:sz w:val="21"/>
                      <w:szCs w:val="21"/>
                    </w:rPr>
                  </w:pPr>
                </w:p>
              </w:tc>
              <w:tc>
                <w:tcPr>
                  <w:tcW w:w="1804" w:type="dxa"/>
                  <w:tcBorders>
                    <w:tl2br w:val="nil"/>
                    <w:tr2bl w:val="nil"/>
                  </w:tcBorders>
                  <w:vAlign w:val="center"/>
                </w:tcPr>
                <w:p>
                  <w:pPr>
                    <w:pStyle w:val="49"/>
                    <w:spacing w:line="240" w:lineRule="auto"/>
                    <w:jc w:val="center"/>
                    <w:textAlignment w:val="baseline"/>
                    <w:rPr>
                      <w:rFonts w:hint="default" w:ascii="Times New Roman" w:hAnsi="Times New Roman"/>
                      <w:color w:val="auto"/>
                      <w:sz w:val="21"/>
                      <w:szCs w:val="21"/>
                    </w:rPr>
                  </w:pPr>
                  <w:r>
                    <w:rPr>
                      <w:rFonts w:hint="default" w:ascii="Times New Roman" w:hAnsi="Times New Roman"/>
                      <w:color w:val="auto"/>
                      <w:sz w:val="21"/>
                      <w:szCs w:val="21"/>
                    </w:rPr>
                    <w:t>20</w:t>
                  </w:r>
                </w:p>
              </w:tc>
              <w:tc>
                <w:tcPr>
                  <w:tcW w:w="2722" w:type="dxa"/>
                  <w:tcBorders>
                    <w:tl2br w:val="nil"/>
                    <w:tr2bl w:val="nil"/>
                  </w:tcBorders>
                  <w:vAlign w:val="center"/>
                </w:tcPr>
                <w:p>
                  <w:pPr>
                    <w:pStyle w:val="49"/>
                    <w:spacing w:line="240" w:lineRule="auto"/>
                    <w:jc w:val="center"/>
                    <w:textAlignment w:val="baseline"/>
                    <w:rPr>
                      <w:rFonts w:hint="default" w:ascii="Times New Roman" w:hAnsi="Times New Roman"/>
                      <w:color w:val="auto"/>
                      <w:sz w:val="21"/>
                      <w:szCs w:val="21"/>
                    </w:rPr>
                  </w:pPr>
                  <w:r>
                    <w:rPr>
                      <w:rFonts w:hint="default" w:ascii="Times New Roman" w:hAnsi="Times New Roman"/>
                      <w:color w:val="auto"/>
                      <w:sz w:val="21"/>
                      <w:szCs w:val="21"/>
                    </w:rPr>
                    <w:t>监控点处任意一次浓度值</w:t>
                  </w:r>
                </w:p>
              </w:tc>
              <w:tc>
                <w:tcPr>
                  <w:tcW w:w="2403" w:type="dxa"/>
                  <w:vMerge w:val="continue"/>
                  <w:tcBorders>
                    <w:tl2br w:val="nil"/>
                    <w:tr2bl w:val="nil"/>
                  </w:tcBorders>
                  <w:vAlign w:val="center"/>
                </w:tcPr>
                <w:p>
                  <w:pPr>
                    <w:pStyle w:val="49"/>
                    <w:spacing w:line="240" w:lineRule="auto"/>
                    <w:jc w:val="center"/>
                    <w:textAlignment w:val="baseline"/>
                    <w:rPr>
                      <w:rFonts w:hint="default" w:ascii="Times New Roman" w:hAnsi="Times New Roman"/>
                      <w:color w:val="auto"/>
                      <w:sz w:val="21"/>
                      <w:szCs w:val="21"/>
                    </w:rPr>
                  </w:pPr>
                </w:p>
              </w:tc>
            </w:tr>
          </w:tbl>
          <w:p>
            <w:pPr>
              <w:ind w:firstLine="482" w:firstLineChars="200"/>
              <w:jc w:val="left"/>
              <w:rPr>
                <w:b/>
                <w:bCs/>
                <w:sz w:val="24"/>
              </w:rPr>
            </w:pPr>
            <w:r>
              <w:rPr>
                <w:b/>
                <w:bCs/>
                <w:sz w:val="24"/>
              </w:rPr>
              <w:t>3、噪声</w:t>
            </w:r>
          </w:p>
          <w:p>
            <w:pPr>
              <w:ind w:firstLine="480" w:firstLineChars="200"/>
              <w:jc w:val="left"/>
              <w:rPr>
                <w:sz w:val="24"/>
              </w:rPr>
            </w:pPr>
            <w:r>
              <w:rPr>
                <w:rFonts w:hint="eastAsia"/>
                <w:sz w:val="24"/>
              </w:rPr>
              <w:t>施工期施工场界噪声执行《建筑施工场界环境噪声排放标准》（GB12523-2011）的要求，即昼间70dB(A)，夜间55dB(A)；</w:t>
            </w:r>
            <w:r>
              <w:rPr>
                <w:sz w:val="24"/>
              </w:rPr>
              <w:t>运营期噪声执行《工业企业厂界环境噪声排放标准》（GB12348-2008）中3类标准[昼间≤65dB（A）、夜间≤55dB（A）]。</w:t>
            </w:r>
          </w:p>
          <w:p>
            <w:pPr>
              <w:ind w:firstLine="482" w:firstLineChars="200"/>
              <w:jc w:val="left"/>
              <w:rPr>
                <w:b/>
                <w:bCs/>
                <w:sz w:val="24"/>
              </w:rPr>
            </w:pPr>
            <w:r>
              <w:rPr>
                <w:b/>
                <w:bCs/>
                <w:sz w:val="24"/>
              </w:rPr>
              <w:t>4、固体废物</w:t>
            </w:r>
          </w:p>
          <w:p>
            <w:pPr>
              <w:ind w:firstLine="480" w:firstLineChars="200"/>
              <w:jc w:val="left"/>
              <w:rPr>
                <w:kern w:val="0"/>
                <w:sz w:val="21"/>
                <w:szCs w:val="21"/>
              </w:rPr>
            </w:pPr>
            <w:r>
              <w:rPr>
                <w:sz w:val="24"/>
              </w:rPr>
              <w:t>项目固体废物管理遵照《中华人民共和国固体废物污染环境防治法》、《广东省固体废物污染环境防治条例》</w:t>
            </w:r>
            <w:r>
              <w:rPr>
                <w:rFonts w:hint="eastAsia"/>
                <w:sz w:val="24"/>
              </w:rPr>
              <w:t>、</w:t>
            </w:r>
            <w:r>
              <w:rPr>
                <w:sz w:val="24"/>
              </w:rPr>
              <w:t>《一般工业固体废物贮存和填埋污染控制标准》（GB 18599-2020）和《危险废物贮存污染控制标准》（GB18597-2001）及其2013年修改单的相关规定进行处理。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00" w:type="dxa"/>
            <w:vAlign w:val="center"/>
          </w:tcPr>
          <w:p>
            <w:pPr>
              <w:jc w:val="center"/>
              <w:rPr>
                <w:bCs/>
                <w:sz w:val="24"/>
              </w:rPr>
            </w:pPr>
            <w:r>
              <w:rPr>
                <w:bCs/>
                <w:sz w:val="24"/>
              </w:rPr>
              <w:t>总量</w:t>
            </w:r>
          </w:p>
          <w:p>
            <w:pPr>
              <w:jc w:val="center"/>
              <w:rPr>
                <w:bCs/>
                <w:sz w:val="24"/>
              </w:rPr>
            </w:pPr>
            <w:r>
              <w:rPr>
                <w:bCs/>
                <w:sz w:val="24"/>
              </w:rPr>
              <w:t>控制</w:t>
            </w:r>
          </w:p>
          <w:p>
            <w:pPr>
              <w:jc w:val="center"/>
              <w:rPr>
                <w:kern w:val="0"/>
                <w:sz w:val="21"/>
                <w:szCs w:val="21"/>
              </w:rPr>
            </w:pPr>
            <w:r>
              <w:rPr>
                <w:bCs/>
                <w:sz w:val="24"/>
              </w:rPr>
              <w:t>指标</w:t>
            </w:r>
          </w:p>
        </w:tc>
        <w:tc>
          <w:tcPr>
            <w:tcW w:w="8743" w:type="dxa"/>
            <w:vAlign w:val="center"/>
          </w:tcPr>
          <w:p>
            <w:pPr>
              <w:ind w:firstLine="482" w:firstLineChars="200"/>
              <w:jc w:val="left"/>
              <w:rPr>
                <w:b/>
                <w:bCs/>
                <w:sz w:val="24"/>
              </w:rPr>
            </w:pPr>
            <w:r>
              <w:rPr>
                <w:b/>
                <w:bCs/>
                <w:sz w:val="24"/>
              </w:rPr>
              <w:t>1、水污染物排放总量控制指标</w:t>
            </w:r>
          </w:p>
          <w:p>
            <w:pPr>
              <w:ind w:firstLine="480" w:firstLineChars="200"/>
              <w:jc w:val="left"/>
              <w:rPr>
                <w:sz w:val="24"/>
              </w:rPr>
            </w:pPr>
            <w:r>
              <w:rPr>
                <w:sz w:val="24"/>
              </w:rPr>
              <w:t>项目生活污水、近期生产废水分别经预处理达到河口镇污水处理厂接管标准及广东省《水污染物排放限值》（DB44/26-2001）第二时段三级标准两者较严值后经市政污水管网排入河口镇污水处理厂；远期生产废水经比亚迪污水处理站预处理达到陆河产业转移工业园工业污水处理厂进水水质要求及广东省《水污染物排放限值》（DB44/26-2001）第二时段三级标准的较严值后纳入到陆河产业转移工业园工业污水处理厂处理。</w:t>
            </w:r>
          </w:p>
          <w:p>
            <w:pPr>
              <w:ind w:firstLine="480" w:firstLineChars="200"/>
              <w:jc w:val="left"/>
              <w:rPr>
                <w:sz w:val="24"/>
              </w:rPr>
            </w:pPr>
            <w:r>
              <w:rPr>
                <w:sz w:val="24"/>
              </w:rPr>
              <w:t>项目水污染物总量控制指标纳入市政污水处理厂统筹，不再另设水污染排放总量控制指标。</w:t>
            </w:r>
          </w:p>
          <w:p>
            <w:pPr>
              <w:ind w:firstLine="482" w:firstLineChars="200"/>
              <w:jc w:val="left"/>
              <w:rPr>
                <w:b/>
                <w:bCs/>
                <w:sz w:val="24"/>
              </w:rPr>
            </w:pPr>
            <w:r>
              <w:rPr>
                <w:b/>
                <w:bCs/>
                <w:sz w:val="24"/>
              </w:rPr>
              <w:t>2、大气污染物总量控制指标</w:t>
            </w:r>
          </w:p>
          <w:p>
            <w:pPr>
              <w:ind w:firstLine="480" w:firstLineChars="200"/>
              <w:jc w:val="left"/>
              <w:rPr>
                <w:sz w:val="24"/>
              </w:rPr>
            </w:pPr>
            <w:r>
              <w:rPr>
                <w:sz w:val="24"/>
              </w:rPr>
              <w:t>根据《广东省生态环境厅关于做好重点行业建设项目挥发性有机物总量指标管理工作的通知》（粤环发﹝2019﹞2号）第四大点要求：</w:t>
            </w:r>
            <w:r>
              <w:rPr>
                <w:rFonts w:hint="eastAsia"/>
                <w:sz w:val="24"/>
              </w:rPr>
              <w:t>“</w:t>
            </w:r>
            <w:r>
              <w:rPr>
                <w:sz w:val="24"/>
              </w:rPr>
              <w:t>对VOCs排放量大于300公斤/年的新、改、扩建项目，进行总量替代，按照附表1填报VOCs指标来源说明。其他排放量规模需要总量替代的，由本级生态环境主管部门自行确定范围，并按照要求审核总量指标来源，填写VOCs总量指标来源说明。</w:t>
            </w:r>
            <w:r>
              <w:rPr>
                <w:rFonts w:hint="eastAsia"/>
                <w:sz w:val="24"/>
              </w:rPr>
              <w:t>”</w:t>
            </w:r>
          </w:p>
          <w:p>
            <w:pPr>
              <w:ind w:firstLine="480" w:firstLineChars="200"/>
              <w:jc w:val="left"/>
              <w:rPr>
                <w:sz w:val="24"/>
              </w:rPr>
            </w:pPr>
            <w:r>
              <w:rPr>
                <w:sz w:val="24"/>
              </w:rPr>
              <w:t>根据国家相关规定，有机废气总量控制以VOCs计。项目大气总量控制指标为0.0072t/a，</w:t>
            </w:r>
            <w:r>
              <w:rPr>
                <w:rFonts w:hint="eastAsia"/>
                <w:sz w:val="24"/>
              </w:rPr>
              <w:t>需</w:t>
            </w:r>
            <w:r>
              <w:rPr>
                <w:sz w:val="24"/>
              </w:rPr>
              <w:t>向汕尾市生态环境局申请，由汕尾市生态环境局确定总量指标来源。</w:t>
            </w:r>
          </w:p>
          <w:p>
            <w:pPr>
              <w:pStyle w:val="169"/>
              <w:spacing w:line="240" w:lineRule="auto"/>
              <w:rPr>
                <w:rFonts w:hint="default" w:hAnsi="Times New Roman" w:eastAsiaTheme="minorEastAsia"/>
                <w:sz w:val="24"/>
                <w:szCs w:val="24"/>
              </w:rPr>
            </w:pPr>
            <w:r>
              <w:rPr>
                <w:rFonts w:hAnsi="Times New Roman" w:eastAsiaTheme="minorEastAsia"/>
                <w:sz w:val="24"/>
                <w:szCs w:val="24"/>
              </w:rPr>
              <w:t>表3-11</w:t>
            </w:r>
            <w:r>
              <w:rPr>
                <w:rFonts w:hint="default" w:hAnsi="Times New Roman" w:eastAsiaTheme="minorEastAsia"/>
                <w:sz w:val="24"/>
                <w:szCs w:val="24"/>
              </w:rPr>
              <w:t xml:space="preserve"> </w:t>
            </w:r>
            <w:r>
              <w:rPr>
                <w:rFonts w:hAnsi="Times New Roman" w:eastAsiaTheme="minorEastAsia"/>
                <w:sz w:val="24"/>
                <w:szCs w:val="24"/>
              </w:rPr>
              <w:t>项目大气污染物总量控制指标</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2083"/>
              <w:gridCol w:w="3695"/>
              <w:gridCol w:w="2749"/>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1221" w:type="pct"/>
                  <w:vAlign w:val="center"/>
                </w:tcPr>
                <w:p>
                  <w:pPr>
                    <w:spacing w:line="240" w:lineRule="auto"/>
                    <w:jc w:val="center"/>
                    <w:rPr>
                      <w:b/>
                      <w:bCs/>
                      <w:sz w:val="21"/>
                      <w:szCs w:val="21"/>
                    </w:rPr>
                  </w:pPr>
                  <w:r>
                    <w:rPr>
                      <w:b/>
                      <w:bCs/>
                      <w:sz w:val="21"/>
                      <w:szCs w:val="21"/>
                    </w:rPr>
                    <w:t>污染物名称</w:t>
                  </w:r>
                </w:p>
              </w:tc>
              <w:tc>
                <w:tcPr>
                  <w:tcW w:w="2166" w:type="pct"/>
                  <w:vAlign w:val="center"/>
                </w:tcPr>
                <w:p>
                  <w:pPr>
                    <w:spacing w:line="240" w:lineRule="auto"/>
                    <w:jc w:val="center"/>
                    <w:rPr>
                      <w:b/>
                      <w:bCs/>
                      <w:sz w:val="21"/>
                      <w:szCs w:val="21"/>
                    </w:rPr>
                  </w:pPr>
                  <w:r>
                    <w:rPr>
                      <w:b/>
                      <w:bCs/>
                      <w:sz w:val="21"/>
                      <w:szCs w:val="21"/>
                    </w:rPr>
                    <w:t>项目总量控制指标</w:t>
                  </w:r>
                </w:p>
              </w:tc>
              <w:tc>
                <w:tcPr>
                  <w:tcW w:w="1612" w:type="pct"/>
                  <w:vAlign w:val="center"/>
                </w:tcPr>
                <w:p>
                  <w:pPr>
                    <w:spacing w:line="240" w:lineRule="auto"/>
                    <w:jc w:val="center"/>
                    <w:rPr>
                      <w:b/>
                      <w:bCs/>
                      <w:sz w:val="21"/>
                      <w:szCs w:val="21"/>
                    </w:rPr>
                  </w:pPr>
                  <w:r>
                    <w:rPr>
                      <w:b/>
                      <w:bCs/>
                      <w:sz w:val="21"/>
                      <w:szCs w:val="21"/>
                    </w:rPr>
                    <w:t>备注</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1221" w:type="pct"/>
                  <w:vAlign w:val="center"/>
                </w:tcPr>
                <w:p>
                  <w:pPr>
                    <w:spacing w:line="240" w:lineRule="auto"/>
                    <w:jc w:val="center"/>
                    <w:rPr>
                      <w:sz w:val="21"/>
                      <w:szCs w:val="21"/>
                    </w:rPr>
                  </w:pPr>
                  <w:r>
                    <w:rPr>
                      <w:sz w:val="21"/>
                      <w:szCs w:val="21"/>
                    </w:rPr>
                    <w:t>VOCs</w:t>
                  </w:r>
                </w:p>
              </w:tc>
              <w:tc>
                <w:tcPr>
                  <w:tcW w:w="2166" w:type="pct"/>
                  <w:vAlign w:val="center"/>
                </w:tcPr>
                <w:p>
                  <w:pPr>
                    <w:widowControl/>
                    <w:spacing w:line="240" w:lineRule="auto"/>
                    <w:jc w:val="center"/>
                    <w:textAlignment w:val="center"/>
                    <w:rPr>
                      <w:kern w:val="0"/>
                      <w:sz w:val="21"/>
                      <w:szCs w:val="21"/>
                    </w:rPr>
                  </w:pPr>
                  <w:r>
                    <w:rPr>
                      <w:kern w:val="0"/>
                      <w:sz w:val="21"/>
                      <w:szCs w:val="21"/>
                    </w:rPr>
                    <w:t>0.0072t t/a</w:t>
                  </w:r>
                </w:p>
              </w:tc>
              <w:tc>
                <w:tcPr>
                  <w:tcW w:w="1612" w:type="pct"/>
                  <w:vAlign w:val="center"/>
                </w:tcPr>
                <w:p>
                  <w:pPr>
                    <w:spacing w:line="240" w:lineRule="auto"/>
                    <w:jc w:val="center"/>
                    <w:rPr>
                      <w:sz w:val="21"/>
                      <w:szCs w:val="21"/>
                    </w:rPr>
                  </w:pPr>
                  <w:r>
                    <w:rPr>
                      <w:sz w:val="21"/>
                      <w:szCs w:val="21"/>
                    </w:rPr>
                    <w:t>无组织</w:t>
                  </w:r>
                </w:p>
              </w:tc>
            </w:tr>
          </w:tbl>
          <w:p>
            <w:pPr>
              <w:pStyle w:val="49"/>
              <w:ind w:firstLine="420" w:firstLineChars="200"/>
              <w:rPr>
                <w:rFonts w:hint="default" w:ascii="Times New Roman" w:hAnsi="Times New Roman"/>
                <w:color w:val="auto"/>
              </w:rPr>
            </w:pPr>
            <w:r>
              <w:rPr>
                <w:rStyle w:val="48"/>
                <w:rFonts w:hint="default" w:ascii="Times New Roman" w:hAnsi="Times New Roman"/>
                <w:color w:val="auto"/>
              </w:rPr>
              <w:t xml:space="preserve"> </w:t>
            </w:r>
            <w:r>
              <w:rPr>
                <w:rFonts w:hint="default" w:ascii="Times New Roman" w:hAnsi="Times New Roman"/>
                <w:color w:val="auto"/>
              </w:rPr>
              <w:t xml:space="preserve"> </w:t>
            </w:r>
          </w:p>
          <w:p>
            <w:pPr>
              <w:pStyle w:val="2"/>
            </w:pPr>
          </w:p>
          <w:p>
            <w:pPr>
              <w:pStyle w:val="2"/>
            </w:pPr>
          </w:p>
        </w:tc>
      </w:tr>
    </w:tbl>
    <w:p>
      <w:pPr>
        <w:pStyle w:val="36"/>
        <w:numPr>
          <w:ilvl w:val="0"/>
          <w:numId w:val="3"/>
        </w:numPr>
        <w:jc w:val="center"/>
        <w:outlineLvl w:val="0"/>
        <w:rPr>
          <w:rFonts w:ascii="Times New Roman" w:hAnsi="Times New Roman" w:eastAsia="黑体" w:cs="Times New Roman"/>
          <w:snapToGrid w:val="0"/>
          <w:sz w:val="30"/>
          <w:szCs w:val="30"/>
        </w:rPr>
      </w:pPr>
      <w:r>
        <w:rPr>
          <w:rFonts w:ascii="Times New Roman" w:hAnsi="Times New Roman" w:eastAsia="黑体" w:cs="Times New Roman"/>
          <w:snapToGrid w:val="0"/>
          <w:sz w:val="36"/>
          <w:szCs w:val="36"/>
        </w:rPr>
        <w:br w:type="page"/>
      </w:r>
      <w:r>
        <w:rPr>
          <w:rFonts w:ascii="Times New Roman" w:hAnsi="Times New Roman" w:eastAsia="黑体" w:cs="Times New Roman"/>
          <w:snapToGrid w:val="0"/>
          <w:sz w:val="30"/>
          <w:szCs w:val="30"/>
        </w:rPr>
        <w:t>主要环境影响和保护措施</w:t>
      </w:r>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6"/>
        <w:gridCol w:w="86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6" w:type="dxa"/>
            <w:vAlign w:val="center"/>
          </w:tcPr>
          <w:p>
            <w:pPr>
              <w:jc w:val="center"/>
              <w:rPr>
                <w:bCs/>
                <w:sz w:val="24"/>
              </w:rPr>
            </w:pPr>
            <w:r>
              <w:rPr>
                <w:bCs/>
                <w:sz w:val="24"/>
              </w:rPr>
              <w:t>施工</w:t>
            </w:r>
          </w:p>
          <w:p>
            <w:pPr>
              <w:jc w:val="center"/>
              <w:rPr>
                <w:bCs/>
                <w:sz w:val="24"/>
              </w:rPr>
            </w:pPr>
            <w:r>
              <w:rPr>
                <w:bCs/>
                <w:sz w:val="24"/>
              </w:rPr>
              <w:t>期环</w:t>
            </w:r>
          </w:p>
          <w:p>
            <w:pPr>
              <w:jc w:val="center"/>
              <w:rPr>
                <w:bCs/>
                <w:sz w:val="24"/>
              </w:rPr>
            </w:pPr>
            <w:r>
              <w:rPr>
                <w:bCs/>
                <w:sz w:val="24"/>
              </w:rPr>
              <w:t>境保</w:t>
            </w:r>
          </w:p>
          <w:p>
            <w:pPr>
              <w:jc w:val="center"/>
              <w:rPr>
                <w:bCs/>
                <w:sz w:val="24"/>
              </w:rPr>
            </w:pPr>
            <w:r>
              <w:rPr>
                <w:bCs/>
                <w:sz w:val="24"/>
              </w:rPr>
              <w:t>护措</w:t>
            </w:r>
          </w:p>
          <w:p>
            <w:pPr>
              <w:jc w:val="center"/>
              <w:rPr>
                <w:rFonts w:eastAsia="黑体"/>
                <w:snapToGrid w:val="0"/>
                <w:sz w:val="30"/>
                <w:szCs w:val="30"/>
              </w:rPr>
            </w:pPr>
            <w:r>
              <w:rPr>
                <w:bCs/>
                <w:sz w:val="24"/>
              </w:rPr>
              <w:t>施</w:t>
            </w:r>
          </w:p>
        </w:tc>
        <w:tc>
          <w:tcPr>
            <w:tcW w:w="8605" w:type="dxa"/>
            <w:vAlign w:val="center"/>
          </w:tcPr>
          <w:p>
            <w:pPr>
              <w:ind w:firstLine="480" w:firstLineChars="200"/>
              <w:jc w:val="left"/>
              <w:rPr>
                <w:sz w:val="24"/>
              </w:rPr>
            </w:pPr>
            <w:r>
              <w:rPr>
                <w:sz w:val="24"/>
              </w:rPr>
              <w:t>项目依托现有</w:t>
            </w:r>
            <w:r>
              <w:rPr>
                <w:rFonts w:hint="eastAsia"/>
                <w:sz w:val="24"/>
              </w:rPr>
              <w:t>厂房</w:t>
            </w:r>
            <w:r>
              <w:rPr>
                <w:sz w:val="24"/>
              </w:rPr>
              <w:t>进行生产，施工期的建设内容为厂房装修，产污相对简单，主要为厂房装修过程的扬尘、机械施工噪声、建筑废渣等。</w:t>
            </w:r>
          </w:p>
          <w:p>
            <w:pPr>
              <w:ind w:firstLine="480" w:firstLineChars="200"/>
              <w:jc w:val="left"/>
              <w:rPr>
                <w:sz w:val="24"/>
              </w:rPr>
            </w:pPr>
            <w:r>
              <w:rPr>
                <w:sz w:val="24"/>
              </w:rPr>
              <w:t>（1）施工期环境空气保护措施</w:t>
            </w:r>
          </w:p>
          <w:p>
            <w:pPr>
              <w:ind w:firstLine="480" w:firstLineChars="200"/>
              <w:jc w:val="left"/>
              <w:rPr>
                <w:sz w:val="24"/>
              </w:rPr>
            </w:pPr>
            <w:r>
              <w:rPr>
                <w:sz w:val="24"/>
              </w:rPr>
              <w:t>施工装修过程中会产生少量粉尘，厂房装修工作量不大，且持续时间较短，由于重力沉降作用，扬尘影响随距离的增加而减少，在室内墙壁的阻隔下，扬尘污染比较小，这些扬尘经过大气扩散运输对周围的环境产生的影响很小。</w:t>
            </w:r>
          </w:p>
          <w:p>
            <w:pPr>
              <w:ind w:firstLine="480" w:firstLineChars="200"/>
              <w:jc w:val="left"/>
              <w:rPr>
                <w:sz w:val="24"/>
              </w:rPr>
            </w:pPr>
            <w:r>
              <w:rPr>
                <w:sz w:val="24"/>
              </w:rPr>
              <w:t>（2）施工期废水影响分析及防治措施</w:t>
            </w:r>
          </w:p>
          <w:p>
            <w:pPr>
              <w:ind w:firstLine="480" w:firstLineChars="200"/>
              <w:jc w:val="left"/>
              <w:rPr>
                <w:sz w:val="24"/>
              </w:rPr>
            </w:pPr>
            <w:r>
              <w:rPr>
                <w:sz w:val="24"/>
              </w:rPr>
              <w:t>施工期建筑内容较为简单，仅为厂房装修和设备安装，无施工生产废水。施工人员主要来源于周边村镇的村民，食宿均依托周边村镇的现有社会服务设施进行解决，故项目内不产生施工人员的生活污水，不会对周边环境造成影响。</w:t>
            </w:r>
          </w:p>
          <w:p>
            <w:pPr>
              <w:ind w:firstLine="480" w:firstLineChars="200"/>
              <w:jc w:val="left"/>
              <w:rPr>
                <w:sz w:val="24"/>
              </w:rPr>
            </w:pPr>
            <w:r>
              <w:rPr>
                <w:sz w:val="24"/>
              </w:rPr>
              <w:t>（3）施工期噪声对环境的影响及防治措施</w:t>
            </w:r>
          </w:p>
          <w:p>
            <w:pPr>
              <w:ind w:firstLine="480" w:firstLineChars="200"/>
              <w:jc w:val="left"/>
              <w:rPr>
                <w:sz w:val="24"/>
              </w:rPr>
            </w:pPr>
            <w:r>
              <w:rPr>
                <w:sz w:val="24"/>
              </w:rPr>
              <w:t>项目施工噪声主要来源于厂房装修和设备安装，不同施工阶段作业噪声限值由于施工机械数量、构成及施工等的随机性，导致了噪声的随机、无规律性，为无组织不连续排放。施工机械简单，施工噪声源强不大，且持续时间较短。本评价认为施工噪声经厂房墙体阻隔后可以符合《建筑施工场界环境噪声排放标准》（GB12532-2011）标准限值。</w:t>
            </w:r>
          </w:p>
          <w:p>
            <w:pPr>
              <w:ind w:firstLine="480" w:firstLineChars="200"/>
              <w:jc w:val="left"/>
              <w:rPr>
                <w:sz w:val="24"/>
              </w:rPr>
            </w:pPr>
            <w:r>
              <w:rPr>
                <w:sz w:val="24"/>
              </w:rPr>
              <w:t>（4）施工期固体废物影响分析及防治措施</w:t>
            </w:r>
          </w:p>
          <w:p>
            <w:pPr>
              <w:ind w:firstLine="480" w:firstLineChars="200"/>
              <w:jc w:val="left"/>
              <w:rPr>
                <w:sz w:val="24"/>
              </w:rPr>
            </w:pPr>
            <w:r>
              <w:rPr>
                <w:sz w:val="24"/>
              </w:rPr>
              <w:t>施工期间厂房装修会产生一定量的建筑垃圾，主要成分为废碎砖瓦、木材的边角料等，如不妥善处理这些建筑固体废弃物，会对环境产生一定影响。在运输过程中，车辆如不注意清洁运输，污染街道和公路，影响市容与交通。项目施工期建筑固体废弃物污染防治措施具体如下：</w:t>
            </w:r>
          </w:p>
          <w:p>
            <w:pPr>
              <w:ind w:firstLine="480" w:firstLineChars="200"/>
              <w:jc w:val="left"/>
              <w:rPr>
                <w:sz w:val="24"/>
              </w:rPr>
            </w:pPr>
            <w:r>
              <w:rPr>
                <w:rFonts w:hint="eastAsia"/>
                <w:sz w:val="24"/>
              </w:rPr>
              <w:t>①</w:t>
            </w:r>
            <w:r>
              <w:rPr>
                <w:sz w:val="24"/>
              </w:rPr>
              <w:t>建设单位应完善施工管理，做到文明施工。对会引起扬尘的建筑废物采用围隔堆放处理，加强对建筑材料的管理，确保运输沿途不洒漏，不扬尘，并运到有关部门指定的填埋场地堆放，严禁随意装运和乱倒乱卸；</w:t>
            </w:r>
          </w:p>
          <w:p>
            <w:pPr>
              <w:ind w:firstLine="480" w:firstLineChars="200"/>
              <w:jc w:val="left"/>
              <w:rPr>
                <w:sz w:val="24"/>
              </w:rPr>
            </w:pPr>
            <w:r>
              <w:rPr>
                <w:rFonts w:hint="eastAsia"/>
                <w:sz w:val="24"/>
              </w:rPr>
              <w:t>②</w:t>
            </w:r>
            <w:r>
              <w:rPr>
                <w:sz w:val="24"/>
              </w:rPr>
              <w:t>对砖块瓦砾等废物，应妥善收集并运输至城市市容卫生管理部门指定地点消纳；对可再利用的废料，如木材、铁料等，应进行回收利用，以节省资源。</w:t>
            </w:r>
          </w:p>
          <w:p>
            <w:pPr>
              <w:ind w:firstLine="480" w:firstLineChars="200"/>
              <w:jc w:val="left"/>
              <w:rPr>
                <w:sz w:val="24"/>
              </w:rPr>
            </w:pPr>
            <w:r>
              <w:rPr>
                <w:rFonts w:hint="eastAsia"/>
                <w:sz w:val="24"/>
              </w:rPr>
              <w:t>③装修过程的废油漆罐等危险废物委托有危险废物处理资质的单位拉运处理。</w:t>
            </w:r>
          </w:p>
          <w:p>
            <w:pPr>
              <w:widowControl/>
              <w:wordWrap w:val="0"/>
              <w:rPr>
                <w:rFonts w:eastAsia="黑体"/>
                <w:snapToGrid w:val="0"/>
                <w:sz w:val="30"/>
                <w:szCs w:val="30"/>
              </w:rPr>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tc>
      </w:tr>
    </w:tbl>
    <w:p>
      <w:pPr>
        <w:pStyle w:val="36"/>
        <w:numPr>
          <w:ilvl w:val="0"/>
          <w:numId w:val="3"/>
        </w:numPr>
        <w:jc w:val="center"/>
        <w:outlineLvl w:val="0"/>
        <w:rPr>
          <w:rFonts w:ascii="Times New Roman" w:hAnsi="Times New Roman" w:eastAsia="黑体" w:cs="Times New Roman"/>
          <w:snapToGrid w:val="0"/>
          <w:sz w:val="30"/>
          <w:szCs w:val="30"/>
        </w:rPr>
        <w:sectPr>
          <w:pgSz w:w="11907" w:h="16840"/>
          <w:pgMar w:top="1418" w:right="1418" w:bottom="1418" w:left="1418" w:header="851" w:footer="992" w:gutter="0"/>
          <w:cols w:space="720" w:num="1"/>
          <w:docGrid w:linePitch="381" w:charSpace="0"/>
        </w:sectPr>
      </w:pPr>
    </w:p>
    <w:tbl>
      <w:tblPr>
        <w:tblStyle w:val="41"/>
        <w:tblW w:w="144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2"/>
        <w:gridCol w:w="140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71" w:hRule="atLeast"/>
          <w:jc w:val="center"/>
        </w:trPr>
        <w:tc>
          <w:tcPr>
            <w:tcW w:w="422" w:type="dxa"/>
            <w:vAlign w:val="center"/>
          </w:tcPr>
          <w:p>
            <w:pPr>
              <w:jc w:val="center"/>
              <w:rPr>
                <w:bCs/>
                <w:sz w:val="24"/>
              </w:rPr>
            </w:pPr>
            <w:r>
              <w:rPr>
                <w:bCs/>
                <w:sz w:val="24"/>
              </w:rPr>
              <w:t>运营期环境影响和保护措施</w:t>
            </w:r>
          </w:p>
        </w:tc>
        <w:tc>
          <w:tcPr>
            <w:tcW w:w="14073" w:type="dxa"/>
          </w:tcPr>
          <w:p>
            <w:pPr>
              <w:ind w:firstLine="482" w:firstLineChars="200"/>
              <w:jc w:val="left"/>
              <w:rPr>
                <w:b/>
                <w:bCs/>
                <w:sz w:val="24"/>
              </w:rPr>
            </w:pPr>
            <w:r>
              <w:rPr>
                <w:b/>
                <w:bCs/>
                <w:sz w:val="24"/>
              </w:rPr>
              <w:t>（一）废气</w:t>
            </w:r>
          </w:p>
          <w:p>
            <w:pPr>
              <w:ind w:firstLine="482" w:firstLineChars="200"/>
              <w:jc w:val="left"/>
              <w:rPr>
                <w:b/>
                <w:bCs/>
                <w:sz w:val="24"/>
              </w:rPr>
            </w:pPr>
            <w:r>
              <w:rPr>
                <w:b/>
                <w:bCs/>
                <w:sz w:val="24"/>
              </w:rPr>
              <w:t>1、废气源强</w:t>
            </w:r>
          </w:p>
          <w:p>
            <w:pPr>
              <w:ind w:firstLine="480" w:firstLineChars="200"/>
              <w:jc w:val="left"/>
              <w:rPr>
                <w:sz w:val="24"/>
              </w:rPr>
            </w:pPr>
            <w:r>
              <w:rPr>
                <w:rFonts w:hint="eastAsia"/>
                <w:sz w:val="24"/>
              </w:rPr>
              <w:t>项目注液工序使用注液泵抽取冷却液进行加注，加注至规定体积后停止加注，加注冷却液过程为密闭空间，会挤排出原有管内空气，从排气阀挤出，因此注液工序不产生有机废气。</w:t>
            </w:r>
          </w:p>
          <w:p>
            <w:pPr>
              <w:ind w:firstLine="480" w:firstLineChars="200"/>
              <w:jc w:val="left"/>
              <w:rPr>
                <w:sz w:val="24"/>
              </w:rPr>
            </w:pPr>
            <w:r>
              <w:rPr>
                <w:rFonts w:hint="eastAsia"/>
                <w:sz w:val="24"/>
              </w:rPr>
              <w:t>根据建设单位提供的MSDS（详见附件3），项目3</w:t>
            </w:r>
            <w:r>
              <w:rPr>
                <w:sz w:val="24"/>
              </w:rPr>
              <w:t>M</w:t>
            </w:r>
            <w:r>
              <w:rPr>
                <w:rFonts w:hint="eastAsia"/>
                <w:sz w:val="24"/>
              </w:rPr>
              <w:t>结构胶</w:t>
            </w:r>
            <w:r>
              <w:rPr>
                <w:sz w:val="24"/>
              </w:rPr>
              <w:t>使用量为8.3</w:t>
            </w:r>
            <w:r>
              <w:rPr>
                <w:rFonts w:hint="eastAsia"/>
                <w:sz w:val="24"/>
              </w:rPr>
              <w:t>kg</w:t>
            </w:r>
            <w:r>
              <w:rPr>
                <w:sz w:val="24"/>
              </w:rPr>
              <w:t>/a</w:t>
            </w:r>
            <w:r>
              <w:rPr>
                <w:rFonts w:hint="eastAsia"/>
                <w:sz w:val="24"/>
              </w:rPr>
              <w:t>，3</w:t>
            </w:r>
            <w:r>
              <w:rPr>
                <w:sz w:val="24"/>
              </w:rPr>
              <w:t>M</w:t>
            </w:r>
            <w:r>
              <w:rPr>
                <w:rFonts w:hint="eastAsia"/>
                <w:sz w:val="24"/>
              </w:rPr>
              <w:t>结构胶挥发性有机物含量为</w:t>
            </w:r>
            <w:r>
              <w:rPr>
                <w:sz w:val="24"/>
              </w:rPr>
              <w:t>1</w:t>
            </w:r>
            <w:r>
              <w:rPr>
                <w:rFonts w:hint="eastAsia"/>
                <w:sz w:val="24"/>
              </w:rPr>
              <w:t>%；结构胶</w:t>
            </w:r>
            <w:r>
              <w:rPr>
                <w:sz w:val="24"/>
              </w:rPr>
              <w:t>使用量为176.</w:t>
            </w:r>
            <w:r>
              <w:rPr>
                <w:rFonts w:hint="eastAsia"/>
                <w:sz w:val="24"/>
              </w:rPr>
              <w:t>8kg</w:t>
            </w:r>
            <w:r>
              <w:rPr>
                <w:sz w:val="24"/>
              </w:rPr>
              <w:t>/a</w:t>
            </w:r>
            <w:r>
              <w:rPr>
                <w:rFonts w:hint="eastAsia"/>
                <w:sz w:val="24"/>
              </w:rPr>
              <w:t>，结构胶挥发性有机物含量为</w:t>
            </w:r>
            <w:r>
              <w:rPr>
                <w:sz w:val="24"/>
              </w:rPr>
              <w:t>4</w:t>
            </w:r>
            <w:r>
              <w:rPr>
                <w:rFonts w:hint="eastAsia"/>
                <w:sz w:val="24"/>
              </w:rPr>
              <w:t>%；环保胶水</w:t>
            </w:r>
            <w:r>
              <w:rPr>
                <w:sz w:val="24"/>
              </w:rPr>
              <w:t>使用量为</w:t>
            </w:r>
            <w:r>
              <w:rPr>
                <w:rFonts w:hint="eastAsia"/>
                <w:sz w:val="24"/>
              </w:rPr>
              <w:t>0.905kg</w:t>
            </w:r>
            <w:r>
              <w:rPr>
                <w:sz w:val="24"/>
              </w:rPr>
              <w:t>/a</w:t>
            </w:r>
            <w:r>
              <w:rPr>
                <w:rFonts w:hint="eastAsia"/>
                <w:sz w:val="24"/>
              </w:rPr>
              <w:t>，环保胶水挥发性有机物含量为0.2%</w:t>
            </w:r>
            <w:r>
              <w:rPr>
                <w:sz w:val="24"/>
              </w:rPr>
              <w:t>，则有机废气产生量为</w:t>
            </w:r>
            <w:r>
              <w:rPr>
                <w:rFonts w:hint="eastAsia"/>
                <w:sz w:val="24"/>
              </w:rPr>
              <w:t>0.0072t/a</w:t>
            </w:r>
            <w:r>
              <w:rPr>
                <w:sz w:val="24"/>
              </w:rPr>
              <w:t>，以VOCs表征。</w:t>
            </w:r>
          </w:p>
          <w:p>
            <w:pPr>
              <w:ind w:firstLine="480" w:firstLineChars="200"/>
              <w:jc w:val="left"/>
              <w:rPr>
                <w:sz w:val="24"/>
              </w:rPr>
            </w:pPr>
            <w:r>
              <w:rPr>
                <w:sz w:val="24"/>
              </w:rPr>
              <w:t>根据《关于印发重点行业挥发性有机物综合治理方案的通知》（环大气[2019]53号）以及关于印发《2020年挥发性有机物治理攻坚方案》的通知，使用的原辅材料VOCs含量（质量比）均低于10%的工序，可不要求采取无组织排放收集和处理措施。项目使用的</w:t>
            </w:r>
            <w:r>
              <w:rPr>
                <w:rFonts w:hint="eastAsia"/>
                <w:sz w:val="24"/>
              </w:rPr>
              <w:t>胶水</w:t>
            </w:r>
            <w:r>
              <w:rPr>
                <w:sz w:val="24"/>
              </w:rPr>
              <w:t>中VOCs含量（质量比）低于10%的，因此，项目组装过程使用胶水产生的</w:t>
            </w:r>
            <w:r>
              <w:rPr>
                <w:rFonts w:hint="eastAsia"/>
                <w:sz w:val="24"/>
              </w:rPr>
              <w:t>有机</w:t>
            </w:r>
            <w:r>
              <w:rPr>
                <w:sz w:val="24"/>
              </w:rPr>
              <w:t>废气可不要求采取无组织排放收集措施。</w:t>
            </w:r>
          </w:p>
          <w:p>
            <w:pPr>
              <w:pStyle w:val="169"/>
              <w:spacing w:line="240" w:lineRule="auto"/>
              <w:rPr>
                <w:rFonts w:hint="default" w:hAnsi="Times New Roman" w:eastAsiaTheme="minorEastAsia"/>
                <w:sz w:val="24"/>
                <w:szCs w:val="24"/>
              </w:rPr>
            </w:pPr>
            <w:r>
              <w:rPr>
                <w:rFonts w:hAnsi="Times New Roman" w:eastAsiaTheme="minorEastAsia"/>
                <w:sz w:val="24"/>
                <w:szCs w:val="24"/>
              </w:rPr>
              <w:t>表4-1</w:t>
            </w:r>
            <w:r>
              <w:rPr>
                <w:rFonts w:hint="default" w:hAnsi="Times New Roman" w:eastAsiaTheme="minorEastAsia"/>
                <w:sz w:val="24"/>
                <w:szCs w:val="24"/>
              </w:rPr>
              <w:t xml:space="preserve"> </w:t>
            </w:r>
            <w:r>
              <w:rPr>
                <w:rFonts w:hAnsi="Times New Roman" w:eastAsiaTheme="minorEastAsia"/>
                <w:sz w:val="24"/>
                <w:szCs w:val="24"/>
              </w:rPr>
              <w:t>项目废气污染源强核算结果及相关参数一览表</w:t>
            </w:r>
          </w:p>
          <w:tbl>
            <w:tblPr>
              <w:tblStyle w:val="4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1" w:type="dxa"/>
                <w:bottom w:w="0" w:type="dxa"/>
                <w:right w:w="11" w:type="dxa"/>
              </w:tblCellMar>
            </w:tblPr>
            <w:tblGrid>
              <w:gridCol w:w="1051"/>
              <w:gridCol w:w="882"/>
              <w:gridCol w:w="767"/>
              <w:gridCol w:w="698"/>
              <w:gridCol w:w="795"/>
              <w:gridCol w:w="1000"/>
              <w:gridCol w:w="972"/>
              <w:gridCol w:w="922"/>
              <w:gridCol w:w="889"/>
              <w:gridCol w:w="975"/>
              <w:gridCol w:w="654"/>
              <w:gridCol w:w="654"/>
              <w:gridCol w:w="806"/>
              <w:gridCol w:w="1022"/>
              <w:gridCol w:w="1000"/>
              <w:gridCol w:w="7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 w:type="dxa"/>
                  <w:bottom w:w="0" w:type="dxa"/>
                  <w:right w:w="11" w:type="dxa"/>
                </w:tblCellMar>
              </w:tblPrEx>
              <w:trPr>
                <w:trHeight w:val="369" w:hRule="atLeast"/>
                <w:jc w:val="center"/>
              </w:trPr>
              <w:tc>
                <w:tcPr>
                  <w:tcW w:w="379" w:type="pct"/>
                  <w:vMerge w:val="restart"/>
                  <w:tcBorders>
                    <w:tl2br w:val="nil"/>
                    <w:tr2bl w:val="nil"/>
                  </w:tcBorders>
                  <w:vAlign w:val="center"/>
                </w:tcPr>
                <w:p>
                  <w:pPr>
                    <w:spacing w:line="240" w:lineRule="auto"/>
                    <w:jc w:val="center"/>
                    <w:rPr>
                      <w:b/>
                      <w:bCs/>
                      <w:sz w:val="21"/>
                      <w:szCs w:val="21"/>
                    </w:rPr>
                  </w:pPr>
                  <w:r>
                    <w:rPr>
                      <w:b/>
                      <w:bCs/>
                      <w:sz w:val="21"/>
                      <w:szCs w:val="21"/>
                    </w:rPr>
                    <w:t>工序/生产线</w:t>
                  </w:r>
                </w:p>
              </w:tc>
              <w:tc>
                <w:tcPr>
                  <w:tcW w:w="318" w:type="pct"/>
                  <w:vMerge w:val="restart"/>
                  <w:tcBorders>
                    <w:tl2br w:val="nil"/>
                    <w:tr2bl w:val="nil"/>
                  </w:tcBorders>
                  <w:vAlign w:val="center"/>
                </w:tcPr>
                <w:p>
                  <w:pPr>
                    <w:spacing w:line="240" w:lineRule="auto"/>
                    <w:jc w:val="center"/>
                    <w:rPr>
                      <w:b/>
                      <w:bCs/>
                      <w:sz w:val="21"/>
                      <w:szCs w:val="21"/>
                    </w:rPr>
                  </w:pPr>
                  <w:r>
                    <w:rPr>
                      <w:b/>
                      <w:bCs/>
                      <w:sz w:val="21"/>
                      <w:szCs w:val="21"/>
                    </w:rPr>
                    <w:t>排放方式</w:t>
                  </w:r>
                </w:p>
              </w:tc>
              <w:tc>
                <w:tcPr>
                  <w:tcW w:w="277" w:type="pct"/>
                  <w:vMerge w:val="restart"/>
                  <w:tcBorders>
                    <w:tl2br w:val="nil"/>
                    <w:tr2bl w:val="nil"/>
                  </w:tcBorders>
                  <w:vAlign w:val="center"/>
                </w:tcPr>
                <w:p>
                  <w:pPr>
                    <w:spacing w:line="240" w:lineRule="auto"/>
                    <w:jc w:val="center"/>
                    <w:rPr>
                      <w:b/>
                      <w:bCs/>
                      <w:sz w:val="21"/>
                      <w:szCs w:val="21"/>
                    </w:rPr>
                  </w:pPr>
                  <w:r>
                    <w:rPr>
                      <w:b/>
                      <w:bCs/>
                      <w:sz w:val="21"/>
                      <w:szCs w:val="21"/>
                    </w:rPr>
                    <w:t>污染物</w:t>
                  </w:r>
                </w:p>
              </w:tc>
              <w:tc>
                <w:tcPr>
                  <w:tcW w:w="252" w:type="pct"/>
                  <w:vMerge w:val="restart"/>
                  <w:tcBorders>
                    <w:tl2br w:val="nil"/>
                    <w:tr2bl w:val="nil"/>
                  </w:tcBorders>
                  <w:vAlign w:val="center"/>
                </w:tcPr>
                <w:p>
                  <w:pPr>
                    <w:spacing w:line="240" w:lineRule="auto"/>
                    <w:jc w:val="center"/>
                    <w:rPr>
                      <w:b/>
                      <w:bCs/>
                      <w:sz w:val="21"/>
                      <w:szCs w:val="21"/>
                    </w:rPr>
                  </w:pPr>
                  <w:r>
                    <w:rPr>
                      <w:b/>
                      <w:bCs/>
                      <w:sz w:val="21"/>
                      <w:szCs w:val="21"/>
                    </w:rPr>
                    <w:t>核算方法</w:t>
                  </w:r>
                </w:p>
              </w:tc>
              <w:tc>
                <w:tcPr>
                  <w:tcW w:w="999" w:type="pct"/>
                  <w:gridSpan w:val="3"/>
                  <w:tcBorders>
                    <w:tl2br w:val="nil"/>
                    <w:tr2bl w:val="nil"/>
                  </w:tcBorders>
                  <w:vAlign w:val="center"/>
                </w:tcPr>
                <w:p>
                  <w:pPr>
                    <w:spacing w:line="240" w:lineRule="auto"/>
                    <w:jc w:val="center"/>
                    <w:rPr>
                      <w:b/>
                      <w:bCs/>
                      <w:sz w:val="21"/>
                      <w:szCs w:val="21"/>
                    </w:rPr>
                  </w:pPr>
                  <w:r>
                    <w:rPr>
                      <w:b/>
                      <w:bCs/>
                      <w:sz w:val="21"/>
                      <w:szCs w:val="21"/>
                    </w:rPr>
                    <w:t>污染物产生</w:t>
                  </w:r>
                </w:p>
              </w:tc>
              <w:tc>
                <w:tcPr>
                  <w:tcW w:w="1478" w:type="pct"/>
                  <w:gridSpan w:val="5"/>
                  <w:tcBorders>
                    <w:tl2br w:val="nil"/>
                    <w:tr2bl w:val="nil"/>
                  </w:tcBorders>
                  <w:vAlign w:val="center"/>
                </w:tcPr>
                <w:p>
                  <w:pPr>
                    <w:spacing w:line="240" w:lineRule="auto"/>
                    <w:jc w:val="center"/>
                    <w:rPr>
                      <w:b/>
                      <w:bCs/>
                      <w:sz w:val="21"/>
                      <w:szCs w:val="21"/>
                    </w:rPr>
                  </w:pPr>
                  <w:r>
                    <w:rPr>
                      <w:b/>
                      <w:bCs/>
                      <w:sz w:val="21"/>
                      <w:szCs w:val="21"/>
                    </w:rPr>
                    <w:t>治理措施</w:t>
                  </w:r>
                </w:p>
              </w:tc>
              <w:tc>
                <w:tcPr>
                  <w:tcW w:w="1021" w:type="pct"/>
                  <w:gridSpan w:val="3"/>
                  <w:tcBorders>
                    <w:tl2br w:val="nil"/>
                    <w:tr2bl w:val="nil"/>
                  </w:tcBorders>
                  <w:vAlign w:val="center"/>
                </w:tcPr>
                <w:p>
                  <w:pPr>
                    <w:spacing w:line="240" w:lineRule="auto"/>
                    <w:jc w:val="center"/>
                    <w:rPr>
                      <w:b/>
                      <w:bCs/>
                      <w:sz w:val="21"/>
                      <w:szCs w:val="21"/>
                    </w:rPr>
                  </w:pPr>
                  <w:r>
                    <w:rPr>
                      <w:b/>
                      <w:bCs/>
                      <w:sz w:val="21"/>
                      <w:szCs w:val="21"/>
                    </w:rPr>
                    <w:t>污染物排放</w:t>
                  </w:r>
                </w:p>
              </w:tc>
              <w:tc>
                <w:tcPr>
                  <w:tcW w:w="275" w:type="pct"/>
                  <w:vMerge w:val="restart"/>
                  <w:tcBorders>
                    <w:tl2br w:val="nil"/>
                    <w:tr2bl w:val="nil"/>
                  </w:tcBorders>
                  <w:vAlign w:val="center"/>
                </w:tcPr>
                <w:p>
                  <w:pPr>
                    <w:spacing w:line="240" w:lineRule="auto"/>
                    <w:jc w:val="center"/>
                    <w:rPr>
                      <w:b/>
                      <w:bCs/>
                      <w:sz w:val="21"/>
                      <w:szCs w:val="21"/>
                    </w:rPr>
                  </w:pPr>
                  <w:r>
                    <w:rPr>
                      <w:b/>
                      <w:bCs/>
                      <w:sz w:val="21"/>
                      <w:szCs w:val="21"/>
                    </w:rPr>
                    <w:t>排放时间/h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 w:type="dxa"/>
                  <w:bottom w:w="0" w:type="dxa"/>
                  <w:right w:w="11" w:type="dxa"/>
                </w:tblCellMar>
              </w:tblPrEx>
              <w:trPr>
                <w:trHeight w:val="369" w:hRule="atLeast"/>
                <w:jc w:val="center"/>
              </w:trPr>
              <w:tc>
                <w:tcPr>
                  <w:tcW w:w="379" w:type="pct"/>
                  <w:vMerge w:val="continue"/>
                  <w:tcBorders>
                    <w:tl2br w:val="nil"/>
                    <w:tr2bl w:val="nil"/>
                  </w:tcBorders>
                  <w:vAlign w:val="center"/>
                </w:tcPr>
                <w:p>
                  <w:pPr>
                    <w:spacing w:line="240" w:lineRule="auto"/>
                    <w:jc w:val="center"/>
                    <w:rPr>
                      <w:b/>
                      <w:bCs/>
                      <w:sz w:val="21"/>
                      <w:szCs w:val="21"/>
                    </w:rPr>
                  </w:pPr>
                </w:p>
              </w:tc>
              <w:tc>
                <w:tcPr>
                  <w:tcW w:w="318" w:type="pct"/>
                  <w:vMerge w:val="continue"/>
                  <w:tcBorders>
                    <w:tl2br w:val="nil"/>
                    <w:tr2bl w:val="nil"/>
                  </w:tcBorders>
                  <w:vAlign w:val="center"/>
                </w:tcPr>
                <w:p>
                  <w:pPr>
                    <w:spacing w:line="240" w:lineRule="auto"/>
                    <w:jc w:val="center"/>
                    <w:rPr>
                      <w:b/>
                      <w:bCs/>
                      <w:sz w:val="21"/>
                      <w:szCs w:val="21"/>
                    </w:rPr>
                  </w:pPr>
                </w:p>
              </w:tc>
              <w:tc>
                <w:tcPr>
                  <w:tcW w:w="277" w:type="pct"/>
                  <w:vMerge w:val="continue"/>
                  <w:tcBorders>
                    <w:tl2br w:val="nil"/>
                    <w:tr2bl w:val="nil"/>
                  </w:tcBorders>
                  <w:vAlign w:val="center"/>
                </w:tcPr>
                <w:p>
                  <w:pPr>
                    <w:spacing w:line="240" w:lineRule="auto"/>
                    <w:jc w:val="center"/>
                    <w:rPr>
                      <w:b/>
                      <w:bCs/>
                      <w:sz w:val="21"/>
                      <w:szCs w:val="21"/>
                    </w:rPr>
                  </w:pPr>
                </w:p>
              </w:tc>
              <w:tc>
                <w:tcPr>
                  <w:tcW w:w="252" w:type="pct"/>
                  <w:vMerge w:val="continue"/>
                  <w:tcBorders>
                    <w:tl2br w:val="nil"/>
                    <w:tr2bl w:val="nil"/>
                  </w:tcBorders>
                  <w:vAlign w:val="center"/>
                </w:tcPr>
                <w:p>
                  <w:pPr>
                    <w:spacing w:line="240" w:lineRule="auto"/>
                    <w:jc w:val="center"/>
                    <w:rPr>
                      <w:b/>
                      <w:bCs/>
                      <w:sz w:val="21"/>
                      <w:szCs w:val="21"/>
                    </w:rPr>
                  </w:pPr>
                </w:p>
              </w:tc>
              <w:tc>
                <w:tcPr>
                  <w:tcW w:w="287" w:type="pct"/>
                  <w:tcBorders>
                    <w:tl2br w:val="nil"/>
                    <w:tr2bl w:val="nil"/>
                  </w:tcBorders>
                  <w:vAlign w:val="center"/>
                </w:tcPr>
                <w:p>
                  <w:pPr>
                    <w:spacing w:line="240" w:lineRule="auto"/>
                    <w:jc w:val="center"/>
                    <w:rPr>
                      <w:b/>
                      <w:bCs/>
                      <w:sz w:val="21"/>
                      <w:szCs w:val="21"/>
                    </w:rPr>
                  </w:pPr>
                  <w:r>
                    <w:rPr>
                      <w:b/>
                      <w:bCs/>
                      <w:sz w:val="21"/>
                      <w:szCs w:val="21"/>
                    </w:rPr>
                    <w:t>产生量t/a</w:t>
                  </w:r>
                </w:p>
              </w:tc>
              <w:tc>
                <w:tcPr>
                  <w:tcW w:w="361" w:type="pct"/>
                  <w:tcBorders>
                    <w:tl2br w:val="nil"/>
                    <w:tr2bl w:val="nil"/>
                  </w:tcBorders>
                  <w:vAlign w:val="center"/>
                </w:tcPr>
                <w:p>
                  <w:pPr>
                    <w:spacing w:line="240" w:lineRule="auto"/>
                    <w:jc w:val="center"/>
                    <w:rPr>
                      <w:b/>
                      <w:bCs/>
                      <w:sz w:val="21"/>
                      <w:szCs w:val="21"/>
                    </w:rPr>
                  </w:pPr>
                  <w:r>
                    <w:rPr>
                      <w:b/>
                      <w:bCs/>
                      <w:sz w:val="21"/>
                      <w:szCs w:val="21"/>
                    </w:rPr>
                    <w:t>产生速率kg/h</w:t>
                  </w:r>
                </w:p>
              </w:tc>
              <w:tc>
                <w:tcPr>
                  <w:tcW w:w="351" w:type="pct"/>
                  <w:tcBorders>
                    <w:tl2br w:val="nil"/>
                    <w:tr2bl w:val="nil"/>
                  </w:tcBorders>
                  <w:vAlign w:val="center"/>
                </w:tcPr>
                <w:p>
                  <w:pPr>
                    <w:spacing w:line="240" w:lineRule="auto"/>
                    <w:jc w:val="center"/>
                    <w:rPr>
                      <w:b/>
                      <w:bCs/>
                      <w:sz w:val="21"/>
                      <w:szCs w:val="21"/>
                    </w:rPr>
                  </w:pPr>
                  <w:r>
                    <w:rPr>
                      <w:b/>
                      <w:bCs/>
                      <w:sz w:val="21"/>
                      <w:szCs w:val="21"/>
                    </w:rPr>
                    <w:t>产生浓度mg/m</w:t>
                  </w:r>
                  <w:r>
                    <w:rPr>
                      <w:b/>
                      <w:bCs/>
                      <w:sz w:val="21"/>
                      <w:szCs w:val="21"/>
                      <w:vertAlign w:val="superscript"/>
                    </w:rPr>
                    <w:t>3</w:t>
                  </w:r>
                </w:p>
              </w:tc>
              <w:tc>
                <w:tcPr>
                  <w:tcW w:w="333" w:type="pct"/>
                  <w:tcBorders>
                    <w:tl2br w:val="nil"/>
                    <w:tr2bl w:val="nil"/>
                  </w:tcBorders>
                  <w:vAlign w:val="center"/>
                </w:tcPr>
                <w:p>
                  <w:pPr>
                    <w:spacing w:line="240" w:lineRule="auto"/>
                    <w:jc w:val="center"/>
                    <w:rPr>
                      <w:b/>
                      <w:bCs/>
                      <w:sz w:val="21"/>
                      <w:szCs w:val="21"/>
                    </w:rPr>
                  </w:pPr>
                  <w:r>
                    <w:rPr>
                      <w:b/>
                      <w:bCs/>
                      <w:sz w:val="21"/>
                      <w:szCs w:val="21"/>
                    </w:rPr>
                    <w:t>收集效率%</w:t>
                  </w:r>
                </w:p>
              </w:tc>
              <w:tc>
                <w:tcPr>
                  <w:tcW w:w="321" w:type="pct"/>
                  <w:tcBorders>
                    <w:tl2br w:val="nil"/>
                    <w:tr2bl w:val="nil"/>
                  </w:tcBorders>
                  <w:vAlign w:val="center"/>
                </w:tcPr>
                <w:p>
                  <w:pPr>
                    <w:spacing w:line="240" w:lineRule="auto"/>
                    <w:jc w:val="center"/>
                    <w:rPr>
                      <w:b/>
                      <w:bCs/>
                      <w:sz w:val="21"/>
                      <w:szCs w:val="21"/>
                    </w:rPr>
                  </w:pPr>
                  <w:r>
                    <w:rPr>
                      <w:b/>
                      <w:bCs/>
                      <w:sz w:val="21"/>
                      <w:szCs w:val="21"/>
                    </w:rPr>
                    <w:t>处理能力m</w:t>
                  </w:r>
                  <w:r>
                    <w:rPr>
                      <w:b/>
                      <w:bCs/>
                      <w:sz w:val="21"/>
                      <w:szCs w:val="21"/>
                      <w:vertAlign w:val="superscript"/>
                    </w:rPr>
                    <w:t>3</w:t>
                  </w:r>
                  <w:r>
                    <w:rPr>
                      <w:b/>
                      <w:bCs/>
                      <w:sz w:val="21"/>
                      <w:szCs w:val="21"/>
                    </w:rPr>
                    <w:t>/h</w:t>
                  </w:r>
                </w:p>
              </w:tc>
              <w:tc>
                <w:tcPr>
                  <w:tcW w:w="352" w:type="pct"/>
                  <w:tcBorders>
                    <w:tl2br w:val="nil"/>
                    <w:tr2bl w:val="nil"/>
                  </w:tcBorders>
                  <w:vAlign w:val="center"/>
                </w:tcPr>
                <w:p>
                  <w:pPr>
                    <w:spacing w:line="240" w:lineRule="auto"/>
                    <w:jc w:val="center"/>
                    <w:rPr>
                      <w:b/>
                      <w:bCs/>
                      <w:sz w:val="21"/>
                      <w:szCs w:val="21"/>
                    </w:rPr>
                  </w:pPr>
                  <w:r>
                    <w:rPr>
                      <w:b/>
                      <w:bCs/>
                      <w:sz w:val="21"/>
                      <w:szCs w:val="21"/>
                    </w:rPr>
                    <w:t>工艺</w:t>
                  </w:r>
                </w:p>
              </w:tc>
              <w:tc>
                <w:tcPr>
                  <w:tcW w:w="236" w:type="pct"/>
                  <w:tcBorders>
                    <w:tl2br w:val="nil"/>
                    <w:tr2bl w:val="nil"/>
                  </w:tcBorders>
                  <w:vAlign w:val="center"/>
                </w:tcPr>
                <w:p>
                  <w:pPr>
                    <w:spacing w:line="240" w:lineRule="auto"/>
                    <w:jc w:val="center"/>
                    <w:rPr>
                      <w:b/>
                      <w:bCs/>
                      <w:sz w:val="21"/>
                      <w:szCs w:val="21"/>
                    </w:rPr>
                  </w:pPr>
                  <w:r>
                    <w:rPr>
                      <w:b/>
                      <w:bCs/>
                      <w:sz w:val="21"/>
                      <w:szCs w:val="21"/>
                    </w:rPr>
                    <w:t>处理效率%</w:t>
                  </w:r>
                </w:p>
              </w:tc>
              <w:tc>
                <w:tcPr>
                  <w:tcW w:w="236" w:type="pct"/>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是否可行技术</w:t>
                  </w:r>
                </w:p>
              </w:tc>
              <w:tc>
                <w:tcPr>
                  <w:tcW w:w="291" w:type="pct"/>
                  <w:tcBorders>
                    <w:tl2br w:val="nil"/>
                    <w:tr2bl w:val="nil"/>
                  </w:tcBorders>
                  <w:vAlign w:val="center"/>
                </w:tcPr>
                <w:p>
                  <w:pPr>
                    <w:spacing w:line="240" w:lineRule="auto"/>
                    <w:jc w:val="center"/>
                    <w:rPr>
                      <w:b/>
                      <w:bCs/>
                      <w:sz w:val="21"/>
                      <w:szCs w:val="21"/>
                    </w:rPr>
                  </w:pPr>
                  <w:r>
                    <w:rPr>
                      <w:b/>
                      <w:bCs/>
                      <w:sz w:val="21"/>
                      <w:szCs w:val="21"/>
                    </w:rPr>
                    <w:t>排放量t/a</w:t>
                  </w:r>
                </w:p>
              </w:tc>
              <w:tc>
                <w:tcPr>
                  <w:tcW w:w="369" w:type="pct"/>
                  <w:tcBorders>
                    <w:tl2br w:val="nil"/>
                    <w:tr2bl w:val="nil"/>
                  </w:tcBorders>
                  <w:vAlign w:val="center"/>
                </w:tcPr>
                <w:p>
                  <w:pPr>
                    <w:spacing w:line="240" w:lineRule="auto"/>
                    <w:jc w:val="center"/>
                    <w:rPr>
                      <w:b/>
                      <w:bCs/>
                      <w:sz w:val="21"/>
                      <w:szCs w:val="21"/>
                    </w:rPr>
                  </w:pPr>
                  <w:r>
                    <w:rPr>
                      <w:b/>
                      <w:bCs/>
                      <w:sz w:val="21"/>
                      <w:szCs w:val="21"/>
                    </w:rPr>
                    <w:t>排放速率kg/h</w:t>
                  </w:r>
                </w:p>
              </w:tc>
              <w:tc>
                <w:tcPr>
                  <w:tcW w:w="361" w:type="pct"/>
                  <w:tcBorders>
                    <w:tl2br w:val="nil"/>
                    <w:tr2bl w:val="nil"/>
                  </w:tcBorders>
                  <w:vAlign w:val="center"/>
                </w:tcPr>
                <w:p>
                  <w:pPr>
                    <w:spacing w:line="240" w:lineRule="auto"/>
                    <w:jc w:val="center"/>
                    <w:rPr>
                      <w:b/>
                      <w:bCs/>
                      <w:sz w:val="21"/>
                      <w:szCs w:val="21"/>
                    </w:rPr>
                  </w:pPr>
                  <w:r>
                    <w:rPr>
                      <w:b/>
                      <w:bCs/>
                      <w:sz w:val="21"/>
                      <w:szCs w:val="21"/>
                    </w:rPr>
                    <w:t>排放浓度mg/m</w:t>
                  </w:r>
                  <w:r>
                    <w:rPr>
                      <w:b/>
                      <w:bCs/>
                      <w:sz w:val="21"/>
                      <w:szCs w:val="21"/>
                      <w:vertAlign w:val="superscript"/>
                    </w:rPr>
                    <w:t>3</w:t>
                  </w:r>
                </w:p>
              </w:tc>
              <w:tc>
                <w:tcPr>
                  <w:tcW w:w="275" w:type="pct"/>
                  <w:vMerge w:val="continue"/>
                  <w:tcBorders>
                    <w:tl2br w:val="nil"/>
                    <w:tr2bl w:val="nil"/>
                  </w:tcBorders>
                  <w:vAlign w:val="center"/>
                </w:tcPr>
                <w:p>
                  <w:pPr>
                    <w:spacing w:line="240" w:lineRule="auto"/>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 w:type="dxa"/>
                  <w:bottom w:w="0" w:type="dxa"/>
                  <w:right w:w="11" w:type="dxa"/>
                </w:tblCellMar>
              </w:tblPrEx>
              <w:trPr>
                <w:trHeight w:val="369" w:hRule="atLeast"/>
                <w:jc w:val="center"/>
              </w:trPr>
              <w:tc>
                <w:tcPr>
                  <w:tcW w:w="379" w:type="pct"/>
                  <w:tcBorders>
                    <w:tl2br w:val="nil"/>
                    <w:tr2bl w:val="nil"/>
                  </w:tcBorders>
                  <w:vAlign w:val="center"/>
                </w:tcPr>
                <w:p>
                  <w:pPr>
                    <w:spacing w:line="240" w:lineRule="auto"/>
                    <w:jc w:val="center"/>
                    <w:rPr>
                      <w:sz w:val="21"/>
                      <w:szCs w:val="21"/>
                    </w:rPr>
                  </w:pPr>
                  <w:r>
                    <w:rPr>
                      <w:rFonts w:hint="eastAsia"/>
                      <w:sz w:val="21"/>
                      <w:szCs w:val="21"/>
                    </w:rPr>
                    <w:t>组装</w:t>
                  </w:r>
                </w:p>
              </w:tc>
              <w:tc>
                <w:tcPr>
                  <w:tcW w:w="318" w:type="pct"/>
                  <w:tcBorders>
                    <w:tl2br w:val="nil"/>
                    <w:tr2bl w:val="nil"/>
                  </w:tcBorders>
                  <w:vAlign w:val="center"/>
                </w:tcPr>
                <w:p>
                  <w:pPr>
                    <w:spacing w:line="240" w:lineRule="auto"/>
                    <w:jc w:val="center"/>
                    <w:rPr>
                      <w:sz w:val="21"/>
                      <w:szCs w:val="21"/>
                    </w:rPr>
                  </w:pPr>
                  <w:r>
                    <w:rPr>
                      <w:sz w:val="21"/>
                      <w:szCs w:val="21"/>
                    </w:rPr>
                    <w:t>无组织</w:t>
                  </w:r>
                </w:p>
              </w:tc>
              <w:tc>
                <w:tcPr>
                  <w:tcW w:w="277" w:type="pct"/>
                  <w:tcBorders>
                    <w:tl2br w:val="nil"/>
                    <w:tr2bl w:val="nil"/>
                  </w:tcBorders>
                  <w:vAlign w:val="center"/>
                </w:tcPr>
                <w:p>
                  <w:pPr>
                    <w:spacing w:line="240" w:lineRule="auto"/>
                    <w:jc w:val="center"/>
                    <w:rPr>
                      <w:sz w:val="21"/>
                      <w:szCs w:val="21"/>
                    </w:rPr>
                  </w:pPr>
                  <w:r>
                    <w:rPr>
                      <w:sz w:val="21"/>
                      <w:szCs w:val="21"/>
                    </w:rPr>
                    <w:t>VOCs</w:t>
                  </w:r>
                </w:p>
              </w:tc>
              <w:tc>
                <w:tcPr>
                  <w:tcW w:w="252" w:type="pct"/>
                  <w:tcBorders>
                    <w:tl2br w:val="nil"/>
                    <w:tr2bl w:val="nil"/>
                  </w:tcBorders>
                  <w:vAlign w:val="center"/>
                </w:tcPr>
                <w:p>
                  <w:pPr>
                    <w:spacing w:line="240" w:lineRule="auto"/>
                    <w:jc w:val="center"/>
                    <w:rPr>
                      <w:sz w:val="21"/>
                      <w:szCs w:val="21"/>
                    </w:rPr>
                  </w:pPr>
                  <w:r>
                    <w:rPr>
                      <w:sz w:val="21"/>
                      <w:szCs w:val="21"/>
                    </w:rPr>
                    <w:t>物料衡算法</w:t>
                  </w:r>
                </w:p>
              </w:tc>
              <w:tc>
                <w:tcPr>
                  <w:tcW w:w="287" w:type="pct"/>
                  <w:tcBorders>
                    <w:tl2br w:val="nil"/>
                    <w:tr2bl w:val="nil"/>
                  </w:tcBorders>
                  <w:vAlign w:val="center"/>
                </w:tcPr>
                <w:p>
                  <w:pPr>
                    <w:widowControl/>
                    <w:spacing w:line="240" w:lineRule="auto"/>
                    <w:jc w:val="center"/>
                    <w:textAlignment w:val="center"/>
                    <w:rPr>
                      <w:sz w:val="21"/>
                      <w:szCs w:val="21"/>
                    </w:rPr>
                  </w:pPr>
                  <w:r>
                    <w:rPr>
                      <w:sz w:val="21"/>
                      <w:szCs w:val="21"/>
                    </w:rPr>
                    <w:t>0.0072</w:t>
                  </w:r>
                </w:p>
              </w:tc>
              <w:tc>
                <w:tcPr>
                  <w:tcW w:w="361" w:type="pct"/>
                  <w:tcBorders>
                    <w:tl2br w:val="nil"/>
                    <w:tr2bl w:val="nil"/>
                  </w:tcBorders>
                  <w:vAlign w:val="center"/>
                </w:tcPr>
                <w:p>
                  <w:pPr>
                    <w:widowControl/>
                    <w:spacing w:line="240" w:lineRule="auto"/>
                    <w:jc w:val="center"/>
                    <w:textAlignment w:val="center"/>
                    <w:rPr>
                      <w:sz w:val="21"/>
                      <w:szCs w:val="21"/>
                    </w:rPr>
                  </w:pPr>
                  <w:r>
                    <w:rPr>
                      <w:rFonts w:hint="eastAsia"/>
                      <w:sz w:val="21"/>
                      <w:szCs w:val="21"/>
                    </w:rPr>
                    <w:t>0.002</w:t>
                  </w:r>
                </w:p>
              </w:tc>
              <w:tc>
                <w:tcPr>
                  <w:tcW w:w="351" w:type="pct"/>
                  <w:tcBorders>
                    <w:tl2br w:val="nil"/>
                    <w:tr2bl w:val="nil"/>
                  </w:tcBorders>
                  <w:vAlign w:val="center"/>
                </w:tcPr>
                <w:p>
                  <w:pPr>
                    <w:widowControl/>
                    <w:spacing w:line="240" w:lineRule="auto"/>
                    <w:jc w:val="center"/>
                    <w:textAlignment w:val="center"/>
                    <w:rPr>
                      <w:sz w:val="21"/>
                      <w:szCs w:val="21"/>
                    </w:rPr>
                  </w:pPr>
                  <w:r>
                    <w:rPr>
                      <w:sz w:val="21"/>
                      <w:szCs w:val="21"/>
                    </w:rPr>
                    <w:t>/</w:t>
                  </w:r>
                </w:p>
              </w:tc>
              <w:tc>
                <w:tcPr>
                  <w:tcW w:w="333" w:type="pct"/>
                  <w:tcBorders>
                    <w:tl2br w:val="nil"/>
                    <w:tr2bl w:val="nil"/>
                  </w:tcBorders>
                  <w:vAlign w:val="center"/>
                </w:tcPr>
                <w:p>
                  <w:pPr>
                    <w:spacing w:line="240" w:lineRule="auto"/>
                    <w:jc w:val="center"/>
                    <w:rPr>
                      <w:sz w:val="21"/>
                      <w:szCs w:val="21"/>
                    </w:rPr>
                  </w:pPr>
                  <w:r>
                    <w:rPr>
                      <w:sz w:val="21"/>
                      <w:szCs w:val="21"/>
                    </w:rPr>
                    <w:t>/</w:t>
                  </w:r>
                </w:p>
              </w:tc>
              <w:tc>
                <w:tcPr>
                  <w:tcW w:w="321" w:type="pct"/>
                  <w:tcBorders>
                    <w:tl2br w:val="nil"/>
                    <w:tr2bl w:val="nil"/>
                  </w:tcBorders>
                  <w:vAlign w:val="center"/>
                </w:tcPr>
                <w:p>
                  <w:pPr>
                    <w:spacing w:line="240" w:lineRule="auto"/>
                    <w:jc w:val="center"/>
                    <w:rPr>
                      <w:sz w:val="21"/>
                      <w:szCs w:val="21"/>
                    </w:rPr>
                  </w:pPr>
                  <w:r>
                    <w:rPr>
                      <w:sz w:val="21"/>
                      <w:szCs w:val="21"/>
                    </w:rPr>
                    <w:t>/</w:t>
                  </w:r>
                </w:p>
              </w:tc>
              <w:tc>
                <w:tcPr>
                  <w:tcW w:w="352" w:type="pct"/>
                  <w:tcBorders>
                    <w:tl2br w:val="nil"/>
                    <w:tr2bl w:val="nil"/>
                  </w:tcBorders>
                  <w:vAlign w:val="center"/>
                </w:tcPr>
                <w:p>
                  <w:pPr>
                    <w:spacing w:line="240" w:lineRule="auto"/>
                    <w:jc w:val="center"/>
                    <w:rPr>
                      <w:sz w:val="21"/>
                      <w:szCs w:val="21"/>
                    </w:rPr>
                  </w:pPr>
                  <w:r>
                    <w:rPr>
                      <w:sz w:val="21"/>
                      <w:szCs w:val="21"/>
                    </w:rPr>
                    <w:t>车间机械通风</w:t>
                  </w:r>
                </w:p>
              </w:tc>
              <w:tc>
                <w:tcPr>
                  <w:tcW w:w="236" w:type="pct"/>
                  <w:tcBorders>
                    <w:tl2br w:val="nil"/>
                    <w:tr2bl w:val="nil"/>
                  </w:tcBorders>
                  <w:vAlign w:val="center"/>
                </w:tcPr>
                <w:p>
                  <w:pPr>
                    <w:widowControl/>
                    <w:spacing w:line="240" w:lineRule="auto"/>
                    <w:jc w:val="center"/>
                    <w:textAlignment w:val="center"/>
                    <w:rPr>
                      <w:sz w:val="21"/>
                      <w:szCs w:val="21"/>
                    </w:rPr>
                  </w:pPr>
                  <w:r>
                    <w:rPr>
                      <w:sz w:val="21"/>
                      <w:szCs w:val="21"/>
                    </w:rPr>
                    <w:t>/</w:t>
                  </w:r>
                </w:p>
              </w:tc>
              <w:tc>
                <w:tcPr>
                  <w:tcW w:w="236" w:type="pct"/>
                  <w:tcBorders>
                    <w:tl2br w:val="nil"/>
                    <w:tr2bl w:val="nil"/>
                  </w:tcBorders>
                  <w:vAlign w:val="center"/>
                </w:tcPr>
                <w:p>
                  <w:pPr>
                    <w:widowControl/>
                    <w:spacing w:line="240" w:lineRule="auto"/>
                    <w:jc w:val="center"/>
                    <w:textAlignment w:val="center"/>
                    <w:rPr>
                      <w:sz w:val="21"/>
                      <w:szCs w:val="21"/>
                    </w:rPr>
                  </w:pPr>
                  <w:r>
                    <w:rPr>
                      <w:sz w:val="21"/>
                      <w:szCs w:val="21"/>
                    </w:rPr>
                    <w:t>/</w:t>
                  </w:r>
                </w:p>
              </w:tc>
              <w:tc>
                <w:tcPr>
                  <w:tcW w:w="291" w:type="pct"/>
                  <w:tcBorders>
                    <w:tl2br w:val="nil"/>
                    <w:tr2bl w:val="nil"/>
                  </w:tcBorders>
                  <w:vAlign w:val="center"/>
                </w:tcPr>
                <w:p>
                  <w:pPr>
                    <w:widowControl/>
                    <w:spacing w:line="240" w:lineRule="auto"/>
                    <w:jc w:val="center"/>
                    <w:textAlignment w:val="center"/>
                    <w:rPr>
                      <w:sz w:val="21"/>
                      <w:szCs w:val="21"/>
                    </w:rPr>
                  </w:pPr>
                  <w:r>
                    <w:rPr>
                      <w:sz w:val="21"/>
                      <w:szCs w:val="21"/>
                    </w:rPr>
                    <w:t>0.0072</w:t>
                  </w:r>
                </w:p>
              </w:tc>
              <w:tc>
                <w:tcPr>
                  <w:tcW w:w="369" w:type="pct"/>
                  <w:tcBorders>
                    <w:tl2br w:val="nil"/>
                    <w:tr2bl w:val="nil"/>
                  </w:tcBorders>
                  <w:vAlign w:val="center"/>
                </w:tcPr>
                <w:p>
                  <w:pPr>
                    <w:widowControl/>
                    <w:spacing w:line="240" w:lineRule="auto"/>
                    <w:jc w:val="center"/>
                    <w:textAlignment w:val="center"/>
                    <w:rPr>
                      <w:sz w:val="21"/>
                      <w:szCs w:val="21"/>
                    </w:rPr>
                  </w:pPr>
                  <w:r>
                    <w:rPr>
                      <w:rFonts w:hint="eastAsia"/>
                      <w:sz w:val="21"/>
                      <w:szCs w:val="21"/>
                    </w:rPr>
                    <w:t>0.002</w:t>
                  </w:r>
                </w:p>
              </w:tc>
              <w:tc>
                <w:tcPr>
                  <w:tcW w:w="361" w:type="pct"/>
                  <w:tcBorders>
                    <w:tl2br w:val="nil"/>
                    <w:tr2bl w:val="nil"/>
                  </w:tcBorders>
                  <w:vAlign w:val="center"/>
                </w:tcPr>
                <w:p>
                  <w:pPr>
                    <w:widowControl/>
                    <w:spacing w:line="240" w:lineRule="auto"/>
                    <w:jc w:val="center"/>
                    <w:textAlignment w:val="center"/>
                    <w:rPr>
                      <w:sz w:val="21"/>
                      <w:szCs w:val="21"/>
                    </w:rPr>
                  </w:pPr>
                  <w:r>
                    <w:rPr>
                      <w:sz w:val="21"/>
                      <w:szCs w:val="21"/>
                    </w:rPr>
                    <w:t>/</w:t>
                  </w:r>
                </w:p>
              </w:tc>
              <w:tc>
                <w:tcPr>
                  <w:tcW w:w="275" w:type="pct"/>
                  <w:tcBorders>
                    <w:tl2br w:val="nil"/>
                    <w:tr2bl w:val="nil"/>
                  </w:tcBorders>
                  <w:vAlign w:val="center"/>
                </w:tcPr>
                <w:p>
                  <w:pPr>
                    <w:widowControl/>
                    <w:spacing w:line="240" w:lineRule="auto"/>
                    <w:jc w:val="center"/>
                    <w:textAlignment w:val="center"/>
                    <w:rPr>
                      <w:sz w:val="21"/>
                      <w:szCs w:val="21"/>
                    </w:rPr>
                  </w:pPr>
                  <w:r>
                    <w:rPr>
                      <w:rFonts w:hint="eastAsia"/>
                      <w:sz w:val="21"/>
                      <w:szCs w:val="21"/>
                    </w:rPr>
                    <w:t>3360</w:t>
                  </w:r>
                </w:p>
              </w:tc>
            </w:tr>
          </w:tbl>
          <w:p>
            <w:pPr>
              <w:ind w:right="76" w:rightChars="27" w:firstLine="420" w:firstLineChars="200"/>
              <w:jc w:val="left"/>
              <w:rPr>
                <w:rFonts w:eastAsia="新宋体"/>
                <w:sz w:val="21"/>
                <w:szCs w:val="21"/>
              </w:rPr>
            </w:pPr>
          </w:p>
          <w:p>
            <w:pPr>
              <w:pStyle w:val="153"/>
              <w:ind w:firstLine="480"/>
              <w:rPr>
                <w:rFonts w:cs="Times New Roman"/>
                <w:color w:val="auto"/>
              </w:rPr>
            </w:pPr>
          </w:p>
        </w:tc>
      </w:tr>
    </w:tbl>
    <w:p>
      <w:pPr>
        <w:pStyle w:val="36"/>
        <w:numPr>
          <w:ilvl w:val="0"/>
          <w:numId w:val="3"/>
        </w:numPr>
        <w:jc w:val="center"/>
        <w:outlineLvl w:val="0"/>
        <w:rPr>
          <w:rFonts w:ascii="Times New Roman" w:hAnsi="Times New Roman" w:eastAsia="黑体" w:cs="Times New Roman"/>
          <w:snapToGrid w:val="0"/>
          <w:sz w:val="30"/>
          <w:szCs w:val="30"/>
        </w:rPr>
        <w:sectPr>
          <w:pgSz w:w="16840" w:h="11907" w:orient="landscape"/>
          <w:pgMar w:top="1418" w:right="1418" w:bottom="1418" w:left="1418" w:header="851" w:footer="992" w:gutter="0"/>
          <w:cols w:space="720" w:num="1"/>
          <w:docGrid w:linePitch="381" w:charSpace="0"/>
        </w:sectPr>
      </w:pP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6"/>
        <w:gridCol w:w="85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82" w:hRule="atLeast"/>
          <w:jc w:val="center"/>
        </w:trPr>
        <w:tc>
          <w:tcPr>
            <w:tcW w:w="506" w:type="dxa"/>
            <w:tcMar>
              <w:left w:w="28" w:type="dxa"/>
              <w:right w:w="28" w:type="dxa"/>
            </w:tcMar>
            <w:vAlign w:val="center"/>
          </w:tcPr>
          <w:p>
            <w:pPr>
              <w:jc w:val="center"/>
              <w:rPr>
                <w:bCs/>
                <w:sz w:val="21"/>
                <w:szCs w:val="21"/>
              </w:rPr>
            </w:pPr>
            <w:r>
              <w:rPr>
                <w:bCs/>
                <w:sz w:val="24"/>
              </w:rPr>
              <w:t>运营期环境影响和保护措施</w:t>
            </w:r>
          </w:p>
        </w:tc>
        <w:tc>
          <w:tcPr>
            <w:tcW w:w="8555" w:type="dxa"/>
            <w:vAlign w:val="center"/>
          </w:tcPr>
          <w:p>
            <w:pPr>
              <w:ind w:firstLine="482" w:firstLineChars="200"/>
              <w:jc w:val="left"/>
              <w:rPr>
                <w:b/>
                <w:bCs/>
                <w:sz w:val="24"/>
              </w:rPr>
            </w:pPr>
            <w:r>
              <w:rPr>
                <w:b/>
                <w:bCs/>
                <w:sz w:val="24"/>
              </w:rPr>
              <w:t>（2）废气监测计划</w:t>
            </w:r>
          </w:p>
          <w:p>
            <w:pPr>
              <w:ind w:firstLine="480" w:firstLineChars="200"/>
              <w:jc w:val="left"/>
              <w:rPr>
                <w:sz w:val="24"/>
              </w:rPr>
            </w:pPr>
            <w:r>
              <w:rPr>
                <w:sz w:val="24"/>
              </w:rPr>
              <w:t>根据《排污许可证申请与核发技术规范 电池工业》（HJ967-2018）</w:t>
            </w:r>
            <w:r>
              <w:rPr>
                <w:rFonts w:hint="eastAsia"/>
                <w:sz w:val="24"/>
              </w:rPr>
              <w:t>“</w:t>
            </w:r>
            <w:r>
              <w:rPr>
                <w:sz w:val="24"/>
              </w:rPr>
              <w:t>表28电池工业排污单位废气自行监测污染源、污染因子及最低监测频次</w:t>
            </w:r>
            <w:r>
              <w:rPr>
                <w:rFonts w:hint="eastAsia"/>
                <w:sz w:val="24"/>
              </w:rPr>
              <w:t>”</w:t>
            </w:r>
            <w:r>
              <w:rPr>
                <w:sz w:val="24"/>
              </w:rPr>
              <w:t>，项目监测计划如</w:t>
            </w:r>
            <w:r>
              <w:rPr>
                <w:rFonts w:hint="eastAsia"/>
                <w:sz w:val="24"/>
              </w:rPr>
              <w:t>。</w:t>
            </w:r>
            <w:r>
              <w:rPr>
                <w:sz w:val="24"/>
              </w:rPr>
              <w:t>：</w:t>
            </w:r>
          </w:p>
          <w:p>
            <w:pPr>
              <w:pStyle w:val="169"/>
              <w:spacing w:line="240" w:lineRule="auto"/>
              <w:rPr>
                <w:rFonts w:hint="default" w:hAnsi="Times New Roman" w:eastAsiaTheme="minorEastAsia"/>
                <w:sz w:val="24"/>
                <w:szCs w:val="24"/>
              </w:rPr>
            </w:pPr>
            <w:r>
              <w:rPr>
                <w:rFonts w:hAnsi="Times New Roman" w:eastAsiaTheme="minorEastAsia"/>
                <w:sz w:val="24"/>
                <w:szCs w:val="24"/>
              </w:rPr>
              <w:t>表4-</w:t>
            </w:r>
            <w:r>
              <w:rPr>
                <w:rFonts w:hint="default" w:hAnsi="Times New Roman" w:eastAsiaTheme="minorEastAsia"/>
                <w:sz w:val="24"/>
                <w:szCs w:val="24"/>
              </w:rPr>
              <w:t xml:space="preserve">2 </w:t>
            </w:r>
            <w:r>
              <w:rPr>
                <w:rFonts w:hAnsi="Times New Roman" w:eastAsiaTheme="minorEastAsia"/>
                <w:sz w:val="24"/>
                <w:szCs w:val="24"/>
              </w:rPr>
              <w:t>废气监测计划一览表</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8"/>
              <w:gridCol w:w="1097"/>
              <w:gridCol w:w="1469"/>
              <w:gridCol w:w="46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46" w:type="pct"/>
                  <w:tcBorders>
                    <w:tl2br w:val="nil"/>
                    <w:tr2bl w:val="nil"/>
                  </w:tcBorders>
                  <w:vAlign w:val="center"/>
                </w:tcPr>
                <w:p>
                  <w:pPr>
                    <w:spacing w:line="240" w:lineRule="auto"/>
                    <w:jc w:val="center"/>
                    <w:rPr>
                      <w:b/>
                      <w:bCs/>
                      <w:sz w:val="21"/>
                      <w:szCs w:val="21"/>
                    </w:rPr>
                  </w:pPr>
                  <w:r>
                    <w:rPr>
                      <w:b/>
                      <w:bCs/>
                      <w:sz w:val="21"/>
                      <w:szCs w:val="21"/>
                    </w:rPr>
                    <w:t>监测位置</w:t>
                  </w:r>
                </w:p>
              </w:tc>
              <w:tc>
                <w:tcPr>
                  <w:tcW w:w="658" w:type="pct"/>
                  <w:tcBorders>
                    <w:tl2br w:val="nil"/>
                    <w:tr2bl w:val="nil"/>
                  </w:tcBorders>
                  <w:vAlign w:val="center"/>
                </w:tcPr>
                <w:p>
                  <w:pPr>
                    <w:spacing w:line="240" w:lineRule="auto"/>
                    <w:jc w:val="center"/>
                    <w:rPr>
                      <w:b/>
                      <w:bCs/>
                      <w:sz w:val="21"/>
                      <w:szCs w:val="21"/>
                    </w:rPr>
                  </w:pPr>
                  <w:r>
                    <w:rPr>
                      <w:b/>
                      <w:bCs/>
                      <w:sz w:val="21"/>
                      <w:szCs w:val="21"/>
                    </w:rPr>
                    <w:t>监测项目</w:t>
                  </w:r>
                </w:p>
              </w:tc>
              <w:tc>
                <w:tcPr>
                  <w:tcW w:w="881" w:type="pct"/>
                  <w:tcBorders>
                    <w:tl2br w:val="nil"/>
                    <w:tr2bl w:val="nil"/>
                  </w:tcBorders>
                  <w:vAlign w:val="center"/>
                </w:tcPr>
                <w:p>
                  <w:pPr>
                    <w:spacing w:line="240" w:lineRule="auto"/>
                    <w:jc w:val="center"/>
                    <w:rPr>
                      <w:b/>
                      <w:bCs/>
                      <w:sz w:val="21"/>
                      <w:szCs w:val="21"/>
                    </w:rPr>
                  </w:pPr>
                  <w:r>
                    <w:rPr>
                      <w:b/>
                      <w:bCs/>
                      <w:sz w:val="21"/>
                      <w:szCs w:val="21"/>
                    </w:rPr>
                    <w:t>监测频次</w:t>
                  </w:r>
                </w:p>
              </w:tc>
              <w:tc>
                <w:tcPr>
                  <w:tcW w:w="2815" w:type="pct"/>
                  <w:tcBorders>
                    <w:tl2br w:val="nil"/>
                    <w:tr2bl w:val="nil"/>
                  </w:tcBorders>
                  <w:vAlign w:val="center"/>
                </w:tcPr>
                <w:p>
                  <w:pPr>
                    <w:spacing w:line="240" w:lineRule="auto"/>
                    <w:jc w:val="center"/>
                    <w:rPr>
                      <w:b/>
                      <w:bCs/>
                      <w:sz w:val="21"/>
                      <w:szCs w:val="21"/>
                    </w:rPr>
                  </w:pPr>
                  <w:r>
                    <w:rPr>
                      <w:b/>
                      <w:bCs/>
                      <w:sz w:val="21"/>
                      <w:szCs w:val="21"/>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46" w:type="pct"/>
                  <w:tcBorders>
                    <w:tl2br w:val="nil"/>
                    <w:tr2bl w:val="nil"/>
                  </w:tcBorders>
                  <w:vAlign w:val="center"/>
                </w:tcPr>
                <w:p>
                  <w:pPr>
                    <w:spacing w:line="240" w:lineRule="auto"/>
                    <w:jc w:val="center"/>
                    <w:rPr>
                      <w:sz w:val="21"/>
                      <w:szCs w:val="21"/>
                    </w:rPr>
                  </w:pPr>
                  <w:r>
                    <w:rPr>
                      <w:sz w:val="21"/>
                      <w:szCs w:val="21"/>
                    </w:rPr>
                    <w:t>厂界上下风向</w:t>
                  </w:r>
                </w:p>
              </w:tc>
              <w:tc>
                <w:tcPr>
                  <w:tcW w:w="658" w:type="pct"/>
                  <w:tcBorders>
                    <w:tl2br w:val="nil"/>
                    <w:tr2bl w:val="nil"/>
                  </w:tcBorders>
                  <w:vAlign w:val="center"/>
                </w:tcPr>
                <w:p>
                  <w:pPr>
                    <w:spacing w:line="240" w:lineRule="auto"/>
                    <w:jc w:val="center"/>
                    <w:rPr>
                      <w:sz w:val="21"/>
                      <w:szCs w:val="21"/>
                    </w:rPr>
                  </w:pPr>
                  <w:r>
                    <w:rPr>
                      <w:sz w:val="21"/>
                      <w:szCs w:val="21"/>
                    </w:rPr>
                    <w:t xml:space="preserve">VOCs </w:t>
                  </w:r>
                </w:p>
              </w:tc>
              <w:tc>
                <w:tcPr>
                  <w:tcW w:w="881" w:type="pct"/>
                  <w:tcBorders>
                    <w:tl2br w:val="nil"/>
                    <w:tr2bl w:val="nil"/>
                  </w:tcBorders>
                  <w:vAlign w:val="center"/>
                </w:tcPr>
                <w:p>
                  <w:pPr>
                    <w:spacing w:line="240" w:lineRule="auto"/>
                    <w:jc w:val="center"/>
                    <w:rPr>
                      <w:sz w:val="21"/>
                      <w:szCs w:val="21"/>
                    </w:rPr>
                  </w:pPr>
                  <w:r>
                    <w:rPr>
                      <w:sz w:val="21"/>
                      <w:szCs w:val="21"/>
                    </w:rPr>
                    <w:t>1次/半年</w:t>
                  </w:r>
                </w:p>
              </w:tc>
              <w:tc>
                <w:tcPr>
                  <w:tcW w:w="2815" w:type="pct"/>
                  <w:tcBorders>
                    <w:tl2br w:val="nil"/>
                    <w:tr2bl w:val="nil"/>
                  </w:tcBorders>
                  <w:vAlign w:val="center"/>
                </w:tcPr>
                <w:p>
                  <w:pPr>
                    <w:spacing w:line="240" w:lineRule="auto"/>
                    <w:jc w:val="center"/>
                    <w:rPr>
                      <w:sz w:val="21"/>
                      <w:szCs w:val="21"/>
                    </w:rPr>
                  </w:pPr>
                  <w:r>
                    <w:rPr>
                      <w:sz w:val="21"/>
                      <w:szCs w:val="21"/>
                    </w:rPr>
                    <w:t>《家具制造行业挥发性有机化合物排放标准》（DB 44/814-2010）表2无组织排放监控点浓度限值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46" w:type="pct"/>
                  <w:tcBorders>
                    <w:tl2br w:val="nil"/>
                    <w:tr2bl w:val="nil"/>
                  </w:tcBorders>
                  <w:vAlign w:val="center"/>
                </w:tcPr>
                <w:p>
                  <w:pPr>
                    <w:spacing w:line="240" w:lineRule="auto"/>
                    <w:jc w:val="center"/>
                    <w:rPr>
                      <w:sz w:val="21"/>
                      <w:szCs w:val="21"/>
                    </w:rPr>
                  </w:pPr>
                  <w:r>
                    <w:rPr>
                      <w:sz w:val="21"/>
                      <w:szCs w:val="21"/>
                    </w:rPr>
                    <w:t>厂区内</w:t>
                  </w:r>
                </w:p>
              </w:tc>
              <w:tc>
                <w:tcPr>
                  <w:tcW w:w="658" w:type="pct"/>
                  <w:tcBorders>
                    <w:tl2br w:val="nil"/>
                    <w:tr2bl w:val="nil"/>
                  </w:tcBorders>
                  <w:vAlign w:val="center"/>
                </w:tcPr>
                <w:p>
                  <w:pPr>
                    <w:spacing w:line="240" w:lineRule="auto"/>
                    <w:jc w:val="center"/>
                    <w:rPr>
                      <w:sz w:val="21"/>
                      <w:szCs w:val="21"/>
                    </w:rPr>
                  </w:pPr>
                  <w:r>
                    <w:rPr>
                      <w:sz w:val="21"/>
                      <w:szCs w:val="21"/>
                    </w:rPr>
                    <w:t>NMHC</w:t>
                  </w:r>
                </w:p>
              </w:tc>
              <w:tc>
                <w:tcPr>
                  <w:tcW w:w="881" w:type="pct"/>
                  <w:tcBorders>
                    <w:tl2br w:val="nil"/>
                    <w:tr2bl w:val="nil"/>
                  </w:tcBorders>
                  <w:vAlign w:val="center"/>
                </w:tcPr>
                <w:p>
                  <w:pPr>
                    <w:spacing w:line="240" w:lineRule="auto"/>
                    <w:jc w:val="center"/>
                    <w:rPr>
                      <w:sz w:val="21"/>
                      <w:szCs w:val="21"/>
                    </w:rPr>
                  </w:pPr>
                  <w:r>
                    <w:rPr>
                      <w:sz w:val="21"/>
                      <w:szCs w:val="21"/>
                    </w:rPr>
                    <w:t>1次/半年</w:t>
                  </w:r>
                </w:p>
              </w:tc>
              <w:tc>
                <w:tcPr>
                  <w:tcW w:w="2815" w:type="pct"/>
                  <w:tcBorders>
                    <w:tl2br w:val="nil"/>
                    <w:tr2bl w:val="nil"/>
                  </w:tcBorders>
                  <w:vAlign w:val="center"/>
                </w:tcPr>
                <w:p>
                  <w:pPr>
                    <w:spacing w:line="240" w:lineRule="auto"/>
                    <w:jc w:val="center"/>
                    <w:rPr>
                      <w:sz w:val="21"/>
                      <w:szCs w:val="21"/>
                    </w:rPr>
                  </w:pPr>
                  <w:r>
                    <w:rPr>
                      <w:sz w:val="21"/>
                      <w:szCs w:val="21"/>
                    </w:rPr>
                    <w:t>《挥发性有机物无组织排放控制标准》（GB37822—2019）附录A.1中的特别排放限值</w:t>
                  </w:r>
                </w:p>
              </w:tc>
            </w:tr>
          </w:tbl>
          <w:p>
            <w:pPr>
              <w:ind w:firstLine="482" w:firstLineChars="200"/>
              <w:jc w:val="left"/>
              <w:rPr>
                <w:b/>
                <w:bCs/>
                <w:sz w:val="24"/>
              </w:rPr>
            </w:pPr>
            <w:r>
              <w:rPr>
                <w:b/>
                <w:bCs/>
                <w:sz w:val="24"/>
              </w:rPr>
              <w:t>（3）废气排放环境影响</w:t>
            </w:r>
          </w:p>
          <w:p>
            <w:pPr>
              <w:ind w:firstLine="480" w:firstLineChars="200"/>
              <w:jc w:val="left"/>
              <w:rPr>
                <w:sz w:val="24"/>
              </w:rPr>
            </w:pPr>
            <w:r>
              <w:rPr>
                <w:sz w:val="24"/>
              </w:rPr>
              <w:t>项目</w:t>
            </w:r>
            <w:r>
              <w:rPr>
                <w:rFonts w:hint="eastAsia"/>
                <w:sz w:val="24"/>
              </w:rPr>
              <w:t>营运期有机废气</w:t>
            </w:r>
            <w:r>
              <w:rPr>
                <w:sz w:val="24"/>
              </w:rPr>
              <w:t>经车间通风抽排、大气稀释后以无组织形式排至车间外部，VOCs无组织排放速率为</w:t>
            </w:r>
            <w:r>
              <w:rPr>
                <w:rFonts w:hint="eastAsia"/>
                <w:sz w:val="24"/>
              </w:rPr>
              <w:t>0.002</w:t>
            </w:r>
            <w:r>
              <w:rPr>
                <w:sz w:val="24"/>
              </w:rPr>
              <w:t>kg/h，可</w:t>
            </w:r>
            <w:r>
              <w:rPr>
                <w:rFonts w:hint="eastAsia"/>
                <w:sz w:val="24"/>
              </w:rPr>
              <w:t>满足</w:t>
            </w:r>
            <w:r>
              <w:rPr>
                <w:sz w:val="24"/>
              </w:rPr>
              <w:t>《家具制造行业挥发性有机化合物排放标准》（DB 44/814-2010）表2无组织排放监控点浓度限值</w:t>
            </w:r>
            <w:r>
              <w:rPr>
                <w:rFonts w:hint="eastAsia"/>
                <w:sz w:val="24"/>
              </w:rPr>
              <w:t>，对周围环境和环境保护目标影响不大</w:t>
            </w:r>
            <w:r>
              <w:rPr>
                <w:sz w:val="24"/>
              </w:rPr>
              <w:t>。</w:t>
            </w:r>
          </w:p>
          <w:p>
            <w:pPr>
              <w:pStyle w:val="49"/>
              <w:ind w:firstLine="482" w:firstLineChars="200"/>
              <w:rPr>
                <w:rFonts w:hint="default" w:ascii="Times New Roman" w:hAnsi="Times New Roman" w:eastAsia="新宋体"/>
                <w:b/>
                <w:bCs/>
                <w:color w:val="auto"/>
                <w:szCs w:val="24"/>
              </w:rPr>
            </w:pPr>
            <w:r>
              <w:rPr>
                <w:rFonts w:hint="default" w:ascii="Times New Roman" w:hAnsi="Times New Roman" w:eastAsia="新宋体"/>
                <w:b/>
                <w:bCs/>
                <w:color w:val="auto"/>
                <w:szCs w:val="24"/>
              </w:rPr>
              <w:t>2、水环境影响和保护措施分析</w:t>
            </w:r>
          </w:p>
          <w:p>
            <w:pPr>
              <w:pStyle w:val="51"/>
              <w:spacing w:before="0" w:line="360" w:lineRule="auto"/>
              <w:ind w:left="0" w:firstLine="482" w:firstLineChars="200"/>
              <w:outlineLvl w:val="9"/>
              <w:rPr>
                <w:rFonts w:ascii="Times New Roman" w:hAnsi="Times New Roman" w:eastAsia="新宋体"/>
                <w:b/>
                <w:bCs/>
                <w:sz w:val="24"/>
                <w:szCs w:val="24"/>
                <w:lang w:val="en-US"/>
              </w:rPr>
            </w:pPr>
            <w:r>
              <w:rPr>
                <w:rFonts w:ascii="Times New Roman" w:hAnsi="Times New Roman" w:eastAsia="新宋体"/>
                <w:b/>
                <w:bCs/>
                <w:sz w:val="24"/>
                <w:szCs w:val="24"/>
                <w:lang w:val="en-US"/>
              </w:rPr>
              <w:t>（1）废水产排情况</w:t>
            </w:r>
          </w:p>
          <w:p>
            <w:pPr>
              <w:pStyle w:val="51"/>
              <w:spacing w:before="0" w:line="360" w:lineRule="auto"/>
              <w:ind w:left="0" w:firstLine="482" w:firstLineChars="200"/>
              <w:outlineLvl w:val="9"/>
              <w:rPr>
                <w:rFonts w:ascii="Times New Roman" w:hAnsi="Times New Roman" w:eastAsia="新宋体"/>
                <w:b/>
                <w:bCs/>
                <w:sz w:val="24"/>
                <w:szCs w:val="24"/>
                <w:lang w:val="en-US"/>
              </w:rPr>
            </w:pPr>
            <w:r>
              <w:rPr>
                <w:rFonts w:hint="eastAsia" w:ascii="Times New Roman" w:hAnsi="Times New Roman" w:eastAsia="新宋体"/>
                <w:b/>
                <w:bCs/>
                <w:sz w:val="24"/>
                <w:szCs w:val="24"/>
                <w:lang w:val="en-US"/>
              </w:rPr>
              <w:t>①</w:t>
            </w:r>
            <w:r>
              <w:rPr>
                <w:rFonts w:ascii="Times New Roman" w:hAnsi="Times New Roman" w:eastAsia="新宋体"/>
                <w:b/>
                <w:bCs/>
                <w:sz w:val="24"/>
                <w:szCs w:val="24"/>
                <w:lang w:val="en-US"/>
              </w:rPr>
              <w:t>生活污水</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项目定员250人，均在厂区内食宿，年</w:t>
            </w:r>
            <w:r>
              <w:rPr>
                <w:rFonts w:hint="eastAsia" w:ascii="Times New Roman" w:hAnsi="Times New Roman" w:eastAsia="新宋体"/>
                <w:sz w:val="24"/>
                <w:szCs w:val="24"/>
                <w:lang w:val="en-US"/>
              </w:rPr>
              <w:t>工作</w:t>
            </w:r>
            <w:r>
              <w:rPr>
                <w:rFonts w:ascii="Times New Roman" w:hAnsi="Times New Roman" w:eastAsia="新宋体"/>
                <w:sz w:val="24"/>
                <w:szCs w:val="24"/>
                <w:lang w:val="en-US"/>
              </w:rPr>
              <w:t>336天。参照广东省地方标准《用水定额 第3部分：生活》（DB44/T1461.3-2021）中</w:t>
            </w:r>
            <w:r>
              <w:rPr>
                <w:rFonts w:hint="eastAsia" w:ascii="Times New Roman" w:hAnsi="Times New Roman" w:eastAsia="新宋体"/>
                <w:sz w:val="24"/>
                <w:szCs w:val="24"/>
                <w:lang w:val="en-US"/>
              </w:rPr>
              <w:t>“</w:t>
            </w:r>
            <w:r>
              <w:rPr>
                <w:rFonts w:ascii="Times New Roman" w:hAnsi="Times New Roman" w:eastAsia="新宋体"/>
                <w:sz w:val="24"/>
                <w:szCs w:val="24"/>
                <w:lang w:val="en-US"/>
              </w:rPr>
              <w:t>国家行政机构-办公楼（</w:t>
            </w:r>
            <w:r>
              <w:rPr>
                <w:rFonts w:hint="eastAsia" w:ascii="Times New Roman" w:hAnsi="Times New Roman" w:eastAsia="新宋体"/>
                <w:sz w:val="24"/>
                <w:szCs w:val="24"/>
                <w:lang w:val="en-US"/>
              </w:rPr>
              <w:t>有</w:t>
            </w:r>
            <w:r>
              <w:rPr>
                <w:rFonts w:ascii="Times New Roman" w:hAnsi="Times New Roman" w:eastAsia="新宋体"/>
                <w:sz w:val="24"/>
                <w:szCs w:val="24"/>
                <w:lang w:val="en-US"/>
              </w:rPr>
              <w:t>食堂和浴室）</w:t>
            </w:r>
            <w:r>
              <w:rPr>
                <w:rFonts w:hint="eastAsia" w:ascii="Times New Roman" w:hAnsi="Times New Roman" w:eastAsia="新宋体"/>
                <w:sz w:val="24"/>
                <w:szCs w:val="24"/>
                <w:lang w:val="en-US"/>
              </w:rPr>
              <w:t>”</w:t>
            </w:r>
            <w:r>
              <w:rPr>
                <w:rFonts w:ascii="Times New Roman" w:hAnsi="Times New Roman" w:eastAsia="新宋体"/>
                <w:sz w:val="24"/>
                <w:szCs w:val="24"/>
                <w:lang w:val="en-US"/>
              </w:rPr>
              <w:t>，用水定额为15m</w:t>
            </w:r>
            <w:r>
              <w:rPr>
                <w:rFonts w:ascii="Times New Roman" w:hAnsi="Times New Roman" w:eastAsia="新宋体"/>
                <w:sz w:val="24"/>
                <w:szCs w:val="24"/>
                <w:vertAlign w:val="superscript"/>
                <w:lang w:val="en-US"/>
              </w:rPr>
              <w:t>3</w:t>
            </w:r>
            <w:r>
              <w:rPr>
                <w:rFonts w:ascii="Times New Roman" w:hAnsi="Times New Roman" w:eastAsia="新宋体"/>
                <w:sz w:val="24"/>
                <w:szCs w:val="24"/>
                <w:lang w:val="en-US"/>
              </w:rPr>
              <w:t>/（人·a），计算生活用水量为11.16m</w:t>
            </w:r>
            <w:r>
              <w:rPr>
                <w:rFonts w:ascii="Times New Roman" w:hAnsi="Times New Roman" w:eastAsia="新宋体"/>
                <w:sz w:val="24"/>
                <w:szCs w:val="24"/>
                <w:vertAlign w:val="superscript"/>
                <w:lang w:val="en-US"/>
              </w:rPr>
              <w:t>3</w:t>
            </w:r>
            <w:r>
              <w:rPr>
                <w:rFonts w:ascii="Times New Roman" w:hAnsi="Times New Roman" w:eastAsia="新宋体"/>
                <w:sz w:val="24"/>
                <w:szCs w:val="24"/>
                <w:lang w:val="en-US"/>
              </w:rPr>
              <w:t>/d（3750m</w:t>
            </w:r>
            <w:r>
              <w:rPr>
                <w:rFonts w:ascii="Times New Roman" w:hAnsi="Times New Roman" w:eastAsia="新宋体"/>
                <w:sz w:val="24"/>
                <w:szCs w:val="24"/>
                <w:vertAlign w:val="superscript"/>
                <w:lang w:val="en-US"/>
              </w:rPr>
              <w:t>3</w:t>
            </w:r>
            <w:r>
              <w:rPr>
                <w:rFonts w:ascii="Times New Roman" w:hAnsi="Times New Roman" w:eastAsia="新宋体"/>
                <w:sz w:val="24"/>
                <w:szCs w:val="24"/>
                <w:lang w:val="en-US"/>
              </w:rPr>
              <w:t>/a），产污系数按0.9计，生活污水排放量10.05m</w:t>
            </w:r>
            <w:r>
              <w:rPr>
                <w:rFonts w:ascii="Times New Roman" w:hAnsi="Times New Roman" w:eastAsia="新宋体"/>
                <w:sz w:val="24"/>
                <w:szCs w:val="24"/>
                <w:vertAlign w:val="superscript"/>
                <w:lang w:val="en-US"/>
              </w:rPr>
              <w:t>3</w:t>
            </w:r>
            <w:r>
              <w:rPr>
                <w:rFonts w:ascii="Times New Roman" w:hAnsi="Times New Roman" w:eastAsia="新宋体"/>
                <w:sz w:val="24"/>
                <w:szCs w:val="24"/>
                <w:lang w:val="en-US"/>
              </w:rPr>
              <w:t>/d（3375m</w:t>
            </w:r>
            <w:r>
              <w:rPr>
                <w:rFonts w:ascii="Times New Roman" w:hAnsi="Times New Roman" w:eastAsia="新宋体"/>
                <w:sz w:val="24"/>
                <w:szCs w:val="24"/>
                <w:vertAlign w:val="superscript"/>
                <w:lang w:val="en-US"/>
              </w:rPr>
              <w:t>3</w:t>
            </w:r>
            <w:r>
              <w:rPr>
                <w:rFonts w:ascii="Times New Roman" w:hAnsi="Times New Roman" w:eastAsia="新宋体"/>
                <w:sz w:val="24"/>
                <w:szCs w:val="24"/>
                <w:lang w:val="en-US"/>
              </w:rPr>
              <w:t>/a）</w:t>
            </w:r>
            <w:r>
              <w:rPr>
                <w:rFonts w:hint="eastAsia" w:ascii="Times New Roman" w:hAnsi="Times New Roman" w:eastAsia="新宋体"/>
                <w:sz w:val="24"/>
                <w:szCs w:val="24"/>
                <w:lang w:val="en-US"/>
              </w:rPr>
              <w:t>，该类污水的主要污染物为CODcr、BOD</w:t>
            </w:r>
            <w:r>
              <w:rPr>
                <w:rFonts w:hint="eastAsia" w:ascii="Times New Roman" w:hAnsi="Times New Roman" w:eastAsia="新宋体"/>
                <w:sz w:val="24"/>
                <w:szCs w:val="24"/>
                <w:vertAlign w:val="subscript"/>
                <w:lang w:val="en-US"/>
              </w:rPr>
              <w:t>5</w:t>
            </w:r>
            <w:r>
              <w:rPr>
                <w:rFonts w:hint="eastAsia" w:ascii="Times New Roman" w:hAnsi="Times New Roman" w:eastAsia="新宋体"/>
                <w:sz w:val="24"/>
                <w:szCs w:val="24"/>
                <w:lang w:val="en-US"/>
              </w:rPr>
              <w:t>、SS、NH</w:t>
            </w:r>
            <w:r>
              <w:rPr>
                <w:rFonts w:hint="eastAsia" w:ascii="Times New Roman" w:hAnsi="Times New Roman" w:eastAsia="新宋体"/>
                <w:sz w:val="24"/>
                <w:szCs w:val="24"/>
                <w:vertAlign w:val="subscript"/>
                <w:lang w:val="en-US"/>
              </w:rPr>
              <w:t>3</w:t>
            </w:r>
            <w:r>
              <w:rPr>
                <w:rFonts w:hint="eastAsia" w:ascii="Times New Roman" w:hAnsi="Times New Roman" w:eastAsia="新宋体"/>
                <w:sz w:val="24"/>
                <w:szCs w:val="24"/>
                <w:lang w:val="en-US"/>
              </w:rPr>
              <w:t>-N</w:t>
            </w:r>
            <w:r>
              <w:rPr>
                <w:rFonts w:ascii="Times New Roman" w:hAnsi="Times New Roman" w:eastAsia="新宋体"/>
                <w:sz w:val="24"/>
                <w:szCs w:val="24"/>
                <w:lang w:val="en-US"/>
              </w:rPr>
              <w:t>。</w:t>
            </w:r>
          </w:p>
          <w:p>
            <w:pPr>
              <w:pStyle w:val="51"/>
              <w:spacing w:before="0" w:line="360" w:lineRule="auto"/>
              <w:ind w:left="0" w:firstLine="480" w:firstLineChars="200"/>
              <w:outlineLvl w:val="9"/>
            </w:pPr>
            <w:r>
              <w:rPr>
                <w:rFonts w:hint="eastAsia" w:ascii="Times New Roman" w:hAnsi="Times New Roman" w:eastAsia="新宋体"/>
                <w:sz w:val="24"/>
                <w:szCs w:val="24"/>
                <w:lang w:val="en-US"/>
              </w:rPr>
              <w:t>项目</w:t>
            </w:r>
            <w:r>
              <w:rPr>
                <w:rFonts w:ascii="Times New Roman" w:hAnsi="Times New Roman" w:eastAsia="新宋体"/>
                <w:sz w:val="24"/>
                <w:szCs w:val="24"/>
                <w:lang w:val="en-US"/>
              </w:rPr>
              <w:t>生活污水</w:t>
            </w:r>
            <w:r>
              <w:rPr>
                <w:rFonts w:hint="eastAsia" w:ascii="Times New Roman" w:hAnsi="Times New Roman" w:eastAsia="新宋体"/>
                <w:sz w:val="24"/>
                <w:szCs w:val="24"/>
                <w:lang w:val="en-US"/>
              </w:rPr>
              <w:t>依托新河工业园区陆河比亚迪汽车厂现有三级化粪池</w:t>
            </w:r>
            <w:r>
              <w:rPr>
                <w:rFonts w:ascii="Times New Roman" w:hAnsi="Times New Roman" w:eastAsia="新宋体"/>
                <w:sz w:val="24"/>
                <w:szCs w:val="24"/>
                <w:lang w:val="en-US"/>
              </w:rPr>
              <w:t>预处理达到河口镇污水处理厂接管标准</w:t>
            </w:r>
            <w:r>
              <w:rPr>
                <w:rFonts w:hint="eastAsia" w:ascii="Times New Roman" w:hAnsi="Times New Roman" w:eastAsia="新宋体"/>
                <w:sz w:val="24"/>
                <w:szCs w:val="24"/>
                <w:lang w:val="en-US"/>
              </w:rPr>
              <w:t>与</w:t>
            </w:r>
            <w:r>
              <w:rPr>
                <w:rFonts w:ascii="Times New Roman" w:hAnsi="Times New Roman" w:eastAsia="新宋体"/>
                <w:sz w:val="24"/>
                <w:szCs w:val="24"/>
                <w:lang w:val="en-US"/>
              </w:rPr>
              <w:t>广东省《水污染物排放限值》（DB44/26-2001）第二时段三级标准较严值后</w:t>
            </w:r>
            <w:r>
              <w:rPr>
                <w:rFonts w:hint="eastAsia" w:ascii="Times New Roman" w:hAnsi="Times New Roman" w:eastAsia="新宋体"/>
                <w:sz w:val="24"/>
                <w:szCs w:val="24"/>
                <w:lang w:val="en-US"/>
              </w:rPr>
              <w:t>通过</w:t>
            </w:r>
            <w:r>
              <w:rPr>
                <w:rFonts w:ascii="Times New Roman" w:hAnsi="Times New Roman" w:eastAsia="新宋体"/>
                <w:sz w:val="24"/>
                <w:szCs w:val="24"/>
                <w:lang w:val="en-US"/>
              </w:rPr>
              <w:t>市政管网引至河口镇污水处理厂集中处理，污染物具体产排情况见下表。</w:t>
            </w:r>
          </w:p>
          <w:p>
            <w:pPr>
              <w:pStyle w:val="169"/>
              <w:spacing w:line="240" w:lineRule="auto"/>
              <w:rPr>
                <w:rFonts w:hint="default" w:hAnsi="Times New Roman" w:eastAsiaTheme="minorEastAsia"/>
                <w:sz w:val="24"/>
                <w:szCs w:val="24"/>
              </w:rPr>
            </w:pPr>
            <w:r>
              <w:rPr>
                <w:rFonts w:hAnsi="Times New Roman" w:eastAsiaTheme="minorEastAsia"/>
                <w:sz w:val="24"/>
                <w:szCs w:val="24"/>
              </w:rPr>
              <w:t>表4-</w:t>
            </w:r>
            <w:r>
              <w:rPr>
                <w:rFonts w:hint="default" w:hAnsi="Times New Roman" w:eastAsiaTheme="minorEastAsia"/>
                <w:sz w:val="24"/>
                <w:szCs w:val="24"/>
              </w:rPr>
              <w:t xml:space="preserve">3 </w:t>
            </w:r>
            <w:r>
              <w:rPr>
                <w:rFonts w:hAnsi="Times New Roman" w:eastAsiaTheme="minorEastAsia"/>
                <w:sz w:val="24"/>
                <w:szCs w:val="24"/>
              </w:rPr>
              <w:t>项目生活污水污染物产排情况</w:t>
            </w:r>
          </w:p>
          <w:tbl>
            <w:tblPr>
              <w:tblStyle w:val="40"/>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862"/>
              <w:gridCol w:w="3575"/>
              <w:gridCol w:w="1076"/>
              <w:gridCol w:w="944"/>
              <w:gridCol w:w="939"/>
              <w:gridCol w:w="94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4712" w:type="dxa"/>
                  <w:gridSpan w:val="2"/>
                  <w:vAlign w:val="center"/>
                </w:tcPr>
                <w:p>
                  <w:pPr>
                    <w:spacing w:line="240" w:lineRule="auto"/>
                    <w:jc w:val="center"/>
                    <w:rPr>
                      <w:b/>
                      <w:bCs/>
                      <w:sz w:val="21"/>
                      <w:szCs w:val="21"/>
                    </w:rPr>
                  </w:pPr>
                  <w:r>
                    <w:rPr>
                      <w:b/>
                      <w:bCs/>
                      <w:sz w:val="21"/>
                      <w:szCs w:val="21"/>
                    </w:rPr>
                    <w:t>污染物名称</w:t>
                  </w:r>
                </w:p>
              </w:tc>
              <w:tc>
                <w:tcPr>
                  <w:tcW w:w="1134" w:type="dxa"/>
                  <w:vAlign w:val="center"/>
                </w:tcPr>
                <w:p>
                  <w:pPr>
                    <w:spacing w:line="240" w:lineRule="auto"/>
                    <w:jc w:val="center"/>
                    <w:rPr>
                      <w:b/>
                      <w:bCs/>
                      <w:sz w:val="21"/>
                      <w:szCs w:val="21"/>
                    </w:rPr>
                  </w:pPr>
                  <w:r>
                    <w:rPr>
                      <w:b/>
                      <w:bCs/>
                      <w:sz w:val="21"/>
                      <w:szCs w:val="21"/>
                    </w:rPr>
                    <w:t>COD</w:t>
                  </w:r>
                  <w:r>
                    <w:rPr>
                      <w:rFonts w:hint="eastAsia"/>
                      <w:b/>
                      <w:bCs/>
                      <w:sz w:val="21"/>
                      <w:szCs w:val="21"/>
                    </w:rPr>
                    <w:t>cr</w:t>
                  </w:r>
                </w:p>
              </w:tc>
              <w:tc>
                <w:tcPr>
                  <w:tcW w:w="993" w:type="dxa"/>
                  <w:vAlign w:val="center"/>
                </w:tcPr>
                <w:p>
                  <w:pPr>
                    <w:spacing w:line="240" w:lineRule="auto"/>
                    <w:jc w:val="center"/>
                    <w:rPr>
                      <w:b/>
                      <w:bCs/>
                      <w:sz w:val="21"/>
                      <w:szCs w:val="21"/>
                    </w:rPr>
                  </w:pPr>
                  <w:r>
                    <w:rPr>
                      <w:b/>
                      <w:bCs/>
                      <w:sz w:val="21"/>
                      <w:szCs w:val="21"/>
                    </w:rPr>
                    <w:t>BOD</w:t>
                  </w:r>
                  <w:r>
                    <w:rPr>
                      <w:b/>
                      <w:bCs/>
                      <w:sz w:val="21"/>
                      <w:szCs w:val="21"/>
                      <w:vertAlign w:val="subscript"/>
                    </w:rPr>
                    <w:t>5</w:t>
                  </w:r>
                </w:p>
              </w:tc>
              <w:tc>
                <w:tcPr>
                  <w:tcW w:w="988" w:type="dxa"/>
                  <w:vAlign w:val="center"/>
                </w:tcPr>
                <w:p>
                  <w:pPr>
                    <w:spacing w:line="240" w:lineRule="auto"/>
                    <w:jc w:val="center"/>
                    <w:rPr>
                      <w:b/>
                      <w:bCs/>
                      <w:sz w:val="21"/>
                      <w:szCs w:val="21"/>
                    </w:rPr>
                  </w:pPr>
                  <w:r>
                    <w:rPr>
                      <w:b/>
                      <w:bCs/>
                      <w:sz w:val="21"/>
                      <w:szCs w:val="21"/>
                    </w:rPr>
                    <w:t>SS</w:t>
                  </w:r>
                </w:p>
              </w:tc>
              <w:tc>
                <w:tcPr>
                  <w:tcW w:w="992" w:type="dxa"/>
                  <w:vAlign w:val="center"/>
                </w:tcPr>
                <w:p>
                  <w:pPr>
                    <w:spacing w:line="240" w:lineRule="auto"/>
                    <w:jc w:val="center"/>
                    <w:rPr>
                      <w:b/>
                      <w:bCs/>
                      <w:sz w:val="21"/>
                      <w:szCs w:val="21"/>
                    </w:rPr>
                  </w:pPr>
                  <w:r>
                    <w:rPr>
                      <w:b/>
                      <w:bCs/>
                      <w:sz w:val="21"/>
                      <w:szCs w:val="21"/>
                    </w:rPr>
                    <w:t>氨氮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906" w:type="dxa"/>
                  <w:vMerge w:val="restart"/>
                  <w:vAlign w:val="center"/>
                </w:tcPr>
                <w:p>
                  <w:pPr>
                    <w:spacing w:line="240" w:lineRule="auto"/>
                    <w:jc w:val="center"/>
                    <w:rPr>
                      <w:sz w:val="21"/>
                      <w:szCs w:val="21"/>
                    </w:rPr>
                  </w:pPr>
                  <w:r>
                    <w:rPr>
                      <w:rFonts w:hint="eastAsia"/>
                      <w:sz w:val="21"/>
                      <w:szCs w:val="21"/>
                    </w:rPr>
                    <w:t>生活污水（</w:t>
                  </w:r>
                  <w:r>
                    <w:rPr>
                      <w:sz w:val="21"/>
                      <w:szCs w:val="21"/>
                    </w:rPr>
                    <w:t>3375m</w:t>
                  </w:r>
                  <w:r>
                    <w:rPr>
                      <w:sz w:val="21"/>
                      <w:szCs w:val="21"/>
                      <w:vertAlign w:val="superscript"/>
                    </w:rPr>
                    <w:t>3</w:t>
                  </w:r>
                  <w:r>
                    <w:rPr>
                      <w:rFonts w:hint="eastAsia"/>
                      <w:sz w:val="21"/>
                      <w:szCs w:val="21"/>
                    </w:rPr>
                    <w:t>/a）</w:t>
                  </w:r>
                </w:p>
              </w:tc>
              <w:tc>
                <w:tcPr>
                  <w:tcW w:w="3806" w:type="dxa"/>
                  <w:vAlign w:val="center"/>
                </w:tcPr>
                <w:p>
                  <w:pPr>
                    <w:spacing w:line="240" w:lineRule="auto"/>
                    <w:jc w:val="center"/>
                    <w:rPr>
                      <w:b/>
                      <w:bCs/>
                      <w:sz w:val="21"/>
                      <w:szCs w:val="21"/>
                    </w:rPr>
                  </w:pPr>
                  <w:r>
                    <w:rPr>
                      <w:rFonts w:hint="eastAsia"/>
                      <w:b/>
                      <w:bCs/>
                      <w:sz w:val="21"/>
                      <w:szCs w:val="21"/>
                    </w:rPr>
                    <w:t>产生</w:t>
                  </w:r>
                  <w:r>
                    <w:rPr>
                      <w:b/>
                      <w:bCs/>
                      <w:sz w:val="21"/>
                      <w:szCs w:val="21"/>
                    </w:rPr>
                    <w:t>浓度（mg/L）</w:t>
                  </w:r>
                </w:p>
              </w:tc>
              <w:tc>
                <w:tcPr>
                  <w:tcW w:w="1134" w:type="dxa"/>
                  <w:vAlign w:val="center"/>
                </w:tcPr>
                <w:p>
                  <w:pPr>
                    <w:spacing w:line="240" w:lineRule="auto"/>
                    <w:jc w:val="center"/>
                    <w:rPr>
                      <w:sz w:val="21"/>
                      <w:szCs w:val="21"/>
                    </w:rPr>
                  </w:pPr>
                  <w:r>
                    <w:rPr>
                      <w:sz w:val="21"/>
                      <w:szCs w:val="21"/>
                    </w:rPr>
                    <w:t>200</w:t>
                  </w:r>
                </w:p>
              </w:tc>
              <w:tc>
                <w:tcPr>
                  <w:tcW w:w="993" w:type="dxa"/>
                  <w:vAlign w:val="center"/>
                </w:tcPr>
                <w:p>
                  <w:pPr>
                    <w:spacing w:line="240" w:lineRule="auto"/>
                    <w:jc w:val="center"/>
                    <w:rPr>
                      <w:sz w:val="21"/>
                      <w:szCs w:val="21"/>
                    </w:rPr>
                  </w:pPr>
                  <w:r>
                    <w:rPr>
                      <w:sz w:val="21"/>
                      <w:szCs w:val="21"/>
                    </w:rPr>
                    <w:t>100</w:t>
                  </w:r>
                </w:p>
              </w:tc>
              <w:tc>
                <w:tcPr>
                  <w:tcW w:w="988" w:type="dxa"/>
                  <w:vAlign w:val="center"/>
                </w:tcPr>
                <w:p>
                  <w:pPr>
                    <w:spacing w:line="240" w:lineRule="auto"/>
                    <w:jc w:val="center"/>
                    <w:rPr>
                      <w:sz w:val="21"/>
                      <w:szCs w:val="21"/>
                    </w:rPr>
                  </w:pPr>
                  <w:r>
                    <w:rPr>
                      <w:sz w:val="21"/>
                      <w:szCs w:val="21"/>
                    </w:rPr>
                    <w:t>150</w:t>
                  </w:r>
                </w:p>
              </w:tc>
              <w:tc>
                <w:tcPr>
                  <w:tcW w:w="992" w:type="dxa"/>
                  <w:vAlign w:val="center"/>
                </w:tcPr>
                <w:p>
                  <w:pPr>
                    <w:spacing w:line="240" w:lineRule="auto"/>
                    <w:jc w:val="center"/>
                    <w:rPr>
                      <w:sz w:val="21"/>
                      <w:szCs w:val="21"/>
                    </w:rPr>
                  </w:pPr>
                  <w:r>
                    <w:rPr>
                      <w:sz w:val="21"/>
                      <w:szCs w:val="21"/>
                    </w:rPr>
                    <w:t>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906" w:type="dxa"/>
                  <w:vMerge w:val="continue"/>
                  <w:vAlign w:val="center"/>
                </w:tcPr>
                <w:p>
                  <w:pPr>
                    <w:spacing w:line="240" w:lineRule="auto"/>
                    <w:jc w:val="center"/>
                    <w:rPr>
                      <w:sz w:val="21"/>
                      <w:szCs w:val="21"/>
                    </w:rPr>
                  </w:pPr>
                </w:p>
              </w:tc>
              <w:tc>
                <w:tcPr>
                  <w:tcW w:w="3806" w:type="dxa"/>
                  <w:vAlign w:val="center"/>
                </w:tcPr>
                <w:p>
                  <w:pPr>
                    <w:spacing w:line="240" w:lineRule="auto"/>
                    <w:jc w:val="center"/>
                    <w:rPr>
                      <w:b/>
                      <w:bCs/>
                      <w:sz w:val="21"/>
                      <w:szCs w:val="21"/>
                    </w:rPr>
                  </w:pPr>
                  <w:r>
                    <w:rPr>
                      <w:rFonts w:hint="eastAsia"/>
                      <w:b/>
                      <w:bCs/>
                      <w:sz w:val="21"/>
                      <w:szCs w:val="21"/>
                    </w:rPr>
                    <w:t>年</w:t>
                  </w:r>
                  <w:r>
                    <w:rPr>
                      <w:b/>
                      <w:bCs/>
                      <w:sz w:val="21"/>
                      <w:szCs w:val="21"/>
                    </w:rPr>
                    <w:t>产生量（t/a）</w:t>
                  </w:r>
                </w:p>
              </w:tc>
              <w:tc>
                <w:tcPr>
                  <w:tcW w:w="1134" w:type="dxa"/>
                  <w:vAlign w:val="center"/>
                </w:tcPr>
                <w:p>
                  <w:pPr>
                    <w:spacing w:line="240" w:lineRule="auto"/>
                    <w:jc w:val="center"/>
                    <w:rPr>
                      <w:sz w:val="21"/>
                      <w:szCs w:val="21"/>
                    </w:rPr>
                  </w:pPr>
                  <w:r>
                    <w:rPr>
                      <w:rFonts w:hint="eastAsia"/>
                      <w:sz w:val="21"/>
                      <w:szCs w:val="21"/>
                    </w:rPr>
                    <w:t xml:space="preserve">0.675 </w:t>
                  </w:r>
                </w:p>
              </w:tc>
              <w:tc>
                <w:tcPr>
                  <w:tcW w:w="993" w:type="dxa"/>
                  <w:vAlign w:val="center"/>
                </w:tcPr>
                <w:p>
                  <w:pPr>
                    <w:spacing w:line="240" w:lineRule="auto"/>
                    <w:jc w:val="center"/>
                    <w:rPr>
                      <w:sz w:val="21"/>
                      <w:szCs w:val="21"/>
                    </w:rPr>
                  </w:pPr>
                  <w:r>
                    <w:rPr>
                      <w:rFonts w:hint="eastAsia"/>
                      <w:sz w:val="21"/>
                      <w:szCs w:val="21"/>
                    </w:rPr>
                    <w:t xml:space="preserve">0.338 </w:t>
                  </w:r>
                </w:p>
              </w:tc>
              <w:tc>
                <w:tcPr>
                  <w:tcW w:w="988" w:type="dxa"/>
                  <w:vAlign w:val="center"/>
                </w:tcPr>
                <w:p>
                  <w:pPr>
                    <w:spacing w:line="240" w:lineRule="auto"/>
                    <w:jc w:val="center"/>
                    <w:rPr>
                      <w:sz w:val="21"/>
                      <w:szCs w:val="21"/>
                    </w:rPr>
                  </w:pPr>
                  <w:r>
                    <w:rPr>
                      <w:rFonts w:hint="eastAsia"/>
                      <w:sz w:val="21"/>
                      <w:szCs w:val="21"/>
                    </w:rPr>
                    <w:t xml:space="preserve">0.506 </w:t>
                  </w:r>
                </w:p>
              </w:tc>
              <w:tc>
                <w:tcPr>
                  <w:tcW w:w="992" w:type="dxa"/>
                  <w:vAlign w:val="center"/>
                </w:tcPr>
                <w:p>
                  <w:pPr>
                    <w:spacing w:line="240" w:lineRule="auto"/>
                    <w:jc w:val="center"/>
                    <w:rPr>
                      <w:sz w:val="21"/>
                      <w:szCs w:val="21"/>
                    </w:rPr>
                  </w:pPr>
                  <w:r>
                    <w:rPr>
                      <w:rFonts w:hint="eastAsia"/>
                      <w:sz w:val="21"/>
                      <w:szCs w:val="21"/>
                    </w:rPr>
                    <w:t xml:space="preserve">0.068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906" w:type="dxa"/>
                  <w:vMerge w:val="continue"/>
                  <w:vAlign w:val="center"/>
                </w:tcPr>
                <w:p>
                  <w:pPr>
                    <w:spacing w:line="240" w:lineRule="auto"/>
                    <w:jc w:val="center"/>
                    <w:rPr>
                      <w:sz w:val="21"/>
                      <w:szCs w:val="21"/>
                    </w:rPr>
                  </w:pPr>
                </w:p>
              </w:tc>
              <w:tc>
                <w:tcPr>
                  <w:tcW w:w="3806" w:type="dxa"/>
                  <w:vAlign w:val="center"/>
                </w:tcPr>
                <w:p>
                  <w:pPr>
                    <w:spacing w:line="240" w:lineRule="auto"/>
                    <w:jc w:val="center"/>
                    <w:rPr>
                      <w:b/>
                      <w:bCs/>
                      <w:sz w:val="21"/>
                      <w:szCs w:val="21"/>
                    </w:rPr>
                  </w:pPr>
                  <w:r>
                    <w:rPr>
                      <w:rFonts w:hint="eastAsia"/>
                      <w:b/>
                      <w:bCs/>
                      <w:sz w:val="21"/>
                      <w:szCs w:val="21"/>
                    </w:rPr>
                    <w:t>三级化粪池处理效率（%）</w:t>
                  </w:r>
                </w:p>
              </w:tc>
              <w:tc>
                <w:tcPr>
                  <w:tcW w:w="1134" w:type="dxa"/>
                  <w:vAlign w:val="center"/>
                </w:tcPr>
                <w:p>
                  <w:pPr>
                    <w:spacing w:line="240" w:lineRule="auto"/>
                    <w:jc w:val="center"/>
                    <w:rPr>
                      <w:sz w:val="21"/>
                      <w:szCs w:val="21"/>
                    </w:rPr>
                  </w:pPr>
                  <w:r>
                    <w:rPr>
                      <w:rFonts w:hint="eastAsia"/>
                      <w:sz w:val="21"/>
                      <w:szCs w:val="21"/>
                    </w:rPr>
                    <w:t>1</w:t>
                  </w:r>
                  <w:r>
                    <w:rPr>
                      <w:sz w:val="21"/>
                      <w:szCs w:val="21"/>
                    </w:rPr>
                    <w:t>0</w:t>
                  </w:r>
                </w:p>
              </w:tc>
              <w:tc>
                <w:tcPr>
                  <w:tcW w:w="993" w:type="dxa"/>
                  <w:vAlign w:val="center"/>
                </w:tcPr>
                <w:p>
                  <w:pPr>
                    <w:spacing w:line="240" w:lineRule="auto"/>
                    <w:jc w:val="center"/>
                    <w:rPr>
                      <w:sz w:val="21"/>
                      <w:szCs w:val="21"/>
                    </w:rPr>
                  </w:pPr>
                  <w:r>
                    <w:rPr>
                      <w:rFonts w:hint="eastAsia"/>
                      <w:sz w:val="21"/>
                      <w:szCs w:val="21"/>
                    </w:rPr>
                    <w:t>1</w:t>
                  </w:r>
                  <w:r>
                    <w:rPr>
                      <w:sz w:val="21"/>
                      <w:szCs w:val="21"/>
                    </w:rPr>
                    <w:t>5</w:t>
                  </w:r>
                </w:p>
              </w:tc>
              <w:tc>
                <w:tcPr>
                  <w:tcW w:w="988" w:type="dxa"/>
                  <w:vAlign w:val="center"/>
                </w:tcPr>
                <w:p>
                  <w:pPr>
                    <w:spacing w:line="240" w:lineRule="auto"/>
                    <w:jc w:val="center"/>
                    <w:rPr>
                      <w:sz w:val="21"/>
                      <w:szCs w:val="21"/>
                    </w:rPr>
                  </w:pPr>
                  <w:r>
                    <w:rPr>
                      <w:sz w:val="21"/>
                      <w:szCs w:val="21"/>
                    </w:rPr>
                    <w:t>60</w:t>
                  </w:r>
                </w:p>
              </w:tc>
              <w:tc>
                <w:tcPr>
                  <w:tcW w:w="992" w:type="dxa"/>
                  <w:vAlign w:val="center"/>
                </w:tcPr>
                <w:p>
                  <w:pPr>
                    <w:spacing w:line="240" w:lineRule="auto"/>
                    <w:jc w:val="center"/>
                    <w:rPr>
                      <w:sz w:val="21"/>
                      <w:szCs w:val="21"/>
                    </w:rPr>
                  </w:pPr>
                  <w:r>
                    <w:rPr>
                      <w:rFonts w:hint="eastAsia"/>
                      <w:sz w:val="21"/>
                      <w:szCs w:val="21"/>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906" w:type="dxa"/>
                  <w:vMerge w:val="continue"/>
                  <w:vAlign w:val="center"/>
                </w:tcPr>
                <w:p>
                  <w:pPr>
                    <w:spacing w:line="240" w:lineRule="auto"/>
                    <w:jc w:val="center"/>
                    <w:rPr>
                      <w:sz w:val="21"/>
                      <w:szCs w:val="21"/>
                    </w:rPr>
                  </w:pPr>
                </w:p>
              </w:tc>
              <w:tc>
                <w:tcPr>
                  <w:tcW w:w="3806" w:type="dxa"/>
                  <w:vAlign w:val="center"/>
                </w:tcPr>
                <w:p>
                  <w:pPr>
                    <w:spacing w:line="240" w:lineRule="auto"/>
                    <w:jc w:val="center"/>
                    <w:rPr>
                      <w:b/>
                      <w:bCs/>
                      <w:sz w:val="21"/>
                      <w:szCs w:val="21"/>
                    </w:rPr>
                  </w:pPr>
                  <w:r>
                    <w:rPr>
                      <w:rFonts w:hint="eastAsia"/>
                      <w:b/>
                      <w:bCs/>
                      <w:sz w:val="21"/>
                      <w:szCs w:val="21"/>
                    </w:rPr>
                    <w:t>排放</w:t>
                  </w:r>
                  <w:r>
                    <w:rPr>
                      <w:b/>
                      <w:bCs/>
                      <w:sz w:val="21"/>
                      <w:szCs w:val="21"/>
                    </w:rPr>
                    <w:t>浓度（mg/L）</w:t>
                  </w:r>
                </w:p>
              </w:tc>
              <w:tc>
                <w:tcPr>
                  <w:tcW w:w="1134" w:type="dxa"/>
                  <w:vAlign w:val="center"/>
                </w:tcPr>
                <w:p>
                  <w:pPr>
                    <w:spacing w:line="240" w:lineRule="auto"/>
                    <w:jc w:val="center"/>
                    <w:rPr>
                      <w:sz w:val="21"/>
                      <w:szCs w:val="21"/>
                    </w:rPr>
                  </w:pPr>
                  <w:r>
                    <w:rPr>
                      <w:sz w:val="21"/>
                      <w:szCs w:val="21"/>
                    </w:rPr>
                    <w:t>180</w:t>
                  </w:r>
                </w:p>
              </w:tc>
              <w:tc>
                <w:tcPr>
                  <w:tcW w:w="993" w:type="dxa"/>
                  <w:vAlign w:val="center"/>
                </w:tcPr>
                <w:p>
                  <w:pPr>
                    <w:spacing w:line="240" w:lineRule="auto"/>
                    <w:jc w:val="center"/>
                    <w:rPr>
                      <w:sz w:val="21"/>
                      <w:szCs w:val="21"/>
                    </w:rPr>
                  </w:pPr>
                  <w:r>
                    <w:rPr>
                      <w:sz w:val="21"/>
                      <w:szCs w:val="21"/>
                    </w:rPr>
                    <w:t>85</w:t>
                  </w:r>
                </w:p>
              </w:tc>
              <w:tc>
                <w:tcPr>
                  <w:tcW w:w="988" w:type="dxa"/>
                  <w:vAlign w:val="center"/>
                </w:tcPr>
                <w:p>
                  <w:pPr>
                    <w:spacing w:line="240" w:lineRule="auto"/>
                    <w:jc w:val="center"/>
                    <w:rPr>
                      <w:sz w:val="21"/>
                      <w:szCs w:val="21"/>
                    </w:rPr>
                  </w:pPr>
                  <w:r>
                    <w:rPr>
                      <w:sz w:val="21"/>
                      <w:szCs w:val="21"/>
                    </w:rPr>
                    <w:t>60</w:t>
                  </w:r>
                </w:p>
              </w:tc>
              <w:tc>
                <w:tcPr>
                  <w:tcW w:w="992" w:type="dxa"/>
                  <w:vAlign w:val="center"/>
                </w:tcPr>
                <w:p>
                  <w:pPr>
                    <w:spacing w:line="240" w:lineRule="auto"/>
                    <w:jc w:val="center"/>
                    <w:rPr>
                      <w:sz w:val="21"/>
                      <w:szCs w:val="21"/>
                    </w:rPr>
                  </w:pPr>
                  <w:r>
                    <w:rPr>
                      <w:sz w:val="21"/>
                      <w:szCs w:val="21"/>
                    </w:rPr>
                    <w:t>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906" w:type="dxa"/>
                  <w:vMerge w:val="continue"/>
                  <w:vAlign w:val="center"/>
                </w:tcPr>
                <w:p>
                  <w:pPr>
                    <w:spacing w:line="240" w:lineRule="auto"/>
                    <w:jc w:val="center"/>
                    <w:rPr>
                      <w:sz w:val="21"/>
                      <w:szCs w:val="21"/>
                    </w:rPr>
                  </w:pPr>
                </w:p>
              </w:tc>
              <w:tc>
                <w:tcPr>
                  <w:tcW w:w="3806" w:type="dxa"/>
                  <w:vAlign w:val="center"/>
                </w:tcPr>
                <w:p>
                  <w:pPr>
                    <w:spacing w:line="240" w:lineRule="auto"/>
                    <w:jc w:val="center"/>
                    <w:rPr>
                      <w:b/>
                      <w:bCs/>
                      <w:sz w:val="21"/>
                      <w:szCs w:val="21"/>
                    </w:rPr>
                  </w:pPr>
                  <w:r>
                    <w:rPr>
                      <w:rFonts w:hint="eastAsia"/>
                      <w:b/>
                      <w:bCs/>
                      <w:sz w:val="21"/>
                      <w:szCs w:val="21"/>
                    </w:rPr>
                    <w:t>年排放</w:t>
                  </w:r>
                  <w:r>
                    <w:rPr>
                      <w:b/>
                      <w:bCs/>
                      <w:sz w:val="21"/>
                      <w:szCs w:val="21"/>
                    </w:rPr>
                    <w:t>量（t/a）</w:t>
                  </w:r>
                </w:p>
              </w:tc>
              <w:tc>
                <w:tcPr>
                  <w:tcW w:w="1134" w:type="dxa"/>
                  <w:vAlign w:val="center"/>
                </w:tcPr>
                <w:p>
                  <w:pPr>
                    <w:spacing w:line="240" w:lineRule="auto"/>
                    <w:jc w:val="center"/>
                    <w:rPr>
                      <w:sz w:val="21"/>
                      <w:szCs w:val="21"/>
                    </w:rPr>
                  </w:pPr>
                  <w:r>
                    <w:rPr>
                      <w:rFonts w:hint="eastAsia"/>
                      <w:sz w:val="21"/>
                      <w:szCs w:val="21"/>
                    </w:rPr>
                    <w:t xml:space="preserve">0.608 </w:t>
                  </w:r>
                </w:p>
              </w:tc>
              <w:tc>
                <w:tcPr>
                  <w:tcW w:w="993" w:type="dxa"/>
                  <w:vAlign w:val="center"/>
                </w:tcPr>
                <w:p>
                  <w:pPr>
                    <w:spacing w:line="240" w:lineRule="auto"/>
                    <w:jc w:val="center"/>
                    <w:rPr>
                      <w:sz w:val="21"/>
                      <w:szCs w:val="21"/>
                    </w:rPr>
                  </w:pPr>
                  <w:r>
                    <w:rPr>
                      <w:rFonts w:hint="eastAsia"/>
                      <w:sz w:val="21"/>
                      <w:szCs w:val="21"/>
                    </w:rPr>
                    <w:t xml:space="preserve">0.287 </w:t>
                  </w:r>
                </w:p>
              </w:tc>
              <w:tc>
                <w:tcPr>
                  <w:tcW w:w="988" w:type="dxa"/>
                  <w:vAlign w:val="center"/>
                </w:tcPr>
                <w:p>
                  <w:pPr>
                    <w:spacing w:line="240" w:lineRule="auto"/>
                    <w:jc w:val="center"/>
                    <w:rPr>
                      <w:sz w:val="21"/>
                      <w:szCs w:val="21"/>
                    </w:rPr>
                  </w:pPr>
                  <w:r>
                    <w:rPr>
                      <w:rFonts w:hint="eastAsia"/>
                      <w:sz w:val="21"/>
                      <w:szCs w:val="21"/>
                    </w:rPr>
                    <w:t xml:space="preserve">0.203 </w:t>
                  </w:r>
                </w:p>
              </w:tc>
              <w:tc>
                <w:tcPr>
                  <w:tcW w:w="992" w:type="dxa"/>
                  <w:vAlign w:val="center"/>
                </w:tcPr>
                <w:p>
                  <w:pPr>
                    <w:spacing w:line="240" w:lineRule="auto"/>
                    <w:jc w:val="center"/>
                    <w:rPr>
                      <w:sz w:val="21"/>
                      <w:szCs w:val="21"/>
                    </w:rPr>
                  </w:pPr>
                  <w:r>
                    <w:rPr>
                      <w:rFonts w:hint="eastAsia"/>
                      <w:sz w:val="21"/>
                      <w:szCs w:val="21"/>
                    </w:rPr>
                    <w:t xml:space="preserve">0.068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906" w:type="dxa"/>
                  <w:vMerge w:val="continue"/>
                  <w:vAlign w:val="center"/>
                </w:tcPr>
                <w:p>
                  <w:pPr>
                    <w:spacing w:line="240" w:lineRule="auto"/>
                    <w:jc w:val="center"/>
                    <w:rPr>
                      <w:sz w:val="21"/>
                      <w:szCs w:val="21"/>
                    </w:rPr>
                  </w:pPr>
                </w:p>
              </w:tc>
              <w:tc>
                <w:tcPr>
                  <w:tcW w:w="3806" w:type="dxa"/>
                  <w:vAlign w:val="center"/>
                </w:tcPr>
                <w:p>
                  <w:pPr>
                    <w:spacing w:line="240" w:lineRule="auto"/>
                    <w:jc w:val="center"/>
                    <w:rPr>
                      <w:b/>
                      <w:bCs/>
                      <w:sz w:val="21"/>
                      <w:szCs w:val="21"/>
                    </w:rPr>
                  </w:pPr>
                  <w:r>
                    <w:rPr>
                      <w:rFonts w:hint="eastAsia"/>
                      <w:b/>
                      <w:bCs/>
                      <w:sz w:val="21"/>
                      <w:szCs w:val="21"/>
                    </w:rPr>
                    <w:t>河口镇污水处理厂接管标准与广东省《水污染物排放限值》（DB44/26-2001）第二时段三级标准较严值</w:t>
                  </w:r>
                </w:p>
              </w:tc>
              <w:tc>
                <w:tcPr>
                  <w:tcW w:w="1134" w:type="dxa"/>
                  <w:vAlign w:val="center"/>
                </w:tcPr>
                <w:p>
                  <w:pPr>
                    <w:spacing w:line="240" w:lineRule="auto"/>
                    <w:jc w:val="center"/>
                    <w:rPr>
                      <w:sz w:val="21"/>
                      <w:szCs w:val="21"/>
                    </w:rPr>
                  </w:pPr>
                  <w:r>
                    <w:rPr>
                      <w:sz w:val="21"/>
                      <w:szCs w:val="21"/>
                    </w:rPr>
                    <w:t>250mg/L</w:t>
                  </w:r>
                </w:p>
              </w:tc>
              <w:tc>
                <w:tcPr>
                  <w:tcW w:w="993" w:type="dxa"/>
                  <w:vAlign w:val="center"/>
                </w:tcPr>
                <w:p>
                  <w:pPr>
                    <w:spacing w:line="240" w:lineRule="auto"/>
                    <w:jc w:val="center"/>
                    <w:rPr>
                      <w:sz w:val="21"/>
                      <w:szCs w:val="21"/>
                    </w:rPr>
                  </w:pPr>
                  <w:r>
                    <w:rPr>
                      <w:sz w:val="21"/>
                      <w:szCs w:val="21"/>
                    </w:rPr>
                    <w:t>150mg/L</w:t>
                  </w:r>
                </w:p>
              </w:tc>
              <w:tc>
                <w:tcPr>
                  <w:tcW w:w="988" w:type="dxa"/>
                  <w:vAlign w:val="center"/>
                </w:tcPr>
                <w:p>
                  <w:pPr>
                    <w:spacing w:line="240" w:lineRule="auto"/>
                    <w:jc w:val="center"/>
                    <w:rPr>
                      <w:sz w:val="21"/>
                      <w:szCs w:val="21"/>
                    </w:rPr>
                  </w:pPr>
                  <w:r>
                    <w:rPr>
                      <w:sz w:val="21"/>
                      <w:szCs w:val="21"/>
                    </w:rPr>
                    <w:t>150mg/L</w:t>
                  </w:r>
                </w:p>
              </w:tc>
              <w:tc>
                <w:tcPr>
                  <w:tcW w:w="992" w:type="dxa"/>
                  <w:vAlign w:val="center"/>
                </w:tcPr>
                <w:p>
                  <w:pPr>
                    <w:spacing w:line="240" w:lineRule="auto"/>
                    <w:jc w:val="center"/>
                    <w:rPr>
                      <w:sz w:val="21"/>
                      <w:szCs w:val="21"/>
                    </w:rPr>
                  </w:pPr>
                  <w:r>
                    <w:rPr>
                      <w:sz w:val="21"/>
                      <w:szCs w:val="21"/>
                    </w:rPr>
                    <w:t>30mg/L</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906" w:type="dxa"/>
                  <w:vMerge w:val="continue"/>
                  <w:vAlign w:val="center"/>
                </w:tcPr>
                <w:p>
                  <w:pPr>
                    <w:spacing w:line="240" w:lineRule="auto"/>
                    <w:jc w:val="center"/>
                    <w:rPr>
                      <w:sz w:val="21"/>
                      <w:szCs w:val="21"/>
                    </w:rPr>
                  </w:pPr>
                </w:p>
              </w:tc>
              <w:tc>
                <w:tcPr>
                  <w:tcW w:w="3806" w:type="dxa"/>
                  <w:vAlign w:val="center"/>
                </w:tcPr>
                <w:p>
                  <w:pPr>
                    <w:spacing w:line="240" w:lineRule="auto"/>
                    <w:jc w:val="center"/>
                    <w:rPr>
                      <w:b/>
                      <w:bCs/>
                      <w:sz w:val="21"/>
                      <w:szCs w:val="21"/>
                    </w:rPr>
                  </w:pPr>
                  <w:r>
                    <w:rPr>
                      <w:b/>
                      <w:bCs/>
                      <w:sz w:val="21"/>
                      <w:szCs w:val="21"/>
                    </w:rPr>
                    <w:t>排放方式及去向</w:t>
                  </w:r>
                </w:p>
              </w:tc>
              <w:tc>
                <w:tcPr>
                  <w:tcW w:w="4107" w:type="dxa"/>
                  <w:gridSpan w:val="4"/>
                  <w:vAlign w:val="center"/>
                </w:tcPr>
                <w:p>
                  <w:pPr>
                    <w:spacing w:line="240" w:lineRule="auto"/>
                    <w:rPr>
                      <w:sz w:val="21"/>
                      <w:szCs w:val="21"/>
                    </w:rPr>
                  </w:pPr>
                  <w:r>
                    <w:rPr>
                      <w:sz w:val="21"/>
                      <w:szCs w:val="21"/>
                    </w:rPr>
                    <w:t>生活污水经三级化粪池处理后由市政管网进入河口镇污水处理厂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906" w:type="dxa"/>
                  <w:vMerge w:val="continue"/>
                  <w:vAlign w:val="center"/>
                </w:tcPr>
                <w:p>
                  <w:pPr>
                    <w:spacing w:line="240" w:lineRule="auto"/>
                    <w:jc w:val="center"/>
                    <w:rPr>
                      <w:sz w:val="21"/>
                      <w:szCs w:val="21"/>
                    </w:rPr>
                  </w:pPr>
                </w:p>
              </w:tc>
              <w:tc>
                <w:tcPr>
                  <w:tcW w:w="3806" w:type="dxa"/>
                  <w:vAlign w:val="center"/>
                </w:tcPr>
                <w:p>
                  <w:pPr>
                    <w:spacing w:line="240" w:lineRule="auto"/>
                    <w:jc w:val="center"/>
                    <w:rPr>
                      <w:b/>
                      <w:bCs/>
                      <w:sz w:val="21"/>
                      <w:szCs w:val="21"/>
                    </w:rPr>
                  </w:pPr>
                  <w:r>
                    <w:rPr>
                      <w:b/>
                      <w:bCs/>
                      <w:sz w:val="21"/>
                      <w:szCs w:val="21"/>
                    </w:rPr>
                    <w:t>排放口基本情况</w:t>
                  </w:r>
                </w:p>
              </w:tc>
              <w:tc>
                <w:tcPr>
                  <w:tcW w:w="4107" w:type="dxa"/>
                  <w:gridSpan w:val="4"/>
                  <w:vAlign w:val="center"/>
                </w:tcPr>
                <w:p>
                  <w:pPr>
                    <w:spacing w:line="240" w:lineRule="auto"/>
                    <w:jc w:val="left"/>
                    <w:rPr>
                      <w:sz w:val="21"/>
                      <w:szCs w:val="21"/>
                    </w:rPr>
                  </w:pPr>
                  <w:r>
                    <w:rPr>
                      <w:sz w:val="21"/>
                      <w:szCs w:val="21"/>
                    </w:rPr>
                    <w:t>编号及名称：DW001</w:t>
                  </w:r>
                  <w:r>
                    <w:rPr>
                      <w:rFonts w:hint="eastAsia"/>
                      <w:sz w:val="21"/>
                      <w:szCs w:val="21"/>
                    </w:rPr>
                    <w:t>/</w:t>
                  </w:r>
                  <w:r>
                    <w:rPr>
                      <w:sz w:val="21"/>
                      <w:szCs w:val="21"/>
                    </w:rPr>
                    <w:t>生活污水排放口</w:t>
                  </w:r>
                </w:p>
                <w:p>
                  <w:pPr>
                    <w:spacing w:line="240" w:lineRule="auto"/>
                    <w:jc w:val="left"/>
                    <w:rPr>
                      <w:sz w:val="21"/>
                      <w:szCs w:val="21"/>
                    </w:rPr>
                  </w:pPr>
                  <w:r>
                    <w:rPr>
                      <w:sz w:val="21"/>
                      <w:szCs w:val="21"/>
                    </w:rPr>
                    <w:t>类型：一般排放口</w:t>
                  </w:r>
                </w:p>
                <w:p>
                  <w:pPr>
                    <w:spacing w:line="240" w:lineRule="auto"/>
                    <w:jc w:val="left"/>
                    <w:rPr>
                      <w:sz w:val="21"/>
                      <w:szCs w:val="21"/>
                    </w:rPr>
                  </w:pPr>
                  <w:r>
                    <w:rPr>
                      <w:sz w:val="21"/>
                      <w:szCs w:val="21"/>
                    </w:rPr>
                    <w:t>地理坐标：E 115.352119，N 23.1115222°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8819" w:type="dxa"/>
                  <w:gridSpan w:val="6"/>
                  <w:vAlign w:val="center"/>
                </w:tcPr>
                <w:p>
                  <w:pPr>
                    <w:spacing w:line="240" w:lineRule="auto"/>
                    <w:jc w:val="left"/>
                    <w:rPr>
                      <w:sz w:val="21"/>
                      <w:szCs w:val="21"/>
                    </w:rPr>
                  </w:pPr>
                  <w:r>
                    <w:rPr>
                      <w:rFonts w:hint="eastAsia"/>
                      <w:sz w:val="21"/>
                      <w:szCs w:val="21"/>
                    </w:rPr>
                    <w:t>备注：生活污水产生浓度参考环境保护部环境工程技术评估中心编制《环境影响评价（社会区域类）》教材（表5-18）。</w:t>
                  </w:r>
                </w:p>
              </w:tc>
            </w:tr>
          </w:tbl>
          <w:p>
            <w:pPr>
              <w:pStyle w:val="51"/>
              <w:spacing w:before="0" w:line="360" w:lineRule="auto"/>
              <w:ind w:left="0" w:firstLine="482" w:firstLineChars="200"/>
              <w:outlineLvl w:val="9"/>
              <w:rPr>
                <w:rFonts w:ascii="Times New Roman" w:hAnsi="Times New Roman" w:eastAsia="新宋体"/>
                <w:b/>
                <w:bCs/>
                <w:sz w:val="24"/>
                <w:szCs w:val="24"/>
                <w:lang w:val="en-US"/>
              </w:rPr>
            </w:pPr>
            <w:r>
              <w:rPr>
                <w:rFonts w:hint="eastAsia" w:ascii="Times New Roman" w:hAnsi="Times New Roman" w:eastAsia="新宋体"/>
                <w:b/>
                <w:bCs/>
                <w:sz w:val="24"/>
                <w:szCs w:val="24"/>
                <w:lang w:val="en-US"/>
              </w:rPr>
              <w:t>②</w:t>
            </w:r>
            <w:r>
              <w:rPr>
                <w:rFonts w:ascii="Times New Roman" w:hAnsi="Times New Roman" w:eastAsia="新宋体"/>
                <w:b/>
                <w:bCs/>
                <w:sz w:val="24"/>
                <w:szCs w:val="24"/>
                <w:lang w:val="en-US"/>
              </w:rPr>
              <w:t>淋雨测试废水</w:t>
            </w:r>
          </w:p>
          <w:p>
            <w:pPr>
              <w:pStyle w:val="51"/>
              <w:spacing w:before="0" w:line="360" w:lineRule="auto"/>
              <w:ind w:left="0" w:firstLine="480" w:firstLineChars="200"/>
              <w:outlineLvl w:val="9"/>
              <w:rPr>
                <w:rFonts w:ascii="Times New Roman" w:hAnsi="Times New Roman" w:eastAsia="新宋体"/>
                <w:sz w:val="24"/>
                <w:szCs w:val="24"/>
                <w:lang w:val="en-US"/>
              </w:rPr>
            </w:pPr>
            <w:r>
              <w:rPr>
                <w:rFonts w:hint="eastAsia" w:ascii="Times New Roman" w:hAnsi="Times New Roman" w:eastAsia="新宋体"/>
                <w:sz w:val="24"/>
                <w:szCs w:val="24"/>
                <w:lang w:val="en-US"/>
              </w:rPr>
              <w:t>根据建设单位提</w:t>
            </w:r>
            <w:r>
              <w:rPr>
                <w:rFonts w:ascii="Times New Roman" w:hAnsi="Times New Roman" w:eastAsia="新宋体"/>
                <w:sz w:val="24"/>
                <w:szCs w:val="24"/>
                <w:lang w:val="en-US"/>
              </w:rPr>
              <w:t>供的资料可知，项目产品需进行淋雨测试，用水量约为</w:t>
            </w:r>
            <w:r>
              <w:rPr>
                <w:rFonts w:ascii="Times New Roman" w:hAnsi="Times New Roman"/>
                <w:bCs/>
                <w:sz w:val="24"/>
              </w:rPr>
              <w:t>0.6m</w:t>
            </w:r>
            <w:r>
              <w:rPr>
                <w:rFonts w:ascii="Times New Roman" w:hAnsi="Times New Roman"/>
                <w:bCs/>
                <w:sz w:val="24"/>
                <w:vertAlign w:val="superscript"/>
              </w:rPr>
              <w:t>3</w:t>
            </w:r>
            <w:r>
              <w:rPr>
                <w:rFonts w:ascii="Times New Roman" w:hAnsi="Times New Roman"/>
                <w:bCs/>
                <w:sz w:val="24"/>
              </w:rPr>
              <w:t>/d（201.6m</w:t>
            </w:r>
            <w:r>
              <w:rPr>
                <w:rFonts w:ascii="Times New Roman" w:hAnsi="Times New Roman"/>
                <w:bCs/>
                <w:sz w:val="24"/>
                <w:vertAlign w:val="superscript"/>
              </w:rPr>
              <w:t>3</w:t>
            </w:r>
            <w:r>
              <w:rPr>
                <w:rFonts w:ascii="Times New Roman" w:hAnsi="Times New Roman"/>
                <w:bCs/>
                <w:sz w:val="24"/>
              </w:rPr>
              <w:t>/a）</w:t>
            </w:r>
            <w:r>
              <w:rPr>
                <w:rFonts w:ascii="Times New Roman" w:hAnsi="Times New Roman" w:eastAsia="新宋体"/>
                <w:sz w:val="24"/>
                <w:szCs w:val="24"/>
                <w:lang w:val="en-US"/>
              </w:rPr>
              <w:t>，</w:t>
            </w:r>
            <w:r>
              <w:rPr>
                <w:rFonts w:hint="eastAsia" w:ascii="Times New Roman" w:hAnsi="Times New Roman" w:eastAsia="新宋体"/>
                <w:sz w:val="24"/>
                <w:szCs w:val="24"/>
                <w:lang w:val="en-US"/>
              </w:rPr>
              <w:t>蒸发损耗按3</w:t>
            </w:r>
            <w:r>
              <w:rPr>
                <w:rFonts w:ascii="Times New Roman" w:hAnsi="Times New Roman" w:eastAsia="新宋体"/>
                <w:sz w:val="24"/>
                <w:szCs w:val="24"/>
                <w:lang w:val="en-US"/>
              </w:rPr>
              <w:t>0</w:t>
            </w:r>
            <w:r>
              <w:rPr>
                <w:rFonts w:hint="eastAsia" w:ascii="Times New Roman" w:hAnsi="Times New Roman" w:eastAsia="新宋体"/>
                <w:sz w:val="24"/>
                <w:szCs w:val="24"/>
                <w:lang w:val="en-US"/>
              </w:rPr>
              <w:t>%计，</w:t>
            </w:r>
            <w:r>
              <w:rPr>
                <w:rFonts w:ascii="Times New Roman" w:hAnsi="Times New Roman" w:eastAsia="新宋体"/>
                <w:sz w:val="24"/>
                <w:szCs w:val="24"/>
                <w:lang w:val="en-US"/>
              </w:rPr>
              <w:t>则淋雨测试废水产生量为</w:t>
            </w:r>
            <w:r>
              <w:rPr>
                <w:rFonts w:ascii="Times New Roman" w:hAnsi="Times New Roman"/>
                <w:bCs/>
                <w:sz w:val="24"/>
              </w:rPr>
              <w:t>141.12m</w:t>
            </w:r>
            <w:r>
              <w:rPr>
                <w:rFonts w:ascii="Times New Roman" w:hAnsi="Times New Roman"/>
                <w:bCs/>
                <w:sz w:val="24"/>
                <w:vertAlign w:val="superscript"/>
              </w:rPr>
              <w:t>3</w:t>
            </w:r>
            <w:r>
              <w:rPr>
                <w:rFonts w:ascii="Times New Roman" w:hAnsi="Times New Roman"/>
                <w:bCs/>
                <w:sz w:val="24"/>
              </w:rPr>
              <w:t>/a</w:t>
            </w:r>
            <w:r>
              <w:rPr>
                <w:rFonts w:hint="eastAsia" w:ascii="Times New Roman" w:hAnsi="Times New Roman"/>
                <w:bCs/>
                <w:sz w:val="24"/>
              </w:rPr>
              <w:t>，该类污水的主要污染物为CODcr、SS、石油类</w:t>
            </w:r>
            <w:r>
              <w:rPr>
                <w:rFonts w:ascii="Times New Roman" w:hAnsi="Times New Roman" w:eastAsia="新宋体"/>
                <w:sz w:val="24"/>
                <w:szCs w:val="24"/>
                <w:lang w:val="en-US"/>
              </w:rPr>
              <w:t>。近期淋雨测试废水经比亚迪污水处理站处理达到河口镇污水处理厂接管标准及广东省《水污染物排放限值》（DB44/26-2001）第二时段三级标准两者较严值后排入河口镇污水处理厂；远期淋雨测试废水经比亚迪污水处理站预处理达到陆河产业转移工业园工业污水处理厂进水水质要求及广东省《水污染物排放限值》（DB44/26-2001）第二时段三级标准的较严值后纳入到陆河产业转移工业园工业污水处理厂处理。</w:t>
            </w:r>
          </w:p>
          <w:p>
            <w:pPr>
              <w:pStyle w:val="169"/>
              <w:spacing w:line="240" w:lineRule="auto"/>
              <w:rPr>
                <w:rFonts w:hint="default" w:hAnsi="Times New Roman" w:eastAsiaTheme="minorEastAsia"/>
                <w:sz w:val="24"/>
                <w:szCs w:val="24"/>
              </w:rPr>
            </w:pPr>
            <w:r>
              <w:rPr>
                <w:rFonts w:hAnsi="Times New Roman" w:eastAsiaTheme="minorEastAsia"/>
                <w:sz w:val="24"/>
                <w:szCs w:val="24"/>
              </w:rPr>
              <w:t>表4-</w:t>
            </w:r>
            <w:r>
              <w:rPr>
                <w:rFonts w:hint="default" w:hAnsi="Times New Roman" w:eastAsiaTheme="minorEastAsia"/>
                <w:sz w:val="24"/>
                <w:szCs w:val="24"/>
              </w:rPr>
              <w:t xml:space="preserve">4 </w:t>
            </w:r>
            <w:r>
              <w:rPr>
                <w:rFonts w:hAnsi="Times New Roman" w:eastAsiaTheme="minorEastAsia"/>
                <w:sz w:val="24"/>
                <w:szCs w:val="24"/>
              </w:rPr>
              <w:t>项目淋雨测试废水污染物排放源情况</w:t>
            </w:r>
          </w:p>
          <w:tbl>
            <w:tblPr>
              <w:tblStyle w:val="40"/>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864"/>
              <w:gridCol w:w="3753"/>
              <w:gridCol w:w="1475"/>
              <w:gridCol w:w="1089"/>
              <w:gridCol w:w="115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14" w:hRule="atLeast"/>
                <w:jc w:val="center"/>
              </w:trPr>
              <w:tc>
                <w:tcPr>
                  <w:tcW w:w="4697" w:type="dxa"/>
                  <w:gridSpan w:val="2"/>
                  <w:vAlign w:val="center"/>
                </w:tcPr>
                <w:p>
                  <w:pPr>
                    <w:spacing w:line="240" w:lineRule="auto"/>
                    <w:jc w:val="center"/>
                    <w:rPr>
                      <w:b/>
                      <w:bCs/>
                      <w:sz w:val="21"/>
                      <w:szCs w:val="21"/>
                    </w:rPr>
                  </w:pPr>
                  <w:r>
                    <w:rPr>
                      <w:b/>
                      <w:bCs/>
                      <w:sz w:val="21"/>
                      <w:szCs w:val="21"/>
                    </w:rPr>
                    <w:t>污染物名称</w:t>
                  </w:r>
                </w:p>
              </w:tc>
              <w:tc>
                <w:tcPr>
                  <w:tcW w:w="1499" w:type="dxa"/>
                  <w:vAlign w:val="center"/>
                </w:tcPr>
                <w:p>
                  <w:pPr>
                    <w:spacing w:line="240" w:lineRule="auto"/>
                    <w:jc w:val="center"/>
                    <w:rPr>
                      <w:b/>
                      <w:bCs/>
                      <w:sz w:val="21"/>
                      <w:szCs w:val="21"/>
                    </w:rPr>
                  </w:pPr>
                  <w:r>
                    <w:rPr>
                      <w:b/>
                      <w:bCs/>
                      <w:sz w:val="21"/>
                      <w:szCs w:val="21"/>
                    </w:rPr>
                    <w:t>COD</w:t>
                  </w:r>
                  <w:r>
                    <w:rPr>
                      <w:rFonts w:hint="eastAsia"/>
                      <w:b/>
                      <w:bCs/>
                      <w:sz w:val="21"/>
                      <w:szCs w:val="21"/>
                    </w:rPr>
                    <w:t>cr</w:t>
                  </w:r>
                </w:p>
              </w:tc>
              <w:tc>
                <w:tcPr>
                  <w:tcW w:w="1106" w:type="dxa"/>
                  <w:vAlign w:val="center"/>
                </w:tcPr>
                <w:p>
                  <w:pPr>
                    <w:spacing w:line="240" w:lineRule="auto"/>
                    <w:jc w:val="center"/>
                    <w:rPr>
                      <w:b/>
                      <w:bCs/>
                      <w:sz w:val="21"/>
                      <w:szCs w:val="21"/>
                    </w:rPr>
                  </w:pPr>
                  <w:r>
                    <w:rPr>
                      <w:b/>
                      <w:bCs/>
                      <w:sz w:val="21"/>
                      <w:szCs w:val="21"/>
                    </w:rPr>
                    <w:t>SS</w:t>
                  </w:r>
                </w:p>
              </w:tc>
              <w:tc>
                <w:tcPr>
                  <w:tcW w:w="1176" w:type="dxa"/>
                  <w:vAlign w:val="center"/>
                </w:tcPr>
                <w:p>
                  <w:pPr>
                    <w:spacing w:line="240" w:lineRule="auto"/>
                    <w:jc w:val="center"/>
                    <w:rPr>
                      <w:b/>
                      <w:bCs/>
                      <w:sz w:val="21"/>
                      <w:szCs w:val="21"/>
                    </w:rPr>
                  </w:pPr>
                  <w:r>
                    <w:rPr>
                      <w:rFonts w:hint="eastAsia"/>
                      <w:b/>
                      <w:bCs/>
                      <w:sz w:val="21"/>
                      <w:szCs w:val="21"/>
                    </w:rPr>
                    <w:t>石油类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876" w:type="dxa"/>
                  <w:vMerge w:val="restart"/>
                  <w:vAlign w:val="center"/>
                </w:tcPr>
                <w:p>
                  <w:pPr>
                    <w:spacing w:line="240" w:lineRule="auto"/>
                    <w:jc w:val="center"/>
                    <w:rPr>
                      <w:sz w:val="21"/>
                      <w:szCs w:val="21"/>
                    </w:rPr>
                  </w:pPr>
                  <w:r>
                    <w:rPr>
                      <w:rFonts w:hint="eastAsia"/>
                      <w:sz w:val="21"/>
                      <w:szCs w:val="21"/>
                    </w:rPr>
                    <w:t>淋雨测试废水（</w:t>
                  </w:r>
                  <w:r>
                    <w:rPr>
                      <w:sz w:val="21"/>
                      <w:szCs w:val="21"/>
                    </w:rPr>
                    <w:t>141.12m</w:t>
                  </w:r>
                  <w:r>
                    <w:rPr>
                      <w:sz w:val="21"/>
                      <w:szCs w:val="21"/>
                      <w:vertAlign w:val="superscript"/>
                    </w:rPr>
                    <w:t>3</w:t>
                  </w:r>
                  <w:r>
                    <w:rPr>
                      <w:rFonts w:hint="eastAsia"/>
                      <w:sz w:val="21"/>
                      <w:szCs w:val="21"/>
                    </w:rPr>
                    <w:t>/a）</w:t>
                  </w:r>
                </w:p>
              </w:tc>
              <w:tc>
                <w:tcPr>
                  <w:tcW w:w="3821" w:type="dxa"/>
                  <w:vAlign w:val="center"/>
                </w:tcPr>
                <w:p>
                  <w:pPr>
                    <w:spacing w:line="240" w:lineRule="auto"/>
                    <w:jc w:val="center"/>
                    <w:rPr>
                      <w:b/>
                      <w:bCs/>
                      <w:sz w:val="21"/>
                      <w:szCs w:val="21"/>
                    </w:rPr>
                  </w:pPr>
                  <w:r>
                    <w:rPr>
                      <w:rFonts w:hint="eastAsia"/>
                      <w:b/>
                      <w:bCs/>
                      <w:sz w:val="21"/>
                      <w:szCs w:val="21"/>
                    </w:rPr>
                    <w:t>产生</w:t>
                  </w:r>
                  <w:r>
                    <w:rPr>
                      <w:b/>
                      <w:bCs/>
                      <w:sz w:val="21"/>
                      <w:szCs w:val="21"/>
                    </w:rPr>
                    <w:t>浓度（mg/L）</w:t>
                  </w:r>
                </w:p>
              </w:tc>
              <w:tc>
                <w:tcPr>
                  <w:tcW w:w="1499" w:type="dxa"/>
                  <w:vAlign w:val="center"/>
                </w:tcPr>
                <w:p>
                  <w:pPr>
                    <w:spacing w:line="240" w:lineRule="auto"/>
                    <w:jc w:val="center"/>
                    <w:rPr>
                      <w:sz w:val="21"/>
                      <w:szCs w:val="21"/>
                    </w:rPr>
                  </w:pPr>
                  <w:r>
                    <w:rPr>
                      <w:sz w:val="21"/>
                      <w:szCs w:val="21"/>
                    </w:rPr>
                    <w:t>350</w:t>
                  </w:r>
                </w:p>
              </w:tc>
              <w:tc>
                <w:tcPr>
                  <w:tcW w:w="1106" w:type="dxa"/>
                  <w:vAlign w:val="center"/>
                </w:tcPr>
                <w:p>
                  <w:pPr>
                    <w:spacing w:line="240" w:lineRule="auto"/>
                    <w:jc w:val="center"/>
                    <w:rPr>
                      <w:sz w:val="21"/>
                      <w:szCs w:val="21"/>
                    </w:rPr>
                  </w:pPr>
                  <w:r>
                    <w:rPr>
                      <w:sz w:val="21"/>
                      <w:szCs w:val="21"/>
                    </w:rPr>
                    <w:t>500</w:t>
                  </w:r>
                </w:p>
              </w:tc>
              <w:tc>
                <w:tcPr>
                  <w:tcW w:w="1176" w:type="dxa"/>
                  <w:vAlign w:val="center"/>
                </w:tcPr>
                <w:p>
                  <w:pPr>
                    <w:spacing w:line="240" w:lineRule="auto"/>
                    <w:jc w:val="center"/>
                    <w:rPr>
                      <w:sz w:val="21"/>
                      <w:szCs w:val="21"/>
                    </w:rPr>
                  </w:pPr>
                  <w:r>
                    <w:rPr>
                      <w:sz w:val="21"/>
                      <w:szCs w:val="21"/>
                    </w:rPr>
                    <w:t>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876" w:type="dxa"/>
                  <w:vMerge w:val="continue"/>
                  <w:vAlign w:val="center"/>
                </w:tcPr>
                <w:p>
                  <w:pPr>
                    <w:spacing w:line="240" w:lineRule="auto"/>
                    <w:jc w:val="center"/>
                    <w:rPr>
                      <w:sz w:val="21"/>
                      <w:szCs w:val="21"/>
                    </w:rPr>
                  </w:pPr>
                </w:p>
              </w:tc>
              <w:tc>
                <w:tcPr>
                  <w:tcW w:w="3821" w:type="dxa"/>
                  <w:vAlign w:val="center"/>
                </w:tcPr>
                <w:p>
                  <w:pPr>
                    <w:spacing w:line="240" w:lineRule="auto"/>
                    <w:jc w:val="center"/>
                    <w:rPr>
                      <w:b/>
                      <w:bCs/>
                      <w:sz w:val="21"/>
                      <w:szCs w:val="21"/>
                    </w:rPr>
                  </w:pPr>
                  <w:r>
                    <w:rPr>
                      <w:rFonts w:hint="eastAsia"/>
                      <w:b/>
                      <w:bCs/>
                      <w:sz w:val="21"/>
                      <w:szCs w:val="21"/>
                    </w:rPr>
                    <w:t>年</w:t>
                  </w:r>
                  <w:r>
                    <w:rPr>
                      <w:b/>
                      <w:bCs/>
                      <w:sz w:val="21"/>
                      <w:szCs w:val="21"/>
                    </w:rPr>
                    <w:t>产生量（t/a）</w:t>
                  </w:r>
                </w:p>
              </w:tc>
              <w:tc>
                <w:tcPr>
                  <w:tcW w:w="1499" w:type="dxa"/>
                  <w:vAlign w:val="center"/>
                </w:tcPr>
                <w:p>
                  <w:pPr>
                    <w:spacing w:line="240" w:lineRule="auto"/>
                    <w:jc w:val="center"/>
                    <w:rPr>
                      <w:sz w:val="21"/>
                      <w:szCs w:val="21"/>
                    </w:rPr>
                  </w:pPr>
                  <w:r>
                    <w:rPr>
                      <w:rFonts w:hint="eastAsia"/>
                      <w:sz w:val="21"/>
                      <w:szCs w:val="21"/>
                    </w:rPr>
                    <w:t xml:space="preserve">0.049 </w:t>
                  </w:r>
                </w:p>
              </w:tc>
              <w:tc>
                <w:tcPr>
                  <w:tcW w:w="1106" w:type="dxa"/>
                  <w:vAlign w:val="center"/>
                </w:tcPr>
                <w:p>
                  <w:pPr>
                    <w:spacing w:line="240" w:lineRule="auto"/>
                    <w:jc w:val="center"/>
                    <w:rPr>
                      <w:sz w:val="21"/>
                      <w:szCs w:val="21"/>
                    </w:rPr>
                  </w:pPr>
                  <w:r>
                    <w:rPr>
                      <w:rFonts w:hint="eastAsia"/>
                      <w:sz w:val="21"/>
                      <w:szCs w:val="21"/>
                    </w:rPr>
                    <w:t xml:space="preserve">0.071 </w:t>
                  </w:r>
                </w:p>
              </w:tc>
              <w:tc>
                <w:tcPr>
                  <w:tcW w:w="1176" w:type="dxa"/>
                  <w:vAlign w:val="center"/>
                </w:tcPr>
                <w:p>
                  <w:pPr>
                    <w:spacing w:line="240" w:lineRule="auto"/>
                    <w:jc w:val="center"/>
                    <w:rPr>
                      <w:sz w:val="21"/>
                      <w:szCs w:val="21"/>
                    </w:rPr>
                  </w:pPr>
                  <w:r>
                    <w:rPr>
                      <w:rFonts w:hint="eastAsia"/>
                      <w:sz w:val="21"/>
                      <w:szCs w:val="21"/>
                    </w:rPr>
                    <w:t xml:space="preserve">0.003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876" w:type="dxa"/>
                  <w:vMerge w:val="continue"/>
                  <w:vAlign w:val="center"/>
                </w:tcPr>
                <w:p>
                  <w:pPr>
                    <w:spacing w:line="240" w:lineRule="auto"/>
                    <w:jc w:val="center"/>
                    <w:rPr>
                      <w:sz w:val="21"/>
                      <w:szCs w:val="21"/>
                    </w:rPr>
                  </w:pPr>
                </w:p>
              </w:tc>
              <w:tc>
                <w:tcPr>
                  <w:tcW w:w="3821" w:type="dxa"/>
                  <w:vAlign w:val="center"/>
                </w:tcPr>
                <w:p>
                  <w:pPr>
                    <w:spacing w:line="240" w:lineRule="auto"/>
                    <w:jc w:val="center"/>
                    <w:rPr>
                      <w:b/>
                      <w:bCs/>
                      <w:sz w:val="21"/>
                      <w:szCs w:val="21"/>
                    </w:rPr>
                  </w:pPr>
                  <w:r>
                    <w:rPr>
                      <w:b/>
                      <w:bCs/>
                      <w:sz w:val="21"/>
                      <w:szCs w:val="21"/>
                    </w:rPr>
                    <w:t>比亚迪污水处理站</w:t>
                  </w:r>
                  <w:r>
                    <w:rPr>
                      <w:rFonts w:hint="eastAsia"/>
                      <w:b/>
                      <w:bCs/>
                      <w:sz w:val="21"/>
                      <w:szCs w:val="21"/>
                    </w:rPr>
                    <w:t>处理效率（%）</w:t>
                  </w:r>
                </w:p>
              </w:tc>
              <w:tc>
                <w:tcPr>
                  <w:tcW w:w="1499" w:type="dxa"/>
                  <w:vAlign w:val="center"/>
                </w:tcPr>
                <w:p>
                  <w:pPr>
                    <w:spacing w:line="240" w:lineRule="auto"/>
                    <w:jc w:val="center"/>
                    <w:rPr>
                      <w:sz w:val="21"/>
                      <w:szCs w:val="21"/>
                    </w:rPr>
                  </w:pPr>
                  <w:r>
                    <w:rPr>
                      <w:sz w:val="21"/>
                      <w:szCs w:val="21"/>
                    </w:rPr>
                    <w:t>75.00</w:t>
                  </w:r>
                </w:p>
              </w:tc>
              <w:tc>
                <w:tcPr>
                  <w:tcW w:w="1106" w:type="dxa"/>
                  <w:vAlign w:val="center"/>
                </w:tcPr>
                <w:p>
                  <w:pPr>
                    <w:spacing w:line="240" w:lineRule="auto"/>
                    <w:jc w:val="center"/>
                    <w:rPr>
                      <w:sz w:val="21"/>
                      <w:szCs w:val="21"/>
                    </w:rPr>
                  </w:pPr>
                  <w:r>
                    <w:rPr>
                      <w:sz w:val="21"/>
                      <w:szCs w:val="21"/>
                    </w:rPr>
                    <w:t>76.92</w:t>
                  </w:r>
                </w:p>
              </w:tc>
              <w:tc>
                <w:tcPr>
                  <w:tcW w:w="1176" w:type="dxa"/>
                  <w:vAlign w:val="center"/>
                </w:tcPr>
                <w:p>
                  <w:pPr>
                    <w:spacing w:line="240" w:lineRule="auto"/>
                    <w:jc w:val="center"/>
                    <w:rPr>
                      <w:sz w:val="21"/>
                      <w:szCs w:val="21"/>
                    </w:rPr>
                  </w:pPr>
                  <w:r>
                    <w:rPr>
                      <w:sz w:val="21"/>
                      <w:szCs w:val="21"/>
                    </w:rPr>
                    <w:t>80.00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876" w:type="dxa"/>
                  <w:vMerge w:val="continue"/>
                  <w:vAlign w:val="center"/>
                </w:tcPr>
                <w:p>
                  <w:pPr>
                    <w:spacing w:line="240" w:lineRule="auto"/>
                    <w:jc w:val="center"/>
                    <w:rPr>
                      <w:sz w:val="21"/>
                      <w:szCs w:val="21"/>
                    </w:rPr>
                  </w:pPr>
                </w:p>
              </w:tc>
              <w:tc>
                <w:tcPr>
                  <w:tcW w:w="3821" w:type="dxa"/>
                  <w:vAlign w:val="center"/>
                </w:tcPr>
                <w:p>
                  <w:pPr>
                    <w:spacing w:line="240" w:lineRule="auto"/>
                    <w:jc w:val="center"/>
                    <w:rPr>
                      <w:b/>
                      <w:bCs/>
                      <w:sz w:val="21"/>
                      <w:szCs w:val="21"/>
                    </w:rPr>
                  </w:pPr>
                  <w:r>
                    <w:rPr>
                      <w:rFonts w:hint="eastAsia"/>
                      <w:b/>
                      <w:bCs/>
                      <w:sz w:val="21"/>
                      <w:szCs w:val="21"/>
                    </w:rPr>
                    <w:t>排放</w:t>
                  </w:r>
                  <w:r>
                    <w:rPr>
                      <w:b/>
                      <w:bCs/>
                      <w:sz w:val="21"/>
                      <w:szCs w:val="21"/>
                    </w:rPr>
                    <w:t>浓度（mg/L）</w:t>
                  </w:r>
                </w:p>
              </w:tc>
              <w:tc>
                <w:tcPr>
                  <w:tcW w:w="1499" w:type="dxa"/>
                  <w:vAlign w:val="center"/>
                </w:tcPr>
                <w:p>
                  <w:pPr>
                    <w:spacing w:line="240" w:lineRule="auto"/>
                    <w:jc w:val="center"/>
                    <w:rPr>
                      <w:sz w:val="21"/>
                      <w:szCs w:val="21"/>
                    </w:rPr>
                  </w:pPr>
                  <w:r>
                    <w:rPr>
                      <w:sz w:val="21"/>
                      <w:szCs w:val="21"/>
                    </w:rPr>
                    <w:t>87.5</w:t>
                  </w:r>
                </w:p>
              </w:tc>
              <w:tc>
                <w:tcPr>
                  <w:tcW w:w="1106" w:type="dxa"/>
                  <w:vAlign w:val="center"/>
                </w:tcPr>
                <w:p>
                  <w:pPr>
                    <w:spacing w:line="240" w:lineRule="auto"/>
                    <w:jc w:val="center"/>
                    <w:rPr>
                      <w:sz w:val="21"/>
                      <w:szCs w:val="21"/>
                    </w:rPr>
                  </w:pPr>
                  <w:r>
                    <w:rPr>
                      <w:sz w:val="21"/>
                      <w:szCs w:val="21"/>
                    </w:rPr>
                    <w:t>115.4</w:t>
                  </w:r>
                </w:p>
              </w:tc>
              <w:tc>
                <w:tcPr>
                  <w:tcW w:w="1176" w:type="dxa"/>
                  <w:vAlign w:val="center"/>
                </w:tcPr>
                <w:p>
                  <w:pPr>
                    <w:spacing w:line="240" w:lineRule="auto"/>
                    <w:jc w:val="center"/>
                    <w:rPr>
                      <w:sz w:val="21"/>
                      <w:szCs w:val="21"/>
                    </w:rPr>
                  </w:pPr>
                  <w:r>
                    <w:rPr>
                      <w:sz w:val="21"/>
                      <w:szCs w:val="21"/>
                    </w:rPr>
                    <w:t>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876" w:type="dxa"/>
                  <w:vMerge w:val="continue"/>
                  <w:vAlign w:val="center"/>
                </w:tcPr>
                <w:p>
                  <w:pPr>
                    <w:spacing w:line="240" w:lineRule="auto"/>
                    <w:jc w:val="center"/>
                    <w:rPr>
                      <w:sz w:val="21"/>
                      <w:szCs w:val="21"/>
                    </w:rPr>
                  </w:pPr>
                </w:p>
              </w:tc>
              <w:tc>
                <w:tcPr>
                  <w:tcW w:w="3821" w:type="dxa"/>
                  <w:vAlign w:val="center"/>
                </w:tcPr>
                <w:p>
                  <w:pPr>
                    <w:spacing w:line="240" w:lineRule="auto"/>
                    <w:jc w:val="center"/>
                    <w:rPr>
                      <w:b/>
                      <w:bCs/>
                      <w:sz w:val="21"/>
                      <w:szCs w:val="21"/>
                    </w:rPr>
                  </w:pPr>
                  <w:r>
                    <w:rPr>
                      <w:rFonts w:hint="eastAsia"/>
                      <w:b/>
                      <w:bCs/>
                      <w:sz w:val="21"/>
                      <w:szCs w:val="21"/>
                    </w:rPr>
                    <w:t>年排放</w:t>
                  </w:r>
                  <w:r>
                    <w:rPr>
                      <w:b/>
                      <w:bCs/>
                      <w:sz w:val="21"/>
                      <w:szCs w:val="21"/>
                    </w:rPr>
                    <w:t>量（t/a）</w:t>
                  </w:r>
                </w:p>
              </w:tc>
              <w:tc>
                <w:tcPr>
                  <w:tcW w:w="1499" w:type="dxa"/>
                  <w:vAlign w:val="center"/>
                </w:tcPr>
                <w:p>
                  <w:pPr>
                    <w:spacing w:line="240" w:lineRule="auto"/>
                    <w:jc w:val="center"/>
                    <w:rPr>
                      <w:sz w:val="21"/>
                      <w:szCs w:val="21"/>
                    </w:rPr>
                  </w:pPr>
                  <w:r>
                    <w:rPr>
                      <w:rFonts w:hint="eastAsia"/>
                      <w:sz w:val="21"/>
                      <w:szCs w:val="21"/>
                    </w:rPr>
                    <w:t xml:space="preserve">0.012 </w:t>
                  </w:r>
                </w:p>
              </w:tc>
              <w:tc>
                <w:tcPr>
                  <w:tcW w:w="1106" w:type="dxa"/>
                  <w:vAlign w:val="center"/>
                </w:tcPr>
                <w:p>
                  <w:pPr>
                    <w:spacing w:line="240" w:lineRule="auto"/>
                    <w:jc w:val="center"/>
                    <w:rPr>
                      <w:sz w:val="21"/>
                      <w:szCs w:val="21"/>
                    </w:rPr>
                  </w:pPr>
                  <w:r>
                    <w:rPr>
                      <w:rFonts w:hint="eastAsia"/>
                      <w:sz w:val="21"/>
                      <w:szCs w:val="21"/>
                    </w:rPr>
                    <w:t xml:space="preserve">0.016 </w:t>
                  </w:r>
                </w:p>
              </w:tc>
              <w:tc>
                <w:tcPr>
                  <w:tcW w:w="1176" w:type="dxa"/>
                  <w:vAlign w:val="center"/>
                </w:tcPr>
                <w:p>
                  <w:pPr>
                    <w:spacing w:line="240" w:lineRule="auto"/>
                    <w:jc w:val="center"/>
                    <w:rPr>
                      <w:sz w:val="21"/>
                      <w:szCs w:val="21"/>
                    </w:rPr>
                  </w:pPr>
                  <w:r>
                    <w:rPr>
                      <w:rFonts w:hint="eastAsia"/>
                      <w:sz w:val="21"/>
                      <w:szCs w:val="21"/>
                    </w:rPr>
                    <w:t xml:space="preserve">0.001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876" w:type="dxa"/>
                  <w:vMerge w:val="continue"/>
                  <w:vAlign w:val="center"/>
                </w:tcPr>
                <w:p>
                  <w:pPr>
                    <w:spacing w:line="240" w:lineRule="auto"/>
                    <w:jc w:val="center"/>
                    <w:rPr>
                      <w:sz w:val="21"/>
                      <w:szCs w:val="21"/>
                    </w:rPr>
                  </w:pPr>
                </w:p>
              </w:tc>
              <w:tc>
                <w:tcPr>
                  <w:tcW w:w="3821" w:type="dxa"/>
                  <w:vAlign w:val="center"/>
                </w:tcPr>
                <w:p>
                  <w:pPr>
                    <w:spacing w:line="240" w:lineRule="auto"/>
                    <w:jc w:val="center"/>
                    <w:rPr>
                      <w:b/>
                      <w:bCs/>
                      <w:sz w:val="21"/>
                      <w:szCs w:val="21"/>
                    </w:rPr>
                  </w:pPr>
                  <w:r>
                    <w:rPr>
                      <w:rFonts w:hint="eastAsia"/>
                      <w:b/>
                      <w:bCs/>
                      <w:sz w:val="21"/>
                      <w:szCs w:val="21"/>
                    </w:rPr>
                    <w:t>近期执行河口镇污水处理厂接管标准与广东省《水污染物排放限值》（DB44/26-2001）第二时段三级标准较严值</w:t>
                  </w:r>
                </w:p>
              </w:tc>
              <w:tc>
                <w:tcPr>
                  <w:tcW w:w="1499" w:type="dxa"/>
                  <w:vAlign w:val="center"/>
                </w:tcPr>
                <w:p>
                  <w:pPr>
                    <w:spacing w:line="240" w:lineRule="auto"/>
                    <w:jc w:val="center"/>
                    <w:rPr>
                      <w:sz w:val="21"/>
                      <w:szCs w:val="21"/>
                    </w:rPr>
                  </w:pPr>
                  <w:r>
                    <w:rPr>
                      <w:sz w:val="21"/>
                      <w:szCs w:val="21"/>
                    </w:rPr>
                    <w:t>250mg/L</w:t>
                  </w:r>
                </w:p>
              </w:tc>
              <w:tc>
                <w:tcPr>
                  <w:tcW w:w="1106" w:type="dxa"/>
                  <w:vAlign w:val="center"/>
                </w:tcPr>
                <w:p>
                  <w:pPr>
                    <w:spacing w:line="240" w:lineRule="auto"/>
                    <w:jc w:val="center"/>
                    <w:rPr>
                      <w:sz w:val="21"/>
                      <w:szCs w:val="21"/>
                    </w:rPr>
                  </w:pPr>
                  <w:r>
                    <w:rPr>
                      <w:sz w:val="21"/>
                      <w:szCs w:val="21"/>
                    </w:rPr>
                    <w:t>150mg/L</w:t>
                  </w:r>
                </w:p>
              </w:tc>
              <w:tc>
                <w:tcPr>
                  <w:tcW w:w="1176" w:type="dxa"/>
                  <w:vAlign w:val="center"/>
                </w:tcPr>
                <w:p>
                  <w:pPr>
                    <w:spacing w:line="240" w:lineRule="auto"/>
                    <w:jc w:val="center"/>
                    <w:rPr>
                      <w:sz w:val="21"/>
                      <w:szCs w:val="21"/>
                    </w:rPr>
                  </w:pPr>
                  <w:r>
                    <w:rPr>
                      <w:sz w:val="21"/>
                      <w:szCs w:val="21"/>
                    </w:rPr>
                    <w:t>8mg/L</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876" w:type="dxa"/>
                  <w:vMerge w:val="continue"/>
                  <w:vAlign w:val="center"/>
                </w:tcPr>
                <w:p>
                  <w:pPr>
                    <w:spacing w:line="240" w:lineRule="auto"/>
                    <w:jc w:val="center"/>
                    <w:rPr>
                      <w:sz w:val="21"/>
                      <w:szCs w:val="21"/>
                    </w:rPr>
                  </w:pPr>
                </w:p>
              </w:tc>
              <w:tc>
                <w:tcPr>
                  <w:tcW w:w="3821" w:type="dxa"/>
                  <w:vAlign w:val="center"/>
                </w:tcPr>
                <w:p>
                  <w:pPr>
                    <w:spacing w:line="240" w:lineRule="auto"/>
                    <w:jc w:val="center"/>
                    <w:rPr>
                      <w:b/>
                      <w:bCs/>
                      <w:sz w:val="21"/>
                      <w:szCs w:val="21"/>
                    </w:rPr>
                  </w:pPr>
                  <w:r>
                    <w:rPr>
                      <w:rFonts w:hint="eastAsia"/>
                      <w:b/>
                      <w:bCs/>
                      <w:sz w:val="21"/>
                      <w:szCs w:val="21"/>
                    </w:rPr>
                    <w:t>远期执行</w:t>
                  </w:r>
                  <w:r>
                    <w:rPr>
                      <w:b/>
                      <w:bCs/>
                      <w:sz w:val="21"/>
                      <w:szCs w:val="21"/>
                    </w:rPr>
                    <w:t>陆河产业转移工业园工业污水处理厂</w:t>
                  </w:r>
                  <w:r>
                    <w:rPr>
                      <w:rFonts w:hint="eastAsia"/>
                      <w:b/>
                      <w:bCs/>
                      <w:sz w:val="21"/>
                      <w:szCs w:val="21"/>
                    </w:rPr>
                    <w:t>接管标准与广东省《水污染物排放限值》（DB44/26-2001）第二时段三级标准较严值</w:t>
                  </w:r>
                </w:p>
              </w:tc>
              <w:tc>
                <w:tcPr>
                  <w:tcW w:w="1499" w:type="dxa"/>
                  <w:vAlign w:val="center"/>
                </w:tcPr>
                <w:p>
                  <w:pPr>
                    <w:spacing w:line="240" w:lineRule="auto"/>
                    <w:jc w:val="center"/>
                    <w:rPr>
                      <w:sz w:val="21"/>
                      <w:szCs w:val="21"/>
                    </w:rPr>
                  </w:pPr>
                  <w:r>
                    <w:rPr>
                      <w:sz w:val="21"/>
                      <w:szCs w:val="21"/>
                    </w:rPr>
                    <w:t>500mg/L</w:t>
                  </w:r>
                </w:p>
              </w:tc>
              <w:tc>
                <w:tcPr>
                  <w:tcW w:w="1106" w:type="dxa"/>
                  <w:vAlign w:val="center"/>
                </w:tcPr>
                <w:p>
                  <w:pPr>
                    <w:spacing w:line="240" w:lineRule="auto"/>
                    <w:jc w:val="center"/>
                    <w:rPr>
                      <w:sz w:val="21"/>
                      <w:szCs w:val="21"/>
                    </w:rPr>
                  </w:pPr>
                  <w:r>
                    <w:rPr>
                      <w:sz w:val="21"/>
                      <w:szCs w:val="21"/>
                    </w:rPr>
                    <w:t>400mg/L</w:t>
                  </w:r>
                </w:p>
              </w:tc>
              <w:tc>
                <w:tcPr>
                  <w:tcW w:w="1176" w:type="dxa"/>
                  <w:vAlign w:val="center"/>
                </w:tcPr>
                <w:p>
                  <w:pPr>
                    <w:spacing w:line="240" w:lineRule="auto"/>
                    <w:jc w:val="center"/>
                    <w:rPr>
                      <w:sz w:val="21"/>
                      <w:szCs w:val="21"/>
                    </w:rPr>
                  </w:pPr>
                  <w:r>
                    <w:rPr>
                      <w:sz w:val="21"/>
                      <w:szCs w:val="21"/>
                    </w:rPr>
                    <w:t>8mg/L</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876" w:type="dxa"/>
                  <w:vMerge w:val="continue"/>
                  <w:vAlign w:val="center"/>
                </w:tcPr>
                <w:p>
                  <w:pPr>
                    <w:spacing w:line="240" w:lineRule="auto"/>
                    <w:jc w:val="center"/>
                    <w:rPr>
                      <w:sz w:val="21"/>
                      <w:szCs w:val="21"/>
                    </w:rPr>
                  </w:pPr>
                </w:p>
              </w:tc>
              <w:tc>
                <w:tcPr>
                  <w:tcW w:w="3821" w:type="dxa"/>
                  <w:vAlign w:val="center"/>
                </w:tcPr>
                <w:p>
                  <w:pPr>
                    <w:spacing w:line="240" w:lineRule="auto"/>
                    <w:jc w:val="center"/>
                    <w:rPr>
                      <w:b/>
                      <w:bCs/>
                      <w:sz w:val="21"/>
                      <w:szCs w:val="21"/>
                    </w:rPr>
                  </w:pPr>
                  <w:r>
                    <w:rPr>
                      <w:b/>
                      <w:bCs/>
                      <w:sz w:val="21"/>
                      <w:szCs w:val="21"/>
                    </w:rPr>
                    <w:t>排放方式及去向</w:t>
                  </w:r>
                </w:p>
              </w:tc>
              <w:tc>
                <w:tcPr>
                  <w:tcW w:w="3781" w:type="dxa"/>
                  <w:gridSpan w:val="3"/>
                  <w:vAlign w:val="center"/>
                </w:tcPr>
                <w:p>
                  <w:pPr>
                    <w:spacing w:line="240" w:lineRule="auto"/>
                    <w:rPr>
                      <w:sz w:val="21"/>
                      <w:szCs w:val="21"/>
                    </w:rPr>
                  </w:pPr>
                  <w:r>
                    <w:rPr>
                      <w:sz w:val="21"/>
                      <w:szCs w:val="21"/>
                    </w:rPr>
                    <w:t>近期经比亚迪污水处理站预处理后排入河口镇污水处理厂；远期经比亚迪污水处理站预处理后排入陆河产业转移工业园工业污水处理厂处理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876" w:type="dxa"/>
                  <w:vMerge w:val="continue"/>
                  <w:vAlign w:val="center"/>
                </w:tcPr>
                <w:p>
                  <w:pPr>
                    <w:spacing w:line="240" w:lineRule="auto"/>
                    <w:jc w:val="center"/>
                    <w:rPr>
                      <w:sz w:val="21"/>
                      <w:szCs w:val="21"/>
                    </w:rPr>
                  </w:pPr>
                </w:p>
              </w:tc>
              <w:tc>
                <w:tcPr>
                  <w:tcW w:w="3821" w:type="dxa"/>
                  <w:vAlign w:val="center"/>
                </w:tcPr>
                <w:p>
                  <w:pPr>
                    <w:spacing w:line="240" w:lineRule="auto"/>
                    <w:jc w:val="center"/>
                    <w:rPr>
                      <w:b/>
                      <w:bCs/>
                      <w:sz w:val="21"/>
                      <w:szCs w:val="21"/>
                    </w:rPr>
                  </w:pPr>
                  <w:r>
                    <w:rPr>
                      <w:b/>
                      <w:bCs/>
                      <w:sz w:val="21"/>
                      <w:szCs w:val="21"/>
                    </w:rPr>
                    <w:t>排放口基本情况</w:t>
                  </w:r>
                </w:p>
              </w:tc>
              <w:tc>
                <w:tcPr>
                  <w:tcW w:w="3781" w:type="dxa"/>
                  <w:gridSpan w:val="3"/>
                  <w:vAlign w:val="center"/>
                </w:tcPr>
                <w:p>
                  <w:pPr>
                    <w:spacing w:line="240" w:lineRule="auto"/>
                    <w:rPr>
                      <w:sz w:val="21"/>
                      <w:szCs w:val="21"/>
                    </w:rPr>
                  </w:pPr>
                  <w:r>
                    <w:rPr>
                      <w:sz w:val="21"/>
                      <w:szCs w:val="21"/>
                    </w:rPr>
                    <w:t>编号及名称：DW002</w:t>
                  </w:r>
                  <w:r>
                    <w:rPr>
                      <w:rFonts w:hint="eastAsia"/>
                      <w:sz w:val="21"/>
                      <w:szCs w:val="21"/>
                    </w:rPr>
                    <w:t>/</w:t>
                  </w:r>
                  <w:r>
                    <w:rPr>
                      <w:sz w:val="21"/>
                      <w:szCs w:val="21"/>
                    </w:rPr>
                    <w:t>工业废水排放口</w:t>
                  </w:r>
                </w:p>
                <w:p>
                  <w:pPr>
                    <w:spacing w:line="240" w:lineRule="auto"/>
                    <w:rPr>
                      <w:sz w:val="21"/>
                      <w:szCs w:val="21"/>
                    </w:rPr>
                  </w:pPr>
                  <w:r>
                    <w:rPr>
                      <w:sz w:val="21"/>
                      <w:szCs w:val="21"/>
                    </w:rPr>
                    <w:t>类型：一般排放口</w:t>
                  </w:r>
                </w:p>
                <w:p>
                  <w:pPr>
                    <w:spacing w:line="240" w:lineRule="auto"/>
                    <w:rPr>
                      <w:sz w:val="21"/>
                      <w:szCs w:val="21"/>
                    </w:rPr>
                  </w:pPr>
                  <w:r>
                    <w:rPr>
                      <w:sz w:val="21"/>
                      <w:szCs w:val="21"/>
                    </w:rPr>
                    <w:t>地理坐标：E 115.345558，N 23.114527°</w:t>
                  </w:r>
                </w:p>
              </w:tc>
            </w:tr>
          </w:tbl>
          <w:p>
            <w:pPr>
              <w:pStyle w:val="51"/>
              <w:spacing w:before="0" w:line="360" w:lineRule="auto"/>
              <w:ind w:left="0" w:firstLine="482" w:firstLineChars="200"/>
              <w:outlineLvl w:val="9"/>
              <w:rPr>
                <w:rFonts w:ascii="Times New Roman" w:hAnsi="Times New Roman" w:eastAsia="新宋体"/>
                <w:b/>
                <w:bCs/>
                <w:sz w:val="24"/>
                <w:szCs w:val="24"/>
                <w:lang w:val="en-US"/>
              </w:rPr>
            </w:pPr>
            <w:r>
              <w:rPr>
                <w:rFonts w:ascii="Times New Roman" w:hAnsi="Times New Roman" w:eastAsia="新宋体"/>
                <w:b/>
                <w:bCs/>
                <w:sz w:val="24"/>
                <w:szCs w:val="24"/>
                <w:lang w:val="en-US"/>
              </w:rPr>
              <w:t>（2）地表水环境影响分析</w:t>
            </w:r>
          </w:p>
          <w:p>
            <w:pPr>
              <w:pStyle w:val="51"/>
              <w:spacing w:before="0" w:line="360" w:lineRule="auto"/>
              <w:ind w:left="0" w:firstLine="480" w:firstLineChars="200"/>
              <w:outlineLvl w:val="9"/>
              <w:rPr>
                <w:rFonts w:ascii="Times New Roman" w:hAnsi="Times New Roman" w:eastAsia="新宋体"/>
                <w:sz w:val="24"/>
                <w:szCs w:val="24"/>
                <w:lang w:val="en-US"/>
              </w:rPr>
            </w:pPr>
            <w:r>
              <w:rPr>
                <w:rFonts w:hint="eastAsia" w:ascii="Times New Roman" w:hAnsi="Times New Roman" w:eastAsia="新宋体"/>
                <w:sz w:val="24"/>
                <w:szCs w:val="24"/>
                <w:lang w:val="en-US"/>
              </w:rPr>
              <w:t>①</w:t>
            </w:r>
            <w:r>
              <w:rPr>
                <w:rFonts w:ascii="Times New Roman" w:hAnsi="Times New Roman" w:eastAsia="新宋体"/>
                <w:sz w:val="24"/>
                <w:szCs w:val="24"/>
                <w:lang w:val="en-US"/>
              </w:rPr>
              <w:t>项目废水污染物排放情况</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远期项目废水类别、污染物及污染治理设施信息见表4-5，废水污染物排放执行标准见表4-6，废水间接排放口基本情况见表4-7，废水污染物排放信息见表4-8。</w:t>
            </w:r>
          </w:p>
          <w:p>
            <w:pPr>
              <w:pStyle w:val="169"/>
              <w:spacing w:line="240" w:lineRule="auto"/>
              <w:rPr>
                <w:rFonts w:hint="default" w:hAnsi="Times New Roman" w:eastAsiaTheme="minorEastAsia"/>
                <w:sz w:val="24"/>
                <w:szCs w:val="24"/>
              </w:rPr>
            </w:pPr>
            <w:r>
              <w:rPr>
                <w:rFonts w:hAnsi="Times New Roman" w:eastAsiaTheme="minorEastAsia"/>
                <w:sz w:val="24"/>
                <w:szCs w:val="24"/>
              </w:rPr>
              <w:t>表4-</w:t>
            </w:r>
            <w:r>
              <w:rPr>
                <w:rFonts w:hint="default" w:hAnsi="Times New Roman" w:eastAsiaTheme="minorEastAsia"/>
                <w:sz w:val="24"/>
                <w:szCs w:val="24"/>
              </w:rPr>
              <w:t>5</w:t>
            </w:r>
            <w:r>
              <w:rPr>
                <w:rFonts w:hAnsi="Times New Roman" w:eastAsiaTheme="minorEastAsia"/>
                <w:sz w:val="24"/>
                <w:szCs w:val="24"/>
              </w:rPr>
              <w:t>（1）</w:t>
            </w:r>
            <w:r>
              <w:rPr>
                <w:rFonts w:hint="default" w:hAnsi="Times New Roman" w:eastAsiaTheme="minorEastAsia"/>
                <w:sz w:val="24"/>
                <w:szCs w:val="24"/>
              </w:rPr>
              <w:t xml:space="preserve"> </w:t>
            </w:r>
            <w:r>
              <w:rPr>
                <w:rFonts w:hAnsi="Times New Roman" w:eastAsiaTheme="minorEastAsia"/>
                <w:sz w:val="24"/>
                <w:szCs w:val="24"/>
              </w:rPr>
              <w:t>近期项目废水类别、污染物及污染治理设施信息表</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 w:type="dxa"/>
                <w:bottom w:w="0" w:type="dxa"/>
                <w:right w:w="10" w:type="dxa"/>
              </w:tblCellMar>
            </w:tblPr>
            <w:tblGrid>
              <w:gridCol w:w="311"/>
              <w:gridCol w:w="638"/>
              <w:gridCol w:w="681"/>
              <w:gridCol w:w="711"/>
              <w:gridCol w:w="850"/>
              <w:gridCol w:w="757"/>
              <w:gridCol w:w="817"/>
              <w:gridCol w:w="689"/>
              <w:gridCol w:w="620"/>
              <w:gridCol w:w="767"/>
              <w:gridCol w:w="14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186" w:type="pct"/>
                  <w:vMerge w:val="restart"/>
                  <w:vAlign w:val="center"/>
                </w:tcPr>
                <w:p>
                  <w:pPr>
                    <w:spacing w:line="240" w:lineRule="auto"/>
                    <w:jc w:val="center"/>
                    <w:rPr>
                      <w:b/>
                      <w:bCs/>
                      <w:sz w:val="21"/>
                      <w:szCs w:val="21"/>
                    </w:rPr>
                  </w:pPr>
                  <w:r>
                    <w:rPr>
                      <w:b/>
                      <w:bCs/>
                      <w:sz w:val="21"/>
                      <w:szCs w:val="21"/>
                    </w:rPr>
                    <w:t>序</w:t>
                  </w:r>
                </w:p>
                <w:p>
                  <w:pPr>
                    <w:spacing w:line="240" w:lineRule="auto"/>
                    <w:jc w:val="center"/>
                    <w:rPr>
                      <w:b/>
                      <w:bCs/>
                      <w:sz w:val="21"/>
                      <w:szCs w:val="21"/>
                    </w:rPr>
                  </w:pPr>
                  <w:r>
                    <w:rPr>
                      <w:b/>
                      <w:bCs/>
                      <w:sz w:val="21"/>
                      <w:szCs w:val="21"/>
                    </w:rPr>
                    <w:t>号</w:t>
                  </w:r>
                </w:p>
              </w:tc>
              <w:tc>
                <w:tcPr>
                  <w:tcW w:w="382" w:type="pct"/>
                  <w:vMerge w:val="restart"/>
                  <w:vAlign w:val="center"/>
                </w:tcPr>
                <w:p>
                  <w:pPr>
                    <w:spacing w:line="240" w:lineRule="auto"/>
                    <w:jc w:val="center"/>
                    <w:rPr>
                      <w:b/>
                      <w:bCs/>
                      <w:sz w:val="21"/>
                      <w:szCs w:val="21"/>
                    </w:rPr>
                  </w:pPr>
                  <w:r>
                    <w:rPr>
                      <w:b/>
                      <w:bCs/>
                      <w:sz w:val="21"/>
                      <w:szCs w:val="21"/>
                    </w:rPr>
                    <w:t>废水</w:t>
                  </w:r>
                </w:p>
                <w:p>
                  <w:pPr>
                    <w:spacing w:line="240" w:lineRule="auto"/>
                    <w:jc w:val="center"/>
                    <w:rPr>
                      <w:b/>
                      <w:bCs/>
                      <w:sz w:val="21"/>
                      <w:szCs w:val="21"/>
                    </w:rPr>
                  </w:pPr>
                  <w:r>
                    <w:rPr>
                      <w:b/>
                      <w:bCs/>
                      <w:sz w:val="21"/>
                      <w:szCs w:val="21"/>
                    </w:rPr>
                    <w:t>类别</w:t>
                  </w:r>
                </w:p>
              </w:tc>
              <w:tc>
                <w:tcPr>
                  <w:tcW w:w="408" w:type="pct"/>
                  <w:vMerge w:val="restart"/>
                  <w:vAlign w:val="center"/>
                </w:tcPr>
                <w:p>
                  <w:pPr>
                    <w:spacing w:line="240" w:lineRule="auto"/>
                    <w:jc w:val="center"/>
                    <w:rPr>
                      <w:b/>
                      <w:bCs/>
                      <w:sz w:val="21"/>
                      <w:szCs w:val="21"/>
                    </w:rPr>
                  </w:pPr>
                  <w:r>
                    <w:rPr>
                      <w:b/>
                      <w:bCs/>
                      <w:sz w:val="21"/>
                      <w:szCs w:val="21"/>
                    </w:rPr>
                    <w:t>污染物种类</w:t>
                  </w:r>
                </w:p>
              </w:tc>
              <w:tc>
                <w:tcPr>
                  <w:tcW w:w="426" w:type="pct"/>
                  <w:vMerge w:val="restart"/>
                  <w:vAlign w:val="center"/>
                </w:tcPr>
                <w:p>
                  <w:pPr>
                    <w:spacing w:line="240" w:lineRule="auto"/>
                    <w:jc w:val="center"/>
                    <w:rPr>
                      <w:b/>
                      <w:bCs/>
                      <w:sz w:val="21"/>
                      <w:szCs w:val="21"/>
                    </w:rPr>
                  </w:pPr>
                  <w:r>
                    <w:rPr>
                      <w:b/>
                      <w:bCs/>
                      <w:sz w:val="21"/>
                      <w:szCs w:val="21"/>
                    </w:rPr>
                    <w:t>排放去向</w:t>
                  </w:r>
                </w:p>
              </w:tc>
              <w:tc>
                <w:tcPr>
                  <w:tcW w:w="509" w:type="pct"/>
                  <w:vMerge w:val="restart"/>
                  <w:vAlign w:val="center"/>
                </w:tcPr>
                <w:p>
                  <w:pPr>
                    <w:spacing w:line="240" w:lineRule="auto"/>
                    <w:jc w:val="center"/>
                    <w:rPr>
                      <w:b/>
                      <w:bCs/>
                      <w:sz w:val="21"/>
                      <w:szCs w:val="21"/>
                    </w:rPr>
                  </w:pPr>
                  <w:r>
                    <w:rPr>
                      <w:b/>
                      <w:bCs/>
                      <w:sz w:val="21"/>
                      <w:szCs w:val="21"/>
                    </w:rPr>
                    <w:t>排放规律</w:t>
                  </w:r>
                </w:p>
              </w:tc>
              <w:tc>
                <w:tcPr>
                  <w:tcW w:w="1356" w:type="pct"/>
                  <w:gridSpan w:val="3"/>
                  <w:vAlign w:val="center"/>
                </w:tcPr>
                <w:p>
                  <w:pPr>
                    <w:spacing w:line="240" w:lineRule="auto"/>
                    <w:jc w:val="center"/>
                    <w:rPr>
                      <w:b/>
                      <w:bCs/>
                      <w:sz w:val="21"/>
                      <w:szCs w:val="21"/>
                    </w:rPr>
                  </w:pPr>
                  <w:r>
                    <w:rPr>
                      <w:b/>
                      <w:bCs/>
                      <w:sz w:val="21"/>
                      <w:szCs w:val="21"/>
                    </w:rPr>
                    <w:t>污染治理设施</w:t>
                  </w:r>
                </w:p>
              </w:tc>
              <w:tc>
                <w:tcPr>
                  <w:tcW w:w="372" w:type="pct"/>
                  <w:vMerge w:val="restart"/>
                  <w:vAlign w:val="center"/>
                </w:tcPr>
                <w:p>
                  <w:pPr>
                    <w:spacing w:line="240" w:lineRule="auto"/>
                    <w:jc w:val="center"/>
                    <w:rPr>
                      <w:b/>
                      <w:bCs/>
                      <w:sz w:val="21"/>
                      <w:szCs w:val="21"/>
                    </w:rPr>
                  </w:pPr>
                  <w:r>
                    <w:rPr>
                      <w:b/>
                      <w:bCs/>
                      <w:sz w:val="21"/>
                      <w:szCs w:val="21"/>
                    </w:rPr>
                    <w:t>排放口编号</w:t>
                  </w:r>
                </w:p>
              </w:tc>
              <w:tc>
                <w:tcPr>
                  <w:tcW w:w="460" w:type="pct"/>
                  <w:vMerge w:val="restart"/>
                  <w:vAlign w:val="center"/>
                </w:tcPr>
                <w:p>
                  <w:pPr>
                    <w:spacing w:line="240" w:lineRule="auto"/>
                    <w:jc w:val="center"/>
                    <w:rPr>
                      <w:b/>
                      <w:bCs/>
                      <w:sz w:val="21"/>
                      <w:szCs w:val="21"/>
                    </w:rPr>
                  </w:pPr>
                  <w:r>
                    <w:rPr>
                      <w:b/>
                      <w:bCs/>
                      <w:sz w:val="21"/>
                      <w:szCs w:val="21"/>
                    </w:rPr>
                    <w:t>排放口设置是否符合要求</w:t>
                  </w:r>
                </w:p>
              </w:tc>
              <w:tc>
                <w:tcPr>
                  <w:tcW w:w="897" w:type="pct"/>
                  <w:vMerge w:val="restart"/>
                  <w:vAlign w:val="center"/>
                </w:tcPr>
                <w:p>
                  <w:pPr>
                    <w:spacing w:line="240" w:lineRule="auto"/>
                    <w:jc w:val="center"/>
                    <w:rPr>
                      <w:b/>
                      <w:bCs/>
                      <w:sz w:val="21"/>
                      <w:szCs w:val="21"/>
                    </w:rPr>
                  </w:pPr>
                  <w:r>
                    <w:rPr>
                      <w:b/>
                      <w:bCs/>
                      <w:sz w:val="21"/>
                      <w:szCs w:val="21"/>
                    </w:rPr>
                    <w:t>排放口类型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186" w:type="pct"/>
                  <w:vMerge w:val="continue"/>
                  <w:vAlign w:val="center"/>
                </w:tcPr>
                <w:p>
                  <w:pPr>
                    <w:spacing w:line="240" w:lineRule="auto"/>
                    <w:jc w:val="center"/>
                    <w:rPr>
                      <w:b/>
                      <w:bCs/>
                      <w:sz w:val="21"/>
                      <w:szCs w:val="21"/>
                    </w:rPr>
                  </w:pPr>
                </w:p>
              </w:tc>
              <w:tc>
                <w:tcPr>
                  <w:tcW w:w="382" w:type="pct"/>
                  <w:vMerge w:val="continue"/>
                  <w:vAlign w:val="center"/>
                </w:tcPr>
                <w:p>
                  <w:pPr>
                    <w:spacing w:line="240" w:lineRule="auto"/>
                    <w:jc w:val="center"/>
                    <w:rPr>
                      <w:b/>
                      <w:bCs/>
                      <w:sz w:val="21"/>
                      <w:szCs w:val="21"/>
                    </w:rPr>
                  </w:pPr>
                </w:p>
              </w:tc>
              <w:tc>
                <w:tcPr>
                  <w:tcW w:w="408" w:type="pct"/>
                  <w:vMerge w:val="continue"/>
                  <w:vAlign w:val="center"/>
                </w:tcPr>
                <w:p>
                  <w:pPr>
                    <w:spacing w:line="240" w:lineRule="auto"/>
                    <w:jc w:val="center"/>
                    <w:rPr>
                      <w:b/>
                      <w:bCs/>
                      <w:sz w:val="21"/>
                      <w:szCs w:val="21"/>
                    </w:rPr>
                  </w:pPr>
                </w:p>
              </w:tc>
              <w:tc>
                <w:tcPr>
                  <w:tcW w:w="426" w:type="pct"/>
                  <w:vMerge w:val="continue"/>
                  <w:vAlign w:val="center"/>
                </w:tcPr>
                <w:p>
                  <w:pPr>
                    <w:spacing w:line="240" w:lineRule="auto"/>
                    <w:jc w:val="center"/>
                    <w:rPr>
                      <w:b/>
                      <w:bCs/>
                      <w:sz w:val="21"/>
                      <w:szCs w:val="21"/>
                    </w:rPr>
                  </w:pPr>
                </w:p>
              </w:tc>
              <w:tc>
                <w:tcPr>
                  <w:tcW w:w="509" w:type="pct"/>
                  <w:vMerge w:val="continue"/>
                  <w:vAlign w:val="center"/>
                </w:tcPr>
                <w:p>
                  <w:pPr>
                    <w:spacing w:line="240" w:lineRule="auto"/>
                    <w:jc w:val="center"/>
                    <w:rPr>
                      <w:b/>
                      <w:bCs/>
                      <w:sz w:val="21"/>
                      <w:szCs w:val="21"/>
                    </w:rPr>
                  </w:pPr>
                </w:p>
              </w:tc>
              <w:tc>
                <w:tcPr>
                  <w:tcW w:w="453" w:type="pct"/>
                  <w:vAlign w:val="center"/>
                </w:tcPr>
                <w:p>
                  <w:pPr>
                    <w:pStyle w:val="88"/>
                    <w:shd w:val="clear" w:color="auto" w:fill="auto"/>
                    <w:adjustRightInd w:val="0"/>
                    <w:snapToGrid w:val="0"/>
                    <w:spacing w:after="0" w:line="240" w:lineRule="auto"/>
                    <w:rPr>
                      <w:rFonts w:ascii="Times New Roman" w:hAnsi="Times New Roman" w:eastAsia="宋体" w:cs="Times New Roman"/>
                      <w:b/>
                      <w:bCs/>
                      <w:kern w:val="2"/>
                      <w:sz w:val="21"/>
                      <w:szCs w:val="21"/>
                    </w:rPr>
                  </w:pPr>
                  <w:r>
                    <w:rPr>
                      <w:rFonts w:ascii="Times New Roman" w:hAnsi="Times New Roman" w:eastAsia="宋体" w:cs="Times New Roman"/>
                      <w:b/>
                      <w:bCs/>
                      <w:kern w:val="2"/>
                      <w:sz w:val="21"/>
                      <w:szCs w:val="21"/>
                    </w:rPr>
                    <w:t>污染治理设施编号</w:t>
                  </w:r>
                </w:p>
              </w:tc>
              <w:tc>
                <w:tcPr>
                  <w:tcW w:w="490" w:type="pct"/>
                  <w:vAlign w:val="center"/>
                </w:tcPr>
                <w:p>
                  <w:pPr>
                    <w:pStyle w:val="88"/>
                    <w:shd w:val="clear" w:color="auto" w:fill="auto"/>
                    <w:adjustRightInd w:val="0"/>
                    <w:snapToGrid w:val="0"/>
                    <w:spacing w:after="0" w:line="240" w:lineRule="auto"/>
                    <w:rPr>
                      <w:rFonts w:ascii="Times New Roman" w:hAnsi="Times New Roman" w:eastAsia="宋体" w:cs="Times New Roman"/>
                      <w:b/>
                      <w:bCs/>
                      <w:kern w:val="2"/>
                      <w:sz w:val="21"/>
                      <w:szCs w:val="21"/>
                    </w:rPr>
                  </w:pPr>
                  <w:r>
                    <w:rPr>
                      <w:rFonts w:ascii="Times New Roman" w:hAnsi="Times New Roman" w:eastAsia="宋体" w:cs="Times New Roman"/>
                      <w:b/>
                      <w:bCs/>
                      <w:kern w:val="2"/>
                      <w:sz w:val="21"/>
                      <w:szCs w:val="21"/>
                    </w:rPr>
                    <w:t>污染治理设施名称</w:t>
                  </w:r>
                </w:p>
              </w:tc>
              <w:tc>
                <w:tcPr>
                  <w:tcW w:w="412" w:type="pct"/>
                  <w:vAlign w:val="center"/>
                </w:tcPr>
                <w:p>
                  <w:pPr>
                    <w:pStyle w:val="88"/>
                    <w:shd w:val="clear" w:color="auto" w:fill="auto"/>
                    <w:adjustRightInd w:val="0"/>
                    <w:snapToGrid w:val="0"/>
                    <w:spacing w:after="0" w:line="240" w:lineRule="auto"/>
                    <w:rPr>
                      <w:rFonts w:ascii="Times New Roman" w:hAnsi="Times New Roman" w:eastAsia="宋体" w:cs="Times New Roman"/>
                      <w:b/>
                      <w:bCs/>
                      <w:kern w:val="2"/>
                      <w:sz w:val="21"/>
                      <w:szCs w:val="21"/>
                    </w:rPr>
                  </w:pPr>
                  <w:r>
                    <w:rPr>
                      <w:rFonts w:ascii="Times New Roman" w:hAnsi="Times New Roman" w:eastAsia="宋体" w:cs="Times New Roman"/>
                      <w:b/>
                      <w:bCs/>
                      <w:kern w:val="2"/>
                      <w:sz w:val="21"/>
                      <w:szCs w:val="21"/>
                    </w:rPr>
                    <w:t>污染治理设施工艺</w:t>
                  </w:r>
                </w:p>
              </w:tc>
              <w:tc>
                <w:tcPr>
                  <w:tcW w:w="372" w:type="pct"/>
                  <w:vMerge w:val="continue"/>
                  <w:vAlign w:val="center"/>
                </w:tcPr>
                <w:p>
                  <w:pPr>
                    <w:spacing w:line="240" w:lineRule="auto"/>
                    <w:jc w:val="center"/>
                    <w:rPr>
                      <w:sz w:val="21"/>
                      <w:szCs w:val="21"/>
                    </w:rPr>
                  </w:pPr>
                </w:p>
              </w:tc>
              <w:tc>
                <w:tcPr>
                  <w:tcW w:w="460" w:type="pct"/>
                  <w:vMerge w:val="continue"/>
                  <w:vAlign w:val="center"/>
                </w:tcPr>
                <w:p>
                  <w:pPr>
                    <w:spacing w:line="240" w:lineRule="auto"/>
                    <w:jc w:val="center"/>
                    <w:rPr>
                      <w:sz w:val="21"/>
                      <w:szCs w:val="21"/>
                    </w:rPr>
                  </w:pPr>
                </w:p>
              </w:tc>
              <w:tc>
                <w:tcPr>
                  <w:tcW w:w="897" w:type="pct"/>
                  <w:vMerge w:val="continue"/>
                  <w:vAlign w:val="center"/>
                </w:tcPr>
                <w:p>
                  <w:pPr>
                    <w:spacing w:line="240" w:lineRule="auto"/>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186" w:type="pct"/>
                  <w:vAlign w:val="center"/>
                </w:tcPr>
                <w:p>
                  <w:pPr>
                    <w:spacing w:line="240" w:lineRule="auto"/>
                    <w:jc w:val="center"/>
                    <w:rPr>
                      <w:sz w:val="21"/>
                      <w:szCs w:val="21"/>
                    </w:rPr>
                  </w:pPr>
                  <w:r>
                    <w:rPr>
                      <w:sz w:val="21"/>
                      <w:szCs w:val="21"/>
                    </w:rPr>
                    <w:t>1</w:t>
                  </w:r>
                </w:p>
              </w:tc>
              <w:tc>
                <w:tcPr>
                  <w:tcW w:w="382" w:type="pct"/>
                  <w:vAlign w:val="center"/>
                </w:tcPr>
                <w:p>
                  <w:pPr>
                    <w:spacing w:line="240" w:lineRule="auto"/>
                    <w:jc w:val="center"/>
                    <w:rPr>
                      <w:sz w:val="21"/>
                      <w:szCs w:val="21"/>
                    </w:rPr>
                  </w:pPr>
                  <w:r>
                    <w:rPr>
                      <w:sz w:val="21"/>
                      <w:szCs w:val="21"/>
                    </w:rPr>
                    <w:t>生活污水、设备淋雨测试废水</w:t>
                  </w:r>
                </w:p>
              </w:tc>
              <w:tc>
                <w:tcPr>
                  <w:tcW w:w="408" w:type="pct"/>
                  <w:vAlign w:val="center"/>
                </w:tcPr>
                <w:p>
                  <w:pPr>
                    <w:spacing w:line="240" w:lineRule="auto"/>
                    <w:jc w:val="center"/>
                    <w:rPr>
                      <w:sz w:val="21"/>
                      <w:szCs w:val="21"/>
                    </w:rPr>
                  </w:pPr>
                  <w:r>
                    <w:rPr>
                      <w:sz w:val="21"/>
                      <w:szCs w:val="21"/>
                    </w:rPr>
                    <w:t>CODcr</w:t>
                  </w:r>
                </w:p>
                <w:p>
                  <w:pPr>
                    <w:spacing w:line="240" w:lineRule="auto"/>
                    <w:jc w:val="center"/>
                    <w:rPr>
                      <w:sz w:val="21"/>
                      <w:szCs w:val="21"/>
                    </w:rPr>
                  </w:pPr>
                  <w:r>
                    <w:rPr>
                      <w:sz w:val="21"/>
                      <w:szCs w:val="21"/>
                    </w:rPr>
                    <w:t>BOD</w:t>
                  </w:r>
                  <w:r>
                    <w:rPr>
                      <w:sz w:val="21"/>
                      <w:szCs w:val="21"/>
                      <w:vertAlign w:val="subscript"/>
                    </w:rPr>
                    <w:t>5</w:t>
                  </w:r>
                </w:p>
                <w:p>
                  <w:pPr>
                    <w:spacing w:line="240" w:lineRule="auto"/>
                    <w:jc w:val="center"/>
                    <w:rPr>
                      <w:sz w:val="21"/>
                      <w:szCs w:val="21"/>
                    </w:rPr>
                  </w:pPr>
                  <w:r>
                    <w:rPr>
                      <w:sz w:val="21"/>
                      <w:szCs w:val="21"/>
                    </w:rPr>
                    <w:t>氨氮</w:t>
                  </w:r>
                </w:p>
                <w:p>
                  <w:pPr>
                    <w:spacing w:line="240" w:lineRule="auto"/>
                    <w:jc w:val="center"/>
                    <w:rPr>
                      <w:sz w:val="21"/>
                      <w:szCs w:val="21"/>
                    </w:rPr>
                  </w:pPr>
                  <w:r>
                    <w:rPr>
                      <w:sz w:val="21"/>
                      <w:szCs w:val="21"/>
                    </w:rPr>
                    <w:t>SS</w:t>
                  </w:r>
                </w:p>
                <w:p>
                  <w:pPr>
                    <w:pStyle w:val="2"/>
                  </w:pPr>
                  <w:r>
                    <w:rPr>
                      <w:rFonts w:hint="eastAsia"/>
                    </w:rPr>
                    <w:t>石油类</w:t>
                  </w:r>
                </w:p>
              </w:tc>
              <w:tc>
                <w:tcPr>
                  <w:tcW w:w="426" w:type="pct"/>
                  <w:vAlign w:val="center"/>
                </w:tcPr>
                <w:p>
                  <w:pPr>
                    <w:spacing w:line="240" w:lineRule="auto"/>
                    <w:jc w:val="center"/>
                    <w:rPr>
                      <w:sz w:val="21"/>
                      <w:szCs w:val="21"/>
                    </w:rPr>
                  </w:pPr>
                  <w:r>
                    <w:rPr>
                      <w:sz w:val="21"/>
                      <w:szCs w:val="21"/>
                    </w:rPr>
                    <w:t>排入河口镇污水处理厂</w:t>
                  </w:r>
                </w:p>
              </w:tc>
              <w:tc>
                <w:tcPr>
                  <w:tcW w:w="509" w:type="pct"/>
                  <w:vAlign w:val="center"/>
                </w:tcPr>
                <w:p>
                  <w:pPr>
                    <w:spacing w:line="240" w:lineRule="auto"/>
                    <w:jc w:val="center"/>
                    <w:rPr>
                      <w:sz w:val="21"/>
                      <w:szCs w:val="21"/>
                    </w:rPr>
                  </w:pPr>
                  <w:r>
                    <w:rPr>
                      <w:sz w:val="21"/>
                      <w:szCs w:val="21"/>
                    </w:rPr>
                    <w:t>间断排放，排放期间流量不稳定，但有周期性规律</w:t>
                  </w:r>
                </w:p>
              </w:tc>
              <w:tc>
                <w:tcPr>
                  <w:tcW w:w="453" w:type="pct"/>
                  <w:vAlign w:val="center"/>
                </w:tcPr>
                <w:p>
                  <w:pPr>
                    <w:spacing w:line="240" w:lineRule="auto"/>
                    <w:jc w:val="center"/>
                    <w:rPr>
                      <w:sz w:val="21"/>
                      <w:szCs w:val="21"/>
                    </w:rPr>
                  </w:pPr>
                  <w:r>
                    <w:rPr>
                      <w:sz w:val="21"/>
                      <w:szCs w:val="21"/>
                    </w:rPr>
                    <w:t>/</w:t>
                  </w:r>
                </w:p>
              </w:tc>
              <w:tc>
                <w:tcPr>
                  <w:tcW w:w="490" w:type="pct"/>
                  <w:vAlign w:val="center"/>
                </w:tcPr>
                <w:p>
                  <w:pPr>
                    <w:spacing w:line="240" w:lineRule="auto"/>
                    <w:jc w:val="center"/>
                    <w:rPr>
                      <w:sz w:val="21"/>
                      <w:szCs w:val="21"/>
                    </w:rPr>
                  </w:pPr>
                  <w:r>
                    <w:rPr>
                      <w:sz w:val="21"/>
                      <w:szCs w:val="21"/>
                    </w:rPr>
                    <w:t>三级化粪池、比亚迪污水处理站</w:t>
                  </w:r>
                </w:p>
              </w:tc>
              <w:tc>
                <w:tcPr>
                  <w:tcW w:w="412" w:type="pct"/>
                  <w:vAlign w:val="center"/>
                </w:tcPr>
                <w:p>
                  <w:pPr>
                    <w:spacing w:line="240" w:lineRule="auto"/>
                    <w:jc w:val="center"/>
                    <w:rPr>
                      <w:sz w:val="21"/>
                      <w:szCs w:val="21"/>
                    </w:rPr>
                  </w:pPr>
                  <w:r>
                    <w:rPr>
                      <w:sz w:val="21"/>
                      <w:szCs w:val="21"/>
                    </w:rPr>
                    <w:t>三级化粪池、厌氧生物处理</w:t>
                  </w:r>
                </w:p>
              </w:tc>
              <w:tc>
                <w:tcPr>
                  <w:tcW w:w="372" w:type="pct"/>
                  <w:vAlign w:val="center"/>
                </w:tcPr>
                <w:p>
                  <w:pPr>
                    <w:spacing w:line="240" w:lineRule="auto"/>
                    <w:jc w:val="center"/>
                    <w:rPr>
                      <w:sz w:val="21"/>
                      <w:szCs w:val="21"/>
                    </w:rPr>
                  </w:pPr>
                  <w:r>
                    <w:rPr>
                      <w:rFonts w:hint="eastAsia"/>
                      <w:sz w:val="21"/>
                      <w:szCs w:val="21"/>
                    </w:rPr>
                    <w:t>D</w:t>
                  </w:r>
                  <w:r>
                    <w:rPr>
                      <w:sz w:val="21"/>
                      <w:szCs w:val="21"/>
                    </w:rPr>
                    <w:t>W001</w:t>
                  </w:r>
                </w:p>
              </w:tc>
              <w:tc>
                <w:tcPr>
                  <w:tcW w:w="460" w:type="pct"/>
                  <w:vAlign w:val="center"/>
                </w:tcPr>
                <w:p>
                  <w:pPr>
                    <w:pStyle w:val="88"/>
                    <w:shd w:val="clear" w:color="auto" w:fill="auto"/>
                    <w:adjustRightInd w:val="0"/>
                    <w:snapToGrid w:val="0"/>
                    <w:spacing w:after="0" w:line="240" w:lineRule="auto"/>
                    <w:rPr>
                      <w:rFonts w:ascii="Times New Roman" w:hAnsi="Times New Roman" w:eastAsia="宋体" w:cs="Times New Roman"/>
                      <w:kern w:val="2"/>
                      <w:sz w:val="21"/>
                      <w:szCs w:val="21"/>
                    </w:rPr>
                  </w:pPr>
                  <w:r>
                    <w:rPr>
                      <w:rFonts w:ascii="Times New Roman" w:hAnsi="Times New Roman" w:eastAsia="宋体" w:cs="Times New Roman"/>
                      <w:kern w:val="2"/>
                      <w:sz w:val="21"/>
                      <w:szCs w:val="21"/>
                    </w:rPr>
                    <w:t>/</w:t>
                  </w:r>
                </w:p>
              </w:tc>
              <w:tc>
                <w:tcPr>
                  <w:tcW w:w="897" w:type="pct"/>
                  <w:vAlign w:val="center"/>
                </w:tcPr>
                <w:p>
                  <w:pPr>
                    <w:pStyle w:val="88"/>
                    <w:shd w:val="clear" w:color="auto" w:fill="auto"/>
                    <w:adjustRightInd w:val="0"/>
                    <w:snapToGrid w:val="0"/>
                    <w:spacing w:after="0" w:line="240" w:lineRule="auto"/>
                    <w:jc w:val="left"/>
                    <w:rPr>
                      <w:rFonts w:ascii="Times New Roman" w:hAnsi="Times New Roman" w:eastAsia="宋体" w:cs="Times New Roman"/>
                      <w:kern w:val="2"/>
                      <w:sz w:val="21"/>
                      <w:szCs w:val="21"/>
                    </w:rPr>
                  </w:pPr>
                  <w:r>
                    <w:rPr>
                      <w:rFonts w:ascii="Times New Roman" w:hAnsi="Times New Roman" w:eastAsia="宋体" w:cs="Times New Roman"/>
                      <w:kern w:val="2"/>
                      <w:sz w:val="21"/>
                      <w:szCs w:val="21"/>
                    </w:rPr>
                    <w:sym w:font="Wingdings 2" w:char="0052"/>
                  </w:r>
                  <w:r>
                    <w:rPr>
                      <w:rFonts w:ascii="Times New Roman" w:hAnsi="Times New Roman" w:eastAsia="宋体" w:cs="Times New Roman"/>
                      <w:kern w:val="2"/>
                      <w:sz w:val="21"/>
                      <w:szCs w:val="21"/>
                    </w:rPr>
                    <w:t>企业总排</w:t>
                  </w:r>
                </w:p>
                <w:p>
                  <w:pPr>
                    <w:pStyle w:val="88"/>
                    <w:shd w:val="clear" w:color="auto" w:fill="auto"/>
                    <w:adjustRightInd w:val="0"/>
                    <w:snapToGrid w:val="0"/>
                    <w:spacing w:after="0" w:line="240" w:lineRule="auto"/>
                    <w:jc w:val="left"/>
                    <w:rPr>
                      <w:rFonts w:ascii="Times New Roman" w:hAnsi="Times New Roman" w:eastAsia="宋体" w:cs="Times New Roman"/>
                      <w:kern w:val="2"/>
                      <w:sz w:val="21"/>
                      <w:szCs w:val="21"/>
                    </w:rPr>
                  </w:pPr>
                  <w:r>
                    <w:rPr>
                      <w:rFonts w:ascii="Times New Roman" w:hAnsi="Times New Roman" w:eastAsia="宋体" w:cs="Times New Roman"/>
                      <w:kern w:val="2"/>
                      <w:sz w:val="21"/>
                      <w:szCs w:val="21"/>
                    </w:rPr>
                    <w:sym w:font="Wingdings 2" w:char="00A3"/>
                  </w:r>
                  <w:r>
                    <w:rPr>
                      <w:rFonts w:ascii="Times New Roman" w:hAnsi="Times New Roman" w:eastAsia="宋体" w:cs="Times New Roman"/>
                      <w:kern w:val="2"/>
                      <w:sz w:val="21"/>
                      <w:szCs w:val="21"/>
                    </w:rPr>
                    <w:t>雨水排放</w:t>
                  </w:r>
                </w:p>
                <w:p>
                  <w:pPr>
                    <w:pStyle w:val="88"/>
                    <w:shd w:val="clear" w:color="auto" w:fill="auto"/>
                    <w:adjustRightInd w:val="0"/>
                    <w:snapToGrid w:val="0"/>
                    <w:spacing w:after="0" w:line="240" w:lineRule="auto"/>
                    <w:jc w:val="left"/>
                    <w:rPr>
                      <w:rFonts w:ascii="Times New Roman" w:hAnsi="Times New Roman" w:eastAsia="宋体" w:cs="Times New Roman"/>
                      <w:kern w:val="2"/>
                      <w:sz w:val="21"/>
                      <w:szCs w:val="21"/>
                    </w:rPr>
                  </w:pPr>
                  <w:r>
                    <w:rPr>
                      <w:rFonts w:ascii="Times New Roman" w:hAnsi="Times New Roman" w:eastAsia="宋体" w:cs="Times New Roman"/>
                      <w:kern w:val="2"/>
                      <w:sz w:val="21"/>
                      <w:szCs w:val="21"/>
                    </w:rPr>
                    <w:sym w:font="Wingdings 2" w:char="00A3"/>
                  </w:r>
                  <w:r>
                    <w:rPr>
                      <w:rFonts w:ascii="Times New Roman" w:hAnsi="Times New Roman" w:eastAsia="宋体" w:cs="Times New Roman"/>
                      <w:kern w:val="2"/>
                      <w:sz w:val="21"/>
                      <w:szCs w:val="21"/>
                    </w:rPr>
                    <w:t>清净下水排放</w:t>
                  </w:r>
                </w:p>
                <w:p>
                  <w:pPr>
                    <w:pStyle w:val="88"/>
                    <w:shd w:val="clear" w:color="auto" w:fill="auto"/>
                    <w:adjustRightInd w:val="0"/>
                    <w:snapToGrid w:val="0"/>
                    <w:spacing w:after="0" w:line="240" w:lineRule="auto"/>
                    <w:jc w:val="left"/>
                    <w:rPr>
                      <w:rFonts w:ascii="Times New Roman" w:hAnsi="Times New Roman" w:eastAsia="宋体" w:cs="Times New Roman"/>
                      <w:kern w:val="2"/>
                      <w:sz w:val="21"/>
                      <w:szCs w:val="21"/>
                    </w:rPr>
                  </w:pPr>
                  <w:r>
                    <w:rPr>
                      <w:rFonts w:ascii="Times New Roman" w:hAnsi="Times New Roman" w:eastAsia="宋体" w:cs="Times New Roman"/>
                      <w:kern w:val="2"/>
                      <w:sz w:val="21"/>
                      <w:szCs w:val="21"/>
                    </w:rPr>
                    <w:sym w:font="Wingdings 2" w:char="00A3"/>
                  </w:r>
                  <w:r>
                    <w:rPr>
                      <w:rFonts w:ascii="Times New Roman" w:hAnsi="Times New Roman" w:eastAsia="宋体" w:cs="Times New Roman"/>
                      <w:kern w:val="2"/>
                      <w:sz w:val="21"/>
                      <w:szCs w:val="21"/>
                    </w:rPr>
                    <w:t>温排水排放</w:t>
                  </w:r>
                </w:p>
                <w:p>
                  <w:pPr>
                    <w:pStyle w:val="88"/>
                    <w:shd w:val="clear" w:color="auto" w:fill="auto"/>
                    <w:adjustRightInd w:val="0"/>
                    <w:snapToGrid w:val="0"/>
                    <w:spacing w:after="0" w:line="240" w:lineRule="auto"/>
                    <w:jc w:val="left"/>
                    <w:rPr>
                      <w:rFonts w:ascii="Times New Roman" w:hAnsi="Times New Roman" w:eastAsia="宋体" w:cs="Times New Roman"/>
                      <w:kern w:val="2"/>
                      <w:sz w:val="21"/>
                      <w:szCs w:val="21"/>
                    </w:rPr>
                  </w:pPr>
                  <w:r>
                    <w:rPr>
                      <w:rFonts w:ascii="Times New Roman" w:hAnsi="Times New Roman" w:eastAsia="宋体" w:cs="Times New Roman"/>
                      <w:kern w:val="2"/>
                      <w:sz w:val="21"/>
                      <w:szCs w:val="21"/>
                    </w:rPr>
                    <w:sym w:font="Wingdings 2" w:char="00A3"/>
                  </w:r>
                  <w:r>
                    <w:rPr>
                      <w:rFonts w:ascii="Times New Roman" w:hAnsi="Times New Roman" w:eastAsia="宋体" w:cs="Times New Roman"/>
                      <w:kern w:val="2"/>
                      <w:sz w:val="21"/>
                      <w:szCs w:val="21"/>
                    </w:rPr>
                    <w:t>车间或车间处理设施排放口</w:t>
                  </w:r>
                </w:p>
              </w:tc>
            </w:tr>
          </w:tbl>
          <w:p>
            <w:pPr>
              <w:pStyle w:val="169"/>
              <w:spacing w:line="240" w:lineRule="auto"/>
              <w:rPr>
                <w:rFonts w:hint="default" w:hAnsi="Times New Roman" w:eastAsiaTheme="minorEastAsia"/>
                <w:sz w:val="24"/>
                <w:szCs w:val="24"/>
              </w:rPr>
            </w:pPr>
            <w:r>
              <w:rPr>
                <w:rFonts w:hAnsi="Times New Roman" w:eastAsiaTheme="minorEastAsia"/>
                <w:sz w:val="24"/>
                <w:szCs w:val="24"/>
              </w:rPr>
              <w:t>表4-</w:t>
            </w:r>
            <w:r>
              <w:rPr>
                <w:rFonts w:hint="default" w:hAnsi="Times New Roman" w:eastAsiaTheme="minorEastAsia"/>
                <w:sz w:val="24"/>
                <w:szCs w:val="24"/>
              </w:rPr>
              <w:t>5</w:t>
            </w:r>
            <w:r>
              <w:rPr>
                <w:rFonts w:hAnsi="Times New Roman" w:eastAsiaTheme="minorEastAsia"/>
                <w:sz w:val="24"/>
                <w:szCs w:val="24"/>
              </w:rPr>
              <w:t>（2）</w:t>
            </w:r>
            <w:r>
              <w:rPr>
                <w:rFonts w:hint="default" w:hAnsi="Times New Roman" w:eastAsiaTheme="minorEastAsia"/>
                <w:sz w:val="24"/>
                <w:szCs w:val="24"/>
              </w:rPr>
              <w:t xml:space="preserve"> </w:t>
            </w:r>
            <w:r>
              <w:rPr>
                <w:rFonts w:hAnsi="Times New Roman" w:eastAsiaTheme="minorEastAsia"/>
                <w:sz w:val="24"/>
                <w:szCs w:val="24"/>
              </w:rPr>
              <w:t>远期项目废水类别、污染物及污染治理设施信息表</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 w:type="dxa"/>
                <w:bottom w:w="0" w:type="dxa"/>
                <w:right w:w="10" w:type="dxa"/>
              </w:tblCellMar>
            </w:tblPr>
            <w:tblGrid>
              <w:gridCol w:w="311"/>
              <w:gridCol w:w="640"/>
              <w:gridCol w:w="682"/>
              <w:gridCol w:w="710"/>
              <w:gridCol w:w="849"/>
              <w:gridCol w:w="756"/>
              <w:gridCol w:w="817"/>
              <w:gridCol w:w="689"/>
              <w:gridCol w:w="620"/>
              <w:gridCol w:w="767"/>
              <w:gridCol w:w="14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186" w:type="pct"/>
                  <w:vMerge w:val="restart"/>
                  <w:vAlign w:val="center"/>
                </w:tcPr>
                <w:p>
                  <w:pPr>
                    <w:pStyle w:val="88"/>
                    <w:shd w:val="clear" w:color="auto" w:fill="auto"/>
                    <w:adjustRightInd w:val="0"/>
                    <w:snapToGrid w:val="0"/>
                    <w:spacing w:after="120" w:line="240" w:lineRule="auto"/>
                    <w:rPr>
                      <w:rFonts w:ascii="Times New Roman" w:hAnsi="Times New Roman" w:eastAsia="新宋体" w:cs="Times New Roman"/>
                      <w:b/>
                      <w:bCs/>
                      <w:sz w:val="21"/>
                      <w:szCs w:val="21"/>
                    </w:rPr>
                  </w:pPr>
                  <w:r>
                    <w:rPr>
                      <w:rStyle w:val="62"/>
                      <w:rFonts w:ascii="Times New Roman" w:hAnsi="Times New Roman" w:eastAsia="新宋体" w:cs="Times New Roman"/>
                      <w:b/>
                      <w:bCs/>
                      <w:color w:val="auto"/>
                      <w:sz w:val="21"/>
                      <w:szCs w:val="21"/>
                    </w:rPr>
                    <w:t>序</w:t>
                  </w:r>
                </w:p>
                <w:p>
                  <w:pPr>
                    <w:pStyle w:val="88"/>
                    <w:shd w:val="clear" w:color="auto" w:fill="auto"/>
                    <w:adjustRightInd w:val="0"/>
                    <w:snapToGrid w:val="0"/>
                    <w:spacing w:before="120" w:after="0" w:line="240" w:lineRule="auto"/>
                    <w:rPr>
                      <w:rFonts w:ascii="Times New Roman" w:hAnsi="Times New Roman" w:eastAsia="新宋体" w:cs="Times New Roman"/>
                      <w:b/>
                      <w:bCs/>
                      <w:sz w:val="21"/>
                      <w:szCs w:val="21"/>
                    </w:rPr>
                  </w:pPr>
                  <w:r>
                    <w:rPr>
                      <w:rStyle w:val="62"/>
                      <w:rFonts w:ascii="Times New Roman" w:hAnsi="Times New Roman" w:eastAsia="新宋体" w:cs="Times New Roman"/>
                      <w:b/>
                      <w:bCs/>
                      <w:color w:val="auto"/>
                      <w:sz w:val="21"/>
                      <w:szCs w:val="21"/>
                    </w:rPr>
                    <w:t>号</w:t>
                  </w:r>
                </w:p>
              </w:tc>
              <w:tc>
                <w:tcPr>
                  <w:tcW w:w="383" w:type="pct"/>
                  <w:vMerge w:val="restart"/>
                  <w:vAlign w:val="center"/>
                </w:tcPr>
                <w:p>
                  <w:pPr>
                    <w:pStyle w:val="88"/>
                    <w:shd w:val="clear" w:color="auto" w:fill="auto"/>
                    <w:adjustRightInd w:val="0"/>
                    <w:snapToGrid w:val="0"/>
                    <w:spacing w:after="0" w:line="240" w:lineRule="auto"/>
                    <w:rPr>
                      <w:rStyle w:val="62"/>
                      <w:rFonts w:ascii="Times New Roman" w:hAnsi="Times New Roman" w:eastAsia="新宋体" w:cs="Times New Roman"/>
                      <w:b/>
                      <w:bCs/>
                      <w:color w:val="auto"/>
                      <w:sz w:val="21"/>
                      <w:szCs w:val="21"/>
                    </w:rPr>
                  </w:pPr>
                  <w:r>
                    <w:rPr>
                      <w:rStyle w:val="62"/>
                      <w:rFonts w:ascii="Times New Roman" w:hAnsi="Times New Roman" w:eastAsia="新宋体" w:cs="Times New Roman"/>
                      <w:b/>
                      <w:bCs/>
                      <w:color w:val="auto"/>
                      <w:sz w:val="21"/>
                      <w:szCs w:val="21"/>
                    </w:rPr>
                    <w:t>废水</w:t>
                  </w:r>
                </w:p>
                <w:p>
                  <w:pPr>
                    <w:pStyle w:val="88"/>
                    <w:shd w:val="clear" w:color="auto" w:fill="auto"/>
                    <w:adjustRightInd w:val="0"/>
                    <w:snapToGrid w:val="0"/>
                    <w:spacing w:after="0" w:line="240" w:lineRule="auto"/>
                    <w:rPr>
                      <w:rFonts w:ascii="Times New Roman" w:hAnsi="Times New Roman" w:eastAsia="新宋体" w:cs="Times New Roman"/>
                      <w:b/>
                      <w:bCs/>
                      <w:sz w:val="21"/>
                      <w:szCs w:val="21"/>
                    </w:rPr>
                  </w:pPr>
                  <w:r>
                    <w:rPr>
                      <w:rStyle w:val="62"/>
                      <w:rFonts w:ascii="Times New Roman" w:hAnsi="Times New Roman" w:eastAsia="新宋体" w:cs="Times New Roman"/>
                      <w:b/>
                      <w:bCs/>
                      <w:color w:val="auto"/>
                      <w:sz w:val="21"/>
                      <w:szCs w:val="21"/>
                    </w:rPr>
                    <w:t>类别</w:t>
                  </w:r>
                </w:p>
              </w:tc>
              <w:tc>
                <w:tcPr>
                  <w:tcW w:w="409" w:type="pct"/>
                  <w:vMerge w:val="restart"/>
                  <w:vAlign w:val="center"/>
                </w:tcPr>
                <w:p>
                  <w:pPr>
                    <w:pStyle w:val="88"/>
                    <w:shd w:val="clear" w:color="auto" w:fill="auto"/>
                    <w:adjustRightInd w:val="0"/>
                    <w:snapToGrid w:val="0"/>
                    <w:spacing w:after="120" w:line="240" w:lineRule="auto"/>
                    <w:rPr>
                      <w:rFonts w:ascii="Times New Roman" w:hAnsi="Times New Roman" w:eastAsia="新宋体" w:cs="Times New Roman"/>
                      <w:b/>
                      <w:bCs/>
                      <w:sz w:val="21"/>
                      <w:szCs w:val="21"/>
                    </w:rPr>
                  </w:pPr>
                  <w:r>
                    <w:rPr>
                      <w:rStyle w:val="62"/>
                      <w:rFonts w:ascii="Times New Roman" w:hAnsi="Times New Roman" w:eastAsia="新宋体" w:cs="Times New Roman"/>
                      <w:b/>
                      <w:bCs/>
                      <w:color w:val="auto"/>
                      <w:sz w:val="21"/>
                      <w:szCs w:val="21"/>
                    </w:rPr>
                    <w:t>污染物种类</w:t>
                  </w:r>
                </w:p>
              </w:tc>
              <w:tc>
                <w:tcPr>
                  <w:tcW w:w="426" w:type="pct"/>
                  <w:vMerge w:val="restart"/>
                  <w:vAlign w:val="center"/>
                </w:tcPr>
                <w:p>
                  <w:pPr>
                    <w:pStyle w:val="88"/>
                    <w:shd w:val="clear" w:color="auto" w:fill="auto"/>
                    <w:adjustRightInd w:val="0"/>
                    <w:snapToGrid w:val="0"/>
                    <w:spacing w:after="0" w:line="240" w:lineRule="auto"/>
                    <w:rPr>
                      <w:rFonts w:ascii="Times New Roman" w:hAnsi="Times New Roman" w:eastAsia="新宋体" w:cs="Times New Roman"/>
                      <w:b/>
                      <w:bCs/>
                      <w:sz w:val="21"/>
                      <w:szCs w:val="21"/>
                    </w:rPr>
                  </w:pPr>
                  <w:r>
                    <w:rPr>
                      <w:rStyle w:val="62"/>
                      <w:rFonts w:ascii="Times New Roman" w:hAnsi="Times New Roman" w:eastAsia="新宋体" w:cs="Times New Roman"/>
                      <w:b/>
                      <w:bCs/>
                      <w:color w:val="auto"/>
                      <w:sz w:val="21"/>
                      <w:szCs w:val="21"/>
                    </w:rPr>
                    <w:t>排放去向</w:t>
                  </w:r>
                </w:p>
              </w:tc>
              <w:tc>
                <w:tcPr>
                  <w:tcW w:w="509" w:type="pct"/>
                  <w:vMerge w:val="restart"/>
                  <w:vAlign w:val="center"/>
                </w:tcPr>
                <w:p>
                  <w:pPr>
                    <w:pStyle w:val="88"/>
                    <w:shd w:val="clear" w:color="auto" w:fill="auto"/>
                    <w:adjustRightInd w:val="0"/>
                    <w:snapToGrid w:val="0"/>
                    <w:spacing w:after="0" w:line="240" w:lineRule="auto"/>
                    <w:rPr>
                      <w:rFonts w:ascii="Times New Roman" w:hAnsi="Times New Roman" w:eastAsia="新宋体" w:cs="Times New Roman"/>
                      <w:b/>
                      <w:bCs/>
                      <w:sz w:val="21"/>
                      <w:szCs w:val="21"/>
                    </w:rPr>
                  </w:pPr>
                  <w:r>
                    <w:rPr>
                      <w:rStyle w:val="62"/>
                      <w:rFonts w:ascii="Times New Roman" w:hAnsi="Times New Roman" w:eastAsia="新宋体" w:cs="Times New Roman"/>
                      <w:b/>
                      <w:bCs/>
                      <w:color w:val="auto"/>
                      <w:sz w:val="21"/>
                      <w:szCs w:val="21"/>
                    </w:rPr>
                    <w:t>排放规律</w:t>
                  </w:r>
                </w:p>
              </w:tc>
              <w:tc>
                <w:tcPr>
                  <w:tcW w:w="1356" w:type="pct"/>
                  <w:gridSpan w:val="3"/>
                  <w:vAlign w:val="center"/>
                </w:tcPr>
                <w:p>
                  <w:pPr>
                    <w:pStyle w:val="88"/>
                    <w:shd w:val="clear" w:color="auto" w:fill="auto"/>
                    <w:adjustRightInd w:val="0"/>
                    <w:snapToGrid w:val="0"/>
                    <w:spacing w:after="0" w:line="240" w:lineRule="auto"/>
                    <w:rPr>
                      <w:rFonts w:ascii="Times New Roman" w:hAnsi="Times New Roman" w:eastAsia="新宋体" w:cs="Times New Roman"/>
                      <w:b/>
                      <w:bCs/>
                      <w:sz w:val="21"/>
                      <w:szCs w:val="21"/>
                    </w:rPr>
                  </w:pPr>
                  <w:r>
                    <w:rPr>
                      <w:rStyle w:val="62"/>
                      <w:rFonts w:ascii="Times New Roman" w:hAnsi="Times New Roman" w:eastAsia="新宋体" w:cs="Times New Roman"/>
                      <w:b/>
                      <w:bCs/>
                      <w:color w:val="auto"/>
                      <w:sz w:val="21"/>
                      <w:szCs w:val="21"/>
                    </w:rPr>
                    <w:t>污染治理设施</w:t>
                  </w:r>
                </w:p>
              </w:tc>
              <w:tc>
                <w:tcPr>
                  <w:tcW w:w="372" w:type="pct"/>
                  <w:vMerge w:val="restart"/>
                  <w:vAlign w:val="center"/>
                </w:tcPr>
                <w:p>
                  <w:pPr>
                    <w:pStyle w:val="88"/>
                    <w:shd w:val="clear" w:color="auto" w:fill="auto"/>
                    <w:adjustRightInd w:val="0"/>
                    <w:snapToGrid w:val="0"/>
                    <w:spacing w:after="120" w:line="240" w:lineRule="auto"/>
                    <w:rPr>
                      <w:rFonts w:ascii="Times New Roman" w:hAnsi="Times New Roman" w:eastAsia="新宋体" w:cs="Times New Roman"/>
                      <w:b/>
                      <w:bCs/>
                      <w:sz w:val="21"/>
                      <w:szCs w:val="21"/>
                    </w:rPr>
                  </w:pPr>
                  <w:r>
                    <w:rPr>
                      <w:rStyle w:val="62"/>
                      <w:rFonts w:ascii="Times New Roman" w:hAnsi="Times New Roman" w:eastAsia="新宋体" w:cs="Times New Roman"/>
                      <w:b/>
                      <w:bCs/>
                      <w:color w:val="auto"/>
                      <w:sz w:val="21"/>
                      <w:szCs w:val="21"/>
                    </w:rPr>
                    <w:t>排放口编号</w:t>
                  </w:r>
                </w:p>
              </w:tc>
              <w:tc>
                <w:tcPr>
                  <w:tcW w:w="460" w:type="pct"/>
                  <w:vMerge w:val="restart"/>
                  <w:vAlign w:val="center"/>
                </w:tcPr>
                <w:p>
                  <w:pPr>
                    <w:pStyle w:val="88"/>
                    <w:shd w:val="clear" w:color="auto" w:fill="auto"/>
                    <w:adjustRightInd w:val="0"/>
                    <w:snapToGrid w:val="0"/>
                    <w:spacing w:after="0" w:line="240" w:lineRule="auto"/>
                    <w:rPr>
                      <w:rFonts w:ascii="Times New Roman" w:hAnsi="Times New Roman" w:eastAsia="新宋体" w:cs="Times New Roman"/>
                      <w:b/>
                      <w:bCs/>
                      <w:sz w:val="21"/>
                      <w:szCs w:val="21"/>
                    </w:rPr>
                  </w:pPr>
                  <w:r>
                    <w:rPr>
                      <w:rStyle w:val="62"/>
                      <w:rFonts w:ascii="Times New Roman" w:hAnsi="Times New Roman" w:eastAsia="新宋体" w:cs="Times New Roman"/>
                      <w:b/>
                      <w:bCs/>
                      <w:color w:val="auto"/>
                      <w:sz w:val="21"/>
                      <w:szCs w:val="21"/>
                    </w:rPr>
                    <w:t>排放口设置是否符合要求</w:t>
                  </w:r>
                </w:p>
              </w:tc>
              <w:tc>
                <w:tcPr>
                  <w:tcW w:w="898" w:type="pct"/>
                  <w:vMerge w:val="restart"/>
                  <w:vAlign w:val="center"/>
                </w:tcPr>
                <w:p>
                  <w:pPr>
                    <w:pStyle w:val="88"/>
                    <w:shd w:val="clear" w:color="auto" w:fill="auto"/>
                    <w:adjustRightInd w:val="0"/>
                    <w:snapToGrid w:val="0"/>
                    <w:spacing w:after="120" w:line="240" w:lineRule="auto"/>
                    <w:rPr>
                      <w:rFonts w:ascii="Times New Roman" w:hAnsi="Times New Roman" w:eastAsia="新宋体" w:cs="Times New Roman"/>
                      <w:b/>
                      <w:bCs/>
                      <w:sz w:val="21"/>
                      <w:szCs w:val="21"/>
                    </w:rPr>
                  </w:pPr>
                  <w:r>
                    <w:rPr>
                      <w:rStyle w:val="62"/>
                      <w:rFonts w:ascii="Times New Roman" w:hAnsi="Times New Roman" w:eastAsia="新宋体" w:cs="Times New Roman"/>
                      <w:b/>
                      <w:bCs/>
                      <w:color w:val="auto"/>
                      <w:sz w:val="21"/>
                      <w:szCs w:val="21"/>
                    </w:rPr>
                    <w:t>排放口类型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186" w:type="pct"/>
                  <w:vMerge w:val="continue"/>
                  <w:vAlign w:val="center"/>
                </w:tcPr>
                <w:p>
                  <w:pPr>
                    <w:spacing w:line="240" w:lineRule="auto"/>
                    <w:jc w:val="center"/>
                    <w:rPr>
                      <w:rFonts w:eastAsia="新宋体"/>
                      <w:sz w:val="21"/>
                      <w:szCs w:val="21"/>
                    </w:rPr>
                  </w:pPr>
                </w:p>
              </w:tc>
              <w:tc>
                <w:tcPr>
                  <w:tcW w:w="383" w:type="pct"/>
                  <w:vMerge w:val="continue"/>
                  <w:vAlign w:val="center"/>
                </w:tcPr>
                <w:p>
                  <w:pPr>
                    <w:spacing w:line="240" w:lineRule="auto"/>
                    <w:jc w:val="center"/>
                    <w:rPr>
                      <w:rFonts w:eastAsia="新宋体"/>
                      <w:sz w:val="21"/>
                      <w:szCs w:val="21"/>
                    </w:rPr>
                  </w:pPr>
                </w:p>
              </w:tc>
              <w:tc>
                <w:tcPr>
                  <w:tcW w:w="409" w:type="pct"/>
                  <w:vMerge w:val="continue"/>
                  <w:vAlign w:val="center"/>
                </w:tcPr>
                <w:p>
                  <w:pPr>
                    <w:spacing w:line="240" w:lineRule="auto"/>
                    <w:jc w:val="center"/>
                    <w:rPr>
                      <w:rFonts w:eastAsia="新宋体"/>
                      <w:sz w:val="21"/>
                      <w:szCs w:val="21"/>
                    </w:rPr>
                  </w:pPr>
                </w:p>
              </w:tc>
              <w:tc>
                <w:tcPr>
                  <w:tcW w:w="426" w:type="pct"/>
                  <w:vMerge w:val="continue"/>
                  <w:vAlign w:val="center"/>
                </w:tcPr>
                <w:p>
                  <w:pPr>
                    <w:spacing w:line="240" w:lineRule="auto"/>
                    <w:jc w:val="center"/>
                    <w:rPr>
                      <w:rFonts w:eastAsia="新宋体"/>
                      <w:sz w:val="21"/>
                      <w:szCs w:val="21"/>
                    </w:rPr>
                  </w:pPr>
                </w:p>
              </w:tc>
              <w:tc>
                <w:tcPr>
                  <w:tcW w:w="509" w:type="pct"/>
                  <w:vMerge w:val="continue"/>
                  <w:vAlign w:val="center"/>
                </w:tcPr>
                <w:p>
                  <w:pPr>
                    <w:spacing w:line="240" w:lineRule="auto"/>
                    <w:jc w:val="center"/>
                    <w:rPr>
                      <w:rFonts w:eastAsia="新宋体"/>
                      <w:sz w:val="21"/>
                      <w:szCs w:val="21"/>
                    </w:rPr>
                  </w:pPr>
                </w:p>
              </w:tc>
              <w:tc>
                <w:tcPr>
                  <w:tcW w:w="453" w:type="pct"/>
                  <w:vAlign w:val="center"/>
                </w:tcPr>
                <w:p>
                  <w:pPr>
                    <w:pStyle w:val="88"/>
                    <w:shd w:val="clear" w:color="auto" w:fill="auto"/>
                    <w:adjustRightInd w:val="0"/>
                    <w:snapToGrid w:val="0"/>
                    <w:spacing w:after="0" w:line="240" w:lineRule="auto"/>
                    <w:rPr>
                      <w:rFonts w:ascii="Times New Roman" w:hAnsi="Times New Roman" w:eastAsia="新宋体" w:cs="Times New Roman"/>
                      <w:b/>
                      <w:bCs/>
                      <w:sz w:val="21"/>
                      <w:szCs w:val="21"/>
                    </w:rPr>
                  </w:pPr>
                  <w:r>
                    <w:rPr>
                      <w:rStyle w:val="62"/>
                      <w:rFonts w:ascii="Times New Roman" w:hAnsi="Times New Roman" w:eastAsia="新宋体" w:cs="Times New Roman"/>
                      <w:b/>
                      <w:bCs/>
                      <w:color w:val="auto"/>
                      <w:sz w:val="21"/>
                      <w:szCs w:val="21"/>
                    </w:rPr>
                    <w:t>污染治理设施编号</w:t>
                  </w:r>
                </w:p>
              </w:tc>
              <w:tc>
                <w:tcPr>
                  <w:tcW w:w="490" w:type="pct"/>
                  <w:vAlign w:val="center"/>
                </w:tcPr>
                <w:p>
                  <w:pPr>
                    <w:pStyle w:val="88"/>
                    <w:shd w:val="clear" w:color="auto" w:fill="auto"/>
                    <w:adjustRightInd w:val="0"/>
                    <w:snapToGrid w:val="0"/>
                    <w:spacing w:after="0" w:line="240" w:lineRule="auto"/>
                    <w:rPr>
                      <w:rFonts w:ascii="Times New Roman" w:hAnsi="Times New Roman" w:eastAsia="新宋体" w:cs="Times New Roman"/>
                      <w:b/>
                      <w:bCs/>
                      <w:sz w:val="21"/>
                      <w:szCs w:val="21"/>
                    </w:rPr>
                  </w:pPr>
                  <w:r>
                    <w:rPr>
                      <w:rStyle w:val="62"/>
                      <w:rFonts w:ascii="Times New Roman" w:hAnsi="Times New Roman" w:eastAsia="新宋体" w:cs="Times New Roman"/>
                      <w:b/>
                      <w:bCs/>
                      <w:color w:val="auto"/>
                      <w:sz w:val="21"/>
                      <w:szCs w:val="21"/>
                    </w:rPr>
                    <w:t>污染治理设施名称</w:t>
                  </w:r>
                </w:p>
              </w:tc>
              <w:tc>
                <w:tcPr>
                  <w:tcW w:w="413" w:type="pct"/>
                  <w:vAlign w:val="center"/>
                </w:tcPr>
                <w:p>
                  <w:pPr>
                    <w:pStyle w:val="88"/>
                    <w:shd w:val="clear" w:color="auto" w:fill="auto"/>
                    <w:adjustRightInd w:val="0"/>
                    <w:snapToGrid w:val="0"/>
                    <w:spacing w:after="0" w:line="240" w:lineRule="auto"/>
                    <w:rPr>
                      <w:rFonts w:ascii="Times New Roman" w:hAnsi="Times New Roman" w:eastAsia="新宋体" w:cs="Times New Roman"/>
                      <w:b/>
                      <w:bCs/>
                      <w:sz w:val="21"/>
                      <w:szCs w:val="21"/>
                    </w:rPr>
                  </w:pPr>
                  <w:r>
                    <w:rPr>
                      <w:rStyle w:val="62"/>
                      <w:rFonts w:ascii="Times New Roman" w:hAnsi="Times New Roman" w:eastAsia="新宋体" w:cs="Times New Roman"/>
                      <w:b/>
                      <w:bCs/>
                      <w:color w:val="auto"/>
                      <w:sz w:val="21"/>
                      <w:szCs w:val="21"/>
                    </w:rPr>
                    <w:t>污染治理设施工艺</w:t>
                  </w:r>
                </w:p>
              </w:tc>
              <w:tc>
                <w:tcPr>
                  <w:tcW w:w="372" w:type="pct"/>
                  <w:vMerge w:val="continue"/>
                  <w:vAlign w:val="center"/>
                </w:tcPr>
                <w:p>
                  <w:pPr>
                    <w:spacing w:line="240" w:lineRule="auto"/>
                    <w:jc w:val="center"/>
                    <w:rPr>
                      <w:rFonts w:eastAsia="新宋体"/>
                      <w:sz w:val="21"/>
                      <w:szCs w:val="21"/>
                    </w:rPr>
                  </w:pPr>
                </w:p>
              </w:tc>
              <w:tc>
                <w:tcPr>
                  <w:tcW w:w="460" w:type="pct"/>
                  <w:vMerge w:val="continue"/>
                  <w:vAlign w:val="center"/>
                </w:tcPr>
                <w:p>
                  <w:pPr>
                    <w:spacing w:line="240" w:lineRule="auto"/>
                    <w:jc w:val="center"/>
                    <w:rPr>
                      <w:rFonts w:eastAsia="新宋体"/>
                      <w:sz w:val="21"/>
                      <w:szCs w:val="21"/>
                    </w:rPr>
                  </w:pPr>
                </w:p>
              </w:tc>
              <w:tc>
                <w:tcPr>
                  <w:tcW w:w="898" w:type="pct"/>
                  <w:vMerge w:val="continue"/>
                  <w:vAlign w:val="center"/>
                </w:tcPr>
                <w:p>
                  <w:pPr>
                    <w:spacing w:line="240" w:lineRule="auto"/>
                    <w:jc w:val="center"/>
                    <w:rPr>
                      <w:rFonts w:eastAsia="新宋体"/>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186" w:type="pct"/>
                  <w:vAlign w:val="center"/>
                </w:tcPr>
                <w:p>
                  <w:pPr>
                    <w:spacing w:line="240" w:lineRule="auto"/>
                    <w:jc w:val="center"/>
                    <w:rPr>
                      <w:rFonts w:eastAsia="新宋体"/>
                      <w:sz w:val="21"/>
                      <w:szCs w:val="21"/>
                    </w:rPr>
                  </w:pPr>
                  <w:r>
                    <w:rPr>
                      <w:rFonts w:eastAsia="新宋体"/>
                      <w:sz w:val="21"/>
                      <w:szCs w:val="21"/>
                    </w:rPr>
                    <w:t>1</w:t>
                  </w:r>
                </w:p>
              </w:tc>
              <w:tc>
                <w:tcPr>
                  <w:tcW w:w="383" w:type="pct"/>
                  <w:vAlign w:val="center"/>
                </w:tcPr>
                <w:p>
                  <w:pPr>
                    <w:spacing w:line="240" w:lineRule="auto"/>
                    <w:jc w:val="center"/>
                    <w:rPr>
                      <w:rFonts w:eastAsia="新宋体"/>
                      <w:sz w:val="21"/>
                      <w:szCs w:val="21"/>
                    </w:rPr>
                  </w:pPr>
                  <w:r>
                    <w:rPr>
                      <w:rFonts w:eastAsia="新宋体"/>
                      <w:sz w:val="21"/>
                      <w:szCs w:val="21"/>
                    </w:rPr>
                    <w:t>生活污水</w:t>
                  </w:r>
                </w:p>
              </w:tc>
              <w:tc>
                <w:tcPr>
                  <w:tcW w:w="409" w:type="pct"/>
                  <w:vAlign w:val="center"/>
                </w:tcPr>
                <w:p>
                  <w:pPr>
                    <w:spacing w:line="240" w:lineRule="auto"/>
                    <w:jc w:val="center"/>
                    <w:rPr>
                      <w:rFonts w:eastAsia="新宋体"/>
                      <w:bCs/>
                      <w:sz w:val="21"/>
                      <w:szCs w:val="21"/>
                    </w:rPr>
                  </w:pPr>
                  <w:r>
                    <w:rPr>
                      <w:rFonts w:eastAsia="新宋体"/>
                      <w:bCs/>
                      <w:sz w:val="21"/>
                      <w:szCs w:val="21"/>
                    </w:rPr>
                    <w:t>CODcr</w:t>
                  </w:r>
                </w:p>
                <w:p>
                  <w:pPr>
                    <w:spacing w:line="240" w:lineRule="auto"/>
                    <w:jc w:val="center"/>
                    <w:rPr>
                      <w:rFonts w:eastAsia="新宋体"/>
                      <w:bCs/>
                      <w:sz w:val="21"/>
                      <w:szCs w:val="21"/>
                    </w:rPr>
                  </w:pPr>
                  <w:r>
                    <w:rPr>
                      <w:rFonts w:eastAsia="新宋体"/>
                      <w:bCs/>
                      <w:sz w:val="21"/>
                      <w:szCs w:val="21"/>
                    </w:rPr>
                    <w:t>BOD</w:t>
                  </w:r>
                  <w:r>
                    <w:rPr>
                      <w:rFonts w:eastAsia="新宋体"/>
                      <w:bCs/>
                      <w:sz w:val="21"/>
                      <w:szCs w:val="21"/>
                      <w:vertAlign w:val="subscript"/>
                    </w:rPr>
                    <w:t>5</w:t>
                  </w:r>
                </w:p>
                <w:p>
                  <w:pPr>
                    <w:spacing w:line="240" w:lineRule="auto"/>
                    <w:jc w:val="center"/>
                    <w:rPr>
                      <w:rFonts w:eastAsia="新宋体"/>
                      <w:bCs/>
                      <w:sz w:val="21"/>
                      <w:szCs w:val="21"/>
                    </w:rPr>
                  </w:pPr>
                  <w:r>
                    <w:rPr>
                      <w:rFonts w:eastAsia="新宋体"/>
                      <w:bCs/>
                      <w:sz w:val="21"/>
                      <w:szCs w:val="21"/>
                    </w:rPr>
                    <w:t>氨氮</w:t>
                  </w:r>
                </w:p>
                <w:p>
                  <w:pPr>
                    <w:spacing w:line="240" w:lineRule="auto"/>
                    <w:jc w:val="center"/>
                    <w:rPr>
                      <w:rFonts w:eastAsia="新宋体"/>
                      <w:sz w:val="21"/>
                      <w:szCs w:val="21"/>
                    </w:rPr>
                  </w:pPr>
                  <w:r>
                    <w:rPr>
                      <w:rFonts w:eastAsia="新宋体"/>
                      <w:bCs/>
                      <w:sz w:val="21"/>
                      <w:szCs w:val="21"/>
                    </w:rPr>
                    <w:t>SS</w:t>
                  </w:r>
                </w:p>
              </w:tc>
              <w:tc>
                <w:tcPr>
                  <w:tcW w:w="426" w:type="pct"/>
                  <w:vAlign w:val="center"/>
                </w:tcPr>
                <w:p>
                  <w:pPr>
                    <w:spacing w:line="240" w:lineRule="auto"/>
                    <w:jc w:val="center"/>
                    <w:rPr>
                      <w:rFonts w:eastAsia="新宋体"/>
                      <w:sz w:val="21"/>
                      <w:szCs w:val="21"/>
                    </w:rPr>
                  </w:pPr>
                  <w:r>
                    <w:rPr>
                      <w:rFonts w:eastAsia="新宋体"/>
                      <w:sz w:val="21"/>
                      <w:szCs w:val="21"/>
                    </w:rPr>
                    <w:t>排入河口镇污水处理厂</w:t>
                  </w:r>
                </w:p>
              </w:tc>
              <w:tc>
                <w:tcPr>
                  <w:tcW w:w="509" w:type="pct"/>
                  <w:vAlign w:val="center"/>
                </w:tcPr>
                <w:p>
                  <w:pPr>
                    <w:spacing w:line="240" w:lineRule="auto"/>
                    <w:jc w:val="center"/>
                    <w:rPr>
                      <w:rFonts w:eastAsia="新宋体"/>
                      <w:sz w:val="21"/>
                      <w:szCs w:val="21"/>
                    </w:rPr>
                  </w:pPr>
                  <w:r>
                    <w:rPr>
                      <w:rFonts w:eastAsia="新宋体"/>
                      <w:sz w:val="21"/>
                      <w:szCs w:val="21"/>
                    </w:rPr>
                    <w:t>间断排放，排放期间流量不稳定，但有周期性规律</w:t>
                  </w:r>
                </w:p>
              </w:tc>
              <w:tc>
                <w:tcPr>
                  <w:tcW w:w="453" w:type="pct"/>
                  <w:vAlign w:val="center"/>
                </w:tcPr>
                <w:p>
                  <w:pPr>
                    <w:spacing w:line="240" w:lineRule="auto"/>
                    <w:jc w:val="center"/>
                    <w:rPr>
                      <w:rFonts w:eastAsia="新宋体"/>
                      <w:sz w:val="21"/>
                      <w:szCs w:val="21"/>
                    </w:rPr>
                  </w:pPr>
                  <w:r>
                    <w:rPr>
                      <w:rFonts w:eastAsia="新宋体"/>
                      <w:sz w:val="21"/>
                      <w:szCs w:val="21"/>
                    </w:rPr>
                    <w:t>/</w:t>
                  </w:r>
                </w:p>
              </w:tc>
              <w:tc>
                <w:tcPr>
                  <w:tcW w:w="490" w:type="pct"/>
                  <w:vAlign w:val="center"/>
                </w:tcPr>
                <w:p>
                  <w:pPr>
                    <w:spacing w:line="240" w:lineRule="auto"/>
                    <w:jc w:val="center"/>
                    <w:rPr>
                      <w:rFonts w:eastAsia="新宋体"/>
                      <w:sz w:val="21"/>
                      <w:szCs w:val="21"/>
                    </w:rPr>
                  </w:pPr>
                  <w:r>
                    <w:rPr>
                      <w:rFonts w:eastAsia="新宋体"/>
                      <w:sz w:val="21"/>
                      <w:szCs w:val="21"/>
                    </w:rPr>
                    <w:t>三级化粪池</w:t>
                  </w:r>
                </w:p>
              </w:tc>
              <w:tc>
                <w:tcPr>
                  <w:tcW w:w="413" w:type="pct"/>
                  <w:vAlign w:val="center"/>
                </w:tcPr>
                <w:p>
                  <w:pPr>
                    <w:spacing w:line="240" w:lineRule="auto"/>
                    <w:jc w:val="center"/>
                    <w:rPr>
                      <w:rFonts w:eastAsia="新宋体"/>
                      <w:sz w:val="21"/>
                      <w:szCs w:val="21"/>
                    </w:rPr>
                  </w:pPr>
                  <w:r>
                    <w:rPr>
                      <w:rFonts w:eastAsia="新宋体"/>
                      <w:sz w:val="21"/>
                      <w:szCs w:val="21"/>
                    </w:rPr>
                    <w:t>三级化粪池</w:t>
                  </w:r>
                </w:p>
              </w:tc>
              <w:tc>
                <w:tcPr>
                  <w:tcW w:w="372" w:type="pct"/>
                  <w:vAlign w:val="center"/>
                </w:tcPr>
                <w:p>
                  <w:pPr>
                    <w:spacing w:line="240" w:lineRule="auto"/>
                    <w:jc w:val="center"/>
                    <w:rPr>
                      <w:rFonts w:eastAsia="新宋体"/>
                      <w:sz w:val="21"/>
                      <w:szCs w:val="21"/>
                    </w:rPr>
                  </w:pPr>
                  <w:r>
                    <w:rPr>
                      <w:rFonts w:hint="eastAsia"/>
                      <w:sz w:val="21"/>
                      <w:szCs w:val="21"/>
                    </w:rPr>
                    <w:t>D</w:t>
                  </w:r>
                  <w:r>
                    <w:rPr>
                      <w:sz w:val="21"/>
                      <w:szCs w:val="21"/>
                    </w:rPr>
                    <w:t>W001</w:t>
                  </w:r>
                </w:p>
              </w:tc>
              <w:tc>
                <w:tcPr>
                  <w:tcW w:w="460" w:type="pct"/>
                  <w:vAlign w:val="center"/>
                </w:tcPr>
                <w:p>
                  <w:pPr>
                    <w:pStyle w:val="88"/>
                    <w:shd w:val="clear" w:color="auto" w:fill="auto"/>
                    <w:adjustRightInd w:val="0"/>
                    <w:snapToGrid w:val="0"/>
                    <w:spacing w:after="0" w:line="240" w:lineRule="auto"/>
                    <w:rPr>
                      <w:rFonts w:ascii="Times New Roman" w:hAnsi="Times New Roman" w:eastAsia="新宋体" w:cs="Times New Roman"/>
                      <w:sz w:val="21"/>
                      <w:szCs w:val="21"/>
                    </w:rPr>
                  </w:pPr>
                  <w:r>
                    <w:rPr>
                      <w:rFonts w:ascii="Times New Roman" w:hAnsi="Times New Roman" w:eastAsia="新宋体" w:cs="Times New Roman"/>
                      <w:sz w:val="21"/>
                      <w:szCs w:val="21"/>
                    </w:rPr>
                    <w:t>/</w:t>
                  </w:r>
                </w:p>
              </w:tc>
              <w:tc>
                <w:tcPr>
                  <w:tcW w:w="898" w:type="pct"/>
                  <w:vAlign w:val="center"/>
                </w:tcPr>
                <w:p>
                  <w:pPr>
                    <w:pStyle w:val="88"/>
                    <w:shd w:val="clear" w:color="auto" w:fill="auto"/>
                    <w:adjustRightInd w:val="0"/>
                    <w:snapToGrid w:val="0"/>
                    <w:spacing w:after="0" w:line="240" w:lineRule="auto"/>
                    <w:jc w:val="left"/>
                    <w:rPr>
                      <w:rFonts w:ascii="Times New Roman" w:hAnsi="Times New Roman" w:eastAsia="新宋体" w:cs="Times New Roman"/>
                      <w:kern w:val="2"/>
                      <w:sz w:val="21"/>
                      <w:szCs w:val="21"/>
                    </w:rPr>
                  </w:pPr>
                  <w:r>
                    <w:rPr>
                      <w:rFonts w:ascii="Times New Roman" w:hAnsi="Times New Roman" w:eastAsia="新宋体" w:cs="Times New Roman"/>
                      <w:sz w:val="21"/>
                      <w:szCs w:val="21"/>
                    </w:rPr>
                    <w:sym w:font="Wingdings 2" w:char="0052"/>
                  </w:r>
                  <w:r>
                    <w:rPr>
                      <w:rFonts w:ascii="Times New Roman" w:hAnsi="Times New Roman" w:eastAsia="新宋体" w:cs="Times New Roman"/>
                      <w:kern w:val="2"/>
                      <w:sz w:val="21"/>
                      <w:szCs w:val="21"/>
                    </w:rPr>
                    <w:t xml:space="preserve">企业总排 </w:t>
                  </w:r>
                </w:p>
                <w:p>
                  <w:pPr>
                    <w:pStyle w:val="88"/>
                    <w:shd w:val="clear" w:color="auto" w:fill="auto"/>
                    <w:adjustRightInd w:val="0"/>
                    <w:snapToGrid w:val="0"/>
                    <w:spacing w:after="0" w:line="240" w:lineRule="auto"/>
                    <w:jc w:val="left"/>
                    <w:rPr>
                      <w:rFonts w:ascii="Times New Roman" w:hAnsi="Times New Roman" w:eastAsia="新宋体" w:cs="Times New Roman"/>
                      <w:kern w:val="2"/>
                      <w:sz w:val="21"/>
                      <w:szCs w:val="21"/>
                    </w:rPr>
                  </w:pPr>
                  <w:r>
                    <w:rPr>
                      <w:rFonts w:ascii="Times New Roman" w:hAnsi="Times New Roman" w:eastAsia="新宋体" w:cs="Times New Roman"/>
                      <w:kern w:val="2"/>
                      <w:sz w:val="21"/>
                      <w:szCs w:val="21"/>
                    </w:rPr>
                    <w:sym w:font="Wingdings 2" w:char="00A3"/>
                  </w:r>
                  <w:r>
                    <w:rPr>
                      <w:rFonts w:ascii="Times New Roman" w:hAnsi="Times New Roman" w:eastAsia="新宋体" w:cs="Times New Roman"/>
                      <w:kern w:val="2"/>
                      <w:sz w:val="21"/>
                      <w:szCs w:val="21"/>
                    </w:rPr>
                    <w:t xml:space="preserve">雨水排放 </w:t>
                  </w:r>
                </w:p>
                <w:p>
                  <w:pPr>
                    <w:pStyle w:val="88"/>
                    <w:shd w:val="clear" w:color="auto" w:fill="auto"/>
                    <w:adjustRightInd w:val="0"/>
                    <w:snapToGrid w:val="0"/>
                    <w:spacing w:after="0" w:line="240" w:lineRule="auto"/>
                    <w:jc w:val="left"/>
                    <w:rPr>
                      <w:rFonts w:ascii="Times New Roman" w:hAnsi="Times New Roman" w:eastAsia="新宋体" w:cs="Times New Roman"/>
                      <w:kern w:val="2"/>
                      <w:sz w:val="21"/>
                      <w:szCs w:val="21"/>
                    </w:rPr>
                  </w:pPr>
                  <w:r>
                    <w:rPr>
                      <w:rFonts w:ascii="Times New Roman" w:hAnsi="Times New Roman" w:eastAsia="新宋体" w:cs="Times New Roman"/>
                      <w:kern w:val="2"/>
                      <w:sz w:val="21"/>
                      <w:szCs w:val="21"/>
                    </w:rPr>
                    <w:sym w:font="Wingdings 2" w:char="00A3"/>
                  </w:r>
                  <w:r>
                    <w:rPr>
                      <w:rFonts w:ascii="Times New Roman" w:hAnsi="Times New Roman" w:eastAsia="新宋体" w:cs="Times New Roman"/>
                      <w:kern w:val="2"/>
                      <w:sz w:val="21"/>
                      <w:szCs w:val="21"/>
                    </w:rPr>
                    <w:t>清净下水排放</w:t>
                  </w:r>
                </w:p>
                <w:p>
                  <w:pPr>
                    <w:pStyle w:val="88"/>
                    <w:shd w:val="clear" w:color="auto" w:fill="auto"/>
                    <w:adjustRightInd w:val="0"/>
                    <w:snapToGrid w:val="0"/>
                    <w:spacing w:after="0" w:line="240" w:lineRule="auto"/>
                    <w:jc w:val="left"/>
                    <w:rPr>
                      <w:rFonts w:ascii="Times New Roman" w:hAnsi="Times New Roman" w:eastAsia="新宋体" w:cs="Times New Roman"/>
                      <w:kern w:val="2"/>
                      <w:sz w:val="21"/>
                      <w:szCs w:val="21"/>
                    </w:rPr>
                  </w:pPr>
                  <w:r>
                    <w:rPr>
                      <w:rFonts w:ascii="Times New Roman" w:hAnsi="Times New Roman" w:eastAsia="新宋体" w:cs="Times New Roman"/>
                      <w:kern w:val="2"/>
                      <w:sz w:val="21"/>
                      <w:szCs w:val="21"/>
                    </w:rPr>
                    <w:sym w:font="Wingdings 2" w:char="00A3"/>
                  </w:r>
                  <w:r>
                    <w:rPr>
                      <w:rFonts w:ascii="Times New Roman" w:hAnsi="Times New Roman" w:eastAsia="新宋体" w:cs="Times New Roman"/>
                      <w:kern w:val="2"/>
                      <w:sz w:val="21"/>
                      <w:szCs w:val="21"/>
                    </w:rPr>
                    <w:t>温排水排放</w:t>
                  </w:r>
                </w:p>
                <w:p>
                  <w:pPr>
                    <w:pStyle w:val="88"/>
                    <w:shd w:val="clear" w:color="auto" w:fill="auto"/>
                    <w:adjustRightInd w:val="0"/>
                    <w:snapToGrid w:val="0"/>
                    <w:spacing w:after="0" w:line="240" w:lineRule="auto"/>
                    <w:jc w:val="left"/>
                    <w:rPr>
                      <w:rFonts w:ascii="Times New Roman" w:hAnsi="Times New Roman" w:eastAsia="新宋体" w:cs="Times New Roman"/>
                      <w:sz w:val="21"/>
                      <w:szCs w:val="21"/>
                    </w:rPr>
                  </w:pPr>
                  <w:r>
                    <w:rPr>
                      <w:rFonts w:ascii="Times New Roman" w:hAnsi="Times New Roman" w:eastAsia="新宋体" w:cs="Times New Roman"/>
                      <w:kern w:val="2"/>
                      <w:sz w:val="21"/>
                      <w:szCs w:val="21"/>
                    </w:rPr>
                    <w:sym w:font="Wingdings 2" w:char="00A3"/>
                  </w:r>
                  <w:r>
                    <w:rPr>
                      <w:rFonts w:ascii="Times New Roman" w:hAnsi="Times New Roman" w:eastAsia="新宋体" w:cs="Times New Roman"/>
                      <w:kern w:val="2"/>
                      <w:sz w:val="21"/>
                      <w:szCs w:val="21"/>
                    </w:rPr>
                    <w:t>车间或车间处理设施排放口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186" w:type="pct"/>
                  <w:vAlign w:val="center"/>
                </w:tcPr>
                <w:p>
                  <w:pPr>
                    <w:spacing w:line="240" w:lineRule="auto"/>
                    <w:jc w:val="center"/>
                    <w:rPr>
                      <w:rFonts w:eastAsia="新宋体"/>
                      <w:sz w:val="21"/>
                      <w:szCs w:val="21"/>
                    </w:rPr>
                  </w:pPr>
                  <w:r>
                    <w:rPr>
                      <w:rFonts w:eastAsia="新宋体"/>
                      <w:sz w:val="21"/>
                      <w:szCs w:val="21"/>
                    </w:rPr>
                    <w:t>2</w:t>
                  </w:r>
                </w:p>
              </w:tc>
              <w:tc>
                <w:tcPr>
                  <w:tcW w:w="383" w:type="pct"/>
                  <w:vAlign w:val="center"/>
                </w:tcPr>
                <w:p>
                  <w:pPr>
                    <w:spacing w:line="240" w:lineRule="auto"/>
                    <w:jc w:val="center"/>
                    <w:rPr>
                      <w:rFonts w:eastAsia="新宋体"/>
                      <w:sz w:val="21"/>
                      <w:szCs w:val="21"/>
                    </w:rPr>
                  </w:pPr>
                  <w:r>
                    <w:rPr>
                      <w:rFonts w:eastAsia="新宋体"/>
                      <w:sz w:val="21"/>
                      <w:szCs w:val="21"/>
                    </w:rPr>
                    <w:t>设备淋雨测试废水</w:t>
                  </w:r>
                </w:p>
              </w:tc>
              <w:tc>
                <w:tcPr>
                  <w:tcW w:w="409" w:type="pct"/>
                  <w:vAlign w:val="center"/>
                </w:tcPr>
                <w:p>
                  <w:pPr>
                    <w:spacing w:line="240" w:lineRule="auto"/>
                    <w:jc w:val="center"/>
                    <w:rPr>
                      <w:rFonts w:eastAsia="新宋体"/>
                      <w:bCs/>
                      <w:sz w:val="21"/>
                      <w:szCs w:val="21"/>
                    </w:rPr>
                  </w:pPr>
                  <w:r>
                    <w:rPr>
                      <w:rFonts w:eastAsia="新宋体"/>
                      <w:bCs/>
                      <w:sz w:val="21"/>
                      <w:szCs w:val="21"/>
                    </w:rPr>
                    <w:t>CODcr</w:t>
                  </w:r>
                </w:p>
                <w:p>
                  <w:pPr>
                    <w:spacing w:line="240" w:lineRule="auto"/>
                    <w:jc w:val="center"/>
                    <w:rPr>
                      <w:rFonts w:eastAsia="新宋体"/>
                      <w:bCs/>
                      <w:sz w:val="21"/>
                      <w:szCs w:val="21"/>
                    </w:rPr>
                  </w:pPr>
                  <w:r>
                    <w:rPr>
                      <w:rFonts w:eastAsia="新宋体"/>
                      <w:bCs/>
                      <w:sz w:val="21"/>
                      <w:szCs w:val="21"/>
                    </w:rPr>
                    <w:t>SS</w:t>
                  </w:r>
                </w:p>
                <w:p>
                  <w:pPr>
                    <w:pStyle w:val="2"/>
                  </w:pPr>
                  <w:r>
                    <w:rPr>
                      <w:rFonts w:hint="eastAsia"/>
                    </w:rPr>
                    <w:t>石油类</w:t>
                  </w:r>
                </w:p>
              </w:tc>
              <w:tc>
                <w:tcPr>
                  <w:tcW w:w="426" w:type="pct"/>
                  <w:vAlign w:val="center"/>
                </w:tcPr>
                <w:p>
                  <w:pPr>
                    <w:spacing w:line="240" w:lineRule="auto"/>
                    <w:jc w:val="center"/>
                    <w:rPr>
                      <w:rFonts w:eastAsia="新宋体"/>
                      <w:sz w:val="21"/>
                      <w:szCs w:val="21"/>
                    </w:rPr>
                  </w:pPr>
                  <w:r>
                    <w:rPr>
                      <w:rFonts w:eastAsia="新宋体"/>
                      <w:sz w:val="21"/>
                      <w:szCs w:val="21"/>
                    </w:rPr>
                    <w:t>排入</w:t>
                  </w:r>
                  <w:r>
                    <w:rPr>
                      <w:rFonts w:eastAsia="新宋体"/>
                      <w:bCs/>
                      <w:kern w:val="0"/>
                      <w:sz w:val="21"/>
                      <w:szCs w:val="21"/>
                    </w:rPr>
                    <w:t>陆河产业转移工业园</w:t>
                  </w:r>
                  <w:r>
                    <w:rPr>
                      <w:rFonts w:eastAsia="新宋体"/>
                      <w:sz w:val="21"/>
                      <w:szCs w:val="21"/>
                    </w:rPr>
                    <w:t>工业污水处理厂</w:t>
                  </w:r>
                </w:p>
              </w:tc>
              <w:tc>
                <w:tcPr>
                  <w:tcW w:w="509" w:type="pct"/>
                  <w:vAlign w:val="center"/>
                </w:tcPr>
                <w:p>
                  <w:pPr>
                    <w:spacing w:line="240" w:lineRule="auto"/>
                    <w:jc w:val="center"/>
                    <w:rPr>
                      <w:rFonts w:eastAsia="新宋体"/>
                      <w:sz w:val="21"/>
                      <w:szCs w:val="21"/>
                    </w:rPr>
                  </w:pPr>
                  <w:r>
                    <w:rPr>
                      <w:rFonts w:eastAsia="新宋体"/>
                      <w:sz w:val="21"/>
                      <w:szCs w:val="21"/>
                    </w:rPr>
                    <w:t>间断排放，排放期间流量不稳定，但有周期性规律</w:t>
                  </w:r>
                </w:p>
              </w:tc>
              <w:tc>
                <w:tcPr>
                  <w:tcW w:w="453" w:type="pct"/>
                  <w:vAlign w:val="center"/>
                </w:tcPr>
                <w:p>
                  <w:pPr>
                    <w:spacing w:line="240" w:lineRule="auto"/>
                    <w:jc w:val="center"/>
                    <w:rPr>
                      <w:rFonts w:eastAsia="新宋体"/>
                      <w:sz w:val="21"/>
                      <w:szCs w:val="21"/>
                    </w:rPr>
                  </w:pPr>
                  <w:r>
                    <w:rPr>
                      <w:rFonts w:eastAsia="新宋体"/>
                      <w:sz w:val="21"/>
                      <w:szCs w:val="21"/>
                    </w:rPr>
                    <w:t>/</w:t>
                  </w:r>
                </w:p>
              </w:tc>
              <w:tc>
                <w:tcPr>
                  <w:tcW w:w="490" w:type="pct"/>
                  <w:vAlign w:val="center"/>
                </w:tcPr>
                <w:p>
                  <w:pPr>
                    <w:spacing w:line="240" w:lineRule="auto"/>
                    <w:jc w:val="center"/>
                    <w:rPr>
                      <w:rFonts w:eastAsia="新宋体"/>
                      <w:sz w:val="21"/>
                      <w:szCs w:val="21"/>
                    </w:rPr>
                  </w:pPr>
                  <w:r>
                    <w:rPr>
                      <w:rFonts w:eastAsia="新宋体"/>
                      <w:sz w:val="21"/>
                      <w:szCs w:val="21"/>
                    </w:rPr>
                    <w:t>比亚迪污水处理站</w:t>
                  </w:r>
                </w:p>
              </w:tc>
              <w:tc>
                <w:tcPr>
                  <w:tcW w:w="413" w:type="pct"/>
                  <w:vAlign w:val="center"/>
                </w:tcPr>
                <w:p>
                  <w:pPr>
                    <w:spacing w:line="240" w:lineRule="auto"/>
                    <w:jc w:val="center"/>
                    <w:rPr>
                      <w:rFonts w:eastAsia="新宋体"/>
                      <w:sz w:val="21"/>
                      <w:szCs w:val="21"/>
                    </w:rPr>
                  </w:pPr>
                  <w:r>
                    <w:rPr>
                      <w:rFonts w:eastAsia="新宋体"/>
                      <w:sz w:val="21"/>
                      <w:szCs w:val="21"/>
                    </w:rPr>
                    <w:t>厌氧生物处理</w:t>
                  </w:r>
                </w:p>
              </w:tc>
              <w:tc>
                <w:tcPr>
                  <w:tcW w:w="372" w:type="pct"/>
                  <w:vAlign w:val="center"/>
                </w:tcPr>
                <w:p>
                  <w:pPr>
                    <w:spacing w:line="240" w:lineRule="auto"/>
                    <w:jc w:val="center"/>
                    <w:rPr>
                      <w:rFonts w:eastAsia="新宋体"/>
                      <w:sz w:val="21"/>
                      <w:szCs w:val="21"/>
                    </w:rPr>
                  </w:pPr>
                  <w:r>
                    <w:rPr>
                      <w:rFonts w:hint="eastAsia"/>
                      <w:sz w:val="21"/>
                      <w:szCs w:val="21"/>
                    </w:rPr>
                    <w:t>D</w:t>
                  </w:r>
                  <w:r>
                    <w:rPr>
                      <w:sz w:val="21"/>
                      <w:szCs w:val="21"/>
                    </w:rPr>
                    <w:t>W002</w:t>
                  </w:r>
                </w:p>
              </w:tc>
              <w:tc>
                <w:tcPr>
                  <w:tcW w:w="460" w:type="pct"/>
                  <w:vAlign w:val="center"/>
                </w:tcPr>
                <w:p>
                  <w:pPr>
                    <w:pStyle w:val="88"/>
                    <w:shd w:val="clear" w:color="auto" w:fill="auto"/>
                    <w:adjustRightInd w:val="0"/>
                    <w:snapToGrid w:val="0"/>
                    <w:spacing w:after="0" w:line="240" w:lineRule="auto"/>
                    <w:rPr>
                      <w:rFonts w:ascii="Times New Roman" w:hAnsi="Times New Roman" w:eastAsia="新宋体" w:cs="Times New Roman"/>
                      <w:sz w:val="21"/>
                      <w:szCs w:val="21"/>
                    </w:rPr>
                  </w:pPr>
                  <w:r>
                    <w:rPr>
                      <w:rFonts w:ascii="Times New Roman" w:hAnsi="Times New Roman" w:eastAsia="新宋体" w:cs="Times New Roman"/>
                      <w:sz w:val="21"/>
                      <w:szCs w:val="21"/>
                    </w:rPr>
                    <w:t>/</w:t>
                  </w:r>
                </w:p>
              </w:tc>
              <w:tc>
                <w:tcPr>
                  <w:tcW w:w="898" w:type="pct"/>
                  <w:vAlign w:val="center"/>
                </w:tcPr>
                <w:p>
                  <w:pPr>
                    <w:pStyle w:val="88"/>
                    <w:shd w:val="clear" w:color="auto" w:fill="auto"/>
                    <w:adjustRightInd w:val="0"/>
                    <w:snapToGrid w:val="0"/>
                    <w:spacing w:after="0" w:line="240" w:lineRule="auto"/>
                    <w:jc w:val="left"/>
                    <w:rPr>
                      <w:rFonts w:ascii="Times New Roman" w:hAnsi="Times New Roman" w:eastAsia="新宋体" w:cs="Times New Roman"/>
                      <w:kern w:val="2"/>
                      <w:sz w:val="21"/>
                      <w:szCs w:val="21"/>
                    </w:rPr>
                  </w:pPr>
                  <w:r>
                    <w:rPr>
                      <w:rFonts w:ascii="Times New Roman" w:hAnsi="Times New Roman" w:eastAsia="新宋体" w:cs="Times New Roman"/>
                      <w:sz w:val="21"/>
                      <w:szCs w:val="21"/>
                    </w:rPr>
                    <w:sym w:font="Wingdings 2" w:char="0052"/>
                  </w:r>
                  <w:r>
                    <w:rPr>
                      <w:rFonts w:ascii="Times New Roman" w:hAnsi="Times New Roman" w:eastAsia="新宋体" w:cs="Times New Roman"/>
                      <w:kern w:val="2"/>
                      <w:sz w:val="21"/>
                      <w:szCs w:val="21"/>
                    </w:rPr>
                    <w:t xml:space="preserve">企业总排 </w:t>
                  </w:r>
                </w:p>
                <w:p>
                  <w:pPr>
                    <w:pStyle w:val="88"/>
                    <w:shd w:val="clear" w:color="auto" w:fill="auto"/>
                    <w:adjustRightInd w:val="0"/>
                    <w:snapToGrid w:val="0"/>
                    <w:spacing w:after="0" w:line="240" w:lineRule="auto"/>
                    <w:jc w:val="left"/>
                    <w:rPr>
                      <w:rFonts w:ascii="Times New Roman" w:hAnsi="Times New Roman" w:eastAsia="新宋体" w:cs="Times New Roman"/>
                      <w:kern w:val="2"/>
                      <w:sz w:val="21"/>
                      <w:szCs w:val="21"/>
                    </w:rPr>
                  </w:pPr>
                  <w:r>
                    <w:rPr>
                      <w:rFonts w:ascii="Times New Roman" w:hAnsi="Times New Roman" w:eastAsia="新宋体" w:cs="Times New Roman"/>
                      <w:kern w:val="2"/>
                      <w:sz w:val="21"/>
                      <w:szCs w:val="21"/>
                    </w:rPr>
                    <w:sym w:font="Wingdings 2" w:char="00A3"/>
                  </w:r>
                  <w:r>
                    <w:rPr>
                      <w:rFonts w:ascii="Times New Roman" w:hAnsi="Times New Roman" w:eastAsia="新宋体" w:cs="Times New Roman"/>
                      <w:kern w:val="2"/>
                      <w:sz w:val="21"/>
                      <w:szCs w:val="21"/>
                    </w:rPr>
                    <w:t xml:space="preserve">雨水排放 </w:t>
                  </w:r>
                </w:p>
                <w:p>
                  <w:pPr>
                    <w:pStyle w:val="88"/>
                    <w:shd w:val="clear" w:color="auto" w:fill="auto"/>
                    <w:adjustRightInd w:val="0"/>
                    <w:snapToGrid w:val="0"/>
                    <w:spacing w:after="0" w:line="240" w:lineRule="auto"/>
                    <w:jc w:val="left"/>
                    <w:rPr>
                      <w:rFonts w:ascii="Times New Roman" w:hAnsi="Times New Roman" w:eastAsia="新宋体" w:cs="Times New Roman"/>
                      <w:kern w:val="2"/>
                      <w:sz w:val="21"/>
                      <w:szCs w:val="21"/>
                    </w:rPr>
                  </w:pPr>
                  <w:r>
                    <w:rPr>
                      <w:rFonts w:ascii="Times New Roman" w:hAnsi="Times New Roman" w:eastAsia="新宋体" w:cs="Times New Roman"/>
                      <w:kern w:val="2"/>
                      <w:sz w:val="21"/>
                      <w:szCs w:val="21"/>
                    </w:rPr>
                    <w:sym w:font="Wingdings 2" w:char="00A3"/>
                  </w:r>
                  <w:r>
                    <w:rPr>
                      <w:rFonts w:ascii="Times New Roman" w:hAnsi="Times New Roman" w:eastAsia="新宋体" w:cs="Times New Roman"/>
                      <w:kern w:val="2"/>
                      <w:sz w:val="21"/>
                      <w:szCs w:val="21"/>
                    </w:rPr>
                    <w:t>清净下水排放</w:t>
                  </w:r>
                </w:p>
                <w:p>
                  <w:pPr>
                    <w:pStyle w:val="88"/>
                    <w:shd w:val="clear" w:color="auto" w:fill="auto"/>
                    <w:adjustRightInd w:val="0"/>
                    <w:snapToGrid w:val="0"/>
                    <w:spacing w:after="0" w:line="240" w:lineRule="auto"/>
                    <w:jc w:val="left"/>
                    <w:rPr>
                      <w:rFonts w:ascii="Times New Roman" w:hAnsi="Times New Roman" w:eastAsia="新宋体" w:cs="Times New Roman"/>
                      <w:kern w:val="2"/>
                      <w:sz w:val="21"/>
                      <w:szCs w:val="21"/>
                    </w:rPr>
                  </w:pPr>
                  <w:r>
                    <w:rPr>
                      <w:rFonts w:ascii="Times New Roman" w:hAnsi="Times New Roman" w:eastAsia="新宋体" w:cs="Times New Roman"/>
                      <w:kern w:val="2"/>
                      <w:sz w:val="21"/>
                      <w:szCs w:val="21"/>
                    </w:rPr>
                    <w:sym w:font="Wingdings 2" w:char="00A3"/>
                  </w:r>
                  <w:r>
                    <w:rPr>
                      <w:rFonts w:ascii="Times New Roman" w:hAnsi="Times New Roman" w:eastAsia="新宋体" w:cs="Times New Roman"/>
                      <w:kern w:val="2"/>
                      <w:sz w:val="21"/>
                      <w:szCs w:val="21"/>
                    </w:rPr>
                    <w:t>温排水排放</w:t>
                  </w:r>
                </w:p>
                <w:p>
                  <w:pPr>
                    <w:pStyle w:val="88"/>
                    <w:shd w:val="clear" w:color="auto" w:fill="auto"/>
                    <w:adjustRightInd w:val="0"/>
                    <w:snapToGrid w:val="0"/>
                    <w:spacing w:after="0" w:line="240" w:lineRule="auto"/>
                    <w:jc w:val="left"/>
                    <w:rPr>
                      <w:rFonts w:ascii="Times New Roman" w:hAnsi="Times New Roman" w:eastAsia="新宋体" w:cs="Times New Roman"/>
                      <w:kern w:val="2"/>
                      <w:sz w:val="21"/>
                      <w:szCs w:val="21"/>
                    </w:rPr>
                  </w:pPr>
                  <w:r>
                    <w:rPr>
                      <w:rFonts w:ascii="Times New Roman" w:hAnsi="Times New Roman" w:eastAsia="新宋体" w:cs="Times New Roman"/>
                      <w:kern w:val="2"/>
                      <w:sz w:val="21"/>
                      <w:szCs w:val="21"/>
                    </w:rPr>
                    <w:sym w:font="Wingdings 2" w:char="00A3"/>
                  </w:r>
                  <w:r>
                    <w:rPr>
                      <w:rFonts w:ascii="Times New Roman" w:hAnsi="Times New Roman" w:eastAsia="新宋体" w:cs="Times New Roman"/>
                      <w:kern w:val="2"/>
                      <w:sz w:val="21"/>
                      <w:szCs w:val="21"/>
                    </w:rPr>
                    <w:t>车间或车间处理设施排放口</w:t>
                  </w:r>
                </w:p>
              </w:tc>
            </w:tr>
          </w:tbl>
          <w:p>
            <w:pPr>
              <w:pStyle w:val="169"/>
              <w:spacing w:line="240" w:lineRule="auto"/>
              <w:rPr>
                <w:rFonts w:hint="default" w:hAnsi="Times New Roman" w:eastAsiaTheme="minorEastAsia"/>
                <w:sz w:val="24"/>
                <w:szCs w:val="24"/>
              </w:rPr>
            </w:pPr>
          </w:p>
          <w:p>
            <w:pPr>
              <w:pStyle w:val="169"/>
              <w:spacing w:line="240" w:lineRule="auto"/>
              <w:rPr>
                <w:rFonts w:hint="default" w:hAnsi="Times New Roman" w:eastAsiaTheme="minorEastAsia"/>
                <w:sz w:val="24"/>
                <w:szCs w:val="24"/>
              </w:rPr>
            </w:pPr>
            <w:r>
              <w:rPr>
                <w:rFonts w:hAnsi="Times New Roman" w:eastAsiaTheme="minorEastAsia"/>
                <w:sz w:val="24"/>
                <w:szCs w:val="24"/>
              </w:rPr>
              <w:t>表4-</w:t>
            </w:r>
            <w:r>
              <w:rPr>
                <w:rFonts w:hint="default" w:hAnsi="Times New Roman" w:eastAsiaTheme="minorEastAsia"/>
                <w:sz w:val="24"/>
                <w:szCs w:val="24"/>
              </w:rPr>
              <w:t>6</w:t>
            </w:r>
            <w:r>
              <w:rPr>
                <w:rFonts w:hAnsi="Times New Roman" w:eastAsiaTheme="minorEastAsia"/>
                <w:sz w:val="24"/>
                <w:szCs w:val="24"/>
              </w:rPr>
              <w:t>（1）</w:t>
            </w:r>
            <w:r>
              <w:rPr>
                <w:rFonts w:hint="default" w:hAnsi="Times New Roman" w:eastAsiaTheme="minorEastAsia"/>
                <w:sz w:val="24"/>
                <w:szCs w:val="24"/>
              </w:rPr>
              <w:t xml:space="preserve"> </w:t>
            </w:r>
            <w:r>
              <w:rPr>
                <w:rFonts w:hAnsi="Times New Roman" w:eastAsiaTheme="minorEastAsia"/>
                <w:sz w:val="24"/>
                <w:szCs w:val="24"/>
              </w:rPr>
              <w:t>近期废水污染物排放执行标准表</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 w:type="dxa"/>
                <w:bottom w:w="0" w:type="dxa"/>
                <w:right w:w="10" w:type="dxa"/>
              </w:tblCellMar>
            </w:tblPr>
            <w:tblGrid>
              <w:gridCol w:w="611"/>
              <w:gridCol w:w="1119"/>
              <w:gridCol w:w="1167"/>
              <w:gridCol w:w="3176"/>
              <w:gridCol w:w="22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618" w:type="dxa"/>
                  <w:vMerge w:val="restart"/>
                  <w:vAlign w:val="center"/>
                </w:tcPr>
                <w:p>
                  <w:pPr>
                    <w:spacing w:line="240" w:lineRule="auto"/>
                    <w:jc w:val="center"/>
                    <w:rPr>
                      <w:rFonts w:eastAsia="新宋体"/>
                      <w:b/>
                      <w:sz w:val="21"/>
                      <w:szCs w:val="21"/>
                    </w:rPr>
                  </w:pPr>
                  <w:r>
                    <w:rPr>
                      <w:rFonts w:eastAsia="新宋体"/>
                      <w:b/>
                      <w:sz w:val="21"/>
                      <w:szCs w:val="21"/>
                    </w:rPr>
                    <w:t>序号</w:t>
                  </w:r>
                </w:p>
              </w:tc>
              <w:tc>
                <w:tcPr>
                  <w:tcW w:w="1132" w:type="dxa"/>
                  <w:vMerge w:val="restart"/>
                  <w:vAlign w:val="center"/>
                </w:tcPr>
                <w:p>
                  <w:pPr>
                    <w:spacing w:line="240" w:lineRule="auto"/>
                    <w:jc w:val="center"/>
                    <w:rPr>
                      <w:rFonts w:eastAsia="新宋体"/>
                      <w:b/>
                      <w:sz w:val="21"/>
                      <w:szCs w:val="21"/>
                    </w:rPr>
                  </w:pPr>
                  <w:r>
                    <w:rPr>
                      <w:rFonts w:eastAsia="新宋体"/>
                      <w:b/>
                      <w:sz w:val="21"/>
                      <w:szCs w:val="21"/>
                    </w:rPr>
                    <w:t>排放口编号</w:t>
                  </w:r>
                </w:p>
              </w:tc>
              <w:tc>
                <w:tcPr>
                  <w:tcW w:w="1181" w:type="dxa"/>
                  <w:vMerge w:val="restart"/>
                  <w:vAlign w:val="center"/>
                </w:tcPr>
                <w:p>
                  <w:pPr>
                    <w:spacing w:line="240" w:lineRule="auto"/>
                    <w:jc w:val="center"/>
                    <w:rPr>
                      <w:rFonts w:eastAsia="新宋体"/>
                      <w:b/>
                      <w:sz w:val="21"/>
                      <w:szCs w:val="21"/>
                    </w:rPr>
                  </w:pPr>
                  <w:r>
                    <w:rPr>
                      <w:rFonts w:eastAsia="新宋体"/>
                      <w:b/>
                      <w:sz w:val="21"/>
                      <w:szCs w:val="21"/>
                    </w:rPr>
                    <w:t>污染物种类</w:t>
                  </w:r>
                </w:p>
              </w:tc>
              <w:tc>
                <w:tcPr>
                  <w:tcW w:w="5507" w:type="dxa"/>
                  <w:gridSpan w:val="2"/>
                  <w:vAlign w:val="center"/>
                </w:tcPr>
                <w:p>
                  <w:pPr>
                    <w:spacing w:line="240" w:lineRule="auto"/>
                    <w:jc w:val="center"/>
                    <w:rPr>
                      <w:rFonts w:eastAsia="新宋体"/>
                      <w:b/>
                      <w:sz w:val="21"/>
                      <w:szCs w:val="21"/>
                    </w:rPr>
                  </w:pPr>
                  <w:r>
                    <w:rPr>
                      <w:rFonts w:eastAsia="新宋体"/>
                      <w:b/>
                      <w:sz w:val="21"/>
                      <w:szCs w:val="21"/>
                    </w:rPr>
                    <w:t>国家或地方污染物排放标准及其他按规定商定的排放协议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618" w:type="dxa"/>
                  <w:vMerge w:val="continue"/>
                  <w:vAlign w:val="center"/>
                </w:tcPr>
                <w:p>
                  <w:pPr>
                    <w:spacing w:line="240" w:lineRule="auto"/>
                    <w:jc w:val="center"/>
                    <w:rPr>
                      <w:rFonts w:eastAsia="新宋体"/>
                      <w:b/>
                      <w:sz w:val="21"/>
                      <w:szCs w:val="21"/>
                    </w:rPr>
                  </w:pPr>
                </w:p>
              </w:tc>
              <w:tc>
                <w:tcPr>
                  <w:tcW w:w="1132" w:type="dxa"/>
                  <w:vMerge w:val="continue"/>
                  <w:vAlign w:val="center"/>
                </w:tcPr>
                <w:p>
                  <w:pPr>
                    <w:spacing w:line="240" w:lineRule="auto"/>
                    <w:jc w:val="center"/>
                    <w:rPr>
                      <w:rFonts w:eastAsia="新宋体"/>
                      <w:b/>
                      <w:sz w:val="21"/>
                      <w:szCs w:val="21"/>
                    </w:rPr>
                  </w:pPr>
                </w:p>
              </w:tc>
              <w:tc>
                <w:tcPr>
                  <w:tcW w:w="1181" w:type="dxa"/>
                  <w:vMerge w:val="continue"/>
                  <w:vAlign w:val="center"/>
                </w:tcPr>
                <w:p>
                  <w:pPr>
                    <w:spacing w:line="240" w:lineRule="auto"/>
                    <w:jc w:val="center"/>
                    <w:rPr>
                      <w:rFonts w:eastAsia="新宋体"/>
                      <w:b/>
                      <w:sz w:val="21"/>
                      <w:szCs w:val="21"/>
                    </w:rPr>
                  </w:pPr>
                </w:p>
              </w:tc>
              <w:tc>
                <w:tcPr>
                  <w:tcW w:w="3214" w:type="dxa"/>
                  <w:vAlign w:val="center"/>
                </w:tcPr>
                <w:p>
                  <w:pPr>
                    <w:spacing w:line="240" w:lineRule="auto"/>
                    <w:jc w:val="center"/>
                    <w:rPr>
                      <w:rFonts w:eastAsia="新宋体"/>
                      <w:b/>
                      <w:sz w:val="21"/>
                      <w:szCs w:val="21"/>
                    </w:rPr>
                  </w:pPr>
                  <w:r>
                    <w:rPr>
                      <w:rFonts w:eastAsia="新宋体"/>
                      <w:b/>
                      <w:sz w:val="21"/>
                      <w:szCs w:val="21"/>
                    </w:rPr>
                    <w:t>名称</w:t>
                  </w:r>
                </w:p>
              </w:tc>
              <w:tc>
                <w:tcPr>
                  <w:tcW w:w="2293" w:type="dxa"/>
                  <w:vAlign w:val="center"/>
                </w:tcPr>
                <w:p>
                  <w:pPr>
                    <w:spacing w:line="240" w:lineRule="auto"/>
                    <w:jc w:val="center"/>
                    <w:rPr>
                      <w:rFonts w:eastAsia="新宋体"/>
                      <w:b/>
                      <w:sz w:val="21"/>
                      <w:szCs w:val="21"/>
                    </w:rPr>
                  </w:pPr>
                  <w:r>
                    <w:rPr>
                      <w:rFonts w:eastAsia="新宋体"/>
                      <w:b/>
                      <w:sz w:val="21"/>
                      <w:szCs w:val="21"/>
                    </w:rPr>
                    <w:t>浓度限值/（mg/L）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618" w:type="dxa"/>
                  <w:vMerge w:val="restart"/>
                  <w:vAlign w:val="center"/>
                </w:tcPr>
                <w:p>
                  <w:pPr>
                    <w:spacing w:line="240" w:lineRule="auto"/>
                    <w:jc w:val="center"/>
                    <w:rPr>
                      <w:rFonts w:eastAsia="新宋体"/>
                      <w:bCs/>
                      <w:sz w:val="21"/>
                      <w:szCs w:val="21"/>
                    </w:rPr>
                  </w:pPr>
                  <w:r>
                    <w:rPr>
                      <w:rFonts w:eastAsia="新宋体"/>
                      <w:bCs/>
                      <w:sz w:val="21"/>
                      <w:szCs w:val="21"/>
                    </w:rPr>
                    <w:t>1</w:t>
                  </w:r>
                </w:p>
              </w:tc>
              <w:tc>
                <w:tcPr>
                  <w:tcW w:w="1132" w:type="dxa"/>
                  <w:vMerge w:val="restart"/>
                  <w:vAlign w:val="center"/>
                </w:tcPr>
                <w:p>
                  <w:pPr>
                    <w:spacing w:line="240" w:lineRule="auto"/>
                    <w:jc w:val="center"/>
                    <w:rPr>
                      <w:rFonts w:eastAsia="新宋体"/>
                      <w:bCs/>
                      <w:sz w:val="21"/>
                      <w:szCs w:val="21"/>
                    </w:rPr>
                  </w:pPr>
                  <w:r>
                    <w:rPr>
                      <w:rFonts w:hint="eastAsia" w:eastAsia="新宋体"/>
                      <w:bCs/>
                      <w:sz w:val="21"/>
                      <w:szCs w:val="21"/>
                    </w:rPr>
                    <w:t>D</w:t>
                  </w:r>
                  <w:r>
                    <w:rPr>
                      <w:rFonts w:eastAsia="新宋体"/>
                      <w:bCs/>
                      <w:sz w:val="21"/>
                      <w:szCs w:val="21"/>
                    </w:rPr>
                    <w:t>W001</w:t>
                  </w:r>
                </w:p>
              </w:tc>
              <w:tc>
                <w:tcPr>
                  <w:tcW w:w="1181" w:type="dxa"/>
                  <w:vAlign w:val="center"/>
                </w:tcPr>
                <w:p>
                  <w:pPr>
                    <w:spacing w:line="240" w:lineRule="auto"/>
                    <w:jc w:val="center"/>
                    <w:rPr>
                      <w:rFonts w:eastAsia="新宋体"/>
                      <w:bCs/>
                      <w:sz w:val="21"/>
                      <w:szCs w:val="21"/>
                    </w:rPr>
                  </w:pPr>
                  <w:r>
                    <w:rPr>
                      <w:rFonts w:eastAsia="新宋体"/>
                      <w:bCs/>
                      <w:sz w:val="21"/>
                      <w:szCs w:val="21"/>
                    </w:rPr>
                    <w:t>CODcr</w:t>
                  </w:r>
                </w:p>
              </w:tc>
              <w:tc>
                <w:tcPr>
                  <w:tcW w:w="3214" w:type="dxa"/>
                  <w:vMerge w:val="restart"/>
                  <w:vAlign w:val="center"/>
                </w:tcPr>
                <w:p>
                  <w:pPr>
                    <w:spacing w:line="240" w:lineRule="auto"/>
                    <w:jc w:val="center"/>
                    <w:rPr>
                      <w:rFonts w:eastAsia="新宋体"/>
                      <w:bCs/>
                      <w:sz w:val="21"/>
                      <w:szCs w:val="21"/>
                    </w:rPr>
                  </w:pPr>
                  <w:r>
                    <w:rPr>
                      <w:rFonts w:eastAsia="新宋体"/>
                      <w:bCs/>
                      <w:sz w:val="21"/>
                      <w:szCs w:val="21"/>
                    </w:rPr>
                    <w:t>生活污水和</w:t>
                  </w:r>
                  <w:r>
                    <w:rPr>
                      <w:rFonts w:hint="eastAsia" w:eastAsia="新宋体"/>
                      <w:bCs/>
                      <w:sz w:val="21"/>
                      <w:szCs w:val="21"/>
                    </w:rPr>
                    <w:t>淋洗测试废水</w:t>
                  </w:r>
                  <w:r>
                    <w:rPr>
                      <w:rFonts w:eastAsia="新宋体"/>
                      <w:bCs/>
                      <w:sz w:val="21"/>
                      <w:szCs w:val="21"/>
                    </w:rPr>
                    <w:t>执行河口镇污水处理厂接管标准及广东省《水污染物排放限值》（DB44/26-2001）第二时段三级标准两者较严值</w:t>
                  </w:r>
                </w:p>
              </w:tc>
              <w:tc>
                <w:tcPr>
                  <w:tcW w:w="2293" w:type="dxa"/>
                  <w:vAlign w:val="center"/>
                </w:tcPr>
                <w:p>
                  <w:pPr>
                    <w:spacing w:line="240" w:lineRule="auto"/>
                    <w:jc w:val="center"/>
                    <w:rPr>
                      <w:rFonts w:eastAsia="新宋体"/>
                      <w:bCs/>
                      <w:sz w:val="21"/>
                      <w:szCs w:val="21"/>
                    </w:rPr>
                  </w:pPr>
                  <w:r>
                    <w:rPr>
                      <w:rFonts w:eastAsia="新宋体"/>
                      <w:bCs/>
                      <w:sz w:val="21"/>
                      <w:szCs w:val="21"/>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618" w:type="dxa"/>
                  <w:vMerge w:val="continue"/>
                  <w:vAlign w:val="center"/>
                </w:tcPr>
                <w:p>
                  <w:pPr>
                    <w:spacing w:line="240" w:lineRule="auto"/>
                    <w:jc w:val="center"/>
                    <w:rPr>
                      <w:rFonts w:eastAsia="新宋体"/>
                      <w:bCs/>
                      <w:sz w:val="21"/>
                      <w:szCs w:val="21"/>
                    </w:rPr>
                  </w:pPr>
                </w:p>
              </w:tc>
              <w:tc>
                <w:tcPr>
                  <w:tcW w:w="1132" w:type="dxa"/>
                  <w:vMerge w:val="continue"/>
                  <w:vAlign w:val="center"/>
                </w:tcPr>
                <w:p>
                  <w:pPr>
                    <w:spacing w:line="240" w:lineRule="auto"/>
                    <w:jc w:val="center"/>
                    <w:rPr>
                      <w:rFonts w:eastAsia="新宋体"/>
                      <w:bCs/>
                      <w:sz w:val="21"/>
                      <w:szCs w:val="21"/>
                    </w:rPr>
                  </w:pPr>
                </w:p>
              </w:tc>
              <w:tc>
                <w:tcPr>
                  <w:tcW w:w="1181" w:type="dxa"/>
                  <w:vAlign w:val="center"/>
                </w:tcPr>
                <w:p>
                  <w:pPr>
                    <w:spacing w:line="240" w:lineRule="auto"/>
                    <w:jc w:val="center"/>
                    <w:rPr>
                      <w:rFonts w:eastAsia="新宋体"/>
                      <w:bCs/>
                      <w:sz w:val="21"/>
                      <w:szCs w:val="21"/>
                    </w:rPr>
                  </w:pPr>
                  <w:r>
                    <w:rPr>
                      <w:rFonts w:eastAsia="新宋体"/>
                      <w:bCs/>
                      <w:sz w:val="21"/>
                      <w:szCs w:val="21"/>
                    </w:rPr>
                    <w:t>BOD</w:t>
                  </w:r>
                  <w:r>
                    <w:rPr>
                      <w:rFonts w:eastAsia="新宋体"/>
                      <w:bCs/>
                      <w:sz w:val="21"/>
                      <w:szCs w:val="21"/>
                      <w:vertAlign w:val="subscript"/>
                    </w:rPr>
                    <w:t>5</w:t>
                  </w:r>
                </w:p>
              </w:tc>
              <w:tc>
                <w:tcPr>
                  <w:tcW w:w="3214" w:type="dxa"/>
                  <w:vMerge w:val="continue"/>
                  <w:vAlign w:val="center"/>
                </w:tcPr>
                <w:p>
                  <w:pPr>
                    <w:spacing w:line="240" w:lineRule="auto"/>
                    <w:jc w:val="center"/>
                    <w:rPr>
                      <w:rFonts w:eastAsia="新宋体"/>
                      <w:bCs/>
                      <w:sz w:val="21"/>
                      <w:szCs w:val="21"/>
                    </w:rPr>
                  </w:pPr>
                </w:p>
              </w:tc>
              <w:tc>
                <w:tcPr>
                  <w:tcW w:w="2293" w:type="dxa"/>
                  <w:vAlign w:val="center"/>
                </w:tcPr>
                <w:p>
                  <w:pPr>
                    <w:spacing w:line="240" w:lineRule="auto"/>
                    <w:jc w:val="center"/>
                    <w:rPr>
                      <w:rFonts w:eastAsia="新宋体"/>
                      <w:bCs/>
                      <w:sz w:val="21"/>
                      <w:szCs w:val="21"/>
                    </w:rPr>
                  </w:pPr>
                  <w:r>
                    <w:rPr>
                      <w:rFonts w:eastAsia="新宋体"/>
                      <w:bCs/>
                      <w:sz w:val="21"/>
                      <w:szCs w:val="21"/>
                    </w:rPr>
                    <w:t>≤150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618" w:type="dxa"/>
                  <w:vMerge w:val="continue"/>
                  <w:vAlign w:val="center"/>
                </w:tcPr>
                <w:p>
                  <w:pPr>
                    <w:spacing w:line="240" w:lineRule="auto"/>
                    <w:jc w:val="center"/>
                    <w:rPr>
                      <w:rFonts w:eastAsia="新宋体"/>
                      <w:bCs/>
                      <w:sz w:val="21"/>
                      <w:szCs w:val="21"/>
                    </w:rPr>
                  </w:pPr>
                </w:p>
              </w:tc>
              <w:tc>
                <w:tcPr>
                  <w:tcW w:w="1132" w:type="dxa"/>
                  <w:vMerge w:val="continue"/>
                  <w:vAlign w:val="center"/>
                </w:tcPr>
                <w:p>
                  <w:pPr>
                    <w:spacing w:line="240" w:lineRule="auto"/>
                    <w:jc w:val="center"/>
                    <w:rPr>
                      <w:rFonts w:eastAsia="新宋体"/>
                      <w:bCs/>
                      <w:sz w:val="21"/>
                      <w:szCs w:val="21"/>
                    </w:rPr>
                  </w:pPr>
                </w:p>
              </w:tc>
              <w:tc>
                <w:tcPr>
                  <w:tcW w:w="1181" w:type="dxa"/>
                  <w:vAlign w:val="center"/>
                </w:tcPr>
                <w:p>
                  <w:pPr>
                    <w:spacing w:line="240" w:lineRule="auto"/>
                    <w:jc w:val="center"/>
                    <w:rPr>
                      <w:rFonts w:eastAsia="新宋体"/>
                      <w:bCs/>
                      <w:sz w:val="21"/>
                      <w:szCs w:val="21"/>
                    </w:rPr>
                  </w:pPr>
                  <w:r>
                    <w:rPr>
                      <w:rFonts w:eastAsia="新宋体"/>
                      <w:bCs/>
                      <w:sz w:val="21"/>
                      <w:szCs w:val="21"/>
                    </w:rPr>
                    <w:t>氨氮</w:t>
                  </w:r>
                </w:p>
              </w:tc>
              <w:tc>
                <w:tcPr>
                  <w:tcW w:w="3214" w:type="dxa"/>
                  <w:vMerge w:val="continue"/>
                  <w:vAlign w:val="center"/>
                </w:tcPr>
                <w:p>
                  <w:pPr>
                    <w:spacing w:line="240" w:lineRule="auto"/>
                    <w:jc w:val="center"/>
                    <w:rPr>
                      <w:rFonts w:eastAsia="新宋体"/>
                      <w:bCs/>
                      <w:sz w:val="21"/>
                      <w:szCs w:val="21"/>
                    </w:rPr>
                  </w:pPr>
                </w:p>
              </w:tc>
              <w:tc>
                <w:tcPr>
                  <w:tcW w:w="2293" w:type="dxa"/>
                  <w:vAlign w:val="center"/>
                </w:tcPr>
                <w:p>
                  <w:pPr>
                    <w:spacing w:line="240" w:lineRule="auto"/>
                    <w:jc w:val="center"/>
                    <w:rPr>
                      <w:rFonts w:eastAsia="新宋体"/>
                      <w:bCs/>
                      <w:sz w:val="21"/>
                      <w:szCs w:val="21"/>
                    </w:rPr>
                  </w:pPr>
                  <w:r>
                    <w:rPr>
                      <w:rFonts w:eastAsia="新宋体"/>
                      <w:bCs/>
                      <w:sz w:val="21"/>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618" w:type="dxa"/>
                  <w:vMerge w:val="continue"/>
                  <w:vAlign w:val="center"/>
                </w:tcPr>
                <w:p>
                  <w:pPr>
                    <w:spacing w:line="240" w:lineRule="auto"/>
                    <w:jc w:val="center"/>
                    <w:rPr>
                      <w:rFonts w:eastAsia="新宋体"/>
                      <w:bCs/>
                      <w:sz w:val="21"/>
                      <w:szCs w:val="21"/>
                    </w:rPr>
                  </w:pPr>
                </w:p>
              </w:tc>
              <w:tc>
                <w:tcPr>
                  <w:tcW w:w="1132" w:type="dxa"/>
                  <w:vMerge w:val="continue"/>
                  <w:vAlign w:val="center"/>
                </w:tcPr>
                <w:p>
                  <w:pPr>
                    <w:spacing w:line="240" w:lineRule="auto"/>
                    <w:jc w:val="center"/>
                    <w:rPr>
                      <w:rFonts w:eastAsia="新宋体"/>
                      <w:bCs/>
                      <w:sz w:val="21"/>
                      <w:szCs w:val="21"/>
                    </w:rPr>
                  </w:pPr>
                </w:p>
              </w:tc>
              <w:tc>
                <w:tcPr>
                  <w:tcW w:w="1181" w:type="dxa"/>
                  <w:vAlign w:val="center"/>
                </w:tcPr>
                <w:p>
                  <w:pPr>
                    <w:spacing w:line="240" w:lineRule="auto"/>
                    <w:jc w:val="center"/>
                    <w:rPr>
                      <w:rFonts w:eastAsia="新宋体"/>
                      <w:bCs/>
                      <w:sz w:val="21"/>
                      <w:szCs w:val="21"/>
                    </w:rPr>
                  </w:pPr>
                  <w:r>
                    <w:rPr>
                      <w:rFonts w:eastAsia="新宋体"/>
                      <w:bCs/>
                      <w:sz w:val="21"/>
                      <w:szCs w:val="21"/>
                    </w:rPr>
                    <w:t>SS</w:t>
                  </w:r>
                </w:p>
              </w:tc>
              <w:tc>
                <w:tcPr>
                  <w:tcW w:w="3214" w:type="dxa"/>
                  <w:vMerge w:val="continue"/>
                  <w:vAlign w:val="center"/>
                </w:tcPr>
                <w:p>
                  <w:pPr>
                    <w:spacing w:line="240" w:lineRule="auto"/>
                    <w:jc w:val="center"/>
                    <w:rPr>
                      <w:rFonts w:eastAsia="新宋体"/>
                      <w:bCs/>
                      <w:sz w:val="21"/>
                      <w:szCs w:val="21"/>
                    </w:rPr>
                  </w:pPr>
                </w:p>
              </w:tc>
              <w:tc>
                <w:tcPr>
                  <w:tcW w:w="2293" w:type="dxa"/>
                  <w:vAlign w:val="center"/>
                </w:tcPr>
                <w:p>
                  <w:pPr>
                    <w:spacing w:line="240" w:lineRule="auto"/>
                    <w:jc w:val="center"/>
                    <w:rPr>
                      <w:rFonts w:eastAsia="新宋体"/>
                      <w:bCs/>
                      <w:sz w:val="21"/>
                      <w:szCs w:val="21"/>
                    </w:rPr>
                  </w:pPr>
                  <w:r>
                    <w:rPr>
                      <w:rFonts w:eastAsia="新宋体"/>
                      <w:bCs/>
                      <w:sz w:val="21"/>
                      <w:szCs w:val="21"/>
                    </w:rPr>
                    <w:t>≤150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618" w:type="dxa"/>
                  <w:vMerge w:val="continue"/>
                  <w:vAlign w:val="center"/>
                </w:tcPr>
                <w:p>
                  <w:pPr>
                    <w:spacing w:line="240" w:lineRule="auto"/>
                    <w:jc w:val="center"/>
                    <w:rPr>
                      <w:rFonts w:eastAsia="新宋体"/>
                      <w:bCs/>
                      <w:sz w:val="21"/>
                      <w:szCs w:val="21"/>
                    </w:rPr>
                  </w:pPr>
                </w:p>
              </w:tc>
              <w:tc>
                <w:tcPr>
                  <w:tcW w:w="1132" w:type="dxa"/>
                  <w:vMerge w:val="continue"/>
                  <w:vAlign w:val="center"/>
                </w:tcPr>
                <w:p>
                  <w:pPr>
                    <w:spacing w:line="240" w:lineRule="auto"/>
                    <w:jc w:val="center"/>
                    <w:rPr>
                      <w:rFonts w:eastAsia="新宋体"/>
                      <w:bCs/>
                      <w:sz w:val="21"/>
                      <w:szCs w:val="21"/>
                    </w:rPr>
                  </w:pPr>
                </w:p>
              </w:tc>
              <w:tc>
                <w:tcPr>
                  <w:tcW w:w="1181" w:type="dxa"/>
                  <w:vAlign w:val="center"/>
                </w:tcPr>
                <w:p>
                  <w:pPr>
                    <w:spacing w:line="240" w:lineRule="auto"/>
                    <w:jc w:val="center"/>
                    <w:rPr>
                      <w:rFonts w:eastAsia="新宋体"/>
                      <w:bCs/>
                      <w:sz w:val="21"/>
                      <w:szCs w:val="21"/>
                    </w:rPr>
                  </w:pPr>
                  <w:r>
                    <w:rPr>
                      <w:rFonts w:hint="eastAsia" w:eastAsia="新宋体"/>
                      <w:bCs/>
                      <w:sz w:val="21"/>
                      <w:szCs w:val="21"/>
                    </w:rPr>
                    <w:t>石油类</w:t>
                  </w:r>
                </w:p>
              </w:tc>
              <w:tc>
                <w:tcPr>
                  <w:tcW w:w="3214" w:type="dxa"/>
                  <w:vMerge w:val="continue"/>
                  <w:vAlign w:val="center"/>
                </w:tcPr>
                <w:p>
                  <w:pPr>
                    <w:spacing w:line="240" w:lineRule="auto"/>
                    <w:jc w:val="center"/>
                    <w:rPr>
                      <w:rFonts w:eastAsia="新宋体"/>
                      <w:bCs/>
                      <w:sz w:val="21"/>
                      <w:szCs w:val="21"/>
                    </w:rPr>
                  </w:pPr>
                </w:p>
              </w:tc>
              <w:tc>
                <w:tcPr>
                  <w:tcW w:w="2293" w:type="dxa"/>
                  <w:vAlign w:val="center"/>
                </w:tcPr>
                <w:p>
                  <w:pPr>
                    <w:spacing w:line="240" w:lineRule="auto"/>
                    <w:jc w:val="center"/>
                    <w:rPr>
                      <w:rFonts w:eastAsia="新宋体"/>
                      <w:bCs/>
                      <w:sz w:val="21"/>
                      <w:szCs w:val="21"/>
                    </w:rPr>
                  </w:pPr>
                  <w:r>
                    <w:rPr>
                      <w:rFonts w:eastAsia="新宋体"/>
                      <w:bCs/>
                      <w:sz w:val="21"/>
                      <w:szCs w:val="21"/>
                    </w:rPr>
                    <w:t>≤8</w:t>
                  </w:r>
                </w:p>
              </w:tc>
            </w:tr>
          </w:tbl>
          <w:p>
            <w:pPr>
              <w:pStyle w:val="169"/>
              <w:spacing w:line="240" w:lineRule="auto"/>
              <w:rPr>
                <w:rFonts w:hint="default" w:hAnsi="Times New Roman" w:eastAsiaTheme="minorEastAsia"/>
                <w:sz w:val="24"/>
                <w:szCs w:val="24"/>
              </w:rPr>
            </w:pPr>
            <w:r>
              <w:rPr>
                <w:rFonts w:hAnsi="Times New Roman" w:eastAsiaTheme="minorEastAsia"/>
                <w:sz w:val="24"/>
                <w:szCs w:val="24"/>
              </w:rPr>
              <w:t>表4-</w:t>
            </w:r>
            <w:r>
              <w:rPr>
                <w:rFonts w:hint="default" w:hAnsi="Times New Roman" w:eastAsiaTheme="minorEastAsia"/>
                <w:sz w:val="24"/>
                <w:szCs w:val="24"/>
              </w:rPr>
              <w:t>6</w:t>
            </w:r>
            <w:r>
              <w:rPr>
                <w:rFonts w:hAnsi="Times New Roman" w:eastAsiaTheme="minorEastAsia"/>
                <w:sz w:val="24"/>
                <w:szCs w:val="24"/>
              </w:rPr>
              <w:t>（2）</w:t>
            </w:r>
            <w:r>
              <w:rPr>
                <w:rFonts w:hint="default" w:hAnsi="Times New Roman" w:eastAsiaTheme="minorEastAsia"/>
                <w:sz w:val="24"/>
                <w:szCs w:val="24"/>
              </w:rPr>
              <w:t xml:space="preserve"> </w:t>
            </w:r>
            <w:r>
              <w:rPr>
                <w:rFonts w:hAnsi="Times New Roman" w:eastAsiaTheme="minorEastAsia"/>
                <w:sz w:val="24"/>
                <w:szCs w:val="24"/>
              </w:rPr>
              <w:t>远期废水污染物排放执行标准表</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 w:type="dxa"/>
                <w:bottom w:w="0" w:type="dxa"/>
                <w:right w:w="10" w:type="dxa"/>
              </w:tblCellMar>
            </w:tblPr>
            <w:tblGrid>
              <w:gridCol w:w="540"/>
              <w:gridCol w:w="727"/>
              <w:gridCol w:w="816"/>
              <w:gridCol w:w="4254"/>
              <w:gridCol w:w="20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547" w:type="dxa"/>
                  <w:vMerge w:val="restart"/>
                  <w:vAlign w:val="center"/>
                </w:tcPr>
                <w:p>
                  <w:pPr>
                    <w:spacing w:line="240" w:lineRule="auto"/>
                    <w:jc w:val="center"/>
                    <w:rPr>
                      <w:rFonts w:eastAsia="新宋体"/>
                      <w:b/>
                      <w:sz w:val="21"/>
                      <w:szCs w:val="21"/>
                    </w:rPr>
                  </w:pPr>
                  <w:r>
                    <w:rPr>
                      <w:rFonts w:eastAsia="新宋体"/>
                      <w:b/>
                      <w:sz w:val="21"/>
                      <w:szCs w:val="21"/>
                    </w:rPr>
                    <w:t>序号</w:t>
                  </w:r>
                </w:p>
              </w:tc>
              <w:tc>
                <w:tcPr>
                  <w:tcW w:w="735" w:type="dxa"/>
                  <w:vMerge w:val="restart"/>
                  <w:vAlign w:val="center"/>
                </w:tcPr>
                <w:p>
                  <w:pPr>
                    <w:spacing w:line="240" w:lineRule="auto"/>
                    <w:jc w:val="center"/>
                    <w:rPr>
                      <w:rFonts w:eastAsia="新宋体"/>
                      <w:b/>
                      <w:sz w:val="21"/>
                      <w:szCs w:val="21"/>
                    </w:rPr>
                  </w:pPr>
                  <w:r>
                    <w:rPr>
                      <w:rFonts w:eastAsia="新宋体"/>
                      <w:b/>
                      <w:sz w:val="21"/>
                      <w:szCs w:val="21"/>
                    </w:rPr>
                    <w:t>排放口编号</w:t>
                  </w:r>
                </w:p>
              </w:tc>
              <w:tc>
                <w:tcPr>
                  <w:tcW w:w="825" w:type="dxa"/>
                  <w:vMerge w:val="restart"/>
                  <w:vAlign w:val="center"/>
                </w:tcPr>
                <w:p>
                  <w:pPr>
                    <w:spacing w:line="240" w:lineRule="auto"/>
                    <w:jc w:val="center"/>
                    <w:rPr>
                      <w:rFonts w:eastAsia="新宋体"/>
                      <w:b/>
                      <w:sz w:val="21"/>
                      <w:szCs w:val="21"/>
                    </w:rPr>
                  </w:pPr>
                  <w:r>
                    <w:rPr>
                      <w:rFonts w:eastAsia="新宋体"/>
                      <w:b/>
                      <w:sz w:val="21"/>
                      <w:szCs w:val="21"/>
                    </w:rPr>
                    <w:t>污染物种类</w:t>
                  </w:r>
                </w:p>
              </w:tc>
              <w:tc>
                <w:tcPr>
                  <w:tcW w:w="6331" w:type="dxa"/>
                  <w:gridSpan w:val="2"/>
                  <w:vAlign w:val="center"/>
                </w:tcPr>
                <w:p>
                  <w:pPr>
                    <w:spacing w:line="240" w:lineRule="auto"/>
                    <w:jc w:val="center"/>
                    <w:rPr>
                      <w:rFonts w:eastAsia="新宋体"/>
                      <w:b/>
                      <w:sz w:val="21"/>
                      <w:szCs w:val="21"/>
                    </w:rPr>
                  </w:pPr>
                  <w:r>
                    <w:rPr>
                      <w:rFonts w:eastAsia="新宋体"/>
                      <w:b/>
                      <w:sz w:val="21"/>
                      <w:szCs w:val="21"/>
                    </w:rPr>
                    <w:t>国家或地方污染物排放标准及其他按规定商定的排放协议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547" w:type="dxa"/>
                  <w:vMerge w:val="continue"/>
                  <w:vAlign w:val="center"/>
                </w:tcPr>
                <w:p>
                  <w:pPr>
                    <w:spacing w:line="240" w:lineRule="auto"/>
                    <w:jc w:val="center"/>
                    <w:rPr>
                      <w:rFonts w:eastAsia="新宋体"/>
                      <w:b/>
                      <w:sz w:val="21"/>
                      <w:szCs w:val="21"/>
                    </w:rPr>
                  </w:pPr>
                </w:p>
              </w:tc>
              <w:tc>
                <w:tcPr>
                  <w:tcW w:w="735" w:type="dxa"/>
                  <w:vMerge w:val="continue"/>
                  <w:vAlign w:val="center"/>
                </w:tcPr>
                <w:p>
                  <w:pPr>
                    <w:spacing w:line="240" w:lineRule="auto"/>
                    <w:jc w:val="center"/>
                    <w:rPr>
                      <w:rFonts w:eastAsia="新宋体"/>
                      <w:b/>
                      <w:sz w:val="21"/>
                      <w:szCs w:val="21"/>
                    </w:rPr>
                  </w:pPr>
                </w:p>
              </w:tc>
              <w:tc>
                <w:tcPr>
                  <w:tcW w:w="825" w:type="dxa"/>
                  <w:vMerge w:val="continue"/>
                  <w:vAlign w:val="center"/>
                </w:tcPr>
                <w:p>
                  <w:pPr>
                    <w:spacing w:line="240" w:lineRule="auto"/>
                    <w:jc w:val="center"/>
                    <w:rPr>
                      <w:rFonts w:eastAsia="新宋体"/>
                      <w:b/>
                      <w:sz w:val="21"/>
                      <w:szCs w:val="21"/>
                    </w:rPr>
                  </w:pPr>
                </w:p>
              </w:tc>
              <w:tc>
                <w:tcPr>
                  <w:tcW w:w="4305" w:type="dxa"/>
                  <w:vAlign w:val="center"/>
                </w:tcPr>
                <w:p>
                  <w:pPr>
                    <w:spacing w:line="240" w:lineRule="auto"/>
                    <w:jc w:val="center"/>
                    <w:rPr>
                      <w:rFonts w:eastAsia="新宋体"/>
                      <w:b/>
                      <w:sz w:val="21"/>
                      <w:szCs w:val="21"/>
                    </w:rPr>
                  </w:pPr>
                  <w:r>
                    <w:rPr>
                      <w:rFonts w:eastAsia="新宋体"/>
                      <w:b/>
                      <w:sz w:val="21"/>
                      <w:szCs w:val="21"/>
                    </w:rPr>
                    <w:t>名称</w:t>
                  </w:r>
                </w:p>
              </w:tc>
              <w:tc>
                <w:tcPr>
                  <w:tcW w:w="2026" w:type="dxa"/>
                  <w:vAlign w:val="center"/>
                </w:tcPr>
                <w:p>
                  <w:pPr>
                    <w:spacing w:line="240" w:lineRule="auto"/>
                    <w:jc w:val="center"/>
                    <w:rPr>
                      <w:rFonts w:eastAsia="新宋体"/>
                      <w:b/>
                      <w:sz w:val="21"/>
                      <w:szCs w:val="21"/>
                    </w:rPr>
                  </w:pPr>
                  <w:r>
                    <w:rPr>
                      <w:rFonts w:eastAsia="新宋体"/>
                      <w:b/>
                      <w:sz w:val="21"/>
                      <w:szCs w:val="21"/>
                    </w:rPr>
                    <w:t>浓度限值/（mg/L）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547" w:type="dxa"/>
                  <w:vMerge w:val="restart"/>
                  <w:vAlign w:val="center"/>
                </w:tcPr>
                <w:p>
                  <w:pPr>
                    <w:spacing w:line="240" w:lineRule="auto"/>
                    <w:jc w:val="center"/>
                    <w:rPr>
                      <w:rFonts w:eastAsia="新宋体"/>
                      <w:bCs/>
                      <w:sz w:val="21"/>
                      <w:szCs w:val="21"/>
                    </w:rPr>
                  </w:pPr>
                  <w:r>
                    <w:rPr>
                      <w:rFonts w:eastAsia="新宋体"/>
                      <w:bCs/>
                      <w:sz w:val="21"/>
                      <w:szCs w:val="21"/>
                    </w:rPr>
                    <w:t>1</w:t>
                  </w:r>
                </w:p>
              </w:tc>
              <w:tc>
                <w:tcPr>
                  <w:tcW w:w="735" w:type="dxa"/>
                  <w:vMerge w:val="restart"/>
                  <w:vAlign w:val="center"/>
                </w:tcPr>
                <w:p>
                  <w:pPr>
                    <w:spacing w:line="240" w:lineRule="auto"/>
                    <w:jc w:val="center"/>
                    <w:rPr>
                      <w:rFonts w:eastAsia="新宋体"/>
                      <w:bCs/>
                      <w:sz w:val="21"/>
                      <w:szCs w:val="21"/>
                    </w:rPr>
                  </w:pPr>
                  <w:r>
                    <w:rPr>
                      <w:rFonts w:hint="eastAsia" w:eastAsia="新宋体"/>
                      <w:bCs/>
                      <w:sz w:val="21"/>
                      <w:szCs w:val="21"/>
                    </w:rPr>
                    <w:t>D</w:t>
                  </w:r>
                  <w:r>
                    <w:rPr>
                      <w:rFonts w:eastAsia="新宋体"/>
                      <w:bCs/>
                      <w:sz w:val="21"/>
                      <w:szCs w:val="21"/>
                    </w:rPr>
                    <w:t>W001</w:t>
                  </w:r>
                </w:p>
              </w:tc>
              <w:tc>
                <w:tcPr>
                  <w:tcW w:w="825" w:type="dxa"/>
                  <w:vAlign w:val="center"/>
                </w:tcPr>
                <w:p>
                  <w:pPr>
                    <w:pStyle w:val="151"/>
                    <w:spacing w:line="240" w:lineRule="auto"/>
                    <w:rPr>
                      <w:rFonts w:eastAsia="新宋体"/>
                      <w:bCs/>
                      <w:sz w:val="21"/>
                      <w:szCs w:val="21"/>
                    </w:rPr>
                  </w:pPr>
                  <w:r>
                    <w:rPr>
                      <w:rFonts w:eastAsia="新宋体"/>
                      <w:bCs/>
                      <w:sz w:val="21"/>
                      <w:szCs w:val="21"/>
                    </w:rPr>
                    <w:t>CODcr</w:t>
                  </w:r>
                </w:p>
              </w:tc>
              <w:tc>
                <w:tcPr>
                  <w:tcW w:w="4305" w:type="dxa"/>
                  <w:vMerge w:val="restart"/>
                  <w:vAlign w:val="center"/>
                </w:tcPr>
                <w:p>
                  <w:pPr>
                    <w:spacing w:line="240" w:lineRule="auto"/>
                    <w:jc w:val="center"/>
                    <w:rPr>
                      <w:rFonts w:eastAsia="新宋体"/>
                      <w:bCs/>
                      <w:sz w:val="21"/>
                      <w:szCs w:val="21"/>
                    </w:rPr>
                  </w:pPr>
                  <w:r>
                    <w:rPr>
                      <w:rFonts w:eastAsia="新宋体"/>
                      <w:bCs/>
                      <w:sz w:val="21"/>
                      <w:szCs w:val="21"/>
                    </w:rPr>
                    <w:t>生活污水执行河口镇污水处理厂接管标准及广东省《水污染物排放限值》（DB44/26-2001）第二时段三级标准两者较严值</w:t>
                  </w:r>
                </w:p>
              </w:tc>
              <w:tc>
                <w:tcPr>
                  <w:tcW w:w="2026" w:type="dxa"/>
                  <w:vAlign w:val="center"/>
                </w:tcPr>
                <w:p>
                  <w:pPr>
                    <w:spacing w:line="240" w:lineRule="auto"/>
                    <w:jc w:val="center"/>
                    <w:rPr>
                      <w:rFonts w:eastAsia="新宋体"/>
                      <w:bCs/>
                      <w:sz w:val="21"/>
                      <w:szCs w:val="21"/>
                    </w:rPr>
                  </w:pPr>
                  <w:r>
                    <w:rPr>
                      <w:rFonts w:eastAsia="新宋体"/>
                      <w:bCs/>
                      <w:sz w:val="21"/>
                      <w:szCs w:val="21"/>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547" w:type="dxa"/>
                  <w:vMerge w:val="continue"/>
                  <w:vAlign w:val="center"/>
                </w:tcPr>
                <w:p>
                  <w:pPr>
                    <w:spacing w:line="240" w:lineRule="auto"/>
                    <w:jc w:val="center"/>
                    <w:rPr>
                      <w:rFonts w:eastAsia="新宋体"/>
                      <w:bCs/>
                      <w:sz w:val="21"/>
                      <w:szCs w:val="21"/>
                    </w:rPr>
                  </w:pPr>
                </w:p>
              </w:tc>
              <w:tc>
                <w:tcPr>
                  <w:tcW w:w="735" w:type="dxa"/>
                  <w:vMerge w:val="continue"/>
                  <w:vAlign w:val="center"/>
                </w:tcPr>
                <w:p>
                  <w:pPr>
                    <w:spacing w:line="240" w:lineRule="auto"/>
                    <w:jc w:val="center"/>
                    <w:rPr>
                      <w:rFonts w:eastAsia="新宋体"/>
                      <w:bCs/>
                      <w:sz w:val="21"/>
                      <w:szCs w:val="21"/>
                    </w:rPr>
                  </w:pPr>
                </w:p>
              </w:tc>
              <w:tc>
                <w:tcPr>
                  <w:tcW w:w="825" w:type="dxa"/>
                  <w:vAlign w:val="center"/>
                </w:tcPr>
                <w:p>
                  <w:pPr>
                    <w:pStyle w:val="151"/>
                    <w:spacing w:line="240" w:lineRule="auto"/>
                    <w:rPr>
                      <w:rFonts w:eastAsia="新宋体"/>
                      <w:bCs/>
                      <w:sz w:val="21"/>
                      <w:szCs w:val="21"/>
                    </w:rPr>
                  </w:pPr>
                  <w:r>
                    <w:rPr>
                      <w:rFonts w:eastAsia="新宋体"/>
                      <w:bCs/>
                      <w:sz w:val="21"/>
                      <w:szCs w:val="21"/>
                    </w:rPr>
                    <w:t>BOD</w:t>
                  </w:r>
                  <w:r>
                    <w:rPr>
                      <w:rFonts w:eastAsia="新宋体"/>
                      <w:bCs/>
                      <w:sz w:val="21"/>
                      <w:szCs w:val="21"/>
                      <w:vertAlign w:val="subscript"/>
                    </w:rPr>
                    <w:t>5</w:t>
                  </w:r>
                </w:p>
              </w:tc>
              <w:tc>
                <w:tcPr>
                  <w:tcW w:w="4305" w:type="dxa"/>
                  <w:vMerge w:val="continue"/>
                  <w:vAlign w:val="center"/>
                </w:tcPr>
                <w:p>
                  <w:pPr>
                    <w:spacing w:line="240" w:lineRule="auto"/>
                    <w:jc w:val="center"/>
                    <w:rPr>
                      <w:rFonts w:eastAsia="新宋体"/>
                      <w:bCs/>
                      <w:sz w:val="21"/>
                      <w:szCs w:val="21"/>
                    </w:rPr>
                  </w:pPr>
                </w:p>
              </w:tc>
              <w:tc>
                <w:tcPr>
                  <w:tcW w:w="2026" w:type="dxa"/>
                  <w:vAlign w:val="center"/>
                </w:tcPr>
                <w:p>
                  <w:pPr>
                    <w:spacing w:line="240" w:lineRule="auto"/>
                    <w:jc w:val="center"/>
                    <w:rPr>
                      <w:rFonts w:eastAsia="新宋体"/>
                      <w:bCs/>
                      <w:sz w:val="21"/>
                      <w:szCs w:val="21"/>
                    </w:rPr>
                  </w:pPr>
                  <w:r>
                    <w:rPr>
                      <w:rFonts w:eastAsia="新宋体"/>
                      <w:bCs/>
                      <w:sz w:val="21"/>
                      <w:szCs w:val="21"/>
                    </w:rPr>
                    <w:t>≤150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547" w:type="dxa"/>
                  <w:vMerge w:val="continue"/>
                  <w:vAlign w:val="center"/>
                </w:tcPr>
                <w:p>
                  <w:pPr>
                    <w:spacing w:line="240" w:lineRule="auto"/>
                    <w:jc w:val="center"/>
                    <w:rPr>
                      <w:rFonts w:eastAsia="新宋体"/>
                      <w:bCs/>
                      <w:sz w:val="21"/>
                      <w:szCs w:val="21"/>
                    </w:rPr>
                  </w:pPr>
                </w:p>
              </w:tc>
              <w:tc>
                <w:tcPr>
                  <w:tcW w:w="735" w:type="dxa"/>
                  <w:vMerge w:val="continue"/>
                  <w:vAlign w:val="center"/>
                </w:tcPr>
                <w:p>
                  <w:pPr>
                    <w:spacing w:line="240" w:lineRule="auto"/>
                    <w:jc w:val="center"/>
                    <w:rPr>
                      <w:rFonts w:eastAsia="新宋体"/>
                      <w:bCs/>
                      <w:sz w:val="21"/>
                      <w:szCs w:val="21"/>
                    </w:rPr>
                  </w:pPr>
                </w:p>
              </w:tc>
              <w:tc>
                <w:tcPr>
                  <w:tcW w:w="825" w:type="dxa"/>
                  <w:vAlign w:val="center"/>
                </w:tcPr>
                <w:p>
                  <w:pPr>
                    <w:pStyle w:val="151"/>
                    <w:spacing w:line="240" w:lineRule="auto"/>
                    <w:rPr>
                      <w:rFonts w:eastAsia="新宋体"/>
                      <w:bCs/>
                      <w:sz w:val="21"/>
                      <w:szCs w:val="21"/>
                    </w:rPr>
                  </w:pPr>
                  <w:r>
                    <w:rPr>
                      <w:rFonts w:eastAsia="新宋体"/>
                      <w:bCs/>
                      <w:sz w:val="21"/>
                      <w:szCs w:val="21"/>
                    </w:rPr>
                    <w:t>氨氮</w:t>
                  </w:r>
                </w:p>
              </w:tc>
              <w:tc>
                <w:tcPr>
                  <w:tcW w:w="4305" w:type="dxa"/>
                  <w:vMerge w:val="continue"/>
                  <w:vAlign w:val="center"/>
                </w:tcPr>
                <w:p>
                  <w:pPr>
                    <w:spacing w:line="240" w:lineRule="auto"/>
                    <w:jc w:val="center"/>
                    <w:rPr>
                      <w:rFonts w:eastAsia="新宋体"/>
                      <w:bCs/>
                      <w:sz w:val="21"/>
                      <w:szCs w:val="21"/>
                    </w:rPr>
                  </w:pPr>
                </w:p>
              </w:tc>
              <w:tc>
                <w:tcPr>
                  <w:tcW w:w="2026" w:type="dxa"/>
                  <w:vAlign w:val="center"/>
                </w:tcPr>
                <w:p>
                  <w:pPr>
                    <w:spacing w:line="240" w:lineRule="auto"/>
                    <w:jc w:val="center"/>
                    <w:rPr>
                      <w:rFonts w:eastAsia="新宋体"/>
                      <w:bCs/>
                      <w:sz w:val="21"/>
                      <w:szCs w:val="21"/>
                    </w:rPr>
                  </w:pPr>
                  <w:r>
                    <w:rPr>
                      <w:rFonts w:eastAsia="新宋体"/>
                      <w:bCs/>
                      <w:sz w:val="21"/>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547" w:type="dxa"/>
                  <w:vMerge w:val="continue"/>
                  <w:vAlign w:val="center"/>
                </w:tcPr>
                <w:p>
                  <w:pPr>
                    <w:spacing w:line="240" w:lineRule="auto"/>
                    <w:jc w:val="center"/>
                    <w:rPr>
                      <w:rFonts w:eastAsia="新宋体"/>
                      <w:bCs/>
                      <w:sz w:val="21"/>
                      <w:szCs w:val="21"/>
                    </w:rPr>
                  </w:pPr>
                </w:p>
              </w:tc>
              <w:tc>
                <w:tcPr>
                  <w:tcW w:w="735" w:type="dxa"/>
                  <w:vMerge w:val="continue"/>
                  <w:vAlign w:val="center"/>
                </w:tcPr>
                <w:p>
                  <w:pPr>
                    <w:spacing w:line="240" w:lineRule="auto"/>
                    <w:jc w:val="center"/>
                    <w:rPr>
                      <w:rFonts w:eastAsia="新宋体"/>
                      <w:bCs/>
                      <w:sz w:val="21"/>
                      <w:szCs w:val="21"/>
                    </w:rPr>
                  </w:pPr>
                </w:p>
              </w:tc>
              <w:tc>
                <w:tcPr>
                  <w:tcW w:w="825" w:type="dxa"/>
                  <w:vAlign w:val="center"/>
                </w:tcPr>
                <w:p>
                  <w:pPr>
                    <w:pStyle w:val="151"/>
                    <w:spacing w:line="240" w:lineRule="auto"/>
                    <w:rPr>
                      <w:rFonts w:eastAsia="新宋体"/>
                      <w:bCs/>
                      <w:sz w:val="21"/>
                      <w:szCs w:val="21"/>
                    </w:rPr>
                  </w:pPr>
                  <w:r>
                    <w:rPr>
                      <w:rFonts w:eastAsia="新宋体"/>
                      <w:bCs/>
                      <w:sz w:val="21"/>
                      <w:szCs w:val="21"/>
                    </w:rPr>
                    <w:t>SS</w:t>
                  </w:r>
                </w:p>
              </w:tc>
              <w:tc>
                <w:tcPr>
                  <w:tcW w:w="4305" w:type="dxa"/>
                  <w:vMerge w:val="continue"/>
                  <w:vAlign w:val="center"/>
                </w:tcPr>
                <w:p>
                  <w:pPr>
                    <w:spacing w:line="240" w:lineRule="auto"/>
                    <w:jc w:val="center"/>
                    <w:rPr>
                      <w:rFonts w:eastAsia="新宋体"/>
                      <w:bCs/>
                      <w:sz w:val="21"/>
                      <w:szCs w:val="21"/>
                    </w:rPr>
                  </w:pPr>
                </w:p>
              </w:tc>
              <w:tc>
                <w:tcPr>
                  <w:tcW w:w="2026" w:type="dxa"/>
                  <w:vAlign w:val="center"/>
                </w:tcPr>
                <w:p>
                  <w:pPr>
                    <w:spacing w:line="240" w:lineRule="auto"/>
                    <w:jc w:val="center"/>
                    <w:rPr>
                      <w:rFonts w:eastAsia="新宋体"/>
                      <w:bCs/>
                      <w:sz w:val="21"/>
                      <w:szCs w:val="21"/>
                    </w:rPr>
                  </w:pPr>
                  <w:r>
                    <w:rPr>
                      <w:rFonts w:eastAsia="新宋体"/>
                      <w:bCs/>
                      <w:sz w:val="21"/>
                      <w:szCs w:val="21"/>
                    </w:rPr>
                    <w:t>≤150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547" w:type="dxa"/>
                  <w:vMerge w:val="restart"/>
                  <w:vAlign w:val="center"/>
                </w:tcPr>
                <w:p>
                  <w:pPr>
                    <w:spacing w:line="240" w:lineRule="auto"/>
                    <w:jc w:val="center"/>
                    <w:rPr>
                      <w:rFonts w:eastAsia="新宋体"/>
                      <w:bCs/>
                      <w:sz w:val="21"/>
                      <w:szCs w:val="21"/>
                    </w:rPr>
                  </w:pPr>
                  <w:r>
                    <w:rPr>
                      <w:rFonts w:eastAsia="新宋体"/>
                      <w:bCs/>
                      <w:sz w:val="21"/>
                      <w:szCs w:val="21"/>
                    </w:rPr>
                    <w:t>2</w:t>
                  </w:r>
                </w:p>
              </w:tc>
              <w:tc>
                <w:tcPr>
                  <w:tcW w:w="735" w:type="dxa"/>
                  <w:vMerge w:val="restart"/>
                  <w:vAlign w:val="center"/>
                </w:tcPr>
                <w:p>
                  <w:pPr>
                    <w:spacing w:line="240" w:lineRule="auto"/>
                    <w:jc w:val="center"/>
                    <w:rPr>
                      <w:rFonts w:eastAsia="新宋体"/>
                      <w:bCs/>
                      <w:sz w:val="21"/>
                      <w:szCs w:val="21"/>
                    </w:rPr>
                  </w:pPr>
                  <w:r>
                    <w:rPr>
                      <w:rFonts w:hint="eastAsia" w:eastAsia="新宋体"/>
                      <w:bCs/>
                      <w:sz w:val="21"/>
                      <w:szCs w:val="21"/>
                    </w:rPr>
                    <w:t>D</w:t>
                  </w:r>
                  <w:r>
                    <w:rPr>
                      <w:rFonts w:eastAsia="新宋体"/>
                      <w:bCs/>
                      <w:sz w:val="21"/>
                      <w:szCs w:val="21"/>
                    </w:rPr>
                    <w:t>W002</w:t>
                  </w:r>
                </w:p>
              </w:tc>
              <w:tc>
                <w:tcPr>
                  <w:tcW w:w="825" w:type="dxa"/>
                  <w:vAlign w:val="center"/>
                </w:tcPr>
                <w:p>
                  <w:pPr>
                    <w:pStyle w:val="151"/>
                    <w:spacing w:line="240" w:lineRule="auto"/>
                    <w:rPr>
                      <w:rFonts w:eastAsia="新宋体"/>
                      <w:bCs/>
                      <w:sz w:val="21"/>
                      <w:szCs w:val="21"/>
                    </w:rPr>
                  </w:pPr>
                  <w:r>
                    <w:rPr>
                      <w:rFonts w:eastAsia="新宋体"/>
                      <w:bCs/>
                      <w:sz w:val="21"/>
                      <w:szCs w:val="21"/>
                    </w:rPr>
                    <w:t>CODcr</w:t>
                  </w:r>
                </w:p>
              </w:tc>
              <w:tc>
                <w:tcPr>
                  <w:tcW w:w="4305" w:type="dxa"/>
                  <w:vMerge w:val="restart"/>
                  <w:vAlign w:val="center"/>
                </w:tcPr>
                <w:p>
                  <w:pPr>
                    <w:spacing w:line="240" w:lineRule="auto"/>
                    <w:jc w:val="center"/>
                    <w:rPr>
                      <w:rFonts w:eastAsia="新宋体"/>
                      <w:bCs/>
                      <w:sz w:val="21"/>
                      <w:szCs w:val="21"/>
                    </w:rPr>
                  </w:pPr>
                  <w:r>
                    <w:rPr>
                      <w:rFonts w:hint="eastAsia" w:eastAsia="新宋体"/>
                      <w:bCs/>
                      <w:sz w:val="21"/>
                      <w:szCs w:val="21"/>
                    </w:rPr>
                    <w:t>淋洗测试废水</w:t>
                  </w:r>
                  <w:r>
                    <w:rPr>
                      <w:rFonts w:eastAsia="新宋体"/>
                      <w:bCs/>
                      <w:sz w:val="21"/>
                      <w:szCs w:val="21"/>
                    </w:rPr>
                    <w:t>执行陆河产业转移工业园工业污水处理厂进水标准及广东省《水污染物排放限值》（DB44/26-2001）第二时段三级标准两者较严值</w:t>
                  </w:r>
                </w:p>
              </w:tc>
              <w:tc>
                <w:tcPr>
                  <w:tcW w:w="2026" w:type="dxa"/>
                  <w:vAlign w:val="center"/>
                </w:tcPr>
                <w:p>
                  <w:pPr>
                    <w:spacing w:line="240" w:lineRule="auto"/>
                    <w:jc w:val="center"/>
                    <w:rPr>
                      <w:rFonts w:eastAsia="新宋体"/>
                      <w:bCs/>
                      <w:sz w:val="21"/>
                      <w:szCs w:val="21"/>
                    </w:rPr>
                  </w:pPr>
                  <w:r>
                    <w:rPr>
                      <w:rFonts w:eastAsia="新宋体"/>
                      <w:bCs/>
                      <w:sz w:val="21"/>
                      <w:szCs w:val="21"/>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547" w:type="dxa"/>
                  <w:vMerge w:val="continue"/>
                  <w:vAlign w:val="center"/>
                </w:tcPr>
                <w:p>
                  <w:pPr>
                    <w:spacing w:line="240" w:lineRule="auto"/>
                    <w:jc w:val="center"/>
                    <w:rPr>
                      <w:rFonts w:eastAsia="新宋体"/>
                      <w:bCs/>
                      <w:sz w:val="21"/>
                      <w:szCs w:val="21"/>
                    </w:rPr>
                  </w:pPr>
                </w:p>
              </w:tc>
              <w:tc>
                <w:tcPr>
                  <w:tcW w:w="735" w:type="dxa"/>
                  <w:vMerge w:val="continue"/>
                  <w:vAlign w:val="center"/>
                </w:tcPr>
                <w:p>
                  <w:pPr>
                    <w:spacing w:line="240" w:lineRule="auto"/>
                    <w:jc w:val="center"/>
                    <w:rPr>
                      <w:rFonts w:eastAsia="新宋体"/>
                      <w:bCs/>
                      <w:sz w:val="21"/>
                      <w:szCs w:val="21"/>
                    </w:rPr>
                  </w:pPr>
                </w:p>
              </w:tc>
              <w:tc>
                <w:tcPr>
                  <w:tcW w:w="825" w:type="dxa"/>
                  <w:vAlign w:val="center"/>
                </w:tcPr>
                <w:p>
                  <w:pPr>
                    <w:pStyle w:val="151"/>
                    <w:spacing w:line="240" w:lineRule="auto"/>
                    <w:rPr>
                      <w:rFonts w:eastAsia="新宋体"/>
                      <w:bCs/>
                      <w:sz w:val="21"/>
                      <w:szCs w:val="21"/>
                    </w:rPr>
                  </w:pPr>
                  <w:r>
                    <w:rPr>
                      <w:rFonts w:eastAsia="新宋体"/>
                      <w:bCs/>
                      <w:sz w:val="21"/>
                      <w:szCs w:val="21"/>
                    </w:rPr>
                    <w:t>BOD</w:t>
                  </w:r>
                  <w:r>
                    <w:rPr>
                      <w:rFonts w:eastAsia="新宋体"/>
                      <w:bCs/>
                      <w:sz w:val="21"/>
                      <w:szCs w:val="21"/>
                      <w:vertAlign w:val="subscript"/>
                    </w:rPr>
                    <w:t>5</w:t>
                  </w:r>
                </w:p>
              </w:tc>
              <w:tc>
                <w:tcPr>
                  <w:tcW w:w="4305" w:type="dxa"/>
                  <w:vMerge w:val="continue"/>
                  <w:vAlign w:val="center"/>
                </w:tcPr>
                <w:p>
                  <w:pPr>
                    <w:spacing w:line="240" w:lineRule="auto"/>
                    <w:jc w:val="center"/>
                    <w:rPr>
                      <w:rFonts w:eastAsia="新宋体"/>
                      <w:bCs/>
                      <w:sz w:val="21"/>
                      <w:szCs w:val="21"/>
                    </w:rPr>
                  </w:pPr>
                </w:p>
              </w:tc>
              <w:tc>
                <w:tcPr>
                  <w:tcW w:w="2026" w:type="dxa"/>
                  <w:vAlign w:val="center"/>
                </w:tcPr>
                <w:p>
                  <w:pPr>
                    <w:spacing w:line="240" w:lineRule="auto"/>
                    <w:jc w:val="center"/>
                    <w:rPr>
                      <w:rFonts w:eastAsia="新宋体"/>
                      <w:bCs/>
                      <w:sz w:val="21"/>
                      <w:szCs w:val="21"/>
                    </w:rPr>
                  </w:pPr>
                  <w:r>
                    <w:rPr>
                      <w:rFonts w:eastAsia="新宋体"/>
                      <w:bCs/>
                      <w:sz w:val="21"/>
                      <w:szCs w:val="21"/>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547" w:type="dxa"/>
                  <w:vMerge w:val="continue"/>
                  <w:vAlign w:val="center"/>
                </w:tcPr>
                <w:p>
                  <w:pPr>
                    <w:spacing w:line="240" w:lineRule="auto"/>
                    <w:jc w:val="center"/>
                    <w:rPr>
                      <w:rFonts w:eastAsia="新宋体"/>
                      <w:bCs/>
                      <w:sz w:val="21"/>
                      <w:szCs w:val="21"/>
                    </w:rPr>
                  </w:pPr>
                </w:p>
              </w:tc>
              <w:tc>
                <w:tcPr>
                  <w:tcW w:w="735" w:type="dxa"/>
                  <w:vMerge w:val="continue"/>
                  <w:vAlign w:val="center"/>
                </w:tcPr>
                <w:p>
                  <w:pPr>
                    <w:spacing w:line="240" w:lineRule="auto"/>
                    <w:jc w:val="center"/>
                    <w:rPr>
                      <w:rFonts w:eastAsia="新宋体"/>
                      <w:bCs/>
                      <w:sz w:val="21"/>
                      <w:szCs w:val="21"/>
                    </w:rPr>
                  </w:pPr>
                </w:p>
              </w:tc>
              <w:tc>
                <w:tcPr>
                  <w:tcW w:w="825" w:type="dxa"/>
                  <w:vAlign w:val="center"/>
                </w:tcPr>
                <w:p>
                  <w:pPr>
                    <w:pStyle w:val="151"/>
                    <w:spacing w:line="240" w:lineRule="auto"/>
                    <w:rPr>
                      <w:rFonts w:eastAsia="新宋体"/>
                      <w:bCs/>
                      <w:sz w:val="21"/>
                      <w:szCs w:val="21"/>
                    </w:rPr>
                  </w:pPr>
                  <w:r>
                    <w:rPr>
                      <w:rFonts w:eastAsia="新宋体"/>
                      <w:bCs/>
                      <w:sz w:val="21"/>
                      <w:szCs w:val="21"/>
                    </w:rPr>
                    <w:t>氨氮</w:t>
                  </w:r>
                </w:p>
              </w:tc>
              <w:tc>
                <w:tcPr>
                  <w:tcW w:w="4305" w:type="dxa"/>
                  <w:vMerge w:val="continue"/>
                  <w:vAlign w:val="center"/>
                </w:tcPr>
                <w:p>
                  <w:pPr>
                    <w:spacing w:line="240" w:lineRule="auto"/>
                    <w:jc w:val="center"/>
                    <w:rPr>
                      <w:rFonts w:eastAsia="新宋体"/>
                      <w:bCs/>
                      <w:sz w:val="21"/>
                      <w:szCs w:val="21"/>
                    </w:rPr>
                  </w:pPr>
                </w:p>
              </w:tc>
              <w:tc>
                <w:tcPr>
                  <w:tcW w:w="2026" w:type="dxa"/>
                  <w:vAlign w:val="center"/>
                </w:tcPr>
                <w:p>
                  <w:pPr>
                    <w:spacing w:line="240" w:lineRule="auto"/>
                    <w:jc w:val="center"/>
                    <w:rPr>
                      <w:rFonts w:eastAsia="新宋体"/>
                      <w:bCs/>
                      <w:sz w:val="21"/>
                      <w:szCs w:val="21"/>
                    </w:rPr>
                  </w:pPr>
                  <w:r>
                    <w:rPr>
                      <w:rFonts w:eastAsia="新宋体"/>
                      <w:bCs/>
                      <w:sz w:val="21"/>
                      <w:szCs w:val="21"/>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547" w:type="dxa"/>
                  <w:vMerge w:val="continue"/>
                  <w:vAlign w:val="center"/>
                </w:tcPr>
                <w:p>
                  <w:pPr>
                    <w:spacing w:line="240" w:lineRule="auto"/>
                    <w:jc w:val="center"/>
                    <w:rPr>
                      <w:rFonts w:eastAsia="新宋体"/>
                      <w:bCs/>
                      <w:sz w:val="21"/>
                      <w:szCs w:val="21"/>
                    </w:rPr>
                  </w:pPr>
                </w:p>
              </w:tc>
              <w:tc>
                <w:tcPr>
                  <w:tcW w:w="735" w:type="dxa"/>
                  <w:vMerge w:val="continue"/>
                  <w:vAlign w:val="center"/>
                </w:tcPr>
                <w:p>
                  <w:pPr>
                    <w:spacing w:line="240" w:lineRule="auto"/>
                    <w:jc w:val="center"/>
                    <w:rPr>
                      <w:rFonts w:eastAsia="新宋体"/>
                      <w:bCs/>
                      <w:sz w:val="21"/>
                      <w:szCs w:val="21"/>
                    </w:rPr>
                  </w:pPr>
                </w:p>
              </w:tc>
              <w:tc>
                <w:tcPr>
                  <w:tcW w:w="825" w:type="dxa"/>
                  <w:vAlign w:val="center"/>
                </w:tcPr>
                <w:p>
                  <w:pPr>
                    <w:pStyle w:val="151"/>
                    <w:spacing w:line="240" w:lineRule="auto"/>
                    <w:rPr>
                      <w:rFonts w:eastAsia="新宋体"/>
                      <w:bCs/>
                      <w:sz w:val="21"/>
                      <w:szCs w:val="21"/>
                    </w:rPr>
                  </w:pPr>
                  <w:r>
                    <w:rPr>
                      <w:rFonts w:eastAsia="新宋体"/>
                      <w:bCs/>
                      <w:sz w:val="21"/>
                      <w:szCs w:val="21"/>
                    </w:rPr>
                    <w:t>SS</w:t>
                  </w:r>
                </w:p>
              </w:tc>
              <w:tc>
                <w:tcPr>
                  <w:tcW w:w="4305" w:type="dxa"/>
                  <w:vMerge w:val="continue"/>
                  <w:vAlign w:val="center"/>
                </w:tcPr>
                <w:p>
                  <w:pPr>
                    <w:spacing w:line="240" w:lineRule="auto"/>
                    <w:jc w:val="center"/>
                    <w:rPr>
                      <w:rFonts w:eastAsia="新宋体"/>
                      <w:bCs/>
                      <w:sz w:val="21"/>
                      <w:szCs w:val="21"/>
                    </w:rPr>
                  </w:pPr>
                </w:p>
              </w:tc>
              <w:tc>
                <w:tcPr>
                  <w:tcW w:w="2026" w:type="dxa"/>
                  <w:vAlign w:val="center"/>
                </w:tcPr>
                <w:p>
                  <w:pPr>
                    <w:spacing w:line="240" w:lineRule="auto"/>
                    <w:jc w:val="center"/>
                    <w:rPr>
                      <w:rFonts w:eastAsia="新宋体"/>
                      <w:bCs/>
                      <w:sz w:val="21"/>
                      <w:szCs w:val="21"/>
                    </w:rPr>
                  </w:pPr>
                  <w:r>
                    <w:rPr>
                      <w:rFonts w:eastAsia="新宋体"/>
                      <w:bCs/>
                      <w:sz w:val="21"/>
                      <w:szCs w:val="21"/>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547" w:type="dxa"/>
                  <w:vMerge w:val="continue"/>
                  <w:vAlign w:val="center"/>
                </w:tcPr>
                <w:p>
                  <w:pPr>
                    <w:spacing w:line="240" w:lineRule="auto"/>
                    <w:jc w:val="center"/>
                    <w:rPr>
                      <w:rFonts w:eastAsia="新宋体"/>
                      <w:bCs/>
                      <w:sz w:val="21"/>
                      <w:szCs w:val="21"/>
                    </w:rPr>
                  </w:pPr>
                </w:p>
              </w:tc>
              <w:tc>
                <w:tcPr>
                  <w:tcW w:w="735" w:type="dxa"/>
                  <w:vMerge w:val="continue"/>
                  <w:vAlign w:val="center"/>
                </w:tcPr>
                <w:p>
                  <w:pPr>
                    <w:spacing w:line="240" w:lineRule="auto"/>
                    <w:jc w:val="center"/>
                    <w:rPr>
                      <w:rFonts w:eastAsia="新宋体"/>
                      <w:bCs/>
                      <w:sz w:val="21"/>
                      <w:szCs w:val="21"/>
                    </w:rPr>
                  </w:pPr>
                </w:p>
              </w:tc>
              <w:tc>
                <w:tcPr>
                  <w:tcW w:w="825" w:type="dxa"/>
                  <w:vAlign w:val="center"/>
                </w:tcPr>
                <w:p>
                  <w:pPr>
                    <w:pStyle w:val="151"/>
                    <w:spacing w:line="240" w:lineRule="auto"/>
                    <w:rPr>
                      <w:rFonts w:eastAsia="新宋体"/>
                      <w:bCs/>
                      <w:sz w:val="21"/>
                      <w:szCs w:val="21"/>
                    </w:rPr>
                  </w:pPr>
                  <w:r>
                    <w:rPr>
                      <w:rFonts w:hint="eastAsia" w:eastAsia="新宋体"/>
                      <w:bCs/>
                      <w:sz w:val="21"/>
                      <w:szCs w:val="21"/>
                    </w:rPr>
                    <w:t>石油类</w:t>
                  </w:r>
                </w:p>
              </w:tc>
              <w:tc>
                <w:tcPr>
                  <w:tcW w:w="4305" w:type="dxa"/>
                  <w:vMerge w:val="continue"/>
                  <w:vAlign w:val="center"/>
                </w:tcPr>
                <w:p>
                  <w:pPr>
                    <w:spacing w:line="240" w:lineRule="auto"/>
                    <w:jc w:val="center"/>
                    <w:rPr>
                      <w:rFonts w:eastAsia="新宋体"/>
                      <w:bCs/>
                      <w:sz w:val="21"/>
                      <w:szCs w:val="21"/>
                    </w:rPr>
                  </w:pPr>
                </w:p>
              </w:tc>
              <w:tc>
                <w:tcPr>
                  <w:tcW w:w="2026" w:type="dxa"/>
                  <w:vAlign w:val="center"/>
                </w:tcPr>
                <w:p>
                  <w:pPr>
                    <w:spacing w:line="240" w:lineRule="auto"/>
                    <w:jc w:val="center"/>
                    <w:rPr>
                      <w:rFonts w:eastAsia="新宋体"/>
                      <w:bCs/>
                      <w:sz w:val="21"/>
                      <w:szCs w:val="21"/>
                    </w:rPr>
                  </w:pPr>
                  <w:r>
                    <w:rPr>
                      <w:rFonts w:eastAsia="新宋体"/>
                      <w:bCs/>
                      <w:sz w:val="21"/>
                      <w:szCs w:val="21"/>
                    </w:rPr>
                    <w:t>≤8</w:t>
                  </w:r>
                </w:p>
              </w:tc>
            </w:tr>
          </w:tbl>
          <w:p>
            <w:pPr>
              <w:pStyle w:val="169"/>
              <w:spacing w:line="240" w:lineRule="auto"/>
              <w:rPr>
                <w:rFonts w:hint="default" w:hAnsi="Times New Roman" w:eastAsiaTheme="minorEastAsia"/>
                <w:sz w:val="24"/>
                <w:szCs w:val="24"/>
              </w:rPr>
            </w:pPr>
            <w:r>
              <w:rPr>
                <w:rFonts w:hAnsi="Times New Roman" w:eastAsiaTheme="minorEastAsia"/>
                <w:sz w:val="24"/>
                <w:szCs w:val="24"/>
              </w:rPr>
              <w:t>表4-</w:t>
            </w:r>
            <w:r>
              <w:rPr>
                <w:rFonts w:hint="default" w:hAnsi="Times New Roman" w:eastAsiaTheme="minorEastAsia"/>
                <w:sz w:val="24"/>
                <w:szCs w:val="24"/>
              </w:rPr>
              <w:t>7</w:t>
            </w:r>
            <w:r>
              <w:rPr>
                <w:rFonts w:hAnsi="Times New Roman" w:eastAsiaTheme="minorEastAsia"/>
                <w:sz w:val="24"/>
                <w:szCs w:val="24"/>
              </w:rPr>
              <w:t>（1）</w:t>
            </w:r>
            <w:r>
              <w:rPr>
                <w:rFonts w:hint="default" w:hAnsi="Times New Roman" w:eastAsiaTheme="minorEastAsia"/>
                <w:sz w:val="24"/>
                <w:szCs w:val="24"/>
              </w:rPr>
              <w:t xml:space="preserve"> </w:t>
            </w:r>
            <w:r>
              <w:rPr>
                <w:rFonts w:hAnsi="Times New Roman" w:eastAsiaTheme="minorEastAsia"/>
                <w:sz w:val="24"/>
                <w:szCs w:val="24"/>
              </w:rPr>
              <w:t>近期废水间接排放口基本情况表</w:t>
            </w:r>
          </w:p>
          <w:tbl>
            <w:tblPr>
              <w:tblStyle w:val="40"/>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 w:type="dxa"/>
                <w:bottom w:w="0" w:type="dxa"/>
                <w:right w:w="10" w:type="dxa"/>
              </w:tblCellMar>
            </w:tblPr>
            <w:tblGrid>
              <w:gridCol w:w="462"/>
              <w:gridCol w:w="538"/>
              <w:gridCol w:w="942"/>
              <w:gridCol w:w="798"/>
              <w:gridCol w:w="970"/>
              <w:gridCol w:w="880"/>
              <w:gridCol w:w="852"/>
              <w:gridCol w:w="1085"/>
              <w:gridCol w:w="18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277" w:type="pct"/>
                  <w:vMerge w:val="restart"/>
                  <w:shd w:val="clear" w:color="auto" w:fill="auto"/>
                  <w:vAlign w:val="center"/>
                </w:tcPr>
                <w:p>
                  <w:pPr>
                    <w:spacing w:line="240" w:lineRule="auto"/>
                    <w:jc w:val="center"/>
                    <w:rPr>
                      <w:rFonts w:eastAsia="新宋体"/>
                      <w:b/>
                      <w:sz w:val="21"/>
                      <w:szCs w:val="21"/>
                    </w:rPr>
                  </w:pPr>
                  <w:r>
                    <w:rPr>
                      <w:rFonts w:eastAsia="新宋体"/>
                      <w:b/>
                      <w:sz w:val="21"/>
                      <w:szCs w:val="21"/>
                    </w:rPr>
                    <w:t>序</w:t>
                  </w:r>
                </w:p>
                <w:p>
                  <w:pPr>
                    <w:spacing w:line="240" w:lineRule="auto"/>
                    <w:jc w:val="center"/>
                    <w:rPr>
                      <w:rFonts w:eastAsia="新宋体"/>
                      <w:b/>
                      <w:sz w:val="21"/>
                      <w:szCs w:val="21"/>
                    </w:rPr>
                  </w:pPr>
                  <w:r>
                    <w:rPr>
                      <w:rFonts w:eastAsia="新宋体"/>
                      <w:b/>
                      <w:sz w:val="21"/>
                      <w:szCs w:val="21"/>
                    </w:rPr>
                    <w:t>号</w:t>
                  </w:r>
                </w:p>
              </w:tc>
              <w:tc>
                <w:tcPr>
                  <w:tcW w:w="323" w:type="pct"/>
                  <w:vMerge w:val="restart"/>
                  <w:shd w:val="clear" w:color="auto" w:fill="auto"/>
                  <w:vAlign w:val="center"/>
                </w:tcPr>
                <w:p>
                  <w:pPr>
                    <w:spacing w:line="240" w:lineRule="auto"/>
                    <w:jc w:val="center"/>
                    <w:rPr>
                      <w:rFonts w:eastAsia="新宋体"/>
                      <w:b/>
                      <w:sz w:val="21"/>
                      <w:szCs w:val="21"/>
                    </w:rPr>
                  </w:pPr>
                  <w:r>
                    <w:rPr>
                      <w:rFonts w:eastAsia="新宋体"/>
                      <w:b/>
                      <w:sz w:val="21"/>
                      <w:szCs w:val="21"/>
                    </w:rPr>
                    <w:t>排放口</w:t>
                  </w:r>
                </w:p>
                <w:p>
                  <w:pPr>
                    <w:spacing w:line="240" w:lineRule="auto"/>
                    <w:jc w:val="center"/>
                    <w:rPr>
                      <w:rFonts w:eastAsia="新宋体"/>
                      <w:b/>
                      <w:sz w:val="21"/>
                      <w:szCs w:val="21"/>
                    </w:rPr>
                  </w:pPr>
                  <w:r>
                    <w:rPr>
                      <w:rFonts w:eastAsia="新宋体"/>
                      <w:b/>
                      <w:sz w:val="21"/>
                      <w:szCs w:val="21"/>
                    </w:rPr>
                    <w:t>编号</w:t>
                  </w:r>
                </w:p>
              </w:tc>
              <w:tc>
                <w:tcPr>
                  <w:tcW w:w="565" w:type="pct"/>
                  <w:vMerge w:val="restart"/>
                  <w:shd w:val="clear" w:color="auto" w:fill="auto"/>
                  <w:vAlign w:val="center"/>
                </w:tcPr>
                <w:p>
                  <w:pPr>
                    <w:spacing w:line="240" w:lineRule="auto"/>
                    <w:jc w:val="center"/>
                    <w:rPr>
                      <w:rFonts w:eastAsia="新宋体"/>
                      <w:b/>
                      <w:sz w:val="21"/>
                      <w:szCs w:val="21"/>
                    </w:rPr>
                  </w:pPr>
                  <w:r>
                    <w:rPr>
                      <w:rFonts w:eastAsia="新宋体"/>
                      <w:b/>
                      <w:sz w:val="21"/>
                      <w:szCs w:val="21"/>
                    </w:rPr>
                    <w:t>废水排放量/(万t/a)</w:t>
                  </w:r>
                </w:p>
              </w:tc>
              <w:tc>
                <w:tcPr>
                  <w:tcW w:w="479" w:type="pct"/>
                  <w:vMerge w:val="restart"/>
                  <w:shd w:val="clear" w:color="auto" w:fill="auto"/>
                  <w:vAlign w:val="center"/>
                </w:tcPr>
                <w:p>
                  <w:pPr>
                    <w:spacing w:line="240" w:lineRule="auto"/>
                    <w:jc w:val="center"/>
                    <w:rPr>
                      <w:rFonts w:eastAsia="新宋体"/>
                      <w:b/>
                      <w:sz w:val="21"/>
                      <w:szCs w:val="21"/>
                    </w:rPr>
                  </w:pPr>
                  <w:r>
                    <w:rPr>
                      <w:rFonts w:eastAsia="新宋体"/>
                      <w:b/>
                      <w:sz w:val="21"/>
                      <w:szCs w:val="21"/>
                    </w:rPr>
                    <w:t>排放</w:t>
                  </w:r>
                </w:p>
                <w:p>
                  <w:pPr>
                    <w:spacing w:line="240" w:lineRule="auto"/>
                    <w:jc w:val="center"/>
                    <w:rPr>
                      <w:rFonts w:eastAsia="新宋体"/>
                      <w:b/>
                      <w:sz w:val="21"/>
                      <w:szCs w:val="21"/>
                    </w:rPr>
                  </w:pPr>
                  <w:r>
                    <w:rPr>
                      <w:rFonts w:eastAsia="新宋体"/>
                      <w:b/>
                      <w:sz w:val="21"/>
                      <w:szCs w:val="21"/>
                    </w:rPr>
                    <w:t>去向</w:t>
                  </w:r>
                </w:p>
              </w:tc>
              <w:tc>
                <w:tcPr>
                  <w:tcW w:w="582" w:type="pct"/>
                  <w:vMerge w:val="restart"/>
                  <w:shd w:val="clear" w:color="auto" w:fill="auto"/>
                  <w:vAlign w:val="center"/>
                </w:tcPr>
                <w:p>
                  <w:pPr>
                    <w:spacing w:line="240" w:lineRule="auto"/>
                    <w:jc w:val="center"/>
                    <w:rPr>
                      <w:rFonts w:eastAsia="新宋体"/>
                      <w:b/>
                      <w:sz w:val="21"/>
                      <w:szCs w:val="21"/>
                    </w:rPr>
                  </w:pPr>
                  <w:r>
                    <w:rPr>
                      <w:rFonts w:eastAsia="新宋体"/>
                      <w:b/>
                      <w:sz w:val="21"/>
                      <w:szCs w:val="21"/>
                    </w:rPr>
                    <w:t>排放</w:t>
                  </w:r>
                </w:p>
                <w:p>
                  <w:pPr>
                    <w:spacing w:line="240" w:lineRule="auto"/>
                    <w:jc w:val="center"/>
                    <w:rPr>
                      <w:rFonts w:eastAsia="新宋体"/>
                      <w:b/>
                      <w:sz w:val="21"/>
                      <w:szCs w:val="21"/>
                    </w:rPr>
                  </w:pPr>
                  <w:r>
                    <w:rPr>
                      <w:rFonts w:eastAsia="新宋体"/>
                      <w:b/>
                      <w:sz w:val="21"/>
                      <w:szCs w:val="21"/>
                    </w:rPr>
                    <w:t>规律</w:t>
                  </w:r>
                </w:p>
              </w:tc>
              <w:tc>
                <w:tcPr>
                  <w:tcW w:w="528" w:type="pct"/>
                  <w:vMerge w:val="restart"/>
                  <w:shd w:val="clear" w:color="auto" w:fill="auto"/>
                  <w:vAlign w:val="center"/>
                </w:tcPr>
                <w:p>
                  <w:pPr>
                    <w:spacing w:line="240" w:lineRule="auto"/>
                    <w:jc w:val="center"/>
                    <w:rPr>
                      <w:rFonts w:eastAsia="新宋体"/>
                      <w:b/>
                      <w:sz w:val="21"/>
                      <w:szCs w:val="21"/>
                    </w:rPr>
                  </w:pPr>
                  <w:r>
                    <w:rPr>
                      <w:rFonts w:eastAsia="新宋体"/>
                      <w:b/>
                      <w:sz w:val="21"/>
                      <w:szCs w:val="21"/>
                    </w:rPr>
                    <w:t>间歇排放</w:t>
                  </w:r>
                </w:p>
                <w:p>
                  <w:pPr>
                    <w:spacing w:line="240" w:lineRule="auto"/>
                    <w:jc w:val="center"/>
                    <w:rPr>
                      <w:rFonts w:eastAsia="新宋体"/>
                      <w:b/>
                      <w:sz w:val="21"/>
                      <w:szCs w:val="21"/>
                    </w:rPr>
                  </w:pPr>
                  <w:r>
                    <w:rPr>
                      <w:rFonts w:eastAsia="新宋体"/>
                      <w:b/>
                      <w:sz w:val="21"/>
                      <w:szCs w:val="21"/>
                    </w:rPr>
                    <w:t>时段</w:t>
                  </w:r>
                </w:p>
              </w:tc>
              <w:tc>
                <w:tcPr>
                  <w:tcW w:w="2245" w:type="pct"/>
                  <w:gridSpan w:val="3"/>
                  <w:vAlign w:val="center"/>
                </w:tcPr>
                <w:p>
                  <w:pPr>
                    <w:spacing w:line="240" w:lineRule="auto"/>
                    <w:jc w:val="center"/>
                    <w:rPr>
                      <w:rFonts w:eastAsia="新宋体"/>
                      <w:b/>
                      <w:sz w:val="21"/>
                      <w:szCs w:val="21"/>
                    </w:rPr>
                  </w:pPr>
                  <w:r>
                    <w:rPr>
                      <w:rFonts w:eastAsia="新宋体"/>
                      <w:b/>
                      <w:sz w:val="21"/>
                      <w:szCs w:val="21"/>
                    </w:rPr>
                    <w:t>受纳污水处理厂信息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277" w:type="pct"/>
                  <w:vMerge w:val="continue"/>
                  <w:shd w:val="clear" w:color="auto" w:fill="auto"/>
                  <w:vAlign w:val="center"/>
                </w:tcPr>
                <w:p>
                  <w:pPr>
                    <w:spacing w:line="240" w:lineRule="auto"/>
                    <w:jc w:val="center"/>
                    <w:rPr>
                      <w:rFonts w:eastAsia="新宋体"/>
                      <w:b/>
                      <w:sz w:val="21"/>
                      <w:szCs w:val="21"/>
                    </w:rPr>
                  </w:pPr>
                </w:p>
              </w:tc>
              <w:tc>
                <w:tcPr>
                  <w:tcW w:w="323" w:type="pct"/>
                  <w:vMerge w:val="continue"/>
                  <w:shd w:val="clear" w:color="auto" w:fill="auto"/>
                  <w:vAlign w:val="center"/>
                </w:tcPr>
                <w:p>
                  <w:pPr>
                    <w:spacing w:line="240" w:lineRule="auto"/>
                    <w:jc w:val="center"/>
                    <w:rPr>
                      <w:rFonts w:eastAsia="新宋体"/>
                      <w:b/>
                      <w:sz w:val="21"/>
                      <w:szCs w:val="21"/>
                    </w:rPr>
                  </w:pPr>
                </w:p>
              </w:tc>
              <w:tc>
                <w:tcPr>
                  <w:tcW w:w="565" w:type="pct"/>
                  <w:vMerge w:val="continue"/>
                  <w:shd w:val="clear" w:color="auto" w:fill="auto"/>
                  <w:vAlign w:val="center"/>
                </w:tcPr>
                <w:p>
                  <w:pPr>
                    <w:spacing w:line="240" w:lineRule="auto"/>
                    <w:jc w:val="center"/>
                    <w:rPr>
                      <w:rFonts w:eastAsia="新宋体"/>
                      <w:b/>
                      <w:sz w:val="21"/>
                      <w:szCs w:val="21"/>
                    </w:rPr>
                  </w:pPr>
                </w:p>
              </w:tc>
              <w:tc>
                <w:tcPr>
                  <w:tcW w:w="479" w:type="pct"/>
                  <w:vMerge w:val="continue"/>
                  <w:shd w:val="clear" w:color="auto" w:fill="auto"/>
                  <w:vAlign w:val="center"/>
                </w:tcPr>
                <w:p>
                  <w:pPr>
                    <w:spacing w:line="240" w:lineRule="auto"/>
                    <w:jc w:val="center"/>
                    <w:rPr>
                      <w:rFonts w:eastAsia="新宋体"/>
                      <w:b/>
                      <w:sz w:val="21"/>
                      <w:szCs w:val="21"/>
                    </w:rPr>
                  </w:pPr>
                </w:p>
              </w:tc>
              <w:tc>
                <w:tcPr>
                  <w:tcW w:w="582" w:type="pct"/>
                  <w:vMerge w:val="continue"/>
                  <w:shd w:val="clear" w:color="auto" w:fill="auto"/>
                  <w:vAlign w:val="center"/>
                </w:tcPr>
                <w:p>
                  <w:pPr>
                    <w:spacing w:line="240" w:lineRule="auto"/>
                    <w:jc w:val="center"/>
                    <w:rPr>
                      <w:rFonts w:eastAsia="新宋体"/>
                      <w:b/>
                      <w:sz w:val="21"/>
                      <w:szCs w:val="21"/>
                    </w:rPr>
                  </w:pPr>
                </w:p>
              </w:tc>
              <w:tc>
                <w:tcPr>
                  <w:tcW w:w="528" w:type="pct"/>
                  <w:vMerge w:val="continue"/>
                  <w:shd w:val="clear" w:color="auto" w:fill="auto"/>
                  <w:vAlign w:val="center"/>
                </w:tcPr>
                <w:p>
                  <w:pPr>
                    <w:spacing w:line="240" w:lineRule="auto"/>
                    <w:jc w:val="center"/>
                    <w:rPr>
                      <w:rFonts w:eastAsia="新宋体"/>
                      <w:b/>
                      <w:sz w:val="21"/>
                      <w:szCs w:val="21"/>
                    </w:rPr>
                  </w:pPr>
                </w:p>
              </w:tc>
              <w:tc>
                <w:tcPr>
                  <w:tcW w:w="511" w:type="pct"/>
                  <w:vAlign w:val="center"/>
                </w:tcPr>
                <w:p>
                  <w:pPr>
                    <w:spacing w:line="240" w:lineRule="auto"/>
                    <w:jc w:val="center"/>
                    <w:rPr>
                      <w:rFonts w:eastAsia="新宋体"/>
                      <w:b/>
                      <w:sz w:val="21"/>
                      <w:szCs w:val="21"/>
                    </w:rPr>
                  </w:pPr>
                  <w:r>
                    <w:rPr>
                      <w:rFonts w:eastAsia="新宋体"/>
                      <w:b/>
                      <w:sz w:val="21"/>
                      <w:szCs w:val="21"/>
                    </w:rPr>
                    <w:t>名称</w:t>
                  </w:r>
                </w:p>
              </w:tc>
              <w:tc>
                <w:tcPr>
                  <w:tcW w:w="651" w:type="pct"/>
                  <w:vAlign w:val="center"/>
                </w:tcPr>
                <w:p>
                  <w:pPr>
                    <w:spacing w:line="240" w:lineRule="auto"/>
                    <w:jc w:val="center"/>
                    <w:rPr>
                      <w:rFonts w:eastAsia="新宋体"/>
                      <w:b/>
                      <w:sz w:val="21"/>
                      <w:szCs w:val="21"/>
                    </w:rPr>
                  </w:pPr>
                  <w:r>
                    <w:rPr>
                      <w:rFonts w:eastAsia="新宋体"/>
                      <w:b/>
                      <w:sz w:val="21"/>
                      <w:szCs w:val="21"/>
                    </w:rPr>
                    <w:t>污染物种类</w:t>
                  </w:r>
                </w:p>
              </w:tc>
              <w:tc>
                <w:tcPr>
                  <w:tcW w:w="1083" w:type="pct"/>
                  <w:vAlign w:val="center"/>
                </w:tcPr>
                <w:p>
                  <w:pPr>
                    <w:spacing w:line="240" w:lineRule="auto"/>
                    <w:jc w:val="center"/>
                    <w:rPr>
                      <w:rFonts w:eastAsia="新宋体"/>
                      <w:b/>
                      <w:sz w:val="21"/>
                      <w:szCs w:val="21"/>
                    </w:rPr>
                  </w:pPr>
                  <w:r>
                    <w:rPr>
                      <w:rFonts w:eastAsia="新宋体"/>
                      <w:b/>
                      <w:sz w:val="21"/>
                      <w:szCs w:val="21"/>
                    </w:rPr>
                    <w:t>国家或地方污染物排放标准浓度限值/(mg/L)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277" w:type="pct"/>
                  <w:vMerge w:val="restart"/>
                  <w:vAlign w:val="center"/>
                </w:tcPr>
                <w:p>
                  <w:pPr>
                    <w:spacing w:line="240" w:lineRule="auto"/>
                    <w:jc w:val="center"/>
                    <w:rPr>
                      <w:rFonts w:eastAsia="新宋体"/>
                      <w:bCs/>
                      <w:sz w:val="21"/>
                      <w:szCs w:val="21"/>
                    </w:rPr>
                  </w:pPr>
                  <w:r>
                    <w:rPr>
                      <w:rFonts w:eastAsia="新宋体"/>
                      <w:bCs/>
                      <w:sz w:val="21"/>
                      <w:szCs w:val="21"/>
                    </w:rPr>
                    <w:t>1</w:t>
                  </w:r>
                </w:p>
              </w:tc>
              <w:tc>
                <w:tcPr>
                  <w:tcW w:w="323" w:type="pct"/>
                  <w:vMerge w:val="restart"/>
                  <w:vAlign w:val="center"/>
                </w:tcPr>
                <w:p>
                  <w:pPr>
                    <w:spacing w:line="240" w:lineRule="auto"/>
                    <w:jc w:val="center"/>
                    <w:rPr>
                      <w:rFonts w:eastAsia="新宋体"/>
                      <w:bCs/>
                      <w:sz w:val="21"/>
                      <w:szCs w:val="21"/>
                    </w:rPr>
                  </w:pPr>
                  <w:r>
                    <w:rPr>
                      <w:rFonts w:hint="eastAsia" w:eastAsia="新宋体"/>
                      <w:bCs/>
                      <w:sz w:val="21"/>
                      <w:szCs w:val="21"/>
                    </w:rPr>
                    <w:t>D</w:t>
                  </w:r>
                  <w:r>
                    <w:rPr>
                      <w:rFonts w:eastAsia="新宋体"/>
                      <w:bCs/>
                      <w:sz w:val="21"/>
                      <w:szCs w:val="21"/>
                    </w:rPr>
                    <w:t>W001</w:t>
                  </w:r>
                </w:p>
              </w:tc>
              <w:tc>
                <w:tcPr>
                  <w:tcW w:w="565" w:type="pct"/>
                  <w:vMerge w:val="restart"/>
                  <w:vAlign w:val="center"/>
                </w:tcPr>
                <w:p>
                  <w:pPr>
                    <w:spacing w:line="240" w:lineRule="auto"/>
                    <w:jc w:val="center"/>
                    <w:rPr>
                      <w:rFonts w:eastAsia="新宋体"/>
                      <w:bCs/>
                      <w:sz w:val="21"/>
                      <w:szCs w:val="21"/>
                    </w:rPr>
                  </w:pPr>
                  <w:r>
                    <w:rPr>
                      <w:rFonts w:eastAsia="新宋体"/>
                      <w:bCs/>
                      <w:sz w:val="21"/>
                      <w:szCs w:val="21"/>
                    </w:rPr>
                    <w:t>0.351612</w:t>
                  </w:r>
                </w:p>
              </w:tc>
              <w:tc>
                <w:tcPr>
                  <w:tcW w:w="479" w:type="pct"/>
                  <w:vMerge w:val="restart"/>
                  <w:vAlign w:val="center"/>
                </w:tcPr>
                <w:p>
                  <w:pPr>
                    <w:spacing w:line="240" w:lineRule="auto"/>
                    <w:jc w:val="center"/>
                    <w:rPr>
                      <w:rFonts w:eastAsia="新宋体"/>
                      <w:bCs/>
                      <w:sz w:val="21"/>
                      <w:szCs w:val="21"/>
                    </w:rPr>
                  </w:pPr>
                  <w:r>
                    <w:rPr>
                      <w:rFonts w:eastAsia="新宋体"/>
                      <w:bCs/>
                      <w:sz w:val="21"/>
                      <w:szCs w:val="21"/>
                    </w:rPr>
                    <w:t>排入河口镇污水处理厂</w:t>
                  </w:r>
                </w:p>
              </w:tc>
              <w:tc>
                <w:tcPr>
                  <w:tcW w:w="582" w:type="pct"/>
                  <w:vMerge w:val="restart"/>
                  <w:vAlign w:val="center"/>
                </w:tcPr>
                <w:p>
                  <w:pPr>
                    <w:spacing w:line="240" w:lineRule="auto"/>
                    <w:jc w:val="center"/>
                    <w:rPr>
                      <w:rFonts w:eastAsia="新宋体"/>
                      <w:bCs/>
                      <w:sz w:val="21"/>
                      <w:szCs w:val="21"/>
                    </w:rPr>
                  </w:pPr>
                  <w:r>
                    <w:rPr>
                      <w:rFonts w:eastAsia="新宋体"/>
                      <w:bCs/>
                      <w:sz w:val="21"/>
                      <w:szCs w:val="21"/>
                    </w:rPr>
                    <w:t>间断排放，排放期间流量不稳定，但有周期性规律</w:t>
                  </w:r>
                </w:p>
              </w:tc>
              <w:tc>
                <w:tcPr>
                  <w:tcW w:w="528" w:type="pct"/>
                  <w:vMerge w:val="restart"/>
                  <w:vAlign w:val="center"/>
                </w:tcPr>
                <w:p>
                  <w:pPr>
                    <w:spacing w:line="240" w:lineRule="auto"/>
                    <w:jc w:val="center"/>
                    <w:rPr>
                      <w:rFonts w:eastAsia="新宋体"/>
                      <w:bCs/>
                      <w:sz w:val="21"/>
                      <w:szCs w:val="21"/>
                    </w:rPr>
                  </w:pPr>
                  <w:r>
                    <w:rPr>
                      <w:rFonts w:eastAsia="新宋体"/>
                      <w:bCs/>
                      <w:sz w:val="21"/>
                      <w:szCs w:val="21"/>
                    </w:rPr>
                    <w:t>/</w:t>
                  </w:r>
                </w:p>
              </w:tc>
              <w:tc>
                <w:tcPr>
                  <w:tcW w:w="511" w:type="pct"/>
                  <w:vMerge w:val="restart"/>
                  <w:vAlign w:val="center"/>
                </w:tcPr>
                <w:p>
                  <w:pPr>
                    <w:spacing w:line="240" w:lineRule="auto"/>
                    <w:jc w:val="center"/>
                    <w:rPr>
                      <w:rFonts w:eastAsia="新宋体"/>
                      <w:bCs/>
                      <w:sz w:val="21"/>
                      <w:szCs w:val="21"/>
                    </w:rPr>
                  </w:pPr>
                  <w:r>
                    <w:rPr>
                      <w:rFonts w:eastAsia="新宋体"/>
                      <w:bCs/>
                      <w:sz w:val="21"/>
                      <w:szCs w:val="21"/>
                    </w:rPr>
                    <w:t>河口镇污水处理厂</w:t>
                  </w:r>
                </w:p>
              </w:tc>
              <w:tc>
                <w:tcPr>
                  <w:tcW w:w="651" w:type="pct"/>
                  <w:vAlign w:val="center"/>
                </w:tcPr>
                <w:p>
                  <w:pPr>
                    <w:spacing w:line="240" w:lineRule="auto"/>
                    <w:jc w:val="center"/>
                    <w:rPr>
                      <w:rFonts w:eastAsia="新宋体"/>
                      <w:bCs/>
                      <w:sz w:val="21"/>
                      <w:szCs w:val="21"/>
                    </w:rPr>
                  </w:pPr>
                  <w:r>
                    <w:rPr>
                      <w:rFonts w:eastAsia="新宋体"/>
                      <w:bCs/>
                      <w:sz w:val="21"/>
                      <w:szCs w:val="21"/>
                    </w:rPr>
                    <w:t>CODcr</w:t>
                  </w:r>
                </w:p>
              </w:tc>
              <w:tc>
                <w:tcPr>
                  <w:tcW w:w="1083" w:type="pct"/>
                  <w:vAlign w:val="center"/>
                </w:tcPr>
                <w:p>
                  <w:pPr>
                    <w:spacing w:line="240" w:lineRule="auto"/>
                    <w:jc w:val="center"/>
                    <w:rPr>
                      <w:rFonts w:eastAsia="新宋体"/>
                      <w:bCs/>
                      <w:sz w:val="21"/>
                      <w:szCs w:val="21"/>
                    </w:rPr>
                  </w:pPr>
                  <w:r>
                    <w:rPr>
                      <w:rFonts w:eastAsia="新宋体"/>
                      <w:bCs/>
                      <w:sz w:val="21"/>
                      <w:szCs w:val="21"/>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277" w:type="pct"/>
                  <w:vMerge w:val="continue"/>
                  <w:vAlign w:val="center"/>
                </w:tcPr>
                <w:p>
                  <w:pPr>
                    <w:spacing w:line="240" w:lineRule="auto"/>
                    <w:jc w:val="center"/>
                    <w:rPr>
                      <w:rFonts w:eastAsia="新宋体"/>
                      <w:bCs/>
                      <w:sz w:val="21"/>
                      <w:szCs w:val="21"/>
                    </w:rPr>
                  </w:pPr>
                </w:p>
              </w:tc>
              <w:tc>
                <w:tcPr>
                  <w:tcW w:w="323" w:type="pct"/>
                  <w:vMerge w:val="continue"/>
                  <w:vAlign w:val="center"/>
                </w:tcPr>
                <w:p>
                  <w:pPr>
                    <w:spacing w:line="240" w:lineRule="auto"/>
                    <w:jc w:val="center"/>
                    <w:rPr>
                      <w:rFonts w:eastAsia="新宋体"/>
                      <w:bCs/>
                      <w:sz w:val="21"/>
                      <w:szCs w:val="21"/>
                    </w:rPr>
                  </w:pPr>
                </w:p>
              </w:tc>
              <w:tc>
                <w:tcPr>
                  <w:tcW w:w="565" w:type="pct"/>
                  <w:vMerge w:val="continue"/>
                  <w:vAlign w:val="center"/>
                </w:tcPr>
                <w:p>
                  <w:pPr>
                    <w:spacing w:line="240" w:lineRule="auto"/>
                    <w:jc w:val="center"/>
                    <w:rPr>
                      <w:rFonts w:eastAsia="新宋体"/>
                      <w:bCs/>
                      <w:sz w:val="21"/>
                      <w:szCs w:val="21"/>
                    </w:rPr>
                  </w:pPr>
                </w:p>
              </w:tc>
              <w:tc>
                <w:tcPr>
                  <w:tcW w:w="479" w:type="pct"/>
                  <w:vMerge w:val="continue"/>
                  <w:vAlign w:val="center"/>
                </w:tcPr>
                <w:p>
                  <w:pPr>
                    <w:spacing w:line="240" w:lineRule="auto"/>
                    <w:jc w:val="center"/>
                    <w:rPr>
                      <w:rFonts w:eastAsia="新宋体"/>
                      <w:bCs/>
                      <w:sz w:val="21"/>
                      <w:szCs w:val="21"/>
                    </w:rPr>
                  </w:pPr>
                </w:p>
              </w:tc>
              <w:tc>
                <w:tcPr>
                  <w:tcW w:w="582" w:type="pct"/>
                  <w:vMerge w:val="continue"/>
                  <w:vAlign w:val="center"/>
                </w:tcPr>
                <w:p>
                  <w:pPr>
                    <w:spacing w:line="240" w:lineRule="auto"/>
                    <w:jc w:val="center"/>
                    <w:rPr>
                      <w:rFonts w:eastAsia="新宋体"/>
                      <w:bCs/>
                      <w:sz w:val="21"/>
                      <w:szCs w:val="21"/>
                    </w:rPr>
                  </w:pPr>
                </w:p>
              </w:tc>
              <w:tc>
                <w:tcPr>
                  <w:tcW w:w="528" w:type="pct"/>
                  <w:vMerge w:val="continue"/>
                  <w:vAlign w:val="center"/>
                </w:tcPr>
                <w:p>
                  <w:pPr>
                    <w:spacing w:line="240" w:lineRule="auto"/>
                    <w:jc w:val="center"/>
                    <w:rPr>
                      <w:rFonts w:eastAsia="新宋体"/>
                      <w:bCs/>
                      <w:sz w:val="21"/>
                      <w:szCs w:val="21"/>
                    </w:rPr>
                  </w:pPr>
                </w:p>
              </w:tc>
              <w:tc>
                <w:tcPr>
                  <w:tcW w:w="511" w:type="pct"/>
                  <w:vMerge w:val="continue"/>
                  <w:vAlign w:val="center"/>
                </w:tcPr>
                <w:p>
                  <w:pPr>
                    <w:spacing w:line="240" w:lineRule="auto"/>
                    <w:jc w:val="center"/>
                    <w:rPr>
                      <w:rFonts w:eastAsia="新宋体"/>
                      <w:bCs/>
                      <w:sz w:val="21"/>
                      <w:szCs w:val="21"/>
                    </w:rPr>
                  </w:pPr>
                </w:p>
              </w:tc>
              <w:tc>
                <w:tcPr>
                  <w:tcW w:w="651" w:type="pct"/>
                  <w:vAlign w:val="center"/>
                </w:tcPr>
                <w:p>
                  <w:pPr>
                    <w:spacing w:line="240" w:lineRule="auto"/>
                    <w:jc w:val="center"/>
                    <w:rPr>
                      <w:rFonts w:eastAsia="新宋体"/>
                      <w:bCs/>
                      <w:sz w:val="21"/>
                      <w:szCs w:val="21"/>
                    </w:rPr>
                  </w:pPr>
                  <w:r>
                    <w:rPr>
                      <w:rFonts w:eastAsia="新宋体"/>
                      <w:bCs/>
                      <w:sz w:val="21"/>
                      <w:szCs w:val="21"/>
                    </w:rPr>
                    <w:t>BOD</w:t>
                  </w:r>
                  <w:r>
                    <w:rPr>
                      <w:rFonts w:eastAsia="新宋体"/>
                      <w:bCs/>
                      <w:sz w:val="21"/>
                      <w:szCs w:val="21"/>
                      <w:vertAlign w:val="subscript"/>
                    </w:rPr>
                    <w:t>5</w:t>
                  </w:r>
                </w:p>
              </w:tc>
              <w:tc>
                <w:tcPr>
                  <w:tcW w:w="1083" w:type="pct"/>
                  <w:vAlign w:val="center"/>
                </w:tcPr>
                <w:p>
                  <w:pPr>
                    <w:spacing w:line="240" w:lineRule="auto"/>
                    <w:jc w:val="center"/>
                    <w:rPr>
                      <w:rFonts w:eastAsia="新宋体"/>
                      <w:bCs/>
                      <w:sz w:val="21"/>
                      <w:szCs w:val="21"/>
                    </w:rPr>
                  </w:pPr>
                  <w:r>
                    <w:rPr>
                      <w:rFonts w:eastAsia="新宋体"/>
                      <w:bCs/>
                      <w:sz w:val="21"/>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185" w:hRule="atLeast"/>
                <w:jc w:val="center"/>
              </w:trPr>
              <w:tc>
                <w:tcPr>
                  <w:tcW w:w="277" w:type="pct"/>
                  <w:vMerge w:val="continue"/>
                  <w:vAlign w:val="center"/>
                </w:tcPr>
                <w:p>
                  <w:pPr>
                    <w:spacing w:line="240" w:lineRule="auto"/>
                    <w:jc w:val="center"/>
                    <w:rPr>
                      <w:rFonts w:eastAsia="新宋体"/>
                      <w:bCs/>
                      <w:sz w:val="21"/>
                      <w:szCs w:val="21"/>
                    </w:rPr>
                  </w:pPr>
                </w:p>
              </w:tc>
              <w:tc>
                <w:tcPr>
                  <w:tcW w:w="323" w:type="pct"/>
                  <w:vMerge w:val="continue"/>
                  <w:vAlign w:val="center"/>
                </w:tcPr>
                <w:p>
                  <w:pPr>
                    <w:spacing w:line="240" w:lineRule="auto"/>
                    <w:jc w:val="center"/>
                    <w:rPr>
                      <w:rFonts w:eastAsia="新宋体"/>
                      <w:bCs/>
                      <w:sz w:val="21"/>
                      <w:szCs w:val="21"/>
                    </w:rPr>
                  </w:pPr>
                </w:p>
              </w:tc>
              <w:tc>
                <w:tcPr>
                  <w:tcW w:w="565" w:type="pct"/>
                  <w:vMerge w:val="continue"/>
                  <w:vAlign w:val="center"/>
                </w:tcPr>
                <w:p>
                  <w:pPr>
                    <w:spacing w:line="240" w:lineRule="auto"/>
                    <w:jc w:val="center"/>
                    <w:rPr>
                      <w:rFonts w:eastAsia="新宋体"/>
                      <w:bCs/>
                      <w:sz w:val="21"/>
                      <w:szCs w:val="21"/>
                    </w:rPr>
                  </w:pPr>
                </w:p>
              </w:tc>
              <w:tc>
                <w:tcPr>
                  <w:tcW w:w="479" w:type="pct"/>
                  <w:vMerge w:val="continue"/>
                  <w:vAlign w:val="center"/>
                </w:tcPr>
                <w:p>
                  <w:pPr>
                    <w:spacing w:line="240" w:lineRule="auto"/>
                    <w:jc w:val="center"/>
                    <w:rPr>
                      <w:rFonts w:eastAsia="新宋体"/>
                      <w:bCs/>
                      <w:sz w:val="21"/>
                      <w:szCs w:val="21"/>
                    </w:rPr>
                  </w:pPr>
                </w:p>
              </w:tc>
              <w:tc>
                <w:tcPr>
                  <w:tcW w:w="582" w:type="pct"/>
                  <w:vMerge w:val="continue"/>
                  <w:vAlign w:val="center"/>
                </w:tcPr>
                <w:p>
                  <w:pPr>
                    <w:spacing w:line="240" w:lineRule="auto"/>
                    <w:jc w:val="center"/>
                    <w:rPr>
                      <w:rFonts w:eastAsia="新宋体"/>
                      <w:bCs/>
                      <w:sz w:val="21"/>
                      <w:szCs w:val="21"/>
                    </w:rPr>
                  </w:pPr>
                </w:p>
              </w:tc>
              <w:tc>
                <w:tcPr>
                  <w:tcW w:w="528" w:type="pct"/>
                  <w:vMerge w:val="continue"/>
                  <w:vAlign w:val="center"/>
                </w:tcPr>
                <w:p>
                  <w:pPr>
                    <w:spacing w:line="240" w:lineRule="auto"/>
                    <w:jc w:val="center"/>
                    <w:rPr>
                      <w:rFonts w:eastAsia="新宋体"/>
                      <w:bCs/>
                      <w:sz w:val="21"/>
                      <w:szCs w:val="21"/>
                    </w:rPr>
                  </w:pPr>
                </w:p>
              </w:tc>
              <w:tc>
                <w:tcPr>
                  <w:tcW w:w="511" w:type="pct"/>
                  <w:vMerge w:val="continue"/>
                  <w:vAlign w:val="center"/>
                </w:tcPr>
                <w:p>
                  <w:pPr>
                    <w:spacing w:line="240" w:lineRule="auto"/>
                    <w:jc w:val="center"/>
                    <w:rPr>
                      <w:rFonts w:eastAsia="新宋体"/>
                      <w:bCs/>
                      <w:sz w:val="21"/>
                      <w:szCs w:val="21"/>
                    </w:rPr>
                  </w:pPr>
                </w:p>
              </w:tc>
              <w:tc>
                <w:tcPr>
                  <w:tcW w:w="651" w:type="pct"/>
                  <w:vAlign w:val="center"/>
                </w:tcPr>
                <w:p>
                  <w:pPr>
                    <w:spacing w:line="240" w:lineRule="auto"/>
                    <w:jc w:val="center"/>
                    <w:rPr>
                      <w:rFonts w:eastAsia="新宋体"/>
                      <w:bCs/>
                      <w:sz w:val="21"/>
                      <w:szCs w:val="21"/>
                    </w:rPr>
                  </w:pPr>
                  <w:r>
                    <w:rPr>
                      <w:rFonts w:eastAsia="新宋体"/>
                      <w:bCs/>
                      <w:sz w:val="21"/>
                      <w:szCs w:val="21"/>
                    </w:rPr>
                    <w:t>NH</w:t>
                  </w:r>
                  <w:r>
                    <w:rPr>
                      <w:rFonts w:eastAsia="新宋体"/>
                      <w:bCs/>
                      <w:sz w:val="21"/>
                      <w:szCs w:val="21"/>
                      <w:vertAlign w:val="subscript"/>
                    </w:rPr>
                    <w:t>3</w:t>
                  </w:r>
                  <w:r>
                    <w:rPr>
                      <w:rFonts w:eastAsia="新宋体"/>
                      <w:bCs/>
                      <w:sz w:val="21"/>
                      <w:szCs w:val="21"/>
                    </w:rPr>
                    <w:t>-N</w:t>
                  </w:r>
                </w:p>
              </w:tc>
              <w:tc>
                <w:tcPr>
                  <w:tcW w:w="1083" w:type="pct"/>
                  <w:vAlign w:val="center"/>
                </w:tcPr>
                <w:p>
                  <w:pPr>
                    <w:spacing w:line="240" w:lineRule="auto"/>
                    <w:jc w:val="center"/>
                    <w:rPr>
                      <w:rFonts w:eastAsia="新宋体"/>
                      <w:bCs/>
                      <w:sz w:val="21"/>
                      <w:szCs w:val="21"/>
                    </w:rPr>
                  </w:pPr>
                  <w:r>
                    <w:rPr>
                      <w:rFonts w:eastAsia="新宋体"/>
                      <w:bCs/>
                      <w:sz w:val="21"/>
                      <w:szCs w:val="21"/>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185" w:hRule="atLeast"/>
                <w:jc w:val="center"/>
              </w:trPr>
              <w:tc>
                <w:tcPr>
                  <w:tcW w:w="277" w:type="pct"/>
                  <w:vMerge w:val="continue"/>
                  <w:vAlign w:val="center"/>
                </w:tcPr>
                <w:p>
                  <w:pPr>
                    <w:spacing w:line="240" w:lineRule="auto"/>
                    <w:jc w:val="center"/>
                    <w:rPr>
                      <w:rFonts w:eastAsia="新宋体"/>
                      <w:bCs/>
                      <w:sz w:val="21"/>
                      <w:szCs w:val="21"/>
                    </w:rPr>
                  </w:pPr>
                </w:p>
              </w:tc>
              <w:tc>
                <w:tcPr>
                  <w:tcW w:w="323" w:type="pct"/>
                  <w:vMerge w:val="continue"/>
                  <w:vAlign w:val="center"/>
                </w:tcPr>
                <w:p>
                  <w:pPr>
                    <w:spacing w:line="240" w:lineRule="auto"/>
                    <w:jc w:val="center"/>
                    <w:rPr>
                      <w:rFonts w:eastAsia="新宋体"/>
                      <w:bCs/>
                      <w:sz w:val="21"/>
                      <w:szCs w:val="21"/>
                    </w:rPr>
                  </w:pPr>
                </w:p>
              </w:tc>
              <w:tc>
                <w:tcPr>
                  <w:tcW w:w="565" w:type="pct"/>
                  <w:vMerge w:val="continue"/>
                  <w:vAlign w:val="center"/>
                </w:tcPr>
                <w:p>
                  <w:pPr>
                    <w:spacing w:line="240" w:lineRule="auto"/>
                    <w:jc w:val="center"/>
                    <w:rPr>
                      <w:rFonts w:eastAsia="新宋体"/>
                      <w:bCs/>
                      <w:sz w:val="21"/>
                      <w:szCs w:val="21"/>
                    </w:rPr>
                  </w:pPr>
                </w:p>
              </w:tc>
              <w:tc>
                <w:tcPr>
                  <w:tcW w:w="479" w:type="pct"/>
                  <w:vMerge w:val="continue"/>
                  <w:vAlign w:val="center"/>
                </w:tcPr>
                <w:p>
                  <w:pPr>
                    <w:spacing w:line="240" w:lineRule="auto"/>
                    <w:jc w:val="center"/>
                    <w:rPr>
                      <w:rFonts w:eastAsia="新宋体"/>
                      <w:bCs/>
                      <w:sz w:val="21"/>
                      <w:szCs w:val="21"/>
                    </w:rPr>
                  </w:pPr>
                </w:p>
              </w:tc>
              <w:tc>
                <w:tcPr>
                  <w:tcW w:w="582" w:type="pct"/>
                  <w:vMerge w:val="continue"/>
                  <w:vAlign w:val="center"/>
                </w:tcPr>
                <w:p>
                  <w:pPr>
                    <w:spacing w:line="240" w:lineRule="auto"/>
                    <w:jc w:val="center"/>
                    <w:rPr>
                      <w:rFonts w:eastAsia="新宋体"/>
                      <w:bCs/>
                      <w:sz w:val="21"/>
                      <w:szCs w:val="21"/>
                    </w:rPr>
                  </w:pPr>
                </w:p>
              </w:tc>
              <w:tc>
                <w:tcPr>
                  <w:tcW w:w="528" w:type="pct"/>
                  <w:vMerge w:val="continue"/>
                  <w:vAlign w:val="center"/>
                </w:tcPr>
                <w:p>
                  <w:pPr>
                    <w:spacing w:line="240" w:lineRule="auto"/>
                    <w:jc w:val="center"/>
                    <w:rPr>
                      <w:rFonts w:eastAsia="新宋体"/>
                      <w:bCs/>
                      <w:sz w:val="21"/>
                      <w:szCs w:val="21"/>
                    </w:rPr>
                  </w:pPr>
                </w:p>
              </w:tc>
              <w:tc>
                <w:tcPr>
                  <w:tcW w:w="511" w:type="pct"/>
                  <w:vMerge w:val="continue"/>
                  <w:vAlign w:val="center"/>
                </w:tcPr>
                <w:p>
                  <w:pPr>
                    <w:spacing w:line="240" w:lineRule="auto"/>
                    <w:jc w:val="center"/>
                    <w:rPr>
                      <w:rFonts w:eastAsia="新宋体"/>
                      <w:bCs/>
                      <w:sz w:val="21"/>
                      <w:szCs w:val="21"/>
                    </w:rPr>
                  </w:pPr>
                </w:p>
              </w:tc>
              <w:tc>
                <w:tcPr>
                  <w:tcW w:w="651" w:type="pct"/>
                  <w:vAlign w:val="center"/>
                </w:tcPr>
                <w:p>
                  <w:pPr>
                    <w:spacing w:line="240" w:lineRule="auto"/>
                    <w:jc w:val="center"/>
                    <w:rPr>
                      <w:rFonts w:eastAsia="新宋体"/>
                      <w:bCs/>
                      <w:sz w:val="21"/>
                      <w:szCs w:val="21"/>
                    </w:rPr>
                  </w:pPr>
                  <w:r>
                    <w:rPr>
                      <w:rFonts w:hint="eastAsia" w:eastAsia="新宋体"/>
                      <w:bCs/>
                      <w:sz w:val="21"/>
                      <w:szCs w:val="21"/>
                    </w:rPr>
                    <w:t>石油类</w:t>
                  </w:r>
                </w:p>
              </w:tc>
              <w:tc>
                <w:tcPr>
                  <w:tcW w:w="1083" w:type="pct"/>
                  <w:vAlign w:val="center"/>
                </w:tcPr>
                <w:p>
                  <w:pPr>
                    <w:spacing w:line="240" w:lineRule="auto"/>
                    <w:jc w:val="center"/>
                    <w:rPr>
                      <w:rFonts w:eastAsia="新宋体"/>
                      <w:bCs/>
                      <w:sz w:val="21"/>
                      <w:szCs w:val="21"/>
                    </w:rPr>
                  </w:pPr>
                  <w:r>
                    <w:rPr>
                      <w:rFonts w:hint="eastAsia" w:eastAsia="新宋体"/>
                      <w:bCs/>
                      <w:sz w:val="21"/>
                      <w:szCs w:val="21"/>
                    </w:rPr>
                    <w:t>1</w:t>
                  </w:r>
                  <w:r>
                    <w:rPr>
                      <w:rFonts w:eastAsia="新宋体"/>
                      <w:bCs/>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69" w:hRule="atLeast"/>
                <w:jc w:val="center"/>
              </w:trPr>
              <w:tc>
                <w:tcPr>
                  <w:tcW w:w="277" w:type="pct"/>
                  <w:vMerge w:val="continue"/>
                  <w:vAlign w:val="center"/>
                </w:tcPr>
                <w:p>
                  <w:pPr>
                    <w:spacing w:line="240" w:lineRule="auto"/>
                    <w:jc w:val="center"/>
                    <w:rPr>
                      <w:rFonts w:eastAsia="新宋体"/>
                      <w:bCs/>
                      <w:sz w:val="21"/>
                      <w:szCs w:val="21"/>
                    </w:rPr>
                  </w:pPr>
                </w:p>
              </w:tc>
              <w:tc>
                <w:tcPr>
                  <w:tcW w:w="323" w:type="pct"/>
                  <w:vMerge w:val="continue"/>
                  <w:vAlign w:val="center"/>
                </w:tcPr>
                <w:p>
                  <w:pPr>
                    <w:spacing w:line="240" w:lineRule="auto"/>
                    <w:jc w:val="center"/>
                    <w:rPr>
                      <w:rFonts w:eastAsia="新宋体"/>
                      <w:bCs/>
                      <w:sz w:val="21"/>
                      <w:szCs w:val="21"/>
                    </w:rPr>
                  </w:pPr>
                </w:p>
              </w:tc>
              <w:tc>
                <w:tcPr>
                  <w:tcW w:w="565" w:type="pct"/>
                  <w:vMerge w:val="continue"/>
                  <w:vAlign w:val="center"/>
                </w:tcPr>
                <w:p>
                  <w:pPr>
                    <w:spacing w:line="240" w:lineRule="auto"/>
                    <w:jc w:val="center"/>
                    <w:rPr>
                      <w:rFonts w:eastAsia="新宋体"/>
                      <w:bCs/>
                      <w:sz w:val="21"/>
                      <w:szCs w:val="21"/>
                    </w:rPr>
                  </w:pPr>
                </w:p>
              </w:tc>
              <w:tc>
                <w:tcPr>
                  <w:tcW w:w="479" w:type="pct"/>
                  <w:vMerge w:val="continue"/>
                  <w:vAlign w:val="center"/>
                </w:tcPr>
                <w:p>
                  <w:pPr>
                    <w:spacing w:line="240" w:lineRule="auto"/>
                    <w:jc w:val="center"/>
                    <w:rPr>
                      <w:rFonts w:eastAsia="新宋体"/>
                      <w:bCs/>
                      <w:sz w:val="21"/>
                      <w:szCs w:val="21"/>
                    </w:rPr>
                  </w:pPr>
                </w:p>
              </w:tc>
              <w:tc>
                <w:tcPr>
                  <w:tcW w:w="582" w:type="pct"/>
                  <w:vMerge w:val="continue"/>
                  <w:vAlign w:val="center"/>
                </w:tcPr>
                <w:p>
                  <w:pPr>
                    <w:spacing w:line="240" w:lineRule="auto"/>
                    <w:jc w:val="center"/>
                    <w:rPr>
                      <w:rFonts w:eastAsia="新宋体"/>
                      <w:bCs/>
                      <w:sz w:val="21"/>
                      <w:szCs w:val="21"/>
                    </w:rPr>
                  </w:pPr>
                </w:p>
              </w:tc>
              <w:tc>
                <w:tcPr>
                  <w:tcW w:w="528" w:type="pct"/>
                  <w:vMerge w:val="continue"/>
                  <w:vAlign w:val="center"/>
                </w:tcPr>
                <w:p>
                  <w:pPr>
                    <w:spacing w:line="240" w:lineRule="auto"/>
                    <w:jc w:val="center"/>
                    <w:rPr>
                      <w:rFonts w:eastAsia="新宋体"/>
                      <w:bCs/>
                      <w:sz w:val="21"/>
                      <w:szCs w:val="21"/>
                    </w:rPr>
                  </w:pPr>
                </w:p>
              </w:tc>
              <w:tc>
                <w:tcPr>
                  <w:tcW w:w="511" w:type="pct"/>
                  <w:vMerge w:val="continue"/>
                  <w:vAlign w:val="center"/>
                </w:tcPr>
                <w:p>
                  <w:pPr>
                    <w:spacing w:line="240" w:lineRule="auto"/>
                    <w:jc w:val="center"/>
                    <w:rPr>
                      <w:rFonts w:eastAsia="新宋体"/>
                      <w:bCs/>
                      <w:sz w:val="21"/>
                      <w:szCs w:val="21"/>
                    </w:rPr>
                  </w:pPr>
                </w:p>
              </w:tc>
              <w:tc>
                <w:tcPr>
                  <w:tcW w:w="651" w:type="pct"/>
                  <w:vAlign w:val="center"/>
                </w:tcPr>
                <w:p>
                  <w:pPr>
                    <w:spacing w:line="240" w:lineRule="auto"/>
                    <w:jc w:val="center"/>
                    <w:rPr>
                      <w:rFonts w:eastAsia="新宋体"/>
                      <w:bCs/>
                      <w:sz w:val="21"/>
                      <w:szCs w:val="21"/>
                    </w:rPr>
                  </w:pPr>
                  <w:r>
                    <w:rPr>
                      <w:rFonts w:eastAsia="新宋体"/>
                      <w:bCs/>
                      <w:sz w:val="21"/>
                      <w:szCs w:val="21"/>
                    </w:rPr>
                    <w:t>SS</w:t>
                  </w:r>
                </w:p>
              </w:tc>
              <w:tc>
                <w:tcPr>
                  <w:tcW w:w="1083" w:type="pct"/>
                  <w:vAlign w:val="center"/>
                </w:tcPr>
                <w:p>
                  <w:pPr>
                    <w:spacing w:line="240" w:lineRule="auto"/>
                    <w:jc w:val="center"/>
                    <w:rPr>
                      <w:rFonts w:eastAsia="新宋体"/>
                      <w:bCs/>
                      <w:sz w:val="21"/>
                      <w:szCs w:val="21"/>
                    </w:rPr>
                  </w:pPr>
                  <w:r>
                    <w:rPr>
                      <w:rFonts w:eastAsia="新宋体"/>
                      <w:bCs/>
                      <w:sz w:val="21"/>
                      <w:szCs w:val="21"/>
                    </w:rPr>
                    <w:t>10.0</w:t>
                  </w:r>
                </w:p>
              </w:tc>
            </w:tr>
          </w:tbl>
          <w:p>
            <w:pPr>
              <w:pStyle w:val="169"/>
              <w:spacing w:line="240" w:lineRule="auto"/>
              <w:rPr>
                <w:rFonts w:hint="default" w:hAnsi="Times New Roman" w:eastAsiaTheme="minorEastAsia"/>
                <w:sz w:val="24"/>
                <w:szCs w:val="24"/>
              </w:rPr>
            </w:pPr>
            <w:r>
              <w:rPr>
                <w:rFonts w:hAnsi="Times New Roman" w:eastAsiaTheme="minorEastAsia"/>
                <w:sz w:val="24"/>
                <w:szCs w:val="24"/>
              </w:rPr>
              <w:t>表4-</w:t>
            </w:r>
            <w:r>
              <w:rPr>
                <w:rFonts w:hint="default" w:hAnsi="Times New Roman" w:eastAsiaTheme="minorEastAsia"/>
                <w:sz w:val="24"/>
                <w:szCs w:val="24"/>
              </w:rPr>
              <w:t>7</w:t>
            </w:r>
            <w:r>
              <w:rPr>
                <w:rFonts w:hAnsi="Times New Roman" w:eastAsiaTheme="minorEastAsia"/>
                <w:sz w:val="24"/>
                <w:szCs w:val="24"/>
              </w:rPr>
              <w:t>（2）</w:t>
            </w:r>
            <w:r>
              <w:rPr>
                <w:rFonts w:hint="default" w:hAnsi="Times New Roman" w:eastAsiaTheme="minorEastAsia"/>
                <w:sz w:val="24"/>
                <w:szCs w:val="24"/>
              </w:rPr>
              <w:t xml:space="preserve"> </w:t>
            </w:r>
            <w:r>
              <w:rPr>
                <w:rFonts w:hAnsi="Times New Roman" w:eastAsiaTheme="minorEastAsia"/>
                <w:sz w:val="24"/>
                <w:szCs w:val="24"/>
              </w:rPr>
              <w:t>远期废水间接排放口基本情况表</w:t>
            </w:r>
          </w:p>
          <w:tbl>
            <w:tblPr>
              <w:tblStyle w:val="40"/>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 w:type="dxa"/>
                <w:bottom w:w="0" w:type="dxa"/>
                <w:right w:w="10" w:type="dxa"/>
              </w:tblCellMar>
            </w:tblPr>
            <w:tblGrid>
              <w:gridCol w:w="463"/>
              <w:gridCol w:w="538"/>
              <w:gridCol w:w="798"/>
              <w:gridCol w:w="1050"/>
              <w:gridCol w:w="1176"/>
              <w:gridCol w:w="565"/>
              <w:gridCol w:w="852"/>
              <w:gridCol w:w="1085"/>
              <w:gridCol w:w="18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277" w:type="pct"/>
                  <w:vMerge w:val="restart"/>
                  <w:shd w:val="clear" w:color="auto" w:fill="auto"/>
                  <w:vAlign w:val="center"/>
                </w:tcPr>
                <w:p>
                  <w:pPr>
                    <w:spacing w:line="240" w:lineRule="auto"/>
                    <w:jc w:val="center"/>
                    <w:rPr>
                      <w:rFonts w:eastAsia="新宋体"/>
                      <w:b/>
                      <w:sz w:val="21"/>
                      <w:szCs w:val="21"/>
                    </w:rPr>
                  </w:pPr>
                  <w:r>
                    <w:rPr>
                      <w:rFonts w:eastAsia="新宋体"/>
                      <w:b/>
                      <w:sz w:val="21"/>
                      <w:szCs w:val="21"/>
                    </w:rPr>
                    <w:t>序</w:t>
                  </w:r>
                </w:p>
                <w:p>
                  <w:pPr>
                    <w:spacing w:line="240" w:lineRule="auto"/>
                    <w:jc w:val="center"/>
                    <w:rPr>
                      <w:rFonts w:eastAsia="新宋体"/>
                      <w:b/>
                      <w:sz w:val="21"/>
                      <w:szCs w:val="21"/>
                    </w:rPr>
                  </w:pPr>
                  <w:r>
                    <w:rPr>
                      <w:rFonts w:eastAsia="新宋体"/>
                      <w:b/>
                      <w:sz w:val="21"/>
                      <w:szCs w:val="21"/>
                    </w:rPr>
                    <w:t>号</w:t>
                  </w:r>
                </w:p>
              </w:tc>
              <w:tc>
                <w:tcPr>
                  <w:tcW w:w="323" w:type="pct"/>
                  <w:vMerge w:val="restart"/>
                  <w:shd w:val="clear" w:color="auto" w:fill="auto"/>
                  <w:vAlign w:val="center"/>
                </w:tcPr>
                <w:p>
                  <w:pPr>
                    <w:spacing w:line="240" w:lineRule="auto"/>
                    <w:jc w:val="center"/>
                    <w:rPr>
                      <w:rFonts w:eastAsia="新宋体"/>
                      <w:b/>
                      <w:sz w:val="21"/>
                      <w:szCs w:val="21"/>
                    </w:rPr>
                  </w:pPr>
                  <w:r>
                    <w:rPr>
                      <w:rFonts w:eastAsia="新宋体"/>
                      <w:b/>
                      <w:sz w:val="21"/>
                      <w:szCs w:val="21"/>
                    </w:rPr>
                    <w:t>排放口</w:t>
                  </w:r>
                </w:p>
                <w:p>
                  <w:pPr>
                    <w:spacing w:line="240" w:lineRule="auto"/>
                    <w:jc w:val="center"/>
                    <w:rPr>
                      <w:rFonts w:eastAsia="新宋体"/>
                      <w:b/>
                      <w:sz w:val="21"/>
                      <w:szCs w:val="21"/>
                    </w:rPr>
                  </w:pPr>
                  <w:r>
                    <w:rPr>
                      <w:rFonts w:eastAsia="新宋体"/>
                      <w:b/>
                      <w:sz w:val="21"/>
                      <w:szCs w:val="21"/>
                    </w:rPr>
                    <w:t>编号</w:t>
                  </w:r>
                </w:p>
              </w:tc>
              <w:tc>
                <w:tcPr>
                  <w:tcW w:w="479" w:type="pct"/>
                  <w:vMerge w:val="restart"/>
                  <w:shd w:val="clear" w:color="auto" w:fill="auto"/>
                  <w:vAlign w:val="center"/>
                </w:tcPr>
                <w:p>
                  <w:pPr>
                    <w:spacing w:line="240" w:lineRule="auto"/>
                    <w:jc w:val="center"/>
                    <w:rPr>
                      <w:rFonts w:eastAsia="新宋体"/>
                      <w:b/>
                      <w:sz w:val="21"/>
                      <w:szCs w:val="21"/>
                    </w:rPr>
                  </w:pPr>
                  <w:r>
                    <w:rPr>
                      <w:rFonts w:eastAsia="新宋体"/>
                      <w:b/>
                      <w:sz w:val="21"/>
                      <w:szCs w:val="21"/>
                    </w:rPr>
                    <w:t>废水排放量/(万t/a)</w:t>
                  </w:r>
                </w:p>
              </w:tc>
              <w:tc>
                <w:tcPr>
                  <w:tcW w:w="630" w:type="pct"/>
                  <w:vMerge w:val="restart"/>
                  <w:shd w:val="clear" w:color="auto" w:fill="auto"/>
                  <w:vAlign w:val="center"/>
                </w:tcPr>
                <w:p>
                  <w:pPr>
                    <w:spacing w:line="240" w:lineRule="auto"/>
                    <w:jc w:val="center"/>
                    <w:rPr>
                      <w:rFonts w:eastAsia="新宋体"/>
                      <w:b/>
                      <w:sz w:val="21"/>
                      <w:szCs w:val="21"/>
                    </w:rPr>
                  </w:pPr>
                  <w:r>
                    <w:rPr>
                      <w:rFonts w:eastAsia="新宋体"/>
                      <w:b/>
                      <w:sz w:val="21"/>
                      <w:szCs w:val="21"/>
                    </w:rPr>
                    <w:t>排放</w:t>
                  </w:r>
                </w:p>
                <w:p>
                  <w:pPr>
                    <w:spacing w:line="240" w:lineRule="auto"/>
                    <w:jc w:val="center"/>
                    <w:rPr>
                      <w:rFonts w:eastAsia="新宋体"/>
                      <w:b/>
                      <w:sz w:val="21"/>
                      <w:szCs w:val="21"/>
                    </w:rPr>
                  </w:pPr>
                  <w:r>
                    <w:rPr>
                      <w:rFonts w:eastAsia="新宋体"/>
                      <w:b/>
                      <w:sz w:val="21"/>
                      <w:szCs w:val="21"/>
                    </w:rPr>
                    <w:t>去向</w:t>
                  </w:r>
                </w:p>
              </w:tc>
              <w:tc>
                <w:tcPr>
                  <w:tcW w:w="706" w:type="pct"/>
                  <w:vMerge w:val="restart"/>
                  <w:shd w:val="clear" w:color="auto" w:fill="auto"/>
                  <w:vAlign w:val="center"/>
                </w:tcPr>
                <w:p>
                  <w:pPr>
                    <w:spacing w:line="240" w:lineRule="auto"/>
                    <w:jc w:val="center"/>
                    <w:rPr>
                      <w:rFonts w:eastAsia="新宋体"/>
                      <w:b/>
                      <w:sz w:val="21"/>
                      <w:szCs w:val="21"/>
                    </w:rPr>
                  </w:pPr>
                  <w:r>
                    <w:rPr>
                      <w:rFonts w:eastAsia="新宋体"/>
                      <w:b/>
                      <w:sz w:val="21"/>
                      <w:szCs w:val="21"/>
                    </w:rPr>
                    <w:t>排放</w:t>
                  </w:r>
                </w:p>
                <w:p>
                  <w:pPr>
                    <w:spacing w:line="240" w:lineRule="auto"/>
                    <w:jc w:val="center"/>
                    <w:rPr>
                      <w:rFonts w:eastAsia="新宋体"/>
                      <w:b/>
                      <w:sz w:val="21"/>
                      <w:szCs w:val="21"/>
                    </w:rPr>
                  </w:pPr>
                  <w:r>
                    <w:rPr>
                      <w:rFonts w:eastAsia="新宋体"/>
                      <w:b/>
                      <w:sz w:val="21"/>
                      <w:szCs w:val="21"/>
                    </w:rPr>
                    <w:t>规律</w:t>
                  </w:r>
                </w:p>
              </w:tc>
              <w:tc>
                <w:tcPr>
                  <w:tcW w:w="339" w:type="pct"/>
                  <w:vMerge w:val="restart"/>
                  <w:shd w:val="clear" w:color="auto" w:fill="auto"/>
                  <w:vAlign w:val="center"/>
                </w:tcPr>
                <w:p>
                  <w:pPr>
                    <w:spacing w:line="240" w:lineRule="auto"/>
                    <w:jc w:val="center"/>
                    <w:rPr>
                      <w:rFonts w:eastAsia="新宋体"/>
                      <w:b/>
                      <w:sz w:val="21"/>
                      <w:szCs w:val="21"/>
                    </w:rPr>
                  </w:pPr>
                  <w:r>
                    <w:rPr>
                      <w:rFonts w:eastAsia="新宋体"/>
                      <w:b/>
                      <w:sz w:val="21"/>
                      <w:szCs w:val="21"/>
                    </w:rPr>
                    <w:t>间歇排放</w:t>
                  </w:r>
                </w:p>
                <w:p>
                  <w:pPr>
                    <w:spacing w:line="240" w:lineRule="auto"/>
                    <w:jc w:val="center"/>
                    <w:rPr>
                      <w:rFonts w:eastAsia="新宋体"/>
                      <w:b/>
                      <w:sz w:val="21"/>
                      <w:szCs w:val="21"/>
                    </w:rPr>
                  </w:pPr>
                  <w:r>
                    <w:rPr>
                      <w:rFonts w:eastAsia="新宋体"/>
                      <w:b/>
                      <w:sz w:val="21"/>
                      <w:szCs w:val="21"/>
                    </w:rPr>
                    <w:t>时段</w:t>
                  </w:r>
                </w:p>
              </w:tc>
              <w:tc>
                <w:tcPr>
                  <w:tcW w:w="2245" w:type="pct"/>
                  <w:gridSpan w:val="3"/>
                  <w:vAlign w:val="center"/>
                </w:tcPr>
                <w:p>
                  <w:pPr>
                    <w:spacing w:line="240" w:lineRule="auto"/>
                    <w:jc w:val="center"/>
                    <w:rPr>
                      <w:rFonts w:eastAsia="新宋体"/>
                      <w:b/>
                      <w:sz w:val="21"/>
                      <w:szCs w:val="21"/>
                    </w:rPr>
                  </w:pPr>
                  <w:r>
                    <w:rPr>
                      <w:rFonts w:eastAsia="新宋体"/>
                      <w:b/>
                      <w:sz w:val="21"/>
                      <w:szCs w:val="21"/>
                    </w:rPr>
                    <w:t>受纳污水处理厂信息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277" w:type="pct"/>
                  <w:vMerge w:val="continue"/>
                  <w:shd w:val="clear" w:color="auto" w:fill="auto"/>
                  <w:vAlign w:val="center"/>
                </w:tcPr>
                <w:p>
                  <w:pPr>
                    <w:spacing w:line="240" w:lineRule="auto"/>
                    <w:jc w:val="center"/>
                    <w:rPr>
                      <w:rFonts w:eastAsia="新宋体"/>
                      <w:b/>
                      <w:sz w:val="21"/>
                      <w:szCs w:val="21"/>
                    </w:rPr>
                  </w:pPr>
                </w:p>
              </w:tc>
              <w:tc>
                <w:tcPr>
                  <w:tcW w:w="323" w:type="pct"/>
                  <w:vMerge w:val="continue"/>
                  <w:shd w:val="clear" w:color="auto" w:fill="auto"/>
                  <w:vAlign w:val="center"/>
                </w:tcPr>
                <w:p>
                  <w:pPr>
                    <w:spacing w:line="240" w:lineRule="auto"/>
                    <w:jc w:val="center"/>
                    <w:rPr>
                      <w:rFonts w:eastAsia="新宋体"/>
                      <w:b/>
                      <w:sz w:val="21"/>
                      <w:szCs w:val="21"/>
                    </w:rPr>
                  </w:pPr>
                </w:p>
              </w:tc>
              <w:tc>
                <w:tcPr>
                  <w:tcW w:w="479" w:type="pct"/>
                  <w:vMerge w:val="continue"/>
                  <w:shd w:val="clear" w:color="auto" w:fill="auto"/>
                  <w:vAlign w:val="center"/>
                </w:tcPr>
                <w:p>
                  <w:pPr>
                    <w:spacing w:line="240" w:lineRule="auto"/>
                    <w:jc w:val="center"/>
                    <w:rPr>
                      <w:rFonts w:eastAsia="新宋体"/>
                      <w:b/>
                      <w:sz w:val="21"/>
                      <w:szCs w:val="21"/>
                    </w:rPr>
                  </w:pPr>
                </w:p>
              </w:tc>
              <w:tc>
                <w:tcPr>
                  <w:tcW w:w="630" w:type="pct"/>
                  <w:vMerge w:val="continue"/>
                  <w:shd w:val="clear" w:color="auto" w:fill="auto"/>
                  <w:vAlign w:val="center"/>
                </w:tcPr>
                <w:p>
                  <w:pPr>
                    <w:spacing w:line="240" w:lineRule="auto"/>
                    <w:jc w:val="center"/>
                    <w:rPr>
                      <w:rFonts w:eastAsia="新宋体"/>
                      <w:b/>
                      <w:sz w:val="21"/>
                      <w:szCs w:val="21"/>
                    </w:rPr>
                  </w:pPr>
                </w:p>
              </w:tc>
              <w:tc>
                <w:tcPr>
                  <w:tcW w:w="706" w:type="pct"/>
                  <w:vMerge w:val="continue"/>
                  <w:shd w:val="clear" w:color="auto" w:fill="auto"/>
                  <w:vAlign w:val="center"/>
                </w:tcPr>
                <w:p>
                  <w:pPr>
                    <w:spacing w:line="240" w:lineRule="auto"/>
                    <w:jc w:val="center"/>
                    <w:rPr>
                      <w:rFonts w:eastAsia="新宋体"/>
                      <w:b/>
                      <w:sz w:val="21"/>
                      <w:szCs w:val="21"/>
                    </w:rPr>
                  </w:pPr>
                </w:p>
              </w:tc>
              <w:tc>
                <w:tcPr>
                  <w:tcW w:w="339" w:type="pct"/>
                  <w:vMerge w:val="continue"/>
                  <w:shd w:val="clear" w:color="auto" w:fill="auto"/>
                  <w:vAlign w:val="center"/>
                </w:tcPr>
                <w:p>
                  <w:pPr>
                    <w:spacing w:line="240" w:lineRule="auto"/>
                    <w:jc w:val="center"/>
                    <w:rPr>
                      <w:rFonts w:eastAsia="新宋体"/>
                      <w:b/>
                      <w:sz w:val="21"/>
                      <w:szCs w:val="21"/>
                    </w:rPr>
                  </w:pPr>
                </w:p>
              </w:tc>
              <w:tc>
                <w:tcPr>
                  <w:tcW w:w="511" w:type="pct"/>
                  <w:vAlign w:val="center"/>
                </w:tcPr>
                <w:p>
                  <w:pPr>
                    <w:spacing w:line="240" w:lineRule="auto"/>
                    <w:jc w:val="center"/>
                    <w:rPr>
                      <w:rFonts w:eastAsia="新宋体"/>
                      <w:b/>
                      <w:sz w:val="21"/>
                      <w:szCs w:val="21"/>
                    </w:rPr>
                  </w:pPr>
                  <w:r>
                    <w:rPr>
                      <w:rFonts w:eastAsia="新宋体"/>
                      <w:b/>
                      <w:sz w:val="21"/>
                      <w:szCs w:val="21"/>
                    </w:rPr>
                    <w:t>名称</w:t>
                  </w:r>
                </w:p>
              </w:tc>
              <w:tc>
                <w:tcPr>
                  <w:tcW w:w="651" w:type="pct"/>
                  <w:vAlign w:val="center"/>
                </w:tcPr>
                <w:p>
                  <w:pPr>
                    <w:spacing w:line="240" w:lineRule="auto"/>
                    <w:jc w:val="center"/>
                    <w:rPr>
                      <w:rFonts w:eastAsia="新宋体"/>
                      <w:b/>
                      <w:sz w:val="21"/>
                      <w:szCs w:val="21"/>
                    </w:rPr>
                  </w:pPr>
                  <w:r>
                    <w:rPr>
                      <w:rFonts w:eastAsia="新宋体"/>
                      <w:b/>
                      <w:sz w:val="21"/>
                      <w:szCs w:val="21"/>
                    </w:rPr>
                    <w:t>污染物种类</w:t>
                  </w:r>
                </w:p>
              </w:tc>
              <w:tc>
                <w:tcPr>
                  <w:tcW w:w="1083" w:type="pct"/>
                  <w:vAlign w:val="center"/>
                </w:tcPr>
                <w:p>
                  <w:pPr>
                    <w:spacing w:line="240" w:lineRule="auto"/>
                    <w:jc w:val="center"/>
                    <w:rPr>
                      <w:rFonts w:eastAsia="新宋体"/>
                      <w:b/>
                      <w:sz w:val="21"/>
                      <w:szCs w:val="21"/>
                    </w:rPr>
                  </w:pPr>
                  <w:r>
                    <w:rPr>
                      <w:rFonts w:eastAsia="新宋体"/>
                      <w:b/>
                      <w:sz w:val="21"/>
                      <w:szCs w:val="21"/>
                    </w:rPr>
                    <w:t>国家或地方污染物排放标准浓度限值/(mg/L)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277" w:type="pct"/>
                  <w:vMerge w:val="restart"/>
                  <w:vAlign w:val="center"/>
                </w:tcPr>
                <w:p>
                  <w:pPr>
                    <w:spacing w:line="240" w:lineRule="auto"/>
                    <w:jc w:val="center"/>
                    <w:rPr>
                      <w:rFonts w:eastAsia="新宋体"/>
                      <w:bCs/>
                      <w:sz w:val="21"/>
                      <w:szCs w:val="21"/>
                    </w:rPr>
                  </w:pPr>
                  <w:r>
                    <w:rPr>
                      <w:rFonts w:eastAsia="新宋体"/>
                      <w:bCs/>
                      <w:sz w:val="21"/>
                      <w:szCs w:val="21"/>
                    </w:rPr>
                    <w:t>1</w:t>
                  </w:r>
                </w:p>
              </w:tc>
              <w:tc>
                <w:tcPr>
                  <w:tcW w:w="323" w:type="pct"/>
                  <w:vMerge w:val="restart"/>
                  <w:vAlign w:val="center"/>
                </w:tcPr>
                <w:p>
                  <w:pPr>
                    <w:spacing w:line="240" w:lineRule="auto"/>
                    <w:jc w:val="center"/>
                    <w:rPr>
                      <w:rFonts w:eastAsia="新宋体"/>
                      <w:bCs/>
                      <w:sz w:val="21"/>
                      <w:szCs w:val="21"/>
                    </w:rPr>
                  </w:pPr>
                  <w:r>
                    <w:rPr>
                      <w:rFonts w:hint="eastAsia" w:eastAsia="新宋体"/>
                      <w:bCs/>
                      <w:sz w:val="21"/>
                      <w:szCs w:val="21"/>
                    </w:rPr>
                    <w:t>D</w:t>
                  </w:r>
                  <w:r>
                    <w:rPr>
                      <w:rFonts w:eastAsia="新宋体"/>
                      <w:bCs/>
                      <w:sz w:val="21"/>
                      <w:szCs w:val="21"/>
                    </w:rPr>
                    <w:t>W001</w:t>
                  </w:r>
                </w:p>
              </w:tc>
              <w:tc>
                <w:tcPr>
                  <w:tcW w:w="479" w:type="pct"/>
                  <w:vMerge w:val="restart"/>
                  <w:vAlign w:val="center"/>
                </w:tcPr>
                <w:p>
                  <w:pPr>
                    <w:spacing w:line="240" w:lineRule="auto"/>
                    <w:jc w:val="center"/>
                    <w:rPr>
                      <w:rFonts w:eastAsia="新宋体"/>
                      <w:bCs/>
                      <w:sz w:val="21"/>
                      <w:szCs w:val="21"/>
                    </w:rPr>
                  </w:pPr>
                  <w:r>
                    <w:rPr>
                      <w:rFonts w:eastAsia="新宋体"/>
                      <w:bCs/>
                      <w:sz w:val="21"/>
                      <w:szCs w:val="21"/>
                    </w:rPr>
                    <w:t>0.3375</w:t>
                  </w:r>
                </w:p>
              </w:tc>
              <w:tc>
                <w:tcPr>
                  <w:tcW w:w="630" w:type="pct"/>
                  <w:vMerge w:val="restart"/>
                  <w:vAlign w:val="center"/>
                </w:tcPr>
                <w:p>
                  <w:pPr>
                    <w:spacing w:line="240" w:lineRule="auto"/>
                    <w:jc w:val="center"/>
                    <w:rPr>
                      <w:rFonts w:eastAsia="新宋体"/>
                      <w:bCs/>
                      <w:sz w:val="21"/>
                      <w:szCs w:val="21"/>
                    </w:rPr>
                  </w:pPr>
                  <w:r>
                    <w:rPr>
                      <w:rFonts w:eastAsia="新宋体"/>
                      <w:bCs/>
                      <w:sz w:val="21"/>
                      <w:szCs w:val="21"/>
                    </w:rPr>
                    <w:t>排入河口镇污水处理厂</w:t>
                  </w:r>
                </w:p>
              </w:tc>
              <w:tc>
                <w:tcPr>
                  <w:tcW w:w="706" w:type="pct"/>
                  <w:vMerge w:val="restart"/>
                  <w:vAlign w:val="center"/>
                </w:tcPr>
                <w:p>
                  <w:pPr>
                    <w:spacing w:line="240" w:lineRule="auto"/>
                    <w:jc w:val="center"/>
                    <w:rPr>
                      <w:rFonts w:eastAsia="新宋体"/>
                      <w:bCs/>
                      <w:sz w:val="21"/>
                      <w:szCs w:val="21"/>
                    </w:rPr>
                  </w:pPr>
                  <w:r>
                    <w:rPr>
                      <w:rFonts w:eastAsia="新宋体"/>
                      <w:bCs/>
                      <w:sz w:val="21"/>
                      <w:szCs w:val="21"/>
                    </w:rPr>
                    <w:t>间断排放，排放期间流量不稳定，但有周期性规律</w:t>
                  </w:r>
                </w:p>
              </w:tc>
              <w:tc>
                <w:tcPr>
                  <w:tcW w:w="339" w:type="pct"/>
                  <w:vMerge w:val="restart"/>
                  <w:vAlign w:val="center"/>
                </w:tcPr>
                <w:p>
                  <w:pPr>
                    <w:spacing w:line="240" w:lineRule="auto"/>
                    <w:jc w:val="center"/>
                    <w:rPr>
                      <w:rFonts w:eastAsia="新宋体"/>
                      <w:bCs/>
                      <w:sz w:val="21"/>
                      <w:szCs w:val="21"/>
                    </w:rPr>
                  </w:pPr>
                  <w:r>
                    <w:rPr>
                      <w:rFonts w:eastAsia="新宋体"/>
                      <w:bCs/>
                      <w:sz w:val="21"/>
                      <w:szCs w:val="21"/>
                    </w:rPr>
                    <w:t>/</w:t>
                  </w:r>
                </w:p>
              </w:tc>
              <w:tc>
                <w:tcPr>
                  <w:tcW w:w="511" w:type="pct"/>
                  <w:vMerge w:val="restart"/>
                  <w:vAlign w:val="center"/>
                </w:tcPr>
                <w:p>
                  <w:pPr>
                    <w:spacing w:line="240" w:lineRule="auto"/>
                    <w:jc w:val="center"/>
                    <w:rPr>
                      <w:rFonts w:eastAsia="新宋体"/>
                      <w:bCs/>
                      <w:sz w:val="21"/>
                      <w:szCs w:val="21"/>
                    </w:rPr>
                  </w:pPr>
                  <w:r>
                    <w:rPr>
                      <w:rFonts w:eastAsia="新宋体"/>
                      <w:bCs/>
                      <w:sz w:val="21"/>
                      <w:szCs w:val="21"/>
                    </w:rPr>
                    <w:t>河口镇污水处理厂</w:t>
                  </w:r>
                </w:p>
              </w:tc>
              <w:tc>
                <w:tcPr>
                  <w:tcW w:w="651" w:type="pct"/>
                  <w:vAlign w:val="center"/>
                </w:tcPr>
                <w:p>
                  <w:pPr>
                    <w:spacing w:line="240" w:lineRule="auto"/>
                    <w:jc w:val="center"/>
                    <w:rPr>
                      <w:rFonts w:eastAsia="新宋体"/>
                      <w:bCs/>
                      <w:sz w:val="21"/>
                      <w:szCs w:val="21"/>
                    </w:rPr>
                  </w:pPr>
                  <w:r>
                    <w:rPr>
                      <w:rFonts w:eastAsia="新宋体"/>
                      <w:bCs/>
                      <w:sz w:val="21"/>
                      <w:szCs w:val="21"/>
                    </w:rPr>
                    <w:t>CODcr</w:t>
                  </w:r>
                </w:p>
              </w:tc>
              <w:tc>
                <w:tcPr>
                  <w:tcW w:w="1083" w:type="pct"/>
                  <w:vAlign w:val="center"/>
                </w:tcPr>
                <w:p>
                  <w:pPr>
                    <w:spacing w:line="240" w:lineRule="auto"/>
                    <w:jc w:val="center"/>
                    <w:rPr>
                      <w:rFonts w:eastAsia="新宋体"/>
                      <w:bCs/>
                      <w:sz w:val="21"/>
                      <w:szCs w:val="21"/>
                    </w:rPr>
                  </w:pPr>
                  <w:r>
                    <w:rPr>
                      <w:rFonts w:eastAsia="新宋体"/>
                      <w:bCs/>
                      <w:sz w:val="21"/>
                      <w:szCs w:val="21"/>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277" w:type="pct"/>
                  <w:vMerge w:val="continue"/>
                  <w:vAlign w:val="center"/>
                </w:tcPr>
                <w:p>
                  <w:pPr>
                    <w:spacing w:line="240" w:lineRule="auto"/>
                    <w:jc w:val="center"/>
                    <w:rPr>
                      <w:rFonts w:eastAsia="新宋体"/>
                      <w:bCs/>
                      <w:sz w:val="21"/>
                      <w:szCs w:val="21"/>
                    </w:rPr>
                  </w:pPr>
                </w:p>
              </w:tc>
              <w:tc>
                <w:tcPr>
                  <w:tcW w:w="323" w:type="pct"/>
                  <w:vMerge w:val="continue"/>
                  <w:vAlign w:val="center"/>
                </w:tcPr>
                <w:p>
                  <w:pPr>
                    <w:spacing w:line="240" w:lineRule="auto"/>
                    <w:jc w:val="center"/>
                    <w:rPr>
                      <w:rFonts w:eastAsia="新宋体"/>
                      <w:bCs/>
                      <w:sz w:val="21"/>
                      <w:szCs w:val="21"/>
                    </w:rPr>
                  </w:pPr>
                </w:p>
              </w:tc>
              <w:tc>
                <w:tcPr>
                  <w:tcW w:w="479" w:type="pct"/>
                  <w:vMerge w:val="continue"/>
                  <w:vAlign w:val="center"/>
                </w:tcPr>
                <w:p>
                  <w:pPr>
                    <w:spacing w:line="240" w:lineRule="auto"/>
                    <w:jc w:val="center"/>
                    <w:rPr>
                      <w:rFonts w:eastAsia="新宋体"/>
                      <w:bCs/>
                      <w:sz w:val="21"/>
                      <w:szCs w:val="21"/>
                    </w:rPr>
                  </w:pPr>
                </w:p>
              </w:tc>
              <w:tc>
                <w:tcPr>
                  <w:tcW w:w="630" w:type="pct"/>
                  <w:vMerge w:val="continue"/>
                  <w:vAlign w:val="center"/>
                </w:tcPr>
                <w:p>
                  <w:pPr>
                    <w:spacing w:line="240" w:lineRule="auto"/>
                    <w:jc w:val="center"/>
                    <w:rPr>
                      <w:rFonts w:eastAsia="新宋体"/>
                      <w:bCs/>
                      <w:sz w:val="21"/>
                      <w:szCs w:val="21"/>
                    </w:rPr>
                  </w:pPr>
                </w:p>
              </w:tc>
              <w:tc>
                <w:tcPr>
                  <w:tcW w:w="706" w:type="pct"/>
                  <w:vMerge w:val="continue"/>
                  <w:vAlign w:val="center"/>
                </w:tcPr>
                <w:p>
                  <w:pPr>
                    <w:spacing w:line="240" w:lineRule="auto"/>
                    <w:jc w:val="center"/>
                    <w:rPr>
                      <w:rFonts w:eastAsia="新宋体"/>
                      <w:bCs/>
                      <w:sz w:val="21"/>
                      <w:szCs w:val="21"/>
                    </w:rPr>
                  </w:pPr>
                </w:p>
              </w:tc>
              <w:tc>
                <w:tcPr>
                  <w:tcW w:w="339" w:type="pct"/>
                  <w:vMerge w:val="continue"/>
                  <w:vAlign w:val="center"/>
                </w:tcPr>
                <w:p>
                  <w:pPr>
                    <w:spacing w:line="240" w:lineRule="auto"/>
                    <w:jc w:val="center"/>
                    <w:rPr>
                      <w:rFonts w:eastAsia="新宋体"/>
                      <w:bCs/>
                      <w:sz w:val="21"/>
                      <w:szCs w:val="21"/>
                    </w:rPr>
                  </w:pPr>
                </w:p>
              </w:tc>
              <w:tc>
                <w:tcPr>
                  <w:tcW w:w="511" w:type="pct"/>
                  <w:vMerge w:val="continue"/>
                  <w:vAlign w:val="center"/>
                </w:tcPr>
                <w:p>
                  <w:pPr>
                    <w:spacing w:line="240" w:lineRule="auto"/>
                    <w:jc w:val="center"/>
                    <w:rPr>
                      <w:rFonts w:eastAsia="新宋体"/>
                      <w:bCs/>
                      <w:sz w:val="21"/>
                      <w:szCs w:val="21"/>
                    </w:rPr>
                  </w:pPr>
                </w:p>
              </w:tc>
              <w:tc>
                <w:tcPr>
                  <w:tcW w:w="651" w:type="pct"/>
                  <w:vAlign w:val="center"/>
                </w:tcPr>
                <w:p>
                  <w:pPr>
                    <w:spacing w:line="240" w:lineRule="auto"/>
                    <w:jc w:val="center"/>
                    <w:rPr>
                      <w:rFonts w:eastAsia="新宋体"/>
                      <w:bCs/>
                      <w:sz w:val="21"/>
                      <w:szCs w:val="21"/>
                    </w:rPr>
                  </w:pPr>
                  <w:r>
                    <w:rPr>
                      <w:rFonts w:eastAsia="新宋体"/>
                      <w:bCs/>
                      <w:sz w:val="21"/>
                      <w:szCs w:val="21"/>
                    </w:rPr>
                    <w:t>BOD</w:t>
                  </w:r>
                  <w:r>
                    <w:rPr>
                      <w:rFonts w:eastAsia="新宋体"/>
                      <w:bCs/>
                      <w:sz w:val="21"/>
                      <w:szCs w:val="21"/>
                      <w:vertAlign w:val="subscript"/>
                    </w:rPr>
                    <w:t>5</w:t>
                  </w:r>
                </w:p>
              </w:tc>
              <w:tc>
                <w:tcPr>
                  <w:tcW w:w="1083" w:type="pct"/>
                  <w:vAlign w:val="center"/>
                </w:tcPr>
                <w:p>
                  <w:pPr>
                    <w:spacing w:line="240" w:lineRule="auto"/>
                    <w:jc w:val="center"/>
                    <w:rPr>
                      <w:rFonts w:eastAsia="新宋体"/>
                      <w:bCs/>
                      <w:sz w:val="21"/>
                      <w:szCs w:val="21"/>
                    </w:rPr>
                  </w:pPr>
                  <w:r>
                    <w:rPr>
                      <w:rFonts w:eastAsia="新宋体"/>
                      <w:bCs/>
                      <w:sz w:val="21"/>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277" w:type="pct"/>
                  <w:vMerge w:val="continue"/>
                  <w:vAlign w:val="center"/>
                </w:tcPr>
                <w:p>
                  <w:pPr>
                    <w:spacing w:line="240" w:lineRule="auto"/>
                    <w:jc w:val="center"/>
                    <w:rPr>
                      <w:rFonts w:eastAsia="新宋体"/>
                      <w:bCs/>
                      <w:sz w:val="21"/>
                      <w:szCs w:val="21"/>
                    </w:rPr>
                  </w:pPr>
                </w:p>
              </w:tc>
              <w:tc>
                <w:tcPr>
                  <w:tcW w:w="323" w:type="pct"/>
                  <w:vMerge w:val="continue"/>
                  <w:vAlign w:val="center"/>
                </w:tcPr>
                <w:p>
                  <w:pPr>
                    <w:spacing w:line="240" w:lineRule="auto"/>
                    <w:jc w:val="center"/>
                    <w:rPr>
                      <w:rFonts w:eastAsia="新宋体"/>
                      <w:bCs/>
                      <w:sz w:val="21"/>
                      <w:szCs w:val="21"/>
                    </w:rPr>
                  </w:pPr>
                </w:p>
              </w:tc>
              <w:tc>
                <w:tcPr>
                  <w:tcW w:w="479" w:type="pct"/>
                  <w:vMerge w:val="continue"/>
                  <w:vAlign w:val="center"/>
                </w:tcPr>
                <w:p>
                  <w:pPr>
                    <w:spacing w:line="240" w:lineRule="auto"/>
                    <w:jc w:val="center"/>
                    <w:rPr>
                      <w:rFonts w:eastAsia="新宋体"/>
                      <w:bCs/>
                      <w:sz w:val="21"/>
                      <w:szCs w:val="21"/>
                    </w:rPr>
                  </w:pPr>
                </w:p>
              </w:tc>
              <w:tc>
                <w:tcPr>
                  <w:tcW w:w="630" w:type="pct"/>
                  <w:vMerge w:val="continue"/>
                  <w:vAlign w:val="center"/>
                </w:tcPr>
                <w:p>
                  <w:pPr>
                    <w:spacing w:line="240" w:lineRule="auto"/>
                    <w:jc w:val="center"/>
                    <w:rPr>
                      <w:rFonts w:eastAsia="新宋体"/>
                      <w:bCs/>
                      <w:sz w:val="21"/>
                      <w:szCs w:val="21"/>
                    </w:rPr>
                  </w:pPr>
                </w:p>
              </w:tc>
              <w:tc>
                <w:tcPr>
                  <w:tcW w:w="706" w:type="pct"/>
                  <w:vMerge w:val="continue"/>
                  <w:vAlign w:val="center"/>
                </w:tcPr>
                <w:p>
                  <w:pPr>
                    <w:spacing w:line="240" w:lineRule="auto"/>
                    <w:jc w:val="center"/>
                    <w:rPr>
                      <w:rFonts w:eastAsia="新宋体"/>
                      <w:bCs/>
                      <w:sz w:val="21"/>
                      <w:szCs w:val="21"/>
                    </w:rPr>
                  </w:pPr>
                </w:p>
              </w:tc>
              <w:tc>
                <w:tcPr>
                  <w:tcW w:w="339" w:type="pct"/>
                  <w:vMerge w:val="continue"/>
                  <w:vAlign w:val="center"/>
                </w:tcPr>
                <w:p>
                  <w:pPr>
                    <w:spacing w:line="240" w:lineRule="auto"/>
                    <w:jc w:val="center"/>
                    <w:rPr>
                      <w:rFonts w:eastAsia="新宋体"/>
                      <w:bCs/>
                      <w:sz w:val="21"/>
                      <w:szCs w:val="21"/>
                    </w:rPr>
                  </w:pPr>
                </w:p>
              </w:tc>
              <w:tc>
                <w:tcPr>
                  <w:tcW w:w="511" w:type="pct"/>
                  <w:vMerge w:val="continue"/>
                  <w:vAlign w:val="center"/>
                </w:tcPr>
                <w:p>
                  <w:pPr>
                    <w:spacing w:line="240" w:lineRule="auto"/>
                    <w:jc w:val="center"/>
                    <w:rPr>
                      <w:rFonts w:eastAsia="新宋体"/>
                      <w:bCs/>
                      <w:sz w:val="21"/>
                      <w:szCs w:val="21"/>
                    </w:rPr>
                  </w:pPr>
                </w:p>
              </w:tc>
              <w:tc>
                <w:tcPr>
                  <w:tcW w:w="651" w:type="pct"/>
                  <w:vAlign w:val="center"/>
                </w:tcPr>
                <w:p>
                  <w:pPr>
                    <w:spacing w:line="240" w:lineRule="auto"/>
                    <w:jc w:val="center"/>
                    <w:rPr>
                      <w:rFonts w:eastAsia="新宋体"/>
                      <w:bCs/>
                      <w:sz w:val="21"/>
                      <w:szCs w:val="21"/>
                    </w:rPr>
                  </w:pPr>
                  <w:r>
                    <w:rPr>
                      <w:rFonts w:eastAsia="新宋体"/>
                      <w:bCs/>
                      <w:sz w:val="21"/>
                      <w:szCs w:val="21"/>
                    </w:rPr>
                    <w:t>NH</w:t>
                  </w:r>
                  <w:r>
                    <w:rPr>
                      <w:rFonts w:eastAsia="新宋体"/>
                      <w:bCs/>
                      <w:sz w:val="21"/>
                      <w:szCs w:val="21"/>
                      <w:vertAlign w:val="subscript"/>
                    </w:rPr>
                    <w:t>3</w:t>
                  </w:r>
                  <w:r>
                    <w:rPr>
                      <w:rFonts w:eastAsia="新宋体"/>
                      <w:bCs/>
                      <w:sz w:val="21"/>
                      <w:szCs w:val="21"/>
                    </w:rPr>
                    <w:t>-N</w:t>
                  </w:r>
                </w:p>
              </w:tc>
              <w:tc>
                <w:tcPr>
                  <w:tcW w:w="1083" w:type="pct"/>
                  <w:vAlign w:val="center"/>
                </w:tcPr>
                <w:p>
                  <w:pPr>
                    <w:spacing w:line="240" w:lineRule="auto"/>
                    <w:jc w:val="center"/>
                    <w:rPr>
                      <w:rFonts w:eastAsia="新宋体"/>
                      <w:bCs/>
                      <w:sz w:val="21"/>
                      <w:szCs w:val="21"/>
                    </w:rPr>
                  </w:pPr>
                  <w:r>
                    <w:rPr>
                      <w:rFonts w:eastAsia="新宋体"/>
                      <w:bCs/>
                      <w:sz w:val="21"/>
                      <w:szCs w:val="21"/>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277" w:type="pct"/>
                  <w:vMerge w:val="continue"/>
                  <w:vAlign w:val="center"/>
                </w:tcPr>
                <w:p>
                  <w:pPr>
                    <w:spacing w:line="240" w:lineRule="auto"/>
                    <w:jc w:val="center"/>
                    <w:rPr>
                      <w:rFonts w:eastAsia="新宋体"/>
                      <w:bCs/>
                      <w:sz w:val="21"/>
                      <w:szCs w:val="21"/>
                    </w:rPr>
                  </w:pPr>
                </w:p>
              </w:tc>
              <w:tc>
                <w:tcPr>
                  <w:tcW w:w="323" w:type="pct"/>
                  <w:vMerge w:val="continue"/>
                  <w:vAlign w:val="center"/>
                </w:tcPr>
                <w:p>
                  <w:pPr>
                    <w:spacing w:line="240" w:lineRule="auto"/>
                    <w:jc w:val="center"/>
                    <w:rPr>
                      <w:rFonts w:eastAsia="新宋体"/>
                      <w:bCs/>
                      <w:sz w:val="21"/>
                      <w:szCs w:val="21"/>
                    </w:rPr>
                  </w:pPr>
                </w:p>
              </w:tc>
              <w:tc>
                <w:tcPr>
                  <w:tcW w:w="479" w:type="pct"/>
                  <w:vMerge w:val="continue"/>
                  <w:vAlign w:val="center"/>
                </w:tcPr>
                <w:p>
                  <w:pPr>
                    <w:spacing w:line="240" w:lineRule="auto"/>
                    <w:jc w:val="center"/>
                    <w:rPr>
                      <w:rFonts w:eastAsia="新宋体"/>
                      <w:bCs/>
                      <w:sz w:val="21"/>
                      <w:szCs w:val="21"/>
                    </w:rPr>
                  </w:pPr>
                </w:p>
              </w:tc>
              <w:tc>
                <w:tcPr>
                  <w:tcW w:w="630" w:type="pct"/>
                  <w:vMerge w:val="continue"/>
                  <w:vAlign w:val="center"/>
                </w:tcPr>
                <w:p>
                  <w:pPr>
                    <w:spacing w:line="240" w:lineRule="auto"/>
                    <w:jc w:val="center"/>
                    <w:rPr>
                      <w:rFonts w:eastAsia="新宋体"/>
                      <w:bCs/>
                      <w:sz w:val="21"/>
                      <w:szCs w:val="21"/>
                    </w:rPr>
                  </w:pPr>
                </w:p>
              </w:tc>
              <w:tc>
                <w:tcPr>
                  <w:tcW w:w="706" w:type="pct"/>
                  <w:vMerge w:val="continue"/>
                  <w:vAlign w:val="center"/>
                </w:tcPr>
                <w:p>
                  <w:pPr>
                    <w:spacing w:line="240" w:lineRule="auto"/>
                    <w:jc w:val="center"/>
                    <w:rPr>
                      <w:rFonts w:eastAsia="新宋体"/>
                      <w:bCs/>
                      <w:sz w:val="21"/>
                      <w:szCs w:val="21"/>
                    </w:rPr>
                  </w:pPr>
                </w:p>
              </w:tc>
              <w:tc>
                <w:tcPr>
                  <w:tcW w:w="339" w:type="pct"/>
                  <w:vMerge w:val="continue"/>
                  <w:vAlign w:val="center"/>
                </w:tcPr>
                <w:p>
                  <w:pPr>
                    <w:spacing w:line="240" w:lineRule="auto"/>
                    <w:jc w:val="center"/>
                    <w:rPr>
                      <w:rFonts w:eastAsia="新宋体"/>
                      <w:bCs/>
                      <w:sz w:val="21"/>
                      <w:szCs w:val="21"/>
                    </w:rPr>
                  </w:pPr>
                </w:p>
              </w:tc>
              <w:tc>
                <w:tcPr>
                  <w:tcW w:w="511" w:type="pct"/>
                  <w:vMerge w:val="continue"/>
                  <w:vAlign w:val="center"/>
                </w:tcPr>
                <w:p>
                  <w:pPr>
                    <w:spacing w:line="240" w:lineRule="auto"/>
                    <w:jc w:val="center"/>
                    <w:rPr>
                      <w:rFonts w:eastAsia="新宋体"/>
                      <w:bCs/>
                      <w:sz w:val="21"/>
                      <w:szCs w:val="21"/>
                    </w:rPr>
                  </w:pPr>
                </w:p>
              </w:tc>
              <w:tc>
                <w:tcPr>
                  <w:tcW w:w="651" w:type="pct"/>
                  <w:vAlign w:val="center"/>
                </w:tcPr>
                <w:p>
                  <w:pPr>
                    <w:spacing w:line="240" w:lineRule="auto"/>
                    <w:jc w:val="center"/>
                    <w:rPr>
                      <w:rFonts w:eastAsia="新宋体"/>
                      <w:bCs/>
                      <w:sz w:val="21"/>
                      <w:szCs w:val="21"/>
                    </w:rPr>
                  </w:pPr>
                  <w:r>
                    <w:rPr>
                      <w:rFonts w:hint="eastAsia" w:eastAsia="新宋体"/>
                      <w:bCs/>
                      <w:sz w:val="21"/>
                      <w:szCs w:val="21"/>
                    </w:rPr>
                    <w:t>石油类</w:t>
                  </w:r>
                </w:p>
              </w:tc>
              <w:tc>
                <w:tcPr>
                  <w:tcW w:w="1083" w:type="pct"/>
                  <w:vAlign w:val="center"/>
                </w:tcPr>
                <w:p>
                  <w:pPr>
                    <w:spacing w:line="240" w:lineRule="auto"/>
                    <w:jc w:val="center"/>
                    <w:rPr>
                      <w:rFonts w:eastAsia="新宋体"/>
                      <w:bCs/>
                      <w:sz w:val="21"/>
                      <w:szCs w:val="21"/>
                    </w:rPr>
                  </w:pPr>
                  <w:r>
                    <w:rPr>
                      <w:rFonts w:hint="eastAsia" w:eastAsia="新宋体"/>
                      <w:bCs/>
                      <w:sz w:val="21"/>
                      <w:szCs w:val="21"/>
                    </w:rPr>
                    <w:t>1</w:t>
                  </w:r>
                  <w:r>
                    <w:rPr>
                      <w:rFonts w:eastAsia="新宋体"/>
                      <w:bCs/>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277" w:type="pct"/>
                  <w:vMerge w:val="continue"/>
                  <w:vAlign w:val="center"/>
                </w:tcPr>
                <w:p>
                  <w:pPr>
                    <w:spacing w:line="240" w:lineRule="auto"/>
                    <w:jc w:val="center"/>
                    <w:rPr>
                      <w:rFonts w:eastAsia="新宋体"/>
                      <w:bCs/>
                      <w:sz w:val="21"/>
                      <w:szCs w:val="21"/>
                    </w:rPr>
                  </w:pPr>
                </w:p>
              </w:tc>
              <w:tc>
                <w:tcPr>
                  <w:tcW w:w="323" w:type="pct"/>
                  <w:vMerge w:val="continue"/>
                  <w:vAlign w:val="center"/>
                </w:tcPr>
                <w:p>
                  <w:pPr>
                    <w:spacing w:line="240" w:lineRule="auto"/>
                    <w:jc w:val="center"/>
                    <w:rPr>
                      <w:rFonts w:eastAsia="新宋体"/>
                      <w:bCs/>
                      <w:sz w:val="21"/>
                      <w:szCs w:val="21"/>
                    </w:rPr>
                  </w:pPr>
                </w:p>
              </w:tc>
              <w:tc>
                <w:tcPr>
                  <w:tcW w:w="479" w:type="pct"/>
                  <w:vMerge w:val="continue"/>
                  <w:vAlign w:val="center"/>
                </w:tcPr>
                <w:p>
                  <w:pPr>
                    <w:spacing w:line="240" w:lineRule="auto"/>
                    <w:jc w:val="center"/>
                    <w:rPr>
                      <w:rFonts w:eastAsia="新宋体"/>
                      <w:bCs/>
                      <w:sz w:val="21"/>
                      <w:szCs w:val="21"/>
                    </w:rPr>
                  </w:pPr>
                </w:p>
              </w:tc>
              <w:tc>
                <w:tcPr>
                  <w:tcW w:w="630" w:type="pct"/>
                  <w:vMerge w:val="continue"/>
                  <w:vAlign w:val="center"/>
                </w:tcPr>
                <w:p>
                  <w:pPr>
                    <w:spacing w:line="240" w:lineRule="auto"/>
                    <w:jc w:val="center"/>
                    <w:rPr>
                      <w:rFonts w:eastAsia="新宋体"/>
                      <w:bCs/>
                      <w:sz w:val="21"/>
                      <w:szCs w:val="21"/>
                    </w:rPr>
                  </w:pPr>
                </w:p>
              </w:tc>
              <w:tc>
                <w:tcPr>
                  <w:tcW w:w="706" w:type="pct"/>
                  <w:vMerge w:val="continue"/>
                  <w:vAlign w:val="center"/>
                </w:tcPr>
                <w:p>
                  <w:pPr>
                    <w:spacing w:line="240" w:lineRule="auto"/>
                    <w:jc w:val="center"/>
                    <w:rPr>
                      <w:rFonts w:eastAsia="新宋体"/>
                      <w:bCs/>
                      <w:sz w:val="21"/>
                      <w:szCs w:val="21"/>
                    </w:rPr>
                  </w:pPr>
                </w:p>
              </w:tc>
              <w:tc>
                <w:tcPr>
                  <w:tcW w:w="339" w:type="pct"/>
                  <w:vMerge w:val="continue"/>
                  <w:vAlign w:val="center"/>
                </w:tcPr>
                <w:p>
                  <w:pPr>
                    <w:spacing w:line="240" w:lineRule="auto"/>
                    <w:jc w:val="center"/>
                    <w:rPr>
                      <w:rFonts w:eastAsia="新宋体"/>
                      <w:bCs/>
                      <w:sz w:val="21"/>
                      <w:szCs w:val="21"/>
                    </w:rPr>
                  </w:pPr>
                </w:p>
              </w:tc>
              <w:tc>
                <w:tcPr>
                  <w:tcW w:w="511" w:type="pct"/>
                  <w:vMerge w:val="continue"/>
                  <w:vAlign w:val="center"/>
                </w:tcPr>
                <w:p>
                  <w:pPr>
                    <w:spacing w:line="240" w:lineRule="auto"/>
                    <w:jc w:val="center"/>
                    <w:rPr>
                      <w:rFonts w:eastAsia="新宋体"/>
                      <w:bCs/>
                      <w:sz w:val="21"/>
                      <w:szCs w:val="21"/>
                    </w:rPr>
                  </w:pPr>
                </w:p>
              </w:tc>
              <w:tc>
                <w:tcPr>
                  <w:tcW w:w="651" w:type="pct"/>
                  <w:vAlign w:val="center"/>
                </w:tcPr>
                <w:p>
                  <w:pPr>
                    <w:spacing w:line="240" w:lineRule="auto"/>
                    <w:jc w:val="center"/>
                    <w:rPr>
                      <w:rFonts w:eastAsia="新宋体"/>
                      <w:bCs/>
                      <w:sz w:val="21"/>
                      <w:szCs w:val="21"/>
                    </w:rPr>
                  </w:pPr>
                  <w:r>
                    <w:rPr>
                      <w:rFonts w:eastAsia="新宋体"/>
                      <w:bCs/>
                      <w:sz w:val="21"/>
                      <w:szCs w:val="21"/>
                    </w:rPr>
                    <w:t>SS</w:t>
                  </w:r>
                </w:p>
              </w:tc>
              <w:tc>
                <w:tcPr>
                  <w:tcW w:w="1083" w:type="pct"/>
                  <w:vAlign w:val="center"/>
                </w:tcPr>
                <w:p>
                  <w:pPr>
                    <w:spacing w:line="240" w:lineRule="auto"/>
                    <w:jc w:val="center"/>
                    <w:rPr>
                      <w:rFonts w:eastAsia="新宋体"/>
                      <w:bCs/>
                      <w:sz w:val="21"/>
                      <w:szCs w:val="21"/>
                    </w:rPr>
                  </w:pPr>
                  <w:r>
                    <w:rPr>
                      <w:rFonts w:eastAsia="新宋体"/>
                      <w:bCs/>
                      <w:sz w:val="21"/>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277" w:type="pct"/>
                  <w:vMerge w:val="restart"/>
                  <w:vAlign w:val="center"/>
                </w:tcPr>
                <w:p>
                  <w:pPr>
                    <w:spacing w:line="240" w:lineRule="auto"/>
                    <w:jc w:val="center"/>
                    <w:rPr>
                      <w:rFonts w:eastAsia="新宋体"/>
                      <w:bCs/>
                      <w:sz w:val="21"/>
                      <w:szCs w:val="21"/>
                    </w:rPr>
                  </w:pPr>
                  <w:r>
                    <w:rPr>
                      <w:rFonts w:eastAsia="新宋体"/>
                      <w:bCs/>
                      <w:sz w:val="21"/>
                      <w:szCs w:val="21"/>
                    </w:rPr>
                    <w:t>2</w:t>
                  </w:r>
                </w:p>
              </w:tc>
              <w:tc>
                <w:tcPr>
                  <w:tcW w:w="323" w:type="pct"/>
                  <w:vMerge w:val="restart"/>
                  <w:vAlign w:val="center"/>
                </w:tcPr>
                <w:p>
                  <w:pPr>
                    <w:spacing w:line="240" w:lineRule="auto"/>
                    <w:jc w:val="center"/>
                    <w:rPr>
                      <w:rFonts w:eastAsia="新宋体"/>
                      <w:bCs/>
                      <w:sz w:val="21"/>
                      <w:szCs w:val="21"/>
                    </w:rPr>
                  </w:pPr>
                  <w:r>
                    <w:rPr>
                      <w:rFonts w:hint="eastAsia" w:eastAsia="新宋体"/>
                      <w:bCs/>
                      <w:sz w:val="21"/>
                      <w:szCs w:val="21"/>
                    </w:rPr>
                    <w:t>D</w:t>
                  </w:r>
                  <w:r>
                    <w:rPr>
                      <w:rFonts w:eastAsia="新宋体"/>
                      <w:bCs/>
                      <w:sz w:val="21"/>
                      <w:szCs w:val="21"/>
                    </w:rPr>
                    <w:t>W002</w:t>
                  </w:r>
                </w:p>
              </w:tc>
              <w:tc>
                <w:tcPr>
                  <w:tcW w:w="479" w:type="pct"/>
                  <w:vMerge w:val="restart"/>
                  <w:vAlign w:val="center"/>
                </w:tcPr>
                <w:p>
                  <w:pPr>
                    <w:spacing w:line="240" w:lineRule="auto"/>
                    <w:jc w:val="center"/>
                    <w:rPr>
                      <w:rFonts w:eastAsia="新宋体"/>
                      <w:bCs/>
                      <w:sz w:val="21"/>
                      <w:szCs w:val="21"/>
                    </w:rPr>
                  </w:pPr>
                  <w:r>
                    <w:rPr>
                      <w:rFonts w:eastAsia="新宋体"/>
                      <w:bCs/>
                      <w:sz w:val="21"/>
                      <w:szCs w:val="21"/>
                    </w:rPr>
                    <w:t>0.014112</w:t>
                  </w:r>
                </w:p>
              </w:tc>
              <w:tc>
                <w:tcPr>
                  <w:tcW w:w="630" w:type="pct"/>
                  <w:vMerge w:val="restart"/>
                  <w:vAlign w:val="center"/>
                </w:tcPr>
                <w:p>
                  <w:pPr>
                    <w:spacing w:line="240" w:lineRule="auto"/>
                    <w:jc w:val="center"/>
                    <w:rPr>
                      <w:rFonts w:eastAsia="新宋体"/>
                      <w:bCs/>
                      <w:sz w:val="21"/>
                      <w:szCs w:val="21"/>
                    </w:rPr>
                  </w:pPr>
                  <w:r>
                    <w:rPr>
                      <w:rFonts w:eastAsia="新宋体"/>
                      <w:bCs/>
                      <w:sz w:val="21"/>
                      <w:szCs w:val="21"/>
                    </w:rPr>
                    <w:t>排入陆河产业转移工业园工业污水处理厂</w:t>
                  </w:r>
                </w:p>
              </w:tc>
              <w:tc>
                <w:tcPr>
                  <w:tcW w:w="706" w:type="pct"/>
                  <w:vMerge w:val="restart"/>
                  <w:vAlign w:val="center"/>
                </w:tcPr>
                <w:p>
                  <w:pPr>
                    <w:spacing w:line="240" w:lineRule="auto"/>
                    <w:jc w:val="center"/>
                    <w:rPr>
                      <w:rFonts w:eastAsia="新宋体"/>
                      <w:bCs/>
                      <w:sz w:val="21"/>
                      <w:szCs w:val="21"/>
                    </w:rPr>
                  </w:pPr>
                  <w:r>
                    <w:rPr>
                      <w:rFonts w:eastAsia="新宋体"/>
                      <w:bCs/>
                      <w:sz w:val="21"/>
                      <w:szCs w:val="21"/>
                    </w:rPr>
                    <w:t>断排放，排放期间流量不稳定，但有周期性规律</w:t>
                  </w:r>
                </w:p>
              </w:tc>
              <w:tc>
                <w:tcPr>
                  <w:tcW w:w="339" w:type="pct"/>
                  <w:vMerge w:val="restart"/>
                  <w:vAlign w:val="center"/>
                </w:tcPr>
                <w:p>
                  <w:pPr>
                    <w:spacing w:line="240" w:lineRule="auto"/>
                    <w:jc w:val="center"/>
                    <w:rPr>
                      <w:rFonts w:eastAsia="新宋体"/>
                      <w:bCs/>
                      <w:sz w:val="21"/>
                      <w:szCs w:val="21"/>
                    </w:rPr>
                  </w:pPr>
                  <w:r>
                    <w:rPr>
                      <w:rFonts w:eastAsia="新宋体"/>
                      <w:bCs/>
                      <w:sz w:val="21"/>
                      <w:szCs w:val="21"/>
                    </w:rPr>
                    <w:t>/</w:t>
                  </w:r>
                </w:p>
              </w:tc>
              <w:tc>
                <w:tcPr>
                  <w:tcW w:w="511" w:type="pct"/>
                  <w:vMerge w:val="restart"/>
                  <w:vAlign w:val="center"/>
                </w:tcPr>
                <w:p>
                  <w:pPr>
                    <w:spacing w:line="240" w:lineRule="auto"/>
                    <w:jc w:val="center"/>
                    <w:rPr>
                      <w:rFonts w:eastAsia="新宋体"/>
                      <w:bCs/>
                      <w:sz w:val="21"/>
                      <w:szCs w:val="21"/>
                    </w:rPr>
                  </w:pPr>
                  <w:r>
                    <w:rPr>
                      <w:rFonts w:eastAsia="新宋体"/>
                      <w:bCs/>
                      <w:sz w:val="21"/>
                      <w:szCs w:val="21"/>
                    </w:rPr>
                    <w:t>陆河产业转移工业园工业污水处理厂</w:t>
                  </w:r>
                </w:p>
              </w:tc>
              <w:tc>
                <w:tcPr>
                  <w:tcW w:w="651" w:type="pct"/>
                  <w:vAlign w:val="center"/>
                </w:tcPr>
                <w:p>
                  <w:pPr>
                    <w:spacing w:line="240" w:lineRule="auto"/>
                    <w:jc w:val="center"/>
                    <w:rPr>
                      <w:rFonts w:eastAsia="新宋体"/>
                      <w:bCs/>
                      <w:sz w:val="21"/>
                      <w:szCs w:val="21"/>
                    </w:rPr>
                  </w:pPr>
                  <w:r>
                    <w:rPr>
                      <w:rFonts w:eastAsia="新宋体"/>
                      <w:bCs/>
                      <w:sz w:val="21"/>
                      <w:szCs w:val="21"/>
                    </w:rPr>
                    <w:t>CODcr</w:t>
                  </w:r>
                </w:p>
              </w:tc>
              <w:tc>
                <w:tcPr>
                  <w:tcW w:w="1083" w:type="pct"/>
                  <w:vAlign w:val="center"/>
                </w:tcPr>
                <w:p>
                  <w:pPr>
                    <w:spacing w:line="240" w:lineRule="auto"/>
                    <w:jc w:val="center"/>
                    <w:rPr>
                      <w:rFonts w:eastAsia="新宋体"/>
                      <w:bCs/>
                      <w:sz w:val="21"/>
                      <w:szCs w:val="21"/>
                    </w:rPr>
                  </w:pPr>
                  <w:r>
                    <w:rPr>
                      <w:rFonts w:eastAsia="新宋体"/>
                      <w:bCs/>
                      <w:sz w:val="21"/>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277" w:type="pct"/>
                  <w:vMerge w:val="continue"/>
                  <w:vAlign w:val="center"/>
                </w:tcPr>
                <w:p>
                  <w:pPr>
                    <w:spacing w:line="240" w:lineRule="auto"/>
                    <w:jc w:val="center"/>
                    <w:rPr>
                      <w:rFonts w:eastAsia="新宋体"/>
                      <w:bCs/>
                      <w:sz w:val="21"/>
                      <w:szCs w:val="21"/>
                    </w:rPr>
                  </w:pPr>
                </w:p>
              </w:tc>
              <w:tc>
                <w:tcPr>
                  <w:tcW w:w="323" w:type="pct"/>
                  <w:vMerge w:val="continue"/>
                  <w:vAlign w:val="center"/>
                </w:tcPr>
                <w:p>
                  <w:pPr>
                    <w:spacing w:line="240" w:lineRule="auto"/>
                    <w:jc w:val="center"/>
                    <w:rPr>
                      <w:rFonts w:eastAsia="新宋体"/>
                      <w:bCs/>
                      <w:sz w:val="21"/>
                      <w:szCs w:val="21"/>
                    </w:rPr>
                  </w:pPr>
                </w:p>
              </w:tc>
              <w:tc>
                <w:tcPr>
                  <w:tcW w:w="479" w:type="pct"/>
                  <w:vMerge w:val="continue"/>
                  <w:vAlign w:val="center"/>
                </w:tcPr>
                <w:p>
                  <w:pPr>
                    <w:spacing w:line="240" w:lineRule="auto"/>
                    <w:jc w:val="center"/>
                    <w:rPr>
                      <w:rFonts w:eastAsia="新宋体"/>
                      <w:bCs/>
                      <w:sz w:val="21"/>
                      <w:szCs w:val="21"/>
                    </w:rPr>
                  </w:pPr>
                </w:p>
              </w:tc>
              <w:tc>
                <w:tcPr>
                  <w:tcW w:w="630" w:type="pct"/>
                  <w:vMerge w:val="continue"/>
                  <w:vAlign w:val="center"/>
                </w:tcPr>
                <w:p>
                  <w:pPr>
                    <w:spacing w:line="240" w:lineRule="auto"/>
                    <w:jc w:val="center"/>
                    <w:rPr>
                      <w:rFonts w:eastAsia="新宋体"/>
                      <w:bCs/>
                      <w:sz w:val="21"/>
                      <w:szCs w:val="21"/>
                    </w:rPr>
                  </w:pPr>
                </w:p>
              </w:tc>
              <w:tc>
                <w:tcPr>
                  <w:tcW w:w="706" w:type="pct"/>
                  <w:vMerge w:val="continue"/>
                  <w:vAlign w:val="center"/>
                </w:tcPr>
                <w:p>
                  <w:pPr>
                    <w:spacing w:line="240" w:lineRule="auto"/>
                    <w:jc w:val="center"/>
                    <w:rPr>
                      <w:rFonts w:eastAsia="新宋体"/>
                      <w:bCs/>
                      <w:sz w:val="21"/>
                      <w:szCs w:val="21"/>
                    </w:rPr>
                  </w:pPr>
                </w:p>
              </w:tc>
              <w:tc>
                <w:tcPr>
                  <w:tcW w:w="339" w:type="pct"/>
                  <w:vMerge w:val="continue"/>
                  <w:vAlign w:val="center"/>
                </w:tcPr>
                <w:p>
                  <w:pPr>
                    <w:spacing w:line="240" w:lineRule="auto"/>
                    <w:jc w:val="center"/>
                    <w:rPr>
                      <w:rFonts w:eastAsia="新宋体"/>
                      <w:bCs/>
                      <w:sz w:val="21"/>
                      <w:szCs w:val="21"/>
                    </w:rPr>
                  </w:pPr>
                </w:p>
              </w:tc>
              <w:tc>
                <w:tcPr>
                  <w:tcW w:w="511" w:type="pct"/>
                  <w:vMerge w:val="continue"/>
                  <w:vAlign w:val="center"/>
                </w:tcPr>
                <w:p>
                  <w:pPr>
                    <w:spacing w:line="240" w:lineRule="auto"/>
                    <w:jc w:val="center"/>
                    <w:rPr>
                      <w:rFonts w:eastAsia="新宋体"/>
                      <w:bCs/>
                      <w:sz w:val="21"/>
                      <w:szCs w:val="21"/>
                    </w:rPr>
                  </w:pPr>
                </w:p>
              </w:tc>
              <w:tc>
                <w:tcPr>
                  <w:tcW w:w="651" w:type="pct"/>
                  <w:vAlign w:val="center"/>
                </w:tcPr>
                <w:p>
                  <w:pPr>
                    <w:spacing w:line="240" w:lineRule="auto"/>
                    <w:jc w:val="center"/>
                    <w:rPr>
                      <w:rFonts w:eastAsia="新宋体"/>
                      <w:bCs/>
                      <w:sz w:val="21"/>
                      <w:szCs w:val="21"/>
                    </w:rPr>
                  </w:pPr>
                  <w:r>
                    <w:rPr>
                      <w:rFonts w:eastAsia="新宋体"/>
                      <w:bCs/>
                      <w:sz w:val="21"/>
                      <w:szCs w:val="21"/>
                    </w:rPr>
                    <w:t>BOD</w:t>
                  </w:r>
                  <w:r>
                    <w:rPr>
                      <w:rFonts w:eastAsia="新宋体"/>
                      <w:bCs/>
                      <w:sz w:val="21"/>
                      <w:szCs w:val="21"/>
                      <w:vertAlign w:val="subscript"/>
                    </w:rPr>
                    <w:t>5</w:t>
                  </w:r>
                </w:p>
              </w:tc>
              <w:tc>
                <w:tcPr>
                  <w:tcW w:w="1083" w:type="pct"/>
                  <w:vAlign w:val="center"/>
                </w:tcPr>
                <w:p>
                  <w:pPr>
                    <w:spacing w:line="240" w:lineRule="auto"/>
                    <w:jc w:val="center"/>
                    <w:rPr>
                      <w:rFonts w:eastAsia="新宋体"/>
                      <w:bCs/>
                      <w:sz w:val="21"/>
                      <w:szCs w:val="21"/>
                    </w:rPr>
                  </w:pPr>
                  <w:r>
                    <w:rPr>
                      <w:rFonts w:eastAsia="新宋体"/>
                      <w:bCs/>
                      <w:sz w:val="21"/>
                      <w:szCs w:val="21"/>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277" w:type="pct"/>
                  <w:vMerge w:val="continue"/>
                  <w:vAlign w:val="center"/>
                </w:tcPr>
                <w:p>
                  <w:pPr>
                    <w:spacing w:line="240" w:lineRule="auto"/>
                    <w:jc w:val="center"/>
                    <w:rPr>
                      <w:rFonts w:eastAsia="新宋体"/>
                      <w:bCs/>
                      <w:sz w:val="21"/>
                      <w:szCs w:val="21"/>
                    </w:rPr>
                  </w:pPr>
                </w:p>
              </w:tc>
              <w:tc>
                <w:tcPr>
                  <w:tcW w:w="323" w:type="pct"/>
                  <w:vMerge w:val="continue"/>
                  <w:vAlign w:val="center"/>
                </w:tcPr>
                <w:p>
                  <w:pPr>
                    <w:spacing w:line="240" w:lineRule="auto"/>
                    <w:jc w:val="center"/>
                    <w:rPr>
                      <w:rFonts w:eastAsia="新宋体"/>
                      <w:bCs/>
                      <w:sz w:val="21"/>
                      <w:szCs w:val="21"/>
                    </w:rPr>
                  </w:pPr>
                </w:p>
              </w:tc>
              <w:tc>
                <w:tcPr>
                  <w:tcW w:w="479" w:type="pct"/>
                  <w:vMerge w:val="continue"/>
                  <w:vAlign w:val="center"/>
                </w:tcPr>
                <w:p>
                  <w:pPr>
                    <w:spacing w:line="240" w:lineRule="auto"/>
                    <w:jc w:val="center"/>
                    <w:rPr>
                      <w:rFonts w:eastAsia="新宋体"/>
                      <w:bCs/>
                      <w:sz w:val="21"/>
                      <w:szCs w:val="21"/>
                    </w:rPr>
                  </w:pPr>
                </w:p>
              </w:tc>
              <w:tc>
                <w:tcPr>
                  <w:tcW w:w="630" w:type="pct"/>
                  <w:vMerge w:val="continue"/>
                  <w:vAlign w:val="center"/>
                </w:tcPr>
                <w:p>
                  <w:pPr>
                    <w:spacing w:line="240" w:lineRule="auto"/>
                    <w:jc w:val="center"/>
                    <w:rPr>
                      <w:rFonts w:eastAsia="新宋体"/>
                      <w:bCs/>
                      <w:sz w:val="21"/>
                      <w:szCs w:val="21"/>
                    </w:rPr>
                  </w:pPr>
                </w:p>
              </w:tc>
              <w:tc>
                <w:tcPr>
                  <w:tcW w:w="706" w:type="pct"/>
                  <w:vMerge w:val="continue"/>
                  <w:vAlign w:val="center"/>
                </w:tcPr>
                <w:p>
                  <w:pPr>
                    <w:spacing w:line="240" w:lineRule="auto"/>
                    <w:jc w:val="center"/>
                    <w:rPr>
                      <w:rFonts w:eastAsia="新宋体"/>
                      <w:bCs/>
                      <w:sz w:val="21"/>
                      <w:szCs w:val="21"/>
                    </w:rPr>
                  </w:pPr>
                </w:p>
              </w:tc>
              <w:tc>
                <w:tcPr>
                  <w:tcW w:w="339" w:type="pct"/>
                  <w:vMerge w:val="continue"/>
                  <w:vAlign w:val="center"/>
                </w:tcPr>
                <w:p>
                  <w:pPr>
                    <w:spacing w:line="240" w:lineRule="auto"/>
                    <w:jc w:val="center"/>
                    <w:rPr>
                      <w:rFonts w:eastAsia="新宋体"/>
                      <w:bCs/>
                      <w:sz w:val="21"/>
                      <w:szCs w:val="21"/>
                    </w:rPr>
                  </w:pPr>
                </w:p>
              </w:tc>
              <w:tc>
                <w:tcPr>
                  <w:tcW w:w="511" w:type="pct"/>
                  <w:vMerge w:val="continue"/>
                  <w:vAlign w:val="center"/>
                </w:tcPr>
                <w:p>
                  <w:pPr>
                    <w:spacing w:line="240" w:lineRule="auto"/>
                    <w:jc w:val="center"/>
                    <w:rPr>
                      <w:rFonts w:eastAsia="新宋体"/>
                      <w:bCs/>
                      <w:sz w:val="21"/>
                      <w:szCs w:val="21"/>
                    </w:rPr>
                  </w:pPr>
                </w:p>
              </w:tc>
              <w:tc>
                <w:tcPr>
                  <w:tcW w:w="651" w:type="pct"/>
                  <w:vAlign w:val="center"/>
                </w:tcPr>
                <w:p>
                  <w:pPr>
                    <w:spacing w:line="240" w:lineRule="auto"/>
                    <w:jc w:val="center"/>
                    <w:rPr>
                      <w:rFonts w:eastAsia="新宋体"/>
                      <w:bCs/>
                      <w:sz w:val="21"/>
                      <w:szCs w:val="21"/>
                    </w:rPr>
                  </w:pPr>
                  <w:r>
                    <w:rPr>
                      <w:rFonts w:eastAsia="新宋体"/>
                      <w:bCs/>
                      <w:sz w:val="21"/>
                      <w:szCs w:val="21"/>
                    </w:rPr>
                    <w:t xml:space="preserve">SS </w:t>
                  </w:r>
                </w:p>
              </w:tc>
              <w:tc>
                <w:tcPr>
                  <w:tcW w:w="1083" w:type="pct"/>
                  <w:vAlign w:val="center"/>
                </w:tcPr>
                <w:p>
                  <w:pPr>
                    <w:spacing w:line="240" w:lineRule="auto"/>
                    <w:jc w:val="center"/>
                    <w:rPr>
                      <w:rFonts w:eastAsia="新宋体"/>
                      <w:bCs/>
                      <w:sz w:val="21"/>
                      <w:szCs w:val="21"/>
                    </w:rPr>
                  </w:pPr>
                  <w:r>
                    <w:rPr>
                      <w:rFonts w:eastAsia="新宋体"/>
                      <w:bCs/>
                      <w:sz w:val="21"/>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277" w:type="pct"/>
                  <w:vMerge w:val="continue"/>
                  <w:vAlign w:val="center"/>
                </w:tcPr>
                <w:p>
                  <w:pPr>
                    <w:spacing w:line="240" w:lineRule="auto"/>
                    <w:jc w:val="center"/>
                    <w:rPr>
                      <w:rFonts w:eastAsia="新宋体"/>
                      <w:bCs/>
                      <w:sz w:val="21"/>
                      <w:szCs w:val="21"/>
                    </w:rPr>
                  </w:pPr>
                </w:p>
              </w:tc>
              <w:tc>
                <w:tcPr>
                  <w:tcW w:w="323" w:type="pct"/>
                  <w:vMerge w:val="continue"/>
                  <w:vAlign w:val="center"/>
                </w:tcPr>
                <w:p>
                  <w:pPr>
                    <w:spacing w:line="240" w:lineRule="auto"/>
                    <w:jc w:val="center"/>
                    <w:rPr>
                      <w:rFonts w:eastAsia="新宋体"/>
                      <w:bCs/>
                      <w:sz w:val="21"/>
                      <w:szCs w:val="21"/>
                    </w:rPr>
                  </w:pPr>
                </w:p>
              </w:tc>
              <w:tc>
                <w:tcPr>
                  <w:tcW w:w="479" w:type="pct"/>
                  <w:vMerge w:val="continue"/>
                  <w:vAlign w:val="center"/>
                </w:tcPr>
                <w:p>
                  <w:pPr>
                    <w:spacing w:line="240" w:lineRule="auto"/>
                    <w:jc w:val="center"/>
                    <w:rPr>
                      <w:rFonts w:eastAsia="新宋体"/>
                      <w:bCs/>
                      <w:sz w:val="21"/>
                      <w:szCs w:val="21"/>
                    </w:rPr>
                  </w:pPr>
                </w:p>
              </w:tc>
              <w:tc>
                <w:tcPr>
                  <w:tcW w:w="630" w:type="pct"/>
                  <w:vMerge w:val="continue"/>
                  <w:vAlign w:val="center"/>
                </w:tcPr>
                <w:p>
                  <w:pPr>
                    <w:spacing w:line="240" w:lineRule="auto"/>
                    <w:jc w:val="center"/>
                    <w:rPr>
                      <w:rFonts w:eastAsia="新宋体"/>
                      <w:bCs/>
                      <w:sz w:val="21"/>
                      <w:szCs w:val="21"/>
                    </w:rPr>
                  </w:pPr>
                </w:p>
              </w:tc>
              <w:tc>
                <w:tcPr>
                  <w:tcW w:w="706" w:type="pct"/>
                  <w:vMerge w:val="continue"/>
                  <w:vAlign w:val="center"/>
                </w:tcPr>
                <w:p>
                  <w:pPr>
                    <w:spacing w:line="240" w:lineRule="auto"/>
                    <w:jc w:val="center"/>
                    <w:rPr>
                      <w:rFonts w:eastAsia="新宋体"/>
                      <w:bCs/>
                      <w:sz w:val="21"/>
                      <w:szCs w:val="21"/>
                    </w:rPr>
                  </w:pPr>
                </w:p>
              </w:tc>
              <w:tc>
                <w:tcPr>
                  <w:tcW w:w="339" w:type="pct"/>
                  <w:vMerge w:val="continue"/>
                  <w:vAlign w:val="center"/>
                </w:tcPr>
                <w:p>
                  <w:pPr>
                    <w:spacing w:line="240" w:lineRule="auto"/>
                    <w:jc w:val="center"/>
                    <w:rPr>
                      <w:rFonts w:eastAsia="新宋体"/>
                      <w:bCs/>
                      <w:sz w:val="21"/>
                      <w:szCs w:val="21"/>
                    </w:rPr>
                  </w:pPr>
                </w:p>
              </w:tc>
              <w:tc>
                <w:tcPr>
                  <w:tcW w:w="511" w:type="pct"/>
                  <w:vMerge w:val="continue"/>
                  <w:vAlign w:val="center"/>
                </w:tcPr>
                <w:p>
                  <w:pPr>
                    <w:spacing w:line="240" w:lineRule="auto"/>
                    <w:jc w:val="center"/>
                    <w:rPr>
                      <w:rFonts w:eastAsia="新宋体"/>
                      <w:bCs/>
                      <w:sz w:val="21"/>
                      <w:szCs w:val="21"/>
                    </w:rPr>
                  </w:pPr>
                </w:p>
              </w:tc>
              <w:tc>
                <w:tcPr>
                  <w:tcW w:w="651" w:type="pct"/>
                  <w:vAlign w:val="center"/>
                </w:tcPr>
                <w:p>
                  <w:pPr>
                    <w:spacing w:line="240" w:lineRule="auto"/>
                    <w:jc w:val="center"/>
                    <w:rPr>
                      <w:rFonts w:eastAsia="新宋体"/>
                      <w:bCs/>
                      <w:sz w:val="21"/>
                      <w:szCs w:val="21"/>
                    </w:rPr>
                  </w:pPr>
                  <w:r>
                    <w:rPr>
                      <w:rFonts w:hint="eastAsia" w:eastAsia="新宋体"/>
                      <w:bCs/>
                      <w:sz w:val="21"/>
                      <w:szCs w:val="21"/>
                    </w:rPr>
                    <w:t>石油类</w:t>
                  </w:r>
                </w:p>
              </w:tc>
              <w:tc>
                <w:tcPr>
                  <w:tcW w:w="1083" w:type="pct"/>
                  <w:vAlign w:val="center"/>
                </w:tcPr>
                <w:p>
                  <w:pPr>
                    <w:spacing w:line="240" w:lineRule="auto"/>
                    <w:jc w:val="center"/>
                    <w:rPr>
                      <w:rFonts w:eastAsia="新宋体"/>
                      <w:bCs/>
                      <w:sz w:val="21"/>
                      <w:szCs w:val="21"/>
                    </w:rPr>
                  </w:pPr>
                  <w:r>
                    <w:rPr>
                      <w:rFonts w:hint="eastAsia" w:eastAsia="新宋体"/>
                      <w:bCs/>
                      <w:sz w:val="21"/>
                      <w:szCs w:val="21"/>
                    </w:rPr>
                    <w:t>0</w:t>
                  </w:r>
                  <w:r>
                    <w:rPr>
                      <w:rFonts w:eastAsia="新宋体"/>
                      <w:bCs/>
                      <w:sz w:val="21"/>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277" w:type="pct"/>
                  <w:vMerge w:val="continue"/>
                  <w:vAlign w:val="center"/>
                </w:tcPr>
                <w:p>
                  <w:pPr>
                    <w:spacing w:line="240" w:lineRule="auto"/>
                    <w:jc w:val="center"/>
                    <w:rPr>
                      <w:rFonts w:eastAsia="新宋体"/>
                      <w:bCs/>
                      <w:sz w:val="21"/>
                      <w:szCs w:val="21"/>
                    </w:rPr>
                  </w:pPr>
                </w:p>
              </w:tc>
              <w:tc>
                <w:tcPr>
                  <w:tcW w:w="323" w:type="pct"/>
                  <w:vMerge w:val="continue"/>
                  <w:vAlign w:val="center"/>
                </w:tcPr>
                <w:p>
                  <w:pPr>
                    <w:spacing w:line="240" w:lineRule="auto"/>
                    <w:jc w:val="center"/>
                    <w:rPr>
                      <w:rFonts w:eastAsia="新宋体"/>
                      <w:bCs/>
                      <w:sz w:val="21"/>
                      <w:szCs w:val="21"/>
                    </w:rPr>
                  </w:pPr>
                </w:p>
              </w:tc>
              <w:tc>
                <w:tcPr>
                  <w:tcW w:w="479" w:type="pct"/>
                  <w:vMerge w:val="continue"/>
                  <w:vAlign w:val="center"/>
                </w:tcPr>
                <w:p>
                  <w:pPr>
                    <w:spacing w:line="240" w:lineRule="auto"/>
                    <w:jc w:val="center"/>
                    <w:rPr>
                      <w:rFonts w:eastAsia="新宋体"/>
                      <w:bCs/>
                      <w:sz w:val="21"/>
                      <w:szCs w:val="21"/>
                    </w:rPr>
                  </w:pPr>
                </w:p>
              </w:tc>
              <w:tc>
                <w:tcPr>
                  <w:tcW w:w="630" w:type="pct"/>
                  <w:vMerge w:val="continue"/>
                  <w:vAlign w:val="center"/>
                </w:tcPr>
                <w:p>
                  <w:pPr>
                    <w:spacing w:line="240" w:lineRule="auto"/>
                    <w:jc w:val="center"/>
                    <w:rPr>
                      <w:rFonts w:eastAsia="新宋体"/>
                      <w:bCs/>
                      <w:sz w:val="21"/>
                      <w:szCs w:val="21"/>
                    </w:rPr>
                  </w:pPr>
                </w:p>
              </w:tc>
              <w:tc>
                <w:tcPr>
                  <w:tcW w:w="706" w:type="pct"/>
                  <w:vMerge w:val="continue"/>
                  <w:vAlign w:val="center"/>
                </w:tcPr>
                <w:p>
                  <w:pPr>
                    <w:spacing w:line="240" w:lineRule="auto"/>
                    <w:jc w:val="center"/>
                    <w:rPr>
                      <w:rFonts w:eastAsia="新宋体"/>
                      <w:bCs/>
                      <w:sz w:val="21"/>
                      <w:szCs w:val="21"/>
                    </w:rPr>
                  </w:pPr>
                </w:p>
              </w:tc>
              <w:tc>
                <w:tcPr>
                  <w:tcW w:w="339" w:type="pct"/>
                  <w:vMerge w:val="continue"/>
                  <w:vAlign w:val="center"/>
                </w:tcPr>
                <w:p>
                  <w:pPr>
                    <w:spacing w:line="240" w:lineRule="auto"/>
                    <w:jc w:val="center"/>
                    <w:rPr>
                      <w:rFonts w:eastAsia="新宋体"/>
                      <w:bCs/>
                      <w:sz w:val="21"/>
                      <w:szCs w:val="21"/>
                    </w:rPr>
                  </w:pPr>
                </w:p>
              </w:tc>
              <w:tc>
                <w:tcPr>
                  <w:tcW w:w="511" w:type="pct"/>
                  <w:vMerge w:val="continue"/>
                  <w:vAlign w:val="center"/>
                </w:tcPr>
                <w:p>
                  <w:pPr>
                    <w:spacing w:line="240" w:lineRule="auto"/>
                    <w:jc w:val="center"/>
                    <w:rPr>
                      <w:rFonts w:eastAsia="新宋体"/>
                      <w:bCs/>
                      <w:sz w:val="21"/>
                      <w:szCs w:val="21"/>
                    </w:rPr>
                  </w:pPr>
                </w:p>
              </w:tc>
              <w:tc>
                <w:tcPr>
                  <w:tcW w:w="651" w:type="pct"/>
                  <w:vAlign w:val="center"/>
                </w:tcPr>
                <w:p>
                  <w:pPr>
                    <w:spacing w:line="240" w:lineRule="auto"/>
                    <w:jc w:val="center"/>
                    <w:rPr>
                      <w:rFonts w:eastAsia="新宋体"/>
                      <w:bCs/>
                      <w:sz w:val="21"/>
                      <w:szCs w:val="21"/>
                    </w:rPr>
                  </w:pPr>
                  <w:r>
                    <w:rPr>
                      <w:rFonts w:eastAsia="新宋体"/>
                      <w:bCs/>
                      <w:sz w:val="21"/>
                      <w:szCs w:val="21"/>
                    </w:rPr>
                    <w:t>NH</w:t>
                  </w:r>
                  <w:r>
                    <w:rPr>
                      <w:rFonts w:eastAsia="新宋体"/>
                      <w:bCs/>
                      <w:sz w:val="21"/>
                      <w:szCs w:val="21"/>
                      <w:vertAlign w:val="subscript"/>
                    </w:rPr>
                    <w:t>3</w:t>
                  </w:r>
                  <w:r>
                    <w:rPr>
                      <w:rFonts w:eastAsia="新宋体"/>
                      <w:bCs/>
                      <w:sz w:val="21"/>
                      <w:szCs w:val="21"/>
                    </w:rPr>
                    <w:t>-N</w:t>
                  </w:r>
                </w:p>
              </w:tc>
              <w:tc>
                <w:tcPr>
                  <w:tcW w:w="1083" w:type="pct"/>
                  <w:vAlign w:val="center"/>
                </w:tcPr>
                <w:p>
                  <w:pPr>
                    <w:spacing w:line="240" w:lineRule="auto"/>
                    <w:jc w:val="center"/>
                    <w:rPr>
                      <w:rFonts w:eastAsia="新宋体"/>
                      <w:bCs/>
                      <w:sz w:val="21"/>
                      <w:szCs w:val="21"/>
                    </w:rPr>
                  </w:pPr>
                  <w:r>
                    <w:rPr>
                      <w:rFonts w:eastAsia="新宋体"/>
                      <w:bCs/>
                      <w:sz w:val="21"/>
                      <w:szCs w:val="21"/>
                    </w:rPr>
                    <w:t>1.5</w:t>
                  </w:r>
                </w:p>
              </w:tc>
            </w:tr>
          </w:tbl>
          <w:p>
            <w:pPr>
              <w:pStyle w:val="169"/>
              <w:spacing w:line="240" w:lineRule="auto"/>
              <w:rPr>
                <w:rFonts w:hint="default" w:hAnsi="Times New Roman"/>
                <w:b w:val="0"/>
                <w:lang w:eastAsia="zh-TW"/>
              </w:rPr>
            </w:pPr>
            <w:r>
              <w:rPr>
                <w:rFonts w:hAnsi="Times New Roman" w:eastAsiaTheme="minorEastAsia"/>
                <w:sz w:val="24"/>
                <w:szCs w:val="24"/>
              </w:rPr>
              <w:t>表4-</w:t>
            </w:r>
            <w:r>
              <w:rPr>
                <w:rFonts w:hint="default" w:hAnsi="Times New Roman" w:eastAsiaTheme="minorEastAsia"/>
                <w:sz w:val="24"/>
                <w:szCs w:val="24"/>
              </w:rPr>
              <w:t>8</w:t>
            </w:r>
            <w:r>
              <w:rPr>
                <w:rFonts w:hAnsi="Times New Roman" w:eastAsiaTheme="minorEastAsia"/>
                <w:sz w:val="24"/>
                <w:szCs w:val="24"/>
              </w:rPr>
              <w:t>（1）</w:t>
            </w:r>
            <w:r>
              <w:rPr>
                <w:rFonts w:hint="default" w:hAnsi="Times New Roman" w:eastAsiaTheme="minorEastAsia"/>
                <w:sz w:val="24"/>
                <w:szCs w:val="24"/>
              </w:rPr>
              <w:t xml:space="preserve"> </w:t>
            </w:r>
            <w:r>
              <w:rPr>
                <w:rFonts w:hAnsi="Times New Roman" w:eastAsiaTheme="minorEastAsia"/>
                <w:sz w:val="24"/>
                <w:szCs w:val="24"/>
              </w:rPr>
              <w:t>近期废水污染物排放信息表</w:t>
            </w:r>
          </w:p>
          <w:tbl>
            <w:tblPr>
              <w:tblStyle w:val="40"/>
              <w:tblW w:w="84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 w:type="dxa"/>
                <w:bottom w:w="0" w:type="dxa"/>
                <w:right w:w="10" w:type="dxa"/>
              </w:tblCellMar>
            </w:tblPr>
            <w:tblGrid>
              <w:gridCol w:w="857"/>
              <w:gridCol w:w="1239"/>
              <w:gridCol w:w="1157"/>
              <w:gridCol w:w="1661"/>
              <w:gridCol w:w="1802"/>
              <w:gridCol w:w="17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857" w:type="dxa"/>
                  <w:vAlign w:val="center"/>
                </w:tcPr>
                <w:p>
                  <w:pPr>
                    <w:spacing w:line="240" w:lineRule="auto"/>
                    <w:jc w:val="center"/>
                    <w:rPr>
                      <w:rFonts w:eastAsia="新宋体"/>
                      <w:b/>
                      <w:sz w:val="21"/>
                      <w:szCs w:val="21"/>
                    </w:rPr>
                  </w:pPr>
                  <w:r>
                    <w:rPr>
                      <w:rFonts w:eastAsia="新宋体"/>
                      <w:b/>
                      <w:sz w:val="21"/>
                      <w:szCs w:val="21"/>
                    </w:rPr>
                    <w:t>序号</w:t>
                  </w:r>
                </w:p>
              </w:tc>
              <w:tc>
                <w:tcPr>
                  <w:tcW w:w="1239" w:type="dxa"/>
                  <w:vAlign w:val="center"/>
                </w:tcPr>
                <w:p>
                  <w:pPr>
                    <w:spacing w:line="240" w:lineRule="auto"/>
                    <w:jc w:val="center"/>
                    <w:rPr>
                      <w:rFonts w:eastAsia="新宋体"/>
                      <w:b/>
                      <w:sz w:val="21"/>
                      <w:szCs w:val="21"/>
                    </w:rPr>
                  </w:pPr>
                  <w:r>
                    <w:rPr>
                      <w:rFonts w:eastAsia="新宋体"/>
                      <w:b/>
                      <w:sz w:val="21"/>
                      <w:szCs w:val="21"/>
                    </w:rPr>
                    <w:t>排放口编号</w:t>
                  </w:r>
                </w:p>
              </w:tc>
              <w:tc>
                <w:tcPr>
                  <w:tcW w:w="1157" w:type="dxa"/>
                  <w:vAlign w:val="center"/>
                </w:tcPr>
                <w:p>
                  <w:pPr>
                    <w:spacing w:line="240" w:lineRule="auto"/>
                    <w:jc w:val="center"/>
                    <w:rPr>
                      <w:rFonts w:eastAsia="新宋体"/>
                      <w:b/>
                      <w:sz w:val="21"/>
                      <w:szCs w:val="21"/>
                    </w:rPr>
                  </w:pPr>
                  <w:r>
                    <w:rPr>
                      <w:rFonts w:eastAsia="新宋体"/>
                      <w:b/>
                      <w:sz w:val="21"/>
                      <w:szCs w:val="21"/>
                    </w:rPr>
                    <w:t>污染物种类</w:t>
                  </w:r>
                </w:p>
              </w:tc>
              <w:tc>
                <w:tcPr>
                  <w:tcW w:w="1661" w:type="dxa"/>
                  <w:vAlign w:val="center"/>
                </w:tcPr>
                <w:p>
                  <w:pPr>
                    <w:spacing w:line="240" w:lineRule="auto"/>
                    <w:jc w:val="center"/>
                    <w:rPr>
                      <w:rFonts w:eastAsia="新宋体"/>
                      <w:b/>
                      <w:sz w:val="21"/>
                      <w:szCs w:val="21"/>
                    </w:rPr>
                  </w:pPr>
                  <w:r>
                    <w:rPr>
                      <w:rFonts w:eastAsia="新宋体"/>
                      <w:b/>
                      <w:sz w:val="21"/>
                      <w:szCs w:val="21"/>
                    </w:rPr>
                    <w:t>排放浓度/ (mg/L)</w:t>
                  </w:r>
                </w:p>
              </w:tc>
              <w:tc>
                <w:tcPr>
                  <w:tcW w:w="1802" w:type="dxa"/>
                  <w:vAlign w:val="center"/>
                </w:tcPr>
                <w:p>
                  <w:pPr>
                    <w:spacing w:line="240" w:lineRule="auto"/>
                    <w:jc w:val="center"/>
                    <w:rPr>
                      <w:rFonts w:eastAsia="新宋体"/>
                      <w:b/>
                      <w:sz w:val="21"/>
                      <w:szCs w:val="21"/>
                    </w:rPr>
                  </w:pPr>
                  <w:r>
                    <w:rPr>
                      <w:rFonts w:eastAsia="新宋体"/>
                      <w:b/>
                      <w:sz w:val="21"/>
                      <w:szCs w:val="21"/>
                    </w:rPr>
                    <w:t>日排放量/ (t/d)</w:t>
                  </w:r>
                </w:p>
              </w:tc>
              <w:tc>
                <w:tcPr>
                  <w:tcW w:w="1721" w:type="dxa"/>
                  <w:vAlign w:val="center"/>
                </w:tcPr>
                <w:p>
                  <w:pPr>
                    <w:spacing w:line="240" w:lineRule="auto"/>
                    <w:jc w:val="center"/>
                    <w:rPr>
                      <w:rFonts w:eastAsia="新宋体"/>
                      <w:b/>
                      <w:sz w:val="21"/>
                      <w:szCs w:val="21"/>
                    </w:rPr>
                  </w:pPr>
                  <w:r>
                    <w:rPr>
                      <w:rFonts w:eastAsia="新宋体"/>
                      <w:b/>
                      <w:sz w:val="21"/>
                      <w:szCs w:val="21"/>
                    </w:rPr>
                    <w:t>年排放量/ (t/a)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857" w:type="dxa"/>
                  <w:vMerge w:val="restart"/>
                  <w:vAlign w:val="center"/>
                </w:tcPr>
                <w:p>
                  <w:pPr>
                    <w:spacing w:line="240" w:lineRule="auto"/>
                    <w:jc w:val="center"/>
                    <w:rPr>
                      <w:rFonts w:eastAsia="新宋体"/>
                      <w:bCs/>
                      <w:sz w:val="21"/>
                      <w:szCs w:val="21"/>
                    </w:rPr>
                  </w:pPr>
                  <w:r>
                    <w:rPr>
                      <w:rFonts w:eastAsia="新宋体"/>
                      <w:bCs/>
                      <w:sz w:val="21"/>
                      <w:szCs w:val="21"/>
                    </w:rPr>
                    <w:t>1</w:t>
                  </w:r>
                </w:p>
              </w:tc>
              <w:tc>
                <w:tcPr>
                  <w:tcW w:w="1239" w:type="dxa"/>
                  <w:vMerge w:val="restart"/>
                  <w:vAlign w:val="center"/>
                </w:tcPr>
                <w:p>
                  <w:pPr>
                    <w:spacing w:line="240" w:lineRule="auto"/>
                    <w:jc w:val="center"/>
                    <w:rPr>
                      <w:rFonts w:eastAsia="新宋体"/>
                      <w:bCs/>
                      <w:sz w:val="21"/>
                      <w:szCs w:val="21"/>
                    </w:rPr>
                  </w:pPr>
                  <w:r>
                    <w:rPr>
                      <w:rFonts w:hint="eastAsia" w:eastAsia="新宋体"/>
                      <w:bCs/>
                      <w:sz w:val="21"/>
                      <w:szCs w:val="21"/>
                    </w:rPr>
                    <w:t>D</w:t>
                  </w:r>
                  <w:r>
                    <w:rPr>
                      <w:rFonts w:eastAsia="新宋体"/>
                      <w:bCs/>
                      <w:sz w:val="21"/>
                      <w:szCs w:val="21"/>
                    </w:rPr>
                    <w:t>W001</w:t>
                  </w:r>
                </w:p>
              </w:tc>
              <w:tc>
                <w:tcPr>
                  <w:tcW w:w="1157" w:type="dxa"/>
                  <w:vAlign w:val="center"/>
                </w:tcPr>
                <w:p>
                  <w:pPr>
                    <w:spacing w:line="240" w:lineRule="auto"/>
                    <w:jc w:val="center"/>
                    <w:rPr>
                      <w:rFonts w:eastAsia="新宋体"/>
                      <w:bCs/>
                      <w:sz w:val="21"/>
                      <w:szCs w:val="21"/>
                    </w:rPr>
                  </w:pPr>
                  <w:r>
                    <w:rPr>
                      <w:rFonts w:eastAsia="新宋体"/>
                      <w:bCs/>
                      <w:sz w:val="21"/>
                      <w:szCs w:val="21"/>
                    </w:rPr>
                    <w:t>CODcr</w:t>
                  </w:r>
                </w:p>
              </w:tc>
              <w:tc>
                <w:tcPr>
                  <w:tcW w:w="1661" w:type="dxa"/>
                  <w:vAlign w:val="center"/>
                </w:tcPr>
                <w:p>
                  <w:pPr>
                    <w:spacing w:line="240" w:lineRule="auto"/>
                    <w:jc w:val="center"/>
                    <w:rPr>
                      <w:rFonts w:eastAsia="新宋体"/>
                      <w:bCs/>
                      <w:sz w:val="21"/>
                      <w:szCs w:val="21"/>
                    </w:rPr>
                  </w:pPr>
                  <w:r>
                    <w:rPr>
                      <w:rFonts w:hint="eastAsia" w:eastAsia="新宋体"/>
                      <w:bCs/>
                      <w:sz w:val="21"/>
                      <w:szCs w:val="21"/>
                    </w:rPr>
                    <w:t xml:space="preserve">176.3 </w:t>
                  </w:r>
                </w:p>
              </w:tc>
              <w:tc>
                <w:tcPr>
                  <w:tcW w:w="1802" w:type="dxa"/>
                  <w:vAlign w:val="center"/>
                </w:tcPr>
                <w:p>
                  <w:pPr>
                    <w:spacing w:line="240" w:lineRule="auto"/>
                    <w:jc w:val="center"/>
                    <w:rPr>
                      <w:rFonts w:eastAsia="新宋体"/>
                      <w:bCs/>
                      <w:sz w:val="21"/>
                      <w:szCs w:val="21"/>
                    </w:rPr>
                  </w:pPr>
                  <w:r>
                    <w:rPr>
                      <w:rFonts w:hint="eastAsia" w:eastAsia="新宋体"/>
                      <w:bCs/>
                      <w:sz w:val="21"/>
                      <w:szCs w:val="21"/>
                    </w:rPr>
                    <w:t xml:space="preserve">0.0018452 </w:t>
                  </w:r>
                </w:p>
              </w:tc>
              <w:tc>
                <w:tcPr>
                  <w:tcW w:w="1721" w:type="dxa"/>
                  <w:vAlign w:val="center"/>
                </w:tcPr>
                <w:p>
                  <w:pPr>
                    <w:spacing w:line="240" w:lineRule="auto"/>
                    <w:jc w:val="center"/>
                    <w:rPr>
                      <w:rFonts w:eastAsia="新宋体"/>
                      <w:bCs/>
                      <w:sz w:val="21"/>
                      <w:szCs w:val="21"/>
                    </w:rPr>
                  </w:pPr>
                  <w:r>
                    <w:rPr>
                      <w:rFonts w:hint="eastAsia" w:eastAsia="新宋体"/>
                      <w:bCs/>
                      <w:sz w:val="21"/>
                      <w:szCs w:val="21"/>
                    </w:rPr>
                    <w:t>0</w:t>
                  </w:r>
                  <w:r>
                    <w:rPr>
                      <w:rFonts w:eastAsia="新宋体"/>
                      <w:bCs/>
                      <w:sz w:val="21"/>
                      <w:szCs w:val="21"/>
                    </w:rPr>
                    <w:t>.62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857" w:type="dxa"/>
                  <w:vMerge w:val="continue"/>
                  <w:vAlign w:val="center"/>
                </w:tcPr>
                <w:p>
                  <w:pPr>
                    <w:spacing w:line="240" w:lineRule="auto"/>
                    <w:jc w:val="center"/>
                    <w:rPr>
                      <w:rFonts w:eastAsia="新宋体"/>
                      <w:bCs/>
                      <w:sz w:val="21"/>
                      <w:szCs w:val="21"/>
                    </w:rPr>
                  </w:pPr>
                </w:p>
              </w:tc>
              <w:tc>
                <w:tcPr>
                  <w:tcW w:w="1239" w:type="dxa"/>
                  <w:vMerge w:val="continue"/>
                  <w:vAlign w:val="center"/>
                </w:tcPr>
                <w:p>
                  <w:pPr>
                    <w:spacing w:line="240" w:lineRule="auto"/>
                    <w:jc w:val="center"/>
                    <w:rPr>
                      <w:rFonts w:eastAsia="新宋体"/>
                      <w:bCs/>
                      <w:sz w:val="21"/>
                      <w:szCs w:val="21"/>
                    </w:rPr>
                  </w:pPr>
                </w:p>
              </w:tc>
              <w:tc>
                <w:tcPr>
                  <w:tcW w:w="1157" w:type="dxa"/>
                  <w:vAlign w:val="center"/>
                </w:tcPr>
                <w:p>
                  <w:pPr>
                    <w:spacing w:line="240" w:lineRule="auto"/>
                    <w:jc w:val="center"/>
                    <w:rPr>
                      <w:rFonts w:eastAsia="新宋体"/>
                      <w:bCs/>
                      <w:sz w:val="21"/>
                      <w:szCs w:val="21"/>
                    </w:rPr>
                  </w:pPr>
                  <w:r>
                    <w:rPr>
                      <w:rFonts w:eastAsia="新宋体"/>
                      <w:bCs/>
                      <w:sz w:val="21"/>
                      <w:szCs w:val="21"/>
                    </w:rPr>
                    <w:t>BOD</w:t>
                  </w:r>
                  <w:r>
                    <w:rPr>
                      <w:rFonts w:eastAsia="新宋体"/>
                      <w:bCs/>
                      <w:sz w:val="21"/>
                      <w:szCs w:val="21"/>
                      <w:vertAlign w:val="subscript"/>
                    </w:rPr>
                    <w:t>5</w:t>
                  </w:r>
                </w:p>
              </w:tc>
              <w:tc>
                <w:tcPr>
                  <w:tcW w:w="1661" w:type="dxa"/>
                  <w:vAlign w:val="center"/>
                </w:tcPr>
                <w:p>
                  <w:pPr>
                    <w:spacing w:line="240" w:lineRule="auto"/>
                    <w:jc w:val="center"/>
                    <w:rPr>
                      <w:rFonts w:eastAsia="新宋体"/>
                      <w:bCs/>
                      <w:sz w:val="21"/>
                      <w:szCs w:val="21"/>
                    </w:rPr>
                  </w:pPr>
                  <w:r>
                    <w:rPr>
                      <w:rFonts w:hint="eastAsia" w:eastAsia="新宋体"/>
                      <w:bCs/>
                      <w:sz w:val="21"/>
                      <w:szCs w:val="21"/>
                    </w:rPr>
                    <w:t xml:space="preserve">81.6 </w:t>
                  </w:r>
                </w:p>
              </w:tc>
              <w:tc>
                <w:tcPr>
                  <w:tcW w:w="1802" w:type="dxa"/>
                  <w:vAlign w:val="center"/>
                </w:tcPr>
                <w:p>
                  <w:pPr>
                    <w:spacing w:line="240" w:lineRule="auto"/>
                    <w:jc w:val="center"/>
                    <w:rPr>
                      <w:rFonts w:eastAsia="新宋体"/>
                      <w:bCs/>
                      <w:sz w:val="21"/>
                      <w:szCs w:val="21"/>
                    </w:rPr>
                  </w:pPr>
                  <w:r>
                    <w:rPr>
                      <w:rFonts w:hint="eastAsia" w:eastAsia="新宋体"/>
                      <w:bCs/>
                      <w:sz w:val="21"/>
                      <w:szCs w:val="21"/>
                    </w:rPr>
                    <w:t xml:space="preserve">0.0008542 </w:t>
                  </w:r>
                </w:p>
              </w:tc>
              <w:tc>
                <w:tcPr>
                  <w:tcW w:w="1721" w:type="dxa"/>
                  <w:vAlign w:val="center"/>
                </w:tcPr>
                <w:p>
                  <w:pPr>
                    <w:spacing w:line="240" w:lineRule="auto"/>
                    <w:jc w:val="center"/>
                    <w:rPr>
                      <w:rFonts w:eastAsia="新宋体"/>
                      <w:bCs/>
                      <w:sz w:val="21"/>
                      <w:szCs w:val="21"/>
                    </w:rPr>
                  </w:pPr>
                  <w:r>
                    <w:rPr>
                      <w:rFonts w:hint="eastAsia" w:eastAsia="新宋体"/>
                      <w:bCs/>
                      <w:sz w:val="21"/>
                      <w:szCs w:val="21"/>
                    </w:rPr>
                    <w:t>0</w:t>
                  </w:r>
                  <w:r>
                    <w:rPr>
                      <w:rFonts w:eastAsia="新宋体"/>
                      <w:bCs/>
                      <w:sz w:val="21"/>
                      <w:szCs w:val="21"/>
                    </w:rPr>
                    <w:t>.287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857" w:type="dxa"/>
                  <w:vMerge w:val="continue"/>
                  <w:vAlign w:val="center"/>
                </w:tcPr>
                <w:p>
                  <w:pPr>
                    <w:spacing w:line="240" w:lineRule="auto"/>
                    <w:jc w:val="center"/>
                    <w:rPr>
                      <w:rFonts w:eastAsia="新宋体"/>
                      <w:bCs/>
                      <w:sz w:val="21"/>
                      <w:szCs w:val="21"/>
                    </w:rPr>
                  </w:pPr>
                </w:p>
              </w:tc>
              <w:tc>
                <w:tcPr>
                  <w:tcW w:w="1239" w:type="dxa"/>
                  <w:vMerge w:val="continue"/>
                  <w:vAlign w:val="center"/>
                </w:tcPr>
                <w:p>
                  <w:pPr>
                    <w:spacing w:line="240" w:lineRule="auto"/>
                    <w:jc w:val="center"/>
                    <w:rPr>
                      <w:rFonts w:eastAsia="新宋体"/>
                      <w:bCs/>
                      <w:sz w:val="21"/>
                      <w:szCs w:val="21"/>
                    </w:rPr>
                  </w:pPr>
                </w:p>
              </w:tc>
              <w:tc>
                <w:tcPr>
                  <w:tcW w:w="1157" w:type="dxa"/>
                  <w:vAlign w:val="center"/>
                </w:tcPr>
                <w:p>
                  <w:pPr>
                    <w:spacing w:line="240" w:lineRule="auto"/>
                    <w:jc w:val="center"/>
                    <w:rPr>
                      <w:rFonts w:eastAsia="新宋体"/>
                      <w:bCs/>
                      <w:sz w:val="21"/>
                      <w:szCs w:val="21"/>
                    </w:rPr>
                  </w:pPr>
                  <w:r>
                    <w:rPr>
                      <w:rFonts w:eastAsia="新宋体"/>
                      <w:bCs/>
                      <w:sz w:val="21"/>
                      <w:szCs w:val="21"/>
                    </w:rPr>
                    <w:t>氨氮</w:t>
                  </w:r>
                </w:p>
              </w:tc>
              <w:tc>
                <w:tcPr>
                  <w:tcW w:w="1661" w:type="dxa"/>
                  <w:vAlign w:val="center"/>
                </w:tcPr>
                <w:p>
                  <w:pPr>
                    <w:spacing w:line="240" w:lineRule="auto"/>
                    <w:jc w:val="center"/>
                    <w:rPr>
                      <w:rFonts w:eastAsia="新宋体"/>
                      <w:bCs/>
                      <w:sz w:val="21"/>
                      <w:szCs w:val="21"/>
                    </w:rPr>
                  </w:pPr>
                  <w:r>
                    <w:rPr>
                      <w:rFonts w:hint="eastAsia" w:eastAsia="新宋体"/>
                      <w:bCs/>
                      <w:sz w:val="21"/>
                      <w:szCs w:val="21"/>
                    </w:rPr>
                    <w:t xml:space="preserve">19.3 </w:t>
                  </w:r>
                </w:p>
              </w:tc>
              <w:tc>
                <w:tcPr>
                  <w:tcW w:w="1802" w:type="dxa"/>
                  <w:vAlign w:val="center"/>
                </w:tcPr>
                <w:p>
                  <w:pPr>
                    <w:spacing w:line="240" w:lineRule="auto"/>
                    <w:jc w:val="center"/>
                    <w:rPr>
                      <w:rFonts w:eastAsia="新宋体"/>
                      <w:bCs/>
                      <w:sz w:val="21"/>
                      <w:szCs w:val="21"/>
                    </w:rPr>
                  </w:pPr>
                  <w:r>
                    <w:rPr>
                      <w:rFonts w:hint="eastAsia" w:eastAsia="新宋体"/>
                      <w:bCs/>
                      <w:sz w:val="21"/>
                      <w:szCs w:val="21"/>
                    </w:rPr>
                    <w:t xml:space="preserve">0.0002024 </w:t>
                  </w:r>
                </w:p>
              </w:tc>
              <w:tc>
                <w:tcPr>
                  <w:tcW w:w="1721" w:type="dxa"/>
                  <w:vAlign w:val="center"/>
                </w:tcPr>
                <w:p>
                  <w:pPr>
                    <w:spacing w:line="240" w:lineRule="auto"/>
                    <w:jc w:val="center"/>
                    <w:rPr>
                      <w:rFonts w:eastAsia="新宋体"/>
                      <w:bCs/>
                      <w:sz w:val="21"/>
                      <w:szCs w:val="21"/>
                    </w:rPr>
                  </w:pPr>
                  <w:r>
                    <w:rPr>
                      <w:rFonts w:hint="eastAsia" w:eastAsia="新宋体"/>
                      <w:bCs/>
                      <w:sz w:val="21"/>
                      <w:szCs w:val="21"/>
                    </w:rPr>
                    <w:t>0</w:t>
                  </w:r>
                  <w:r>
                    <w:rPr>
                      <w:rFonts w:eastAsia="新宋体"/>
                      <w:bCs/>
                      <w:sz w:val="21"/>
                      <w:szCs w:val="21"/>
                    </w:rPr>
                    <w:t>.068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857" w:type="dxa"/>
                  <w:vMerge w:val="continue"/>
                  <w:vAlign w:val="center"/>
                </w:tcPr>
                <w:p>
                  <w:pPr>
                    <w:spacing w:line="240" w:lineRule="auto"/>
                    <w:jc w:val="center"/>
                    <w:rPr>
                      <w:rFonts w:eastAsia="新宋体"/>
                      <w:bCs/>
                      <w:sz w:val="21"/>
                      <w:szCs w:val="21"/>
                    </w:rPr>
                  </w:pPr>
                </w:p>
              </w:tc>
              <w:tc>
                <w:tcPr>
                  <w:tcW w:w="1239" w:type="dxa"/>
                  <w:vMerge w:val="continue"/>
                  <w:vAlign w:val="center"/>
                </w:tcPr>
                <w:p>
                  <w:pPr>
                    <w:spacing w:line="240" w:lineRule="auto"/>
                    <w:jc w:val="center"/>
                    <w:rPr>
                      <w:rFonts w:eastAsia="新宋体"/>
                      <w:bCs/>
                      <w:sz w:val="21"/>
                      <w:szCs w:val="21"/>
                    </w:rPr>
                  </w:pPr>
                </w:p>
              </w:tc>
              <w:tc>
                <w:tcPr>
                  <w:tcW w:w="1157" w:type="dxa"/>
                  <w:vAlign w:val="center"/>
                </w:tcPr>
                <w:p>
                  <w:pPr>
                    <w:spacing w:line="240" w:lineRule="auto"/>
                    <w:jc w:val="center"/>
                    <w:rPr>
                      <w:rFonts w:eastAsia="新宋体"/>
                      <w:bCs/>
                      <w:sz w:val="21"/>
                      <w:szCs w:val="21"/>
                    </w:rPr>
                  </w:pPr>
                  <w:r>
                    <w:rPr>
                      <w:rFonts w:hint="eastAsia" w:eastAsia="新宋体"/>
                      <w:bCs/>
                      <w:sz w:val="21"/>
                      <w:szCs w:val="21"/>
                    </w:rPr>
                    <w:t>石油类</w:t>
                  </w:r>
                </w:p>
              </w:tc>
              <w:tc>
                <w:tcPr>
                  <w:tcW w:w="1661" w:type="dxa"/>
                  <w:vAlign w:val="center"/>
                </w:tcPr>
                <w:p>
                  <w:pPr>
                    <w:spacing w:line="240" w:lineRule="auto"/>
                    <w:jc w:val="center"/>
                    <w:rPr>
                      <w:rFonts w:eastAsia="新宋体"/>
                      <w:bCs/>
                      <w:sz w:val="21"/>
                      <w:szCs w:val="21"/>
                    </w:rPr>
                  </w:pPr>
                  <w:r>
                    <w:rPr>
                      <w:rFonts w:hint="eastAsia" w:eastAsia="新宋体"/>
                      <w:bCs/>
                      <w:sz w:val="21"/>
                      <w:szCs w:val="21"/>
                    </w:rPr>
                    <w:t xml:space="preserve">0.3 </w:t>
                  </w:r>
                </w:p>
              </w:tc>
              <w:tc>
                <w:tcPr>
                  <w:tcW w:w="1802" w:type="dxa"/>
                  <w:vAlign w:val="center"/>
                </w:tcPr>
                <w:p>
                  <w:pPr>
                    <w:spacing w:line="240" w:lineRule="auto"/>
                    <w:jc w:val="center"/>
                    <w:rPr>
                      <w:rFonts w:eastAsia="新宋体"/>
                      <w:bCs/>
                      <w:sz w:val="21"/>
                      <w:szCs w:val="21"/>
                    </w:rPr>
                  </w:pPr>
                  <w:r>
                    <w:rPr>
                      <w:rFonts w:hint="eastAsia" w:eastAsia="新宋体"/>
                      <w:bCs/>
                      <w:sz w:val="21"/>
                      <w:szCs w:val="21"/>
                    </w:rPr>
                    <w:t xml:space="preserve">0.0000030 </w:t>
                  </w:r>
                </w:p>
              </w:tc>
              <w:tc>
                <w:tcPr>
                  <w:tcW w:w="1721" w:type="dxa"/>
                  <w:vAlign w:val="center"/>
                </w:tcPr>
                <w:p>
                  <w:pPr>
                    <w:spacing w:line="240" w:lineRule="auto"/>
                    <w:jc w:val="center"/>
                    <w:rPr>
                      <w:rFonts w:eastAsia="新宋体"/>
                      <w:bCs/>
                      <w:sz w:val="21"/>
                      <w:szCs w:val="21"/>
                    </w:rPr>
                  </w:pPr>
                  <w:r>
                    <w:rPr>
                      <w:rFonts w:hint="eastAsia" w:eastAsia="新宋体"/>
                      <w:bCs/>
                      <w:sz w:val="21"/>
                      <w:szCs w:val="21"/>
                    </w:rPr>
                    <w:t>0</w:t>
                  </w:r>
                  <w:r>
                    <w:rPr>
                      <w:rFonts w:eastAsia="新宋体"/>
                      <w:bCs/>
                      <w:sz w:val="21"/>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857" w:type="dxa"/>
                  <w:vMerge w:val="continue"/>
                  <w:vAlign w:val="center"/>
                </w:tcPr>
                <w:p>
                  <w:pPr>
                    <w:spacing w:line="240" w:lineRule="auto"/>
                    <w:jc w:val="center"/>
                    <w:rPr>
                      <w:rFonts w:eastAsia="新宋体"/>
                      <w:bCs/>
                      <w:sz w:val="21"/>
                      <w:szCs w:val="21"/>
                    </w:rPr>
                  </w:pPr>
                </w:p>
              </w:tc>
              <w:tc>
                <w:tcPr>
                  <w:tcW w:w="1239" w:type="dxa"/>
                  <w:vMerge w:val="continue"/>
                  <w:vAlign w:val="center"/>
                </w:tcPr>
                <w:p>
                  <w:pPr>
                    <w:spacing w:line="240" w:lineRule="auto"/>
                    <w:jc w:val="center"/>
                    <w:rPr>
                      <w:rFonts w:eastAsia="新宋体"/>
                      <w:bCs/>
                      <w:sz w:val="21"/>
                      <w:szCs w:val="21"/>
                    </w:rPr>
                  </w:pPr>
                </w:p>
              </w:tc>
              <w:tc>
                <w:tcPr>
                  <w:tcW w:w="1157" w:type="dxa"/>
                  <w:vAlign w:val="center"/>
                </w:tcPr>
                <w:p>
                  <w:pPr>
                    <w:spacing w:line="240" w:lineRule="auto"/>
                    <w:jc w:val="center"/>
                    <w:rPr>
                      <w:rFonts w:eastAsia="新宋体"/>
                      <w:bCs/>
                      <w:sz w:val="21"/>
                      <w:szCs w:val="21"/>
                    </w:rPr>
                  </w:pPr>
                  <w:r>
                    <w:rPr>
                      <w:rFonts w:eastAsia="新宋体"/>
                      <w:bCs/>
                      <w:sz w:val="21"/>
                      <w:szCs w:val="21"/>
                    </w:rPr>
                    <w:t>SS</w:t>
                  </w:r>
                </w:p>
              </w:tc>
              <w:tc>
                <w:tcPr>
                  <w:tcW w:w="1661" w:type="dxa"/>
                  <w:vAlign w:val="center"/>
                </w:tcPr>
                <w:p>
                  <w:pPr>
                    <w:spacing w:line="240" w:lineRule="auto"/>
                    <w:jc w:val="center"/>
                    <w:rPr>
                      <w:rFonts w:eastAsia="新宋体"/>
                      <w:bCs/>
                      <w:sz w:val="21"/>
                      <w:szCs w:val="21"/>
                    </w:rPr>
                  </w:pPr>
                  <w:r>
                    <w:rPr>
                      <w:rFonts w:hint="eastAsia" w:eastAsia="新宋体"/>
                      <w:bCs/>
                      <w:sz w:val="21"/>
                      <w:szCs w:val="21"/>
                    </w:rPr>
                    <w:t xml:space="preserve">143.9 </w:t>
                  </w:r>
                </w:p>
              </w:tc>
              <w:tc>
                <w:tcPr>
                  <w:tcW w:w="1802" w:type="dxa"/>
                  <w:vAlign w:val="center"/>
                </w:tcPr>
                <w:p>
                  <w:pPr>
                    <w:spacing w:line="240" w:lineRule="auto"/>
                    <w:jc w:val="center"/>
                    <w:rPr>
                      <w:rFonts w:eastAsia="新宋体"/>
                      <w:bCs/>
                      <w:sz w:val="21"/>
                      <w:szCs w:val="21"/>
                    </w:rPr>
                  </w:pPr>
                  <w:r>
                    <w:rPr>
                      <w:rFonts w:hint="eastAsia" w:eastAsia="新宋体"/>
                      <w:bCs/>
                      <w:sz w:val="21"/>
                      <w:szCs w:val="21"/>
                    </w:rPr>
                    <w:t xml:space="preserve">0.0015060 </w:t>
                  </w:r>
                </w:p>
              </w:tc>
              <w:tc>
                <w:tcPr>
                  <w:tcW w:w="1721" w:type="dxa"/>
                  <w:vAlign w:val="center"/>
                </w:tcPr>
                <w:p>
                  <w:pPr>
                    <w:spacing w:line="240" w:lineRule="auto"/>
                    <w:jc w:val="center"/>
                    <w:rPr>
                      <w:rFonts w:eastAsia="新宋体"/>
                      <w:bCs/>
                      <w:sz w:val="21"/>
                      <w:szCs w:val="21"/>
                    </w:rPr>
                  </w:pPr>
                  <w:r>
                    <w:rPr>
                      <w:rFonts w:hint="eastAsia" w:eastAsia="新宋体"/>
                      <w:bCs/>
                      <w:sz w:val="21"/>
                      <w:szCs w:val="21"/>
                    </w:rPr>
                    <w:t>0</w:t>
                  </w:r>
                  <w:r>
                    <w:rPr>
                      <w:rFonts w:eastAsia="新宋体"/>
                      <w:bCs/>
                      <w:sz w:val="21"/>
                      <w:szCs w:val="21"/>
                    </w:rPr>
                    <w:t>.506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2096" w:type="dxa"/>
                  <w:gridSpan w:val="2"/>
                  <w:vMerge w:val="restart"/>
                  <w:vAlign w:val="center"/>
                </w:tcPr>
                <w:p>
                  <w:pPr>
                    <w:spacing w:line="240" w:lineRule="auto"/>
                    <w:jc w:val="center"/>
                    <w:rPr>
                      <w:rFonts w:eastAsia="新宋体"/>
                      <w:bCs/>
                      <w:sz w:val="21"/>
                      <w:szCs w:val="21"/>
                    </w:rPr>
                  </w:pPr>
                  <w:r>
                    <w:rPr>
                      <w:rFonts w:eastAsia="新宋体"/>
                      <w:bCs/>
                      <w:sz w:val="21"/>
                      <w:szCs w:val="21"/>
                    </w:rPr>
                    <w:t>全厂排放口合计</w:t>
                  </w:r>
                </w:p>
              </w:tc>
              <w:tc>
                <w:tcPr>
                  <w:tcW w:w="4620" w:type="dxa"/>
                  <w:gridSpan w:val="3"/>
                  <w:vAlign w:val="center"/>
                </w:tcPr>
                <w:p>
                  <w:pPr>
                    <w:spacing w:line="240" w:lineRule="auto"/>
                    <w:jc w:val="center"/>
                    <w:rPr>
                      <w:rFonts w:eastAsia="新宋体"/>
                      <w:bCs/>
                      <w:sz w:val="21"/>
                      <w:szCs w:val="21"/>
                    </w:rPr>
                  </w:pPr>
                  <w:r>
                    <w:rPr>
                      <w:rFonts w:eastAsia="新宋体"/>
                      <w:bCs/>
                      <w:sz w:val="21"/>
                      <w:szCs w:val="21"/>
                    </w:rPr>
                    <w:t>CODcr</w:t>
                  </w:r>
                </w:p>
              </w:tc>
              <w:tc>
                <w:tcPr>
                  <w:tcW w:w="1721" w:type="dxa"/>
                  <w:vAlign w:val="center"/>
                </w:tcPr>
                <w:p>
                  <w:pPr>
                    <w:spacing w:line="240" w:lineRule="auto"/>
                    <w:jc w:val="center"/>
                    <w:rPr>
                      <w:rFonts w:eastAsia="新宋体"/>
                      <w:bCs/>
                      <w:sz w:val="21"/>
                      <w:szCs w:val="21"/>
                    </w:rPr>
                  </w:pPr>
                  <w:r>
                    <w:rPr>
                      <w:rFonts w:hint="eastAsia" w:eastAsia="新宋体"/>
                      <w:bCs/>
                      <w:sz w:val="21"/>
                      <w:szCs w:val="21"/>
                    </w:rPr>
                    <w:t>0</w:t>
                  </w:r>
                  <w:r>
                    <w:rPr>
                      <w:rFonts w:eastAsia="新宋体"/>
                      <w:bCs/>
                      <w:sz w:val="21"/>
                      <w:szCs w:val="21"/>
                    </w:rPr>
                    <w:t>.62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2096" w:type="dxa"/>
                  <w:gridSpan w:val="2"/>
                  <w:vMerge w:val="continue"/>
                  <w:vAlign w:val="center"/>
                </w:tcPr>
                <w:p>
                  <w:pPr>
                    <w:spacing w:line="240" w:lineRule="auto"/>
                    <w:jc w:val="center"/>
                    <w:rPr>
                      <w:rFonts w:eastAsia="新宋体"/>
                      <w:bCs/>
                      <w:sz w:val="21"/>
                      <w:szCs w:val="21"/>
                    </w:rPr>
                  </w:pPr>
                </w:p>
              </w:tc>
              <w:tc>
                <w:tcPr>
                  <w:tcW w:w="4620" w:type="dxa"/>
                  <w:gridSpan w:val="3"/>
                  <w:vAlign w:val="center"/>
                </w:tcPr>
                <w:p>
                  <w:pPr>
                    <w:spacing w:line="240" w:lineRule="auto"/>
                    <w:jc w:val="center"/>
                    <w:rPr>
                      <w:rFonts w:eastAsia="新宋体"/>
                      <w:bCs/>
                      <w:sz w:val="21"/>
                      <w:szCs w:val="21"/>
                    </w:rPr>
                  </w:pPr>
                  <w:r>
                    <w:rPr>
                      <w:rFonts w:eastAsia="新宋体"/>
                      <w:bCs/>
                      <w:sz w:val="21"/>
                      <w:szCs w:val="21"/>
                    </w:rPr>
                    <w:t>BOD</w:t>
                  </w:r>
                  <w:r>
                    <w:rPr>
                      <w:rFonts w:eastAsia="新宋体"/>
                      <w:bCs/>
                      <w:sz w:val="21"/>
                      <w:szCs w:val="21"/>
                      <w:vertAlign w:val="subscript"/>
                    </w:rPr>
                    <w:t>5</w:t>
                  </w:r>
                </w:p>
              </w:tc>
              <w:tc>
                <w:tcPr>
                  <w:tcW w:w="1721" w:type="dxa"/>
                  <w:vAlign w:val="center"/>
                </w:tcPr>
                <w:p>
                  <w:pPr>
                    <w:spacing w:line="240" w:lineRule="auto"/>
                    <w:jc w:val="center"/>
                    <w:rPr>
                      <w:rFonts w:eastAsia="新宋体"/>
                      <w:bCs/>
                      <w:sz w:val="21"/>
                      <w:szCs w:val="21"/>
                    </w:rPr>
                  </w:pPr>
                  <w:r>
                    <w:rPr>
                      <w:rFonts w:hint="eastAsia" w:eastAsia="新宋体"/>
                      <w:bCs/>
                      <w:sz w:val="21"/>
                      <w:szCs w:val="21"/>
                    </w:rPr>
                    <w:t>0</w:t>
                  </w:r>
                  <w:r>
                    <w:rPr>
                      <w:rFonts w:eastAsia="新宋体"/>
                      <w:bCs/>
                      <w:sz w:val="21"/>
                      <w:szCs w:val="21"/>
                    </w:rPr>
                    <w:t>.287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2096" w:type="dxa"/>
                  <w:gridSpan w:val="2"/>
                  <w:vMerge w:val="continue"/>
                  <w:vAlign w:val="center"/>
                </w:tcPr>
                <w:p>
                  <w:pPr>
                    <w:spacing w:line="240" w:lineRule="auto"/>
                    <w:jc w:val="center"/>
                    <w:rPr>
                      <w:rFonts w:eastAsia="新宋体"/>
                      <w:bCs/>
                      <w:sz w:val="21"/>
                      <w:szCs w:val="21"/>
                    </w:rPr>
                  </w:pPr>
                </w:p>
              </w:tc>
              <w:tc>
                <w:tcPr>
                  <w:tcW w:w="4620" w:type="dxa"/>
                  <w:gridSpan w:val="3"/>
                  <w:vAlign w:val="center"/>
                </w:tcPr>
                <w:p>
                  <w:pPr>
                    <w:spacing w:line="240" w:lineRule="auto"/>
                    <w:jc w:val="center"/>
                    <w:rPr>
                      <w:rFonts w:eastAsia="新宋体"/>
                      <w:bCs/>
                      <w:sz w:val="21"/>
                      <w:szCs w:val="21"/>
                    </w:rPr>
                  </w:pPr>
                  <w:r>
                    <w:rPr>
                      <w:rFonts w:eastAsia="新宋体"/>
                      <w:bCs/>
                      <w:sz w:val="21"/>
                      <w:szCs w:val="21"/>
                    </w:rPr>
                    <w:t>氨氮</w:t>
                  </w:r>
                </w:p>
              </w:tc>
              <w:tc>
                <w:tcPr>
                  <w:tcW w:w="1721" w:type="dxa"/>
                  <w:vAlign w:val="center"/>
                </w:tcPr>
                <w:p>
                  <w:pPr>
                    <w:spacing w:line="240" w:lineRule="auto"/>
                    <w:jc w:val="center"/>
                    <w:rPr>
                      <w:rFonts w:eastAsia="新宋体"/>
                      <w:bCs/>
                      <w:sz w:val="21"/>
                      <w:szCs w:val="21"/>
                    </w:rPr>
                  </w:pPr>
                  <w:r>
                    <w:rPr>
                      <w:rFonts w:hint="eastAsia" w:eastAsia="新宋体"/>
                      <w:bCs/>
                      <w:sz w:val="21"/>
                      <w:szCs w:val="21"/>
                    </w:rPr>
                    <w:t>0</w:t>
                  </w:r>
                  <w:r>
                    <w:rPr>
                      <w:rFonts w:eastAsia="新宋体"/>
                      <w:bCs/>
                      <w:sz w:val="21"/>
                      <w:szCs w:val="21"/>
                    </w:rPr>
                    <w:t>.068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2096" w:type="dxa"/>
                  <w:gridSpan w:val="2"/>
                  <w:vMerge w:val="continue"/>
                  <w:vAlign w:val="center"/>
                </w:tcPr>
                <w:p>
                  <w:pPr>
                    <w:spacing w:line="240" w:lineRule="auto"/>
                    <w:jc w:val="center"/>
                    <w:rPr>
                      <w:rFonts w:eastAsia="新宋体"/>
                      <w:bCs/>
                      <w:sz w:val="21"/>
                      <w:szCs w:val="21"/>
                    </w:rPr>
                  </w:pPr>
                </w:p>
              </w:tc>
              <w:tc>
                <w:tcPr>
                  <w:tcW w:w="4620" w:type="dxa"/>
                  <w:gridSpan w:val="3"/>
                  <w:vAlign w:val="center"/>
                </w:tcPr>
                <w:p>
                  <w:pPr>
                    <w:spacing w:line="240" w:lineRule="auto"/>
                    <w:jc w:val="center"/>
                    <w:rPr>
                      <w:rFonts w:eastAsia="新宋体"/>
                      <w:bCs/>
                      <w:sz w:val="21"/>
                      <w:szCs w:val="21"/>
                    </w:rPr>
                  </w:pPr>
                  <w:r>
                    <w:rPr>
                      <w:rFonts w:hint="eastAsia" w:eastAsia="新宋体"/>
                      <w:bCs/>
                      <w:sz w:val="21"/>
                      <w:szCs w:val="21"/>
                    </w:rPr>
                    <w:t>石油类</w:t>
                  </w:r>
                </w:p>
              </w:tc>
              <w:tc>
                <w:tcPr>
                  <w:tcW w:w="1721" w:type="dxa"/>
                  <w:vAlign w:val="center"/>
                </w:tcPr>
                <w:p>
                  <w:pPr>
                    <w:spacing w:line="240" w:lineRule="auto"/>
                    <w:jc w:val="center"/>
                    <w:rPr>
                      <w:rFonts w:eastAsia="新宋体"/>
                      <w:bCs/>
                      <w:sz w:val="21"/>
                      <w:szCs w:val="21"/>
                    </w:rPr>
                  </w:pPr>
                  <w:r>
                    <w:rPr>
                      <w:rFonts w:hint="eastAsia" w:eastAsia="新宋体"/>
                      <w:bCs/>
                      <w:sz w:val="21"/>
                      <w:szCs w:val="21"/>
                    </w:rPr>
                    <w:t>0</w:t>
                  </w:r>
                  <w:r>
                    <w:rPr>
                      <w:rFonts w:eastAsia="新宋体"/>
                      <w:bCs/>
                      <w:sz w:val="21"/>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2096" w:type="dxa"/>
                  <w:gridSpan w:val="2"/>
                  <w:vMerge w:val="continue"/>
                  <w:vAlign w:val="center"/>
                </w:tcPr>
                <w:p>
                  <w:pPr>
                    <w:spacing w:line="240" w:lineRule="auto"/>
                    <w:jc w:val="center"/>
                    <w:rPr>
                      <w:rFonts w:eastAsia="新宋体"/>
                      <w:bCs/>
                      <w:sz w:val="21"/>
                      <w:szCs w:val="21"/>
                    </w:rPr>
                  </w:pPr>
                </w:p>
              </w:tc>
              <w:tc>
                <w:tcPr>
                  <w:tcW w:w="4620" w:type="dxa"/>
                  <w:gridSpan w:val="3"/>
                  <w:vAlign w:val="center"/>
                </w:tcPr>
                <w:p>
                  <w:pPr>
                    <w:spacing w:line="240" w:lineRule="auto"/>
                    <w:jc w:val="center"/>
                    <w:rPr>
                      <w:rFonts w:eastAsia="新宋体"/>
                      <w:bCs/>
                      <w:sz w:val="21"/>
                      <w:szCs w:val="21"/>
                    </w:rPr>
                  </w:pPr>
                  <w:r>
                    <w:rPr>
                      <w:rFonts w:eastAsia="新宋体"/>
                      <w:bCs/>
                      <w:sz w:val="21"/>
                      <w:szCs w:val="21"/>
                    </w:rPr>
                    <w:t>SS</w:t>
                  </w:r>
                </w:p>
              </w:tc>
              <w:tc>
                <w:tcPr>
                  <w:tcW w:w="1721" w:type="dxa"/>
                  <w:vAlign w:val="center"/>
                </w:tcPr>
                <w:p>
                  <w:pPr>
                    <w:spacing w:line="240" w:lineRule="auto"/>
                    <w:jc w:val="center"/>
                    <w:rPr>
                      <w:rFonts w:eastAsia="新宋体"/>
                      <w:bCs/>
                      <w:sz w:val="21"/>
                      <w:szCs w:val="21"/>
                    </w:rPr>
                  </w:pPr>
                  <w:r>
                    <w:rPr>
                      <w:rFonts w:hint="eastAsia" w:eastAsia="新宋体"/>
                      <w:bCs/>
                      <w:sz w:val="21"/>
                      <w:szCs w:val="21"/>
                    </w:rPr>
                    <w:t>0</w:t>
                  </w:r>
                  <w:r>
                    <w:rPr>
                      <w:rFonts w:eastAsia="新宋体"/>
                      <w:bCs/>
                      <w:sz w:val="21"/>
                      <w:szCs w:val="21"/>
                    </w:rPr>
                    <w:t>.506</w:t>
                  </w:r>
                </w:p>
              </w:tc>
            </w:tr>
          </w:tbl>
          <w:p>
            <w:pPr>
              <w:pStyle w:val="169"/>
              <w:spacing w:line="240" w:lineRule="auto"/>
              <w:rPr>
                <w:rFonts w:hint="default" w:hAnsi="Times New Roman" w:eastAsiaTheme="minorEastAsia"/>
                <w:sz w:val="24"/>
                <w:szCs w:val="24"/>
              </w:rPr>
            </w:pPr>
            <w:r>
              <w:rPr>
                <w:rFonts w:hAnsi="Times New Roman" w:eastAsiaTheme="minorEastAsia"/>
                <w:sz w:val="24"/>
                <w:szCs w:val="24"/>
              </w:rPr>
              <w:t>表4-</w:t>
            </w:r>
            <w:r>
              <w:rPr>
                <w:rFonts w:hint="default" w:hAnsi="Times New Roman" w:eastAsiaTheme="minorEastAsia"/>
                <w:sz w:val="24"/>
                <w:szCs w:val="24"/>
              </w:rPr>
              <w:t>8</w:t>
            </w:r>
            <w:r>
              <w:rPr>
                <w:rFonts w:hAnsi="Times New Roman" w:eastAsiaTheme="minorEastAsia"/>
                <w:sz w:val="24"/>
                <w:szCs w:val="24"/>
              </w:rPr>
              <w:t>（2）</w:t>
            </w:r>
            <w:r>
              <w:rPr>
                <w:rFonts w:hint="default" w:hAnsi="Times New Roman" w:eastAsiaTheme="minorEastAsia"/>
                <w:sz w:val="24"/>
                <w:szCs w:val="24"/>
              </w:rPr>
              <w:t xml:space="preserve"> </w:t>
            </w:r>
            <w:r>
              <w:rPr>
                <w:rFonts w:hAnsi="Times New Roman" w:eastAsiaTheme="minorEastAsia"/>
                <w:sz w:val="24"/>
                <w:szCs w:val="24"/>
              </w:rPr>
              <w:t>远期废水污染物排放信息表</w:t>
            </w:r>
          </w:p>
          <w:tbl>
            <w:tblPr>
              <w:tblStyle w:val="40"/>
              <w:tblW w:w="84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 w:type="dxa"/>
                <w:bottom w:w="0" w:type="dxa"/>
                <w:right w:w="10" w:type="dxa"/>
              </w:tblCellMar>
            </w:tblPr>
            <w:tblGrid>
              <w:gridCol w:w="857"/>
              <w:gridCol w:w="1239"/>
              <w:gridCol w:w="1157"/>
              <w:gridCol w:w="1661"/>
              <w:gridCol w:w="1802"/>
              <w:gridCol w:w="17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857" w:type="dxa"/>
                  <w:vAlign w:val="center"/>
                </w:tcPr>
                <w:p>
                  <w:pPr>
                    <w:spacing w:line="240" w:lineRule="auto"/>
                    <w:jc w:val="center"/>
                    <w:rPr>
                      <w:rFonts w:eastAsia="新宋体"/>
                      <w:b/>
                      <w:sz w:val="21"/>
                      <w:szCs w:val="21"/>
                    </w:rPr>
                  </w:pPr>
                  <w:r>
                    <w:rPr>
                      <w:rFonts w:eastAsia="新宋体"/>
                      <w:b/>
                      <w:sz w:val="21"/>
                      <w:szCs w:val="21"/>
                    </w:rPr>
                    <w:t>序号</w:t>
                  </w:r>
                </w:p>
              </w:tc>
              <w:tc>
                <w:tcPr>
                  <w:tcW w:w="1239" w:type="dxa"/>
                  <w:vAlign w:val="center"/>
                </w:tcPr>
                <w:p>
                  <w:pPr>
                    <w:spacing w:line="240" w:lineRule="auto"/>
                    <w:jc w:val="center"/>
                    <w:rPr>
                      <w:rFonts w:eastAsia="新宋体"/>
                      <w:b/>
                      <w:sz w:val="21"/>
                      <w:szCs w:val="21"/>
                    </w:rPr>
                  </w:pPr>
                  <w:r>
                    <w:rPr>
                      <w:rFonts w:eastAsia="新宋体"/>
                      <w:b/>
                      <w:sz w:val="21"/>
                      <w:szCs w:val="21"/>
                    </w:rPr>
                    <w:t>排放口编号</w:t>
                  </w:r>
                </w:p>
              </w:tc>
              <w:tc>
                <w:tcPr>
                  <w:tcW w:w="1157" w:type="dxa"/>
                  <w:vAlign w:val="center"/>
                </w:tcPr>
                <w:p>
                  <w:pPr>
                    <w:spacing w:line="240" w:lineRule="auto"/>
                    <w:jc w:val="center"/>
                    <w:rPr>
                      <w:rFonts w:eastAsia="新宋体"/>
                      <w:b/>
                      <w:sz w:val="21"/>
                      <w:szCs w:val="21"/>
                    </w:rPr>
                  </w:pPr>
                  <w:r>
                    <w:rPr>
                      <w:rFonts w:eastAsia="新宋体"/>
                      <w:b/>
                      <w:sz w:val="21"/>
                      <w:szCs w:val="21"/>
                    </w:rPr>
                    <w:t>污染物种类</w:t>
                  </w:r>
                </w:p>
              </w:tc>
              <w:tc>
                <w:tcPr>
                  <w:tcW w:w="1661" w:type="dxa"/>
                  <w:vAlign w:val="center"/>
                </w:tcPr>
                <w:p>
                  <w:pPr>
                    <w:spacing w:line="240" w:lineRule="auto"/>
                    <w:jc w:val="center"/>
                    <w:rPr>
                      <w:rFonts w:eastAsia="新宋体"/>
                      <w:b/>
                      <w:sz w:val="21"/>
                      <w:szCs w:val="21"/>
                    </w:rPr>
                  </w:pPr>
                  <w:r>
                    <w:rPr>
                      <w:rFonts w:eastAsia="新宋体"/>
                      <w:b/>
                      <w:sz w:val="21"/>
                      <w:szCs w:val="21"/>
                    </w:rPr>
                    <w:t>排放浓度/ (mg/L)</w:t>
                  </w:r>
                </w:p>
              </w:tc>
              <w:tc>
                <w:tcPr>
                  <w:tcW w:w="1802" w:type="dxa"/>
                  <w:vAlign w:val="center"/>
                </w:tcPr>
                <w:p>
                  <w:pPr>
                    <w:spacing w:line="240" w:lineRule="auto"/>
                    <w:jc w:val="center"/>
                    <w:rPr>
                      <w:rFonts w:eastAsia="新宋体"/>
                      <w:b/>
                      <w:sz w:val="21"/>
                      <w:szCs w:val="21"/>
                    </w:rPr>
                  </w:pPr>
                  <w:r>
                    <w:rPr>
                      <w:rFonts w:eastAsia="新宋体"/>
                      <w:b/>
                      <w:sz w:val="21"/>
                      <w:szCs w:val="21"/>
                    </w:rPr>
                    <w:t>日排放量/ (t/d)</w:t>
                  </w:r>
                </w:p>
              </w:tc>
              <w:tc>
                <w:tcPr>
                  <w:tcW w:w="1721" w:type="dxa"/>
                  <w:vAlign w:val="center"/>
                </w:tcPr>
                <w:p>
                  <w:pPr>
                    <w:spacing w:line="240" w:lineRule="auto"/>
                    <w:jc w:val="center"/>
                    <w:rPr>
                      <w:rFonts w:eastAsia="新宋体"/>
                      <w:b/>
                      <w:sz w:val="21"/>
                      <w:szCs w:val="21"/>
                    </w:rPr>
                  </w:pPr>
                  <w:r>
                    <w:rPr>
                      <w:rFonts w:eastAsia="新宋体"/>
                      <w:b/>
                      <w:sz w:val="21"/>
                      <w:szCs w:val="21"/>
                    </w:rPr>
                    <w:t>年排放量/ (t/a)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857" w:type="dxa"/>
                  <w:vMerge w:val="restart"/>
                  <w:vAlign w:val="center"/>
                </w:tcPr>
                <w:p>
                  <w:pPr>
                    <w:spacing w:line="240" w:lineRule="auto"/>
                    <w:jc w:val="center"/>
                    <w:rPr>
                      <w:rFonts w:eastAsia="新宋体"/>
                      <w:bCs/>
                      <w:sz w:val="21"/>
                      <w:szCs w:val="21"/>
                    </w:rPr>
                  </w:pPr>
                  <w:r>
                    <w:rPr>
                      <w:rFonts w:eastAsia="新宋体"/>
                      <w:bCs/>
                      <w:sz w:val="21"/>
                      <w:szCs w:val="21"/>
                    </w:rPr>
                    <w:t>1</w:t>
                  </w:r>
                </w:p>
              </w:tc>
              <w:tc>
                <w:tcPr>
                  <w:tcW w:w="1239" w:type="dxa"/>
                  <w:vMerge w:val="restart"/>
                  <w:vAlign w:val="center"/>
                </w:tcPr>
                <w:p>
                  <w:pPr>
                    <w:spacing w:line="240" w:lineRule="auto"/>
                    <w:jc w:val="center"/>
                    <w:rPr>
                      <w:rFonts w:eastAsia="新宋体"/>
                      <w:bCs/>
                      <w:sz w:val="21"/>
                      <w:szCs w:val="21"/>
                    </w:rPr>
                  </w:pPr>
                  <w:r>
                    <w:rPr>
                      <w:rFonts w:hint="eastAsia" w:eastAsia="新宋体"/>
                      <w:bCs/>
                      <w:sz w:val="21"/>
                      <w:szCs w:val="21"/>
                    </w:rPr>
                    <w:t>D</w:t>
                  </w:r>
                  <w:r>
                    <w:rPr>
                      <w:rFonts w:eastAsia="新宋体"/>
                      <w:bCs/>
                      <w:sz w:val="21"/>
                      <w:szCs w:val="21"/>
                    </w:rPr>
                    <w:t>W001</w:t>
                  </w:r>
                </w:p>
              </w:tc>
              <w:tc>
                <w:tcPr>
                  <w:tcW w:w="1157" w:type="dxa"/>
                  <w:vAlign w:val="center"/>
                </w:tcPr>
                <w:p>
                  <w:pPr>
                    <w:spacing w:line="240" w:lineRule="auto"/>
                    <w:jc w:val="center"/>
                    <w:rPr>
                      <w:rFonts w:eastAsia="新宋体"/>
                      <w:bCs/>
                      <w:sz w:val="21"/>
                      <w:szCs w:val="21"/>
                    </w:rPr>
                  </w:pPr>
                  <w:r>
                    <w:rPr>
                      <w:rFonts w:eastAsia="新宋体"/>
                      <w:bCs/>
                      <w:sz w:val="21"/>
                      <w:szCs w:val="21"/>
                    </w:rPr>
                    <w:t>CODcr</w:t>
                  </w:r>
                </w:p>
              </w:tc>
              <w:tc>
                <w:tcPr>
                  <w:tcW w:w="1661" w:type="dxa"/>
                  <w:vAlign w:val="center"/>
                </w:tcPr>
                <w:p>
                  <w:pPr>
                    <w:spacing w:line="240" w:lineRule="auto"/>
                    <w:jc w:val="center"/>
                    <w:rPr>
                      <w:rFonts w:eastAsia="新宋体"/>
                      <w:bCs/>
                      <w:sz w:val="21"/>
                      <w:szCs w:val="21"/>
                    </w:rPr>
                  </w:pPr>
                  <w:r>
                    <w:rPr>
                      <w:rFonts w:hint="eastAsia" w:eastAsia="新宋体"/>
                      <w:bCs/>
                      <w:sz w:val="21"/>
                      <w:szCs w:val="21"/>
                    </w:rPr>
                    <w:t>1</w:t>
                  </w:r>
                  <w:r>
                    <w:rPr>
                      <w:rFonts w:eastAsia="新宋体"/>
                      <w:bCs/>
                      <w:sz w:val="21"/>
                      <w:szCs w:val="21"/>
                    </w:rPr>
                    <w:t>80</w:t>
                  </w:r>
                </w:p>
              </w:tc>
              <w:tc>
                <w:tcPr>
                  <w:tcW w:w="1802" w:type="dxa"/>
                  <w:vAlign w:val="center"/>
                </w:tcPr>
                <w:p>
                  <w:pPr>
                    <w:spacing w:line="240" w:lineRule="auto"/>
                    <w:jc w:val="center"/>
                    <w:rPr>
                      <w:rFonts w:eastAsia="新宋体"/>
                      <w:bCs/>
                      <w:sz w:val="21"/>
                      <w:szCs w:val="21"/>
                    </w:rPr>
                  </w:pPr>
                  <w:r>
                    <w:rPr>
                      <w:rFonts w:hint="eastAsia" w:eastAsia="新宋体"/>
                      <w:bCs/>
                      <w:sz w:val="21"/>
                      <w:szCs w:val="21"/>
                    </w:rPr>
                    <w:t xml:space="preserve">0.0018095 </w:t>
                  </w:r>
                </w:p>
              </w:tc>
              <w:tc>
                <w:tcPr>
                  <w:tcW w:w="1721" w:type="dxa"/>
                  <w:vAlign w:val="center"/>
                </w:tcPr>
                <w:p>
                  <w:pPr>
                    <w:spacing w:line="240" w:lineRule="auto"/>
                    <w:jc w:val="center"/>
                    <w:rPr>
                      <w:rFonts w:eastAsia="新宋体"/>
                      <w:bCs/>
                      <w:sz w:val="21"/>
                      <w:szCs w:val="21"/>
                    </w:rPr>
                  </w:pPr>
                  <w:r>
                    <w:rPr>
                      <w:rFonts w:hint="eastAsia" w:eastAsia="新宋体"/>
                      <w:bCs/>
                      <w:sz w:val="21"/>
                      <w:szCs w:val="21"/>
                    </w:rPr>
                    <w:t>0</w:t>
                  </w:r>
                  <w:r>
                    <w:rPr>
                      <w:rFonts w:eastAsia="新宋体"/>
                      <w:bCs/>
                      <w:sz w:val="21"/>
                      <w:szCs w:val="21"/>
                    </w:rPr>
                    <w:t>.608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857" w:type="dxa"/>
                  <w:vMerge w:val="continue"/>
                  <w:vAlign w:val="center"/>
                </w:tcPr>
                <w:p>
                  <w:pPr>
                    <w:spacing w:line="240" w:lineRule="auto"/>
                    <w:jc w:val="center"/>
                    <w:rPr>
                      <w:rFonts w:eastAsia="新宋体"/>
                      <w:bCs/>
                      <w:sz w:val="21"/>
                      <w:szCs w:val="21"/>
                    </w:rPr>
                  </w:pPr>
                </w:p>
              </w:tc>
              <w:tc>
                <w:tcPr>
                  <w:tcW w:w="1239" w:type="dxa"/>
                  <w:vMerge w:val="continue"/>
                  <w:vAlign w:val="center"/>
                </w:tcPr>
                <w:p>
                  <w:pPr>
                    <w:spacing w:line="240" w:lineRule="auto"/>
                    <w:jc w:val="center"/>
                    <w:rPr>
                      <w:rFonts w:eastAsia="新宋体"/>
                      <w:bCs/>
                      <w:sz w:val="21"/>
                      <w:szCs w:val="21"/>
                    </w:rPr>
                  </w:pPr>
                </w:p>
              </w:tc>
              <w:tc>
                <w:tcPr>
                  <w:tcW w:w="1157" w:type="dxa"/>
                  <w:vAlign w:val="center"/>
                </w:tcPr>
                <w:p>
                  <w:pPr>
                    <w:spacing w:line="240" w:lineRule="auto"/>
                    <w:jc w:val="center"/>
                    <w:rPr>
                      <w:rFonts w:eastAsia="新宋体"/>
                      <w:bCs/>
                      <w:sz w:val="21"/>
                      <w:szCs w:val="21"/>
                    </w:rPr>
                  </w:pPr>
                  <w:r>
                    <w:rPr>
                      <w:rFonts w:eastAsia="新宋体"/>
                      <w:bCs/>
                      <w:sz w:val="21"/>
                      <w:szCs w:val="21"/>
                    </w:rPr>
                    <w:t>BOD</w:t>
                  </w:r>
                  <w:r>
                    <w:rPr>
                      <w:rFonts w:eastAsia="新宋体"/>
                      <w:bCs/>
                      <w:sz w:val="21"/>
                      <w:szCs w:val="21"/>
                      <w:vertAlign w:val="subscript"/>
                    </w:rPr>
                    <w:t>5</w:t>
                  </w:r>
                </w:p>
              </w:tc>
              <w:tc>
                <w:tcPr>
                  <w:tcW w:w="1661" w:type="dxa"/>
                  <w:vAlign w:val="center"/>
                </w:tcPr>
                <w:p>
                  <w:pPr>
                    <w:spacing w:line="240" w:lineRule="auto"/>
                    <w:jc w:val="center"/>
                    <w:rPr>
                      <w:rFonts w:eastAsia="新宋体"/>
                      <w:bCs/>
                      <w:sz w:val="21"/>
                      <w:szCs w:val="21"/>
                    </w:rPr>
                  </w:pPr>
                  <w:r>
                    <w:rPr>
                      <w:rFonts w:hint="eastAsia" w:eastAsia="新宋体"/>
                      <w:bCs/>
                      <w:sz w:val="21"/>
                      <w:szCs w:val="21"/>
                    </w:rPr>
                    <w:t>8</w:t>
                  </w:r>
                  <w:r>
                    <w:rPr>
                      <w:rFonts w:eastAsia="新宋体"/>
                      <w:bCs/>
                      <w:sz w:val="21"/>
                      <w:szCs w:val="21"/>
                    </w:rPr>
                    <w:t>5</w:t>
                  </w:r>
                </w:p>
              </w:tc>
              <w:tc>
                <w:tcPr>
                  <w:tcW w:w="1802" w:type="dxa"/>
                  <w:vAlign w:val="center"/>
                </w:tcPr>
                <w:p>
                  <w:pPr>
                    <w:spacing w:line="240" w:lineRule="auto"/>
                    <w:jc w:val="center"/>
                    <w:rPr>
                      <w:rFonts w:eastAsia="新宋体"/>
                      <w:bCs/>
                      <w:sz w:val="21"/>
                      <w:szCs w:val="21"/>
                    </w:rPr>
                  </w:pPr>
                  <w:r>
                    <w:rPr>
                      <w:rFonts w:hint="eastAsia" w:eastAsia="新宋体"/>
                      <w:bCs/>
                      <w:sz w:val="21"/>
                      <w:szCs w:val="21"/>
                    </w:rPr>
                    <w:t xml:space="preserve">0.0008542 </w:t>
                  </w:r>
                </w:p>
              </w:tc>
              <w:tc>
                <w:tcPr>
                  <w:tcW w:w="1721" w:type="dxa"/>
                  <w:vAlign w:val="center"/>
                </w:tcPr>
                <w:p>
                  <w:pPr>
                    <w:spacing w:line="240" w:lineRule="auto"/>
                    <w:jc w:val="center"/>
                    <w:rPr>
                      <w:rFonts w:eastAsia="新宋体"/>
                      <w:bCs/>
                      <w:sz w:val="21"/>
                      <w:szCs w:val="21"/>
                    </w:rPr>
                  </w:pPr>
                  <w:r>
                    <w:rPr>
                      <w:rFonts w:hint="eastAsia" w:eastAsia="新宋体"/>
                      <w:bCs/>
                      <w:sz w:val="21"/>
                      <w:szCs w:val="21"/>
                    </w:rPr>
                    <w:t>0</w:t>
                  </w:r>
                  <w:r>
                    <w:rPr>
                      <w:rFonts w:eastAsia="新宋体"/>
                      <w:bCs/>
                      <w:sz w:val="21"/>
                      <w:szCs w:val="21"/>
                    </w:rPr>
                    <w:t>.287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857" w:type="dxa"/>
                  <w:vMerge w:val="continue"/>
                  <w:vAlign w:val="center"/>
                </w:tcPr>
                <w:p>
                  <w:pPr>
                    <w:spacing w:line="240" w:lineRule="auto"/>
                    <w:jc w:val="center"/>
                    <w:rPr>
                      <w:rFonts w:eastAsia="新宋体"/>
                      <w:bCs/>
                      <w:sz w:val="21"/>
                      <w:szCs w:val="21"/>
                    </w:rPr>
                  </w:pPr>
                </w:p>
              </w:tc>
              <w:tc>
                <w:tcPr>
                  <w:tcW w:w="1239" w:type="dxa"/>
                  <w:vMerge w:val="continue"/>
                  <w:vAlign w:val="center"/>
                </w:tcPr>
                <w:p>
                  <w:pPr>
                    <w:spacing w:line="240" w:lineRule="auto"/>
                    <w:jc w:val="center"/>
                    <w:rPr>
                      <w:rFonts w:eastAsia="新宋体"/>
                      <w:bCs/>
                      <w:sz w:val="21"/>
                      <w:szCs w:val="21"/>
                    </w:rPr>
                  </w:pPr>
                </w:p>
              </w:tc>
              <w:tc>
                <w:tcPr>
                  <w:tcW w:w="1157" w:type="dxa"/>
                  <w:vAlign w:val="center"/>
                </w:tcPr>
                <w:p>
                  <w:pPr>
                    <w:spacing w:line="240" w:lineRule="auto"/>
                    <w:jc w:val="center"/>
                    <w:rPr>
                      <w:rFonts w:eastAsia="新宋体"/>
                      <w:bCs/>
                      <w:sz w:val="21"/>
                      <w:szCs w:val="21"/>
                    </w:rPr>
                  </w:pPr>
                  <w:r>
                    <w:rPr>
                      <w:rFonts w:eastAsia="新宋体"/>
                      <w:bCs/>
                      <w:sz w:val="21"/>
                      <w:szCs w:val="21"/>
                    </w:rPr>
                    <w:t>氨氮</w:t>
                  </w:r>
                </w:p>
              </w:tc>
              <w:tc>
                <w:tcPr>
                  <w:tcW w:w="1661" w:type="dxa"/>
                  <w:vAlign w:val="center"/>
                </w:tcPr>
                <w:p>
                  <w:pPr>
                    <w:spacing w:line="240" w:lineRule="auto"/>
                    <w:jc w:val="center"/>
                    <w:rPr>
                      <w:rFonts w:eastAsia="新宋体"/>
                      <w:bCs/>
                      <w:sz w:val="21"/>
                      <w:szCs w:val="21"/>
                    </w:rPr>
                  </w:pPr>
                  <w:r>
                    <w:rPr>
                      <w:rFonts w:hint="eastAsia" w:eastAsia="新宋体"/>
                      <w:bCs/>
                      <w:sz w:val="21"/>
                      <w:szCs w:val="21"/>
                    </w:rPr>
                    <w:t>2</w:t>
                  </w:r>
                  <w:r>
                    <w:rPr>
                      <w:rFonts w:eastAsia="新宋体"/>
                      <w:bCs/>
                      <w:sz w:val="21"/>
                      <w:szCs w:val="21"/>
                    </w:rPr>
                    <w:t>0</w:t>
                  </w:r>
                </w:p>
              </w:tc>
              <w:tc>
                <w:tcPr>
                  <w:tcW w:w="1802" w:type="dxa"/>
                  <w:vAlign w:val="center"/>
                </w:tcPr>
                <w:p>
                  <w:pPr>
                    <w:spacing w:line="240" w:lineRule="auto"/>
                    <w:jc w:val="center"/>
                    <w:rPr>
                      <w:rFonts w:eastAsia="新宋体"/>
                      <w:bCs/>
                      <w:sz w:val="21"/>
                      <w:szCs w:val="21"/>
                    </w:rPr>
                  </w:pPr>
                  <w:r>
                    <w:rPr>
                      <w:rFonts w:hint="eastAsia" w:eastAsia="新宋体"/>
                      <w:bCs/>
                      <w:sz w:val="21"/>
                      <w:szCs w:val="21"/>
                    </w:rPr>
                    <w:t xml:space="preserve">0.0002024 </w:t>
                  </w:r>
                </w:p>
              </w:tc>
              <w:tc>
                <w:tcPr>
                  <w:tcW w:w="1721" w:type="dxa"/>
                  <w:vAlign w:val="center"/>
                </w:tcPr>
                <w:p>
                  <w:pPr>
                    <w:spacing w:line="240" w:lineRule="auto"/>
                    <w:jc w:val="center"/>
                    <w:rPr>
                      <w:rFonts w:eastAsia="新宋体"/>
                      <w:bCs/>
                      <w:sz w:val="21"/>
                      <w:szCs w:val="21"/>
                    </w:rPr>
                  </w:pPr>
                  <w:r>
                    <w:rPr>
                      <w:rFonts w:hint="eastAsia" w:eastAsia="新宋体"/>
                      <w:bCs/>
                      <w:sz w:val="21"/>
                      <w:szCs w:val="21"/>
                    </w:rPr>
                    <w:t>0</w:t>
                  </w:r>
                  <w:r>
                    <w:rPr>
                      <w:rFonts w:eastAsia="新宋体"/>
                      <w:bCs/>
                      <w:sz w:val="21"/>
                      <w:szCs w:val="21"/>
                    </w:rPr>
                    <w:t>.068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857" w:type="dxa"/>
                  <w:vMerge w:val="continue"/>
                  <w:vAlign w:val="center"/>
                </w:tcPr>
                <w:p>
                  <w:pPr>
                    <w:spacing w:line="240" w:lineRule="auto"/>
                    <w:jc w:val="center"/>
                    <w:rPr>
                      <w:rFonts w:eastAsia="新宋体"/>
                      <w:bCs/>
                      <w:sz w:val="21"/>
                      <w:szCs w:val="21"/>
                    </w:rPr>
                  </w:pPr>
                </w:p>
              </w:tc>
              <w:tc>
                <w:tcPr>
                  <w:tcW w:w="1239" w:type="dxa"/>
                  <w:vMerge w:val="continue"/>
                  <w:vAlign w:val="center"/>
                </w:tcPr>
                <w:p>
                  <w:pPr>
                    <w:spacing w:line="240" w:lineRule="auto"/>
                    <w:jc w:val="center"/>
                    <w:rPr>
                      <w:rFonts w:eastAsia="新宋体"/>
                      <w:bCs/>
                      <w:sz w:val="21"/>
                      <w:szCs w:val="21"/>
                    </w:rPr>
                  </w:pPr>
                </w:p>
              </w:tc>
              <w:tc>
                <w:tcPr>
                  <w:tcW w:w="1157" w:type="dxa"/>
                  <w:vAlign w:val="center"/>
                </w:tcPr>
                <w:p>
                  <w:pPr>
                    <w:spacing w:line="240" w:lineRule="auto"/>
                    <w:jc w:val="center"/>
                    <w:rPr>
                      <w:rFonts w:eastAsia="新宋体"/>
                      <w:bCs/>
                      <w:sz w:val="21"/>
                      <w:szCs w:val="21"/>
                    </w:rPr>
                  </w:pPr>
                  <w:r>
                    <w:rPr>
                      <w:rFonts w:eastAsia="新宋体"/>
                      <w:bCs/>
                      <w:sz w:val="21"/>
                      <w:szCs w:val="21"/>
                    </w:rPr>
                    <w:t>SS</w:t>
                  </w:r>
                </w:p>
              </w:tc>
              <w:tc>
                <w:tcPr>
                  <w:tcW w:w="1661" w:type="dxa"/>
                  <w:vAlign w:val="center"/>
                </w:tcPr>
                <w:p>
                  <w:pPr>
                    <w:spacing w:line="240" w:lineRule="auto"/>
                    <w:jc w:val="center"/>
                    <w:rPr>
                      <w:rFonts w:eastAsia="新宋体"/>
                      <w:bCs/>
                      <w:sz w:val="21"/>
                      <w:szCs w:val="21"/>
                    </w:rPr>
                  </w:pPr>
                  <w:r>
                    <w:rPr>
                      <w:rFonts w:hint="eastAsia" w:eastAsia="新宋体"/>
                      <w:bCs/>
                      <w:sz w:val="21"/>
                      <w:szCs w:val="21"/>
                    </w:rPr>
                    <w:t>6</w:t>
                  </w:r>
                  <w:r>
                    <w:rPr>
                      <w:rFonts w:eastAsia="新宋体"/>
                      <w:bCs/>
                      <w:sz w:val="21"/>
                      <w:szCs w:val="21"/>
                    </w:rPr>
                    <w:t>0</w:t>
                  </w:r>
                </w:p>
              </w:tc>
              <w:tc>
                <w:tcPr>
                  <w:tcW w:w="1802" w:type="dxa"/>
                  <w:vAlign w:val="center"/>
                </w:tcPr>
                <w:p>
                  <w:pPr>
                    <w:spacing w:line="240" w:lineRule="auto"/>
                    <w:jc w:val="center"/>
                    <w:rPr>
                      <w:rFonts w:eastAsia="新宋体"/>
                      <w:bCs/>
                      <w:sz w:val="21"/>
                      <w:szCs w:val="21"/>
                    </w:rPr>
                  </w:pPr>
                  <w:r>
                    <w:rPr>
                      <w:rFonts w:hint="eastAsia" w:eastAsia="新宋体"/>
                      <w:bCs/>
                      <w:sz w:val="21"/>
                      <w:szCs w:val="21"/>
                    </w:rPr>
                    <w:t xml:space="preserve">0.0006042 </w:t>
                  </w:r>
                </w:p>
              </w:tc>
              <w:tc>
                <w:tcPr>
                  <w:tcW w:w="1721" w:type="dxa"/>
                  <w:vAlign w:val="center"/>
                </w:tcPr>
                <w:p>
                  <w:pPr>
                    <w:spacing w:line="240" w:lineRule="auto"/>
                    <w:jc w:val="center"/>
                    <w:rPr>
                      <w:rFonts w:eastAsia="新宋体"/>
                      <w:bCs/>
                      <w:sz w:val="21"/>
                      <w:szCs w:val="21"/>
                    </w:rPr>
                  </w:pPr>
                  <w:r>
                    <w:rPr>
                      <w:rFonts w:hint="eastAsia" w:eastAsia="新宋体"/>
                      <w:bCs/>
                      <w:sz w:val="21"/>
                      <w:szCs w:val="21"/>
                    </w:rPr>
                    <w:t>0</w:t>
                  </w:r>
                  <w:r>
                    <w:rPr>
                      <w:rFonts w:eastAsia="新宋体"/>
                      <w:bCs/>
                      <w:sz w:val="21"/>
                      <w:szCs w:val="21"/>
                    </w:rPr>
                    <w:t>.203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857" w:type="dxa"/>
                  <w:vMerge w:val="restart"/>
                  <w:vAlign w:val="center"/>
                </w:tcPr>
                <w:p>
                  <w:pPr>
                    <w:spacing w:line="240" w:lineRule="auto"/>
                    <w:jc w:val="center"/>
                    <w:rPr>
                      <w:rFonts w:eastAsia="新宋体"/>
                      <w:bCs/>
                      <w:sz w:val="21"/>
                      <w:szCs w:val="21"/>
                    </w:rPr>
                  </w:pPr>
                  <w:r>
                    <w:rPr>
                      <w:rFonts w:eastAsia="新宋体"/>
                      <w:bCs/>
                      <w:sz w:val="21"/>
                      <w:szCs w:val="21"/>
                    </w:rPr>
                    <w:t>2</w:t>
                  </w:r>
                </w:p>
              </w:tc>
              <w:tc>
                <w:tcPr>
                  <w:tcW w:w="1239" w:type="dxa"/>
                  <w:vMerge w:val="restart"/>
                  <w:vAlign w:val="center"/>
                </w:tcPr>
                <w:p>
                  <w:pPr>
                    <w:spacing w:line="240" w:lineRule="auto"/>
                    <w:jc w:val="center"/>
                    <w:rPr>
                      <w:rFonts w:eastAsia="新宋体"/>
                      <w:bCs/>
                      <w:sz w:val="21"/>
                      <w:szCs w:val="21"/>
                    </w:rPr>
                  </w:pPr>
                  <w:r>
                    <w:rPr>
                      <w:rFonts w:hint="eastAsia" w:eastAsia="新宋体"/>
                      <w:bCs/>
                      <w:sz w:val="21"/>
                      <w:szCs w:val="21"/>
                    </w:rPr>
                    <w:t>D</w:t>
                  </w:r>
                  <w:r>
                    <w:rPr>
                      <w:rFonts w:eastAsia="新宋体"/>
                      <w:bCs/>
                      <w:sz w:val="21"/>
                      <w:szCs w:val="21"/>
                    </w:rPr>
                    <w:t>W002</w:t>
                  </w:r>
                </w:p>
              </w:tc>
              <w:tc>
                <w:tcPr>
                  <w:tcW w:w="1157" w:type="dxa"/>
                  <w:vAlign w:val="center"/>
                </w:tcPr>
                <w:p>
                  <w:pPr>
                    <w:spacing w:line="240" w:lineRule="auto"/>
                    <w:jc w:val="center"/>
                    <w:rPr>
                      <w:rFonts w:eastAsia="新宋体"/>
                      <w:bCs/>
                      <w:sz w:val="21"/>
                      <w:szCs w:val="21"/>
                    </w:rPr>
                  </w:pPr>
                  <w:r>
                    <w:rPr>
                      <w:rFonts w:eastAsia="新宋体"/>
                      <w:bCs/>
                      <w:sz w:val="21"/>
                      <w:szCs w:val="21"/>
                    </w:rPr>
                    <w:t>CODcr</w:t>
                  </w:r>
                </w:p>
              </w:tc>
              <w:tc>
                <w:tcPr>
                  <w:tcW w:w="1661" w:type="dxa"/>
                  <w:vAlign w:val="center"/>
                </w:tcPr>
                <w:p>
                  <w:pPr>
                    <w:spacing w:line="240" w:lineRule="auto"/>
                    <w:jc w:val="center"/>
                    <w:rPr>
                      <w:rFonts w:eastAsia="新宋体"/>
                      <w:bCs/>
                      <w:sz w:val="21"/>
                      <w:szCs w:val="21"/>
                    </w:rPr>
                  </w:pPr>
                  <w:r>
                    <w:rPr>
                      <w:rFonts w:hint="eastAsia" w:eastAsia="新宋体"/>
                      <w:bCs/>
                      <w:sz w:val="21"/>
                      <w:szCs w:val="21"/>
                    </w:rPr>
                    <w:t>8</w:t>
                  </w:r>
                  <w:r>
                    <w:rPr>
                      <w:rFonts w:eastAsia="新宋体"/>
                      <w:bCs/>
                      <w:sz w:val="21"/>
                      <w:szCs w:val="21"/>
                    </w:rPr>
                    <w:t>7.5</w:t>
                  </w:r>
                </w:p>
              </w:tc>
              <w:tc>
                <w:tcPr>
                  <w:tcW w:w="1802" w:type="dxa"/>
                  <w:vAlign w:val="center"/>
                </w:tcPr>
                <w:p>
                  <w:pPr>
                    <w:spacing w:line="240" w:lineRule="auto"/>
                    <w:jc w:val="center"/>
                    <w:rPr>
                      <w:rFonts w:eastAsia="新宋体"/>
                      <w:bCs/>
                      <w:sz w:val="21"/>
                      <w:szCs w:val="21"/>
                    </w:rPr>
                  </w:pPr>
                  <w:r>
                    <w:rPr>
                      <w:rFonts w:hint="eastAsia" w:eastAsia="新宋体"/>
                      <w:bCs/>
                      <w:sz w:val="21"/>
                      <w:szCs w:val="21"/>
                    </w:rPr>
                    <w:t xml:space="preserve">0.0000357 </w:t>
                  </w:r>
                </w:p>
              </w:tc>
              <w:tc>
                <w:tcPr>
                  <w:tcW w:w="1721" w:type="dxa"/>
                  <w:vAlign w:val="center"/>
                </w:tcPr>
                <w:p>
                  <w:pPr>
                    <w:spacing w:line="240" w:lineRule="auto"/>
                    <w:jc w:val="center"/>
                    <w:rPr>
                      <w:rFonts w:eastAsia="新宋体"/>
                      <w:bCs/>
                      <w:sz w:val="21"/>
                      <w:szCs w:val="21"/>
                    </w:rPr>
                  </w:pPr>
                  <w:r>
                    <w:rPr>
                      <w:rFonts w:hint="eastAsia" w:eastAsia="新宋体"/>
                      <w:bCs/>
                      <w:sz w:val="21"/>
                      <w:szCs w:val="21"/>
                    </w:rPr>
                    <w:t>0</w:t>
                  </w:r>
                  <w:r>
                    <w:rPr>
                      <w:rFonts w:eastAsia="新宋体"/>
                      <w:bCs/>
                      <w:sz w:val="21"/>
                      <w:szCs w:val="21"/>
                    </w:rPr>
                    <w:t>.012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857" w:type="dxa"/>
                  <w:vMerge w:val="continue"/>
                  <w:vAlign w:val="center"/>
                </w:tcPr>
                <w:p>
                  <w:pPr>
                    <w:spacing w:line="240" w:lineRule="auto"/>
                    <w:jc w:val="center"/>
                    <w:rPr>
                      <w:rFonts w:eastAsia="新宋体"/>
                      <w:bCs/>
                      <w:sz w:val="21"/>
                      <w:szCs w:val="21"/>
                    </w:rPr>
                  </w:pPr>
                </w:p>
              </w:tc>
              <w:tc>
                <w:tcPr>
                  <w:tcW w:w="1239" w:type="dxa"/>
                  <w:vMerge w:val="continue"/>
                  <w:vAlign w:val="center"/>
                </w:tcPr>
                <w:p>
                  <w:pPr>
                    <w:spacing w:line="240" w:lineRule="auto"/>
                    <w:jc w:val="center"/>
                    <w:rPr>
                      <w:rFonts w:eastAsia="新宋体"/>
                      <w:bCs/>
                      <w:sz w:val="21"/>
                      <w:szCs w:val="21"/>
                    </w:rPr>
                  </w:pPr>
                </w:p>
              </w:tc>
              <w:tc>
                <w:tcPr>
                  <w:tcW w:w="1157" w:type="dxa"/>
                  <w:vAlign w:val="center"/>
                </w:tcPr>
                <w:p>
                  <w:pPr>
                    <w:spacing w:line="240" w:lineRule="auto"/>
                    <w:jc w:val="center"/>
                    <w:rPr>
                      <w:rFonts w:eastAsia="新宋体"/>
                      <w:bCs/>
                      <w:sz w:val="21"/>
                      <w:szCs w:val="21"/>
                    </w:rPr>
                  </w:pPr>
                  <w:r>
                    <w:rPr>
                      <w:rFonts w:eastAsia="新宋体"/>
                      <w:bCs/>
                      <w:sz w:val="21"/>
                      <w:szCs w:val="21"/>
                    </w:rPr>
                    <w:t>SS</w:t>
                  </w:r>
                </w:p>
              </w:tc>
              <w:tc>
                <w:tcPr>
                  <w:tcW w:w="1661" w:type="dxa"/>
                  <w:vAlign w:val="center"/>
                </w:tcPr>
                <w:p>
                  <w:pPr>
                    <w:spacing w:line="240" w:lineRule="auto"/>
                    <w:jc w:val="center"/>
                    <w:rPr>
                      <w:rFonts w:eastAsia="新宋体"/>
                      <w:bCs/>
                      <w:sz w:val="21"/>
                      <w:szCs w:val="21"/>
                    </w:rPr>
                  </w:pPr>
                  <w:r>
                    <w:rPr>
                      <w:rFonts w:hint="eastAsia" w:eastAsia="新宋体"/>
                      <w:bCs/>
                      <w:sz w:val="21"/>
                      <w:szCs w:val="21"/>
                    </w:rPr>
                    <w:t>1</w:t>
                  </w:r>
                  <w:r>
                    <w:rPr>
                      <w:rFonts w:eastAsia="新宋体"/>
                      <w:bCs/>
                      <w:sz w:val="21"/>
                      <w:szCs w:val="21"/>
                    </w:rPr>
                    <w:t>15.4</w:t>
                  </w:r>
                </w:p>
              </w:tc>
              <w:tc>
                <w:tcPr>
                  <w:tcW w:w="1802" w:type="dxa"/>
                  <w:vAlign w:val="center"/>
                </w:tcPr>
                <w:p>
                  <w:pPr>
                    <w:spacing w:line="240" w:lineRule="auto"/>
                    <w:jc w:val="center"/>
                    <w:rPr>
                      <w:rFonts w:eastAsia="新宋体"/>
                      <w:bCs/>
                      <w:sz w:val="21"/>
                      <w:szCs w:val="21"/>
                    </w:rPr>
                  </w:pPr>
                  <w:r>
                    <w:rPr>
                      <w:rFonts w:hint="eastAsia" w:eastAsia="新宋体"/>
                      <w:bCs/>
                      <w:sz w:val="21"/>
                      <w:szCs w:val="21"/>
                    </w:rPr>
                    <w:t xml:space="preserve">0.0000476 </w:t>
                  </w:r>
                </w:p>
              </w:tc>
              <w:tc>
                <w:tcPr>
                  <w:tcW w:w="1721" w:type="dxa"/>
                  <w:vAlign w:val="center"/>
                </w:tcPr>
                <w:p>
                  <w:pPr>
                    <w:spacing w:line="240" w:lineRule="auto"/>
                    <w:jc w:val="center"/>
                    <w:rPr>
                      <w:rFonts w:eastAsia="新宋体"/>
                      <w:bCs/>
                      <w:sz w:val="21"/>
                      <w:szCs w:val="21"/>
                    </w:rPr>
                  </w:pPr>
                  <w:r>
                    <w:rPr>
                      <w:rFonts w:hint="eastAsia" w:eastAsia="新宋体"/>
                      <w:bCs/>
                      <w:sz w:val="21"/>
                      <w:szCs w:val="21"/>
                    </w:rPr>
                    <w:t>0</w:t>
                  </w:r>
                  <w:r>
                    <w:rPr>
                      <w:rFonts w:eastAsia="新宋体"/>
                      <w:bCs/>
                      <w:sz w:val="21"/>
                      <w:szCs w:val="21"/>
                    </w:rPr>
                    <w:t>.016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857" w:type="dxa"/>
                  <w:vMerge w:val="continue"/>
                  <w:vAlign w:val="center"/>
                </w:tcPr>
                <w:p>
                  <w:pPr>
                    <w:spacing w:line="240" w:lineRule="auto"/>
                    <w:jc w:val="center"/>
                    <w:rPr>
                      <w:rFonts w:eastAsia="新宋体"/>
                      <w:bCs/>
                      <w:sz w:val="21"/>
                      <w:szCs w:val="21"/>
                    </w:rPr>
                  </w:pPr>
                </w:p>
              </w:tc>
              <w:tc>
                <w:tcPr>
                  <w:tcW w:w="1239" w:type="dxa"/>
                  <w:vMerge w:val="continue"/>
                  <w:vAlign w:val="center"/>
                </w:tcPr>
                <w:p>
                  <w:pPr>
                    <w:spacing w:line="240" w:lineRule="auto"/>
                    <w:jc w:val="center"/>
                    <w:rPr>
                      <w:rFonts w:eastAsia="新宋体"/>
                      <w:bCs/>
                      <w:sz w:val="21"/>
                      <w:szCs w:val="21"/>
                    </w:rPr>
                  </w:pPr>
                </w:p>
              </w:tc>
              <w:tc>
                <w:tcPr>
                  <w:tcW w:w="1157" w:type="dxa"/>
                  <w:vAlign w:val="center"/>
                </w:tcPr>
                <w:p>
                  <w:pPr>
                    <w:spacing w:line="240" w:lineRule="auto"/>
                    <w:jc w:val="center"/>
                    <w:rPr>
                      <w:rFonts w:eastAsia="新宋体"/>
                      <w:bCs/>
                      <w:sz w:val="21"/>
                      <w:szCs w:val="21"/>
                    </w:rPr>
                  </w:pPr>
                  <w:r>
                    <w:rPr>
                      <w:rFonts w:hint="eastAsia" w:eastAsia="新宋体"/>
                      <w:bCs/>
                      <w:sz w:val="21"/>
                      <w:szCs w:val="21"/>
                    </w:rPr>
                    <w:t>石油类</w:t>
                  </w:r>
                </w:p>
              </w:tc>
              <w:tc>
                <w:tcPr>
                  <w:tcW w:w="1661" w:type="dxa"/>
                  <w:vAlign w:val="center"/>
                </w:tcPr>
                <w:p>
                  <w:pPr>
                    <w:spacing w:line="240" w:lineRule="auto"/>
                    <w:jc w:val="center"/>
                    <w:rPr>
                      <w:rFonts w:eastAsia="新宋体"/>
                      <w:bCs/>
                      <w:sz w:val="21"/>
                      <w:szCs w:val="21"/>
                    </w:rPr>
                  </w:pPr>
                  <w:r>
                    <w:rPr>
                      <w:rFonts w:eastAsia="新宋体"/>
                      <w:bCs/>
                      <w:sz w:val="21"/>
                      <w:szCs w:val="21"/>
                    </w:rPr>
                    <w:t>0.5</w:t>
                  </w:r>
                </w:p>
              </w:tc>
              <w:tc>
                <w:tcPr>
                  <w:tcW w:w="1802" w:type="dxa"/>
                  <w:vAlign w:val="center"/>
                </w:tcPr>
                <w:p>
                  <w:pPr>
                    <w:spacing w:line="240" w:lineRule="auto"/>
                    <w:jc w:val="center"/>
                    <w:rPr>
                      <w:rFonts w:eastAsia="新宋体"/>
                      <w:bCs/>
                      <w:sz w:val="21"/>
                      <w:szCs w:val="21"/>
                    </w:rPr>
                  </w:pPr>
                  <w:r>
                    <w:rPr>
                      <w:rFonts w:hint="eastAsia" w:eastAsia="新宋体"/>
                      <w:bCs/>
                      <w:sz w:val="21"/>
                      <w:szCs w:val="21"/>
                    </w:rPr>
                    <w:t xml:space="preserve">0.0000030 </w:t>
                  </w:r>
                </w:p>
              </w:tc>
              <w:tc>
                <w:tcPr>
                  <w:tcW w:w="1721" w:type="dxa"/>
                  <w:vAlign w:val="center"/>
                </w:tcPr>
                <w:p>
                  <w:pPr>
                    <w:spacing w:line="240" w:lineRule="auto"/>
                    <w:jc w:val="center"/>
                    <w:rPr>
                      <w:rFonts w:eastAsia="新宋体"/>
                      <w:bCs/>
                      <w:sz w:val="21"/>
                      <w:szCs w:val="21"/>
                    </w:rPr>
                  </w:pPr>
                  <w:r>
                    <w:rPr>
                      <w:rFonts w:hint="eastAsia" w:eastAsia="新宋体"/>
                      <w:bCs/>
                      <w:sz w:val="21"/>
                      <w:szCs w:val="21"/>
                    </w:rPr>
                    <w:t>0</w:t>
                  </w:r>
                  <w:r>
                    <w:rPr>
                      <w:rFonts w:eastAsia="新宋体"/>
                      <w:bCs/>
                      <w:sz w:val="21"/>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2096" w:type="dxa"/>
                  <w:gridSpan w:val="2"/>
                  <w:vMerge w:val="restart"/>
                  <w:vAlign w:val="center"/>
                </w:tcPr>
                <w:p>
                  <w:pPr>
                    <w:spacing w:line="240" w:lineRule="auto"/>
                    <w:jc w:val="center"/>
                    <w:rPr>
                      <w:rFonts w:eastAsia="新宋体"/>
                      <w:bCs/>
                      <w:sz w:val="21"/>
                      <w:szCs w:val="21"/>
                    </w:rPr>
                  </w:pPr>
                  <w:r>
                    <w:rPr>
                      <w:rFonts w:eastAsia="新宋体"/>
                      <w:bCs/>
                      <w:sz w:val="21"/>
                      <w:szCs w:val="21"/>
                    </w:rPr>
                    <w:t>全厂排放口合计</w:t>
                  </w:r>
                </w:p>
              </w:tc>
              <w:tc>
                <w:tcPr>
                  <w:tcW w:w="4620" w:type="dxa"/>
                  <w:gridSpan w:val="3"/>
                  <w:vAlign w:val="center"/>
                </w:tcPr>
                <w:p>
                  <w:pPr>
                    <w:spacing w:line="240" w:lineRule="auto"/>
                    <w:jc w:val="center"/>
                    <w:rPr>
                      <w:rFonts w:eastAsia="新宋体"/>
                      <w:bCs/>
                      <w:sz w:val="21"/>
                      <w:szCs w:val="21"/>
                    </w:rPr>
                  </w:pPr>
                  <w:r>
                    <w:rPr>
                      <w:rFonts w:eastAsia="新宋体"/>
                      <w:bCs/>
                      <w:sz w:val="21"/>
                      <w:szCs w:val="21"/>
                    </w:rPr>
                    <w:t>CODcr</w:t>
                  </w:r>
                </w:p>
              </w:tc>
              <w:tc>
                <w:tcPr>
                  <w:tcW w:w="1721" w:type="dxa"/>
                  <w:vAlign w:val="center"/>
                </w:tcPr>
                <w:p>
                  <w:pPr>
                    <w:spacing w:line="240" w:lineRule="auto"/>
                    <w:jc w:val="center"/>
                    <w:rPr>
                      <w:rFonts w:eastAsia="新宋体"/>
                      <w:bCs/>
                      <w:sz w:val="21"/>
                      <w:szCs w:val="21"/>
                    </w:rPr>
                  </w:pPr>
                  <w:r>
                    <w:rPr>
                      <w:rFonts w:hint="eastAsia" w:eastAsia="新宋体"/>
                      <w:bCs/>
                      <w:sz w:val="21"/>
                      <w:szCs w:val="21"/>
                    </w:rPr>
                    <w:t>0</w:t>
                  </w:r>
                  <w:r>
                    <w:rPr>
                      <w:rFonts w:eastAsia="新宋体"/>
                      <w:bCs/>
                      <w:sz w:val="21"/>
                      <w:szCs w:val="21"/>
                    </w:rPr>
                    <w:t>.62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2096" w:type="dxa"/>
                  <w:gridSpan w:val="2"/>
                  <w:vMerge w:val="continue"/>
                  <w:vAlign w:val="center"/>
                </w:tcPr>
                <w:p>
                  <w:pPr>
                    <w:spacing w:line="240" w:lineRule="auto"/>
                    <w:jc w:val="center"/>
                    <w:rPr>
                      <w:rFonts w:eastAsia="新宋体"/>
                      <w:bCs/>
                      <w:sz w:val="21"/>
                      <w:szCs w:val="21"/>
                    </w:rPr>
                  </w:pPr>
                </w:p>
              </w:tc>
              <w:tc>
                <w:tcPr>
                  <w:tcW w:w="4620" w:type="dxa"/>
                  <w:gridSpan w:val="3"/>
                  <w:vAlign w:val="center"/>
                </w:tcPr>
                <w:p>
                  <w:pPr>
                    <w:spacing w:line="240" w:lineRule="auto"/>
                    <w:jc w:val="center"/>
                    <w:rPr>
                      <w:rFonts w:eastAsia="新宋体"/>
                      <w:bCs/>
                      <w:sz w:val="21"/>
                      <w:szCs w:val="21"/>
                    </w:rPr>
                  </w:pPr>
                  <w:r>
                    <w:rPr>
                      <w:rFonts w:eastAsia="新宋体"/>
                      <w:bCs/>
                      <w:sz w:val="21"/>
                      <w:szCs w:val="21"/>
                    </w:rPr>
                    <w:t>BOD</w:t>
                  </w:r>
                  <w:r>
                    <w:rPr>
                      <w:rFonts w:eastAsia="新宋体"/>
                      <w:bCs/>
                      <w:sz w:val="21"/>
                      <w:szCs w:val="21"/>
                      <w:vertAlign w:val="subscript"/>
                    </w:rPr>
                    <w:t>5</w:t>
                  </w:r>
                </w:p>
              </w:tc>
              <w:tc>
                <w:tcPr>
                  <w:tcW w:w="1721" w:type="dxa"/>
                  <w:vAlign w:val="center"/>
                </w:tcPr>
                <w:p>
                  <w:pPr>
                    <w:spacing w:line="240" w:lineRule="auto"/>
                    <w:jc w:val="center"/>
                    <w:rPr>
                      <w:rFonts w:eastAsia="新宋体"/>
                      <w:bCs/>
                      <w:sz w:val="21"/>
                      <w:szCs w:val="21"/>
                    </w:rPr>
                  </w:pPr>
                  <w:r>
                    <w:rPr>
                      <w:rFonts w:hint="eastAsia" w:eastAsia="新宋体"/>
                      <w:bCs/>
                      <w:sz w:val="21"/>
                      <w:szCs w:val="21"/>
                    </w:rPr>
                    <w:t>0</w:t>
                  </w:r>
                  <w:r>
                    <w:rPr>
                      <w:rFonts w:eastAsia="新宋体"/>
                      <w:bCs/>
                      <w:sz w:val="21"/>
                      <w:szCs w:val="21"/>
                    </w:rPr>
                    <w:t>.287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2096" w:type="dxa"/>
                  <w:gridSpan w:val="2"/>
                  <w:vMerge w:val="continue"/>
                  <w:vAlign w:val="center"/>
                </w:tcPr>
                <w:p>
                  <w:pPr>
                    <w:spacing w:line="240" w:lineRule="auto"/>
                    <w:jc w:val="center"/>
                    <w:rPr>
                      <w:rFonts w:eastAsia="新宋体"/>
                      <w:bCs/>
                      <w:sz w:val="21"/>
                      <w:szCs w:val="21"/>
                    </w:rPr>
                  </w:pPr>
                </w:p>
              </w:tc>
              <w:tc>
                <w:tcPr>
                  <w:tcW w:w="4620" w:type="dxa"/>
                  <w:gridSpan w:val="3"/>
                  <w:vAlign w:val="center"/>
                </w:tcPr>
                <w:p>
                  <w:pPr>
                    <w:spacing w:line="240" w:lineRule="auto"/>
                    <w:jc w:val="center"/>
                    <w:rPr>
                      <w:rFonts w:eastAsia="新宋体"/>
                      <w:bCs/>
                      <w:sz w:val="21"/>
                      <w:szCs w:val="21"/>
                    </w:rPr>
                  </w:pPr>
                  <w:r>
                    <w:rPr>
                      <w:rFonts w:eastAsia="新宋体"/>
                      <w:bCs/>
                      <w:sz w:val="21"/>
                      <w:szCs w:val="21"/>
                    </w:rPr>
                    <w:t>氨氮</w:t>
                  </w:r>
                </w:p>
              </w:tc>
              <w:tc>
                <w:tcPr>
                  <w:tcW w:w="1721" w:type="dxa"/>
                  <w:vAlign w:val="center"/>
                </w:tcPr>
                <w:p>
                  <w:pPr>
                    <w:spacing w:line="240" w:lineRule="auto"/>
                    <w:jc w:val="center"/>
                    <w:rPr>
                      <w:rFonts w:eastAsia="新宋体"/>
                      <w:bCs/>
                      <w:sz w:val="21"/>
                      <w:szCs w:val="21"/>
                    </w:rPr>
                  </w:pPr>
                  <w:r>
                    <w:rPr>
                      <w:rFonts w:hint="eastAsia" w:eastAsia="新宋体"/>
                      <w:bCs/>
                      <w:sz w:val="21"/>
                      <w:szCs w:val="21"/>
                    </w:rPr>
                    <w:t>0</w:t>
                  </w:r>
                  <w:r>
                    <w:rPr>
                      <w:rFonts w:eastAsia="新宋体"/>
                      <w:bCs/>
                      <w:sz w:val="21"/>
                      <w:szCs w:val="21"/>
                    </w:rPr>
                    <w:t>.068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2096" w:type="dxa"/>
                  <w:gridSpan w:val="2"/>
                  <w:vMerge w:val="continue"/>
                  <w:vAlign w:val="center"/>
                </w:tcPr>
                <w:p>
                  <w:pPr>
                    <w:spacing w:line="240" w:lineRule="auto"/>
                    <w:jc w:val="center"/>
                    <w:rPr>
                      <w:rFonts w:eastAsia="新宋体"/>
                      <w:bCs/>
                      <w:sz w:val="21"/>
                      <w:szCs w:val="21"/>
                    </w:rPr>
                  </w:pPr>
                </w:p>
              </w:tc>
              <w:tc>
                <w:tcPr>
                  <w:tcW w:w="4620" w:type="dxa"/>
                  <w:gridSpan w:val="3"/>
                  <w:vAlign w:val="center"/>
                </w:tcPr>
                <w:p>
                  <w:pPr>
                    <w:spacing w:line="240" w:lineRule="auto"/>
                    <w:jc w:val="center"/>
                    <w:rPr>
                      <w:rFonts w:eastAsia="新宋体"/>
                      <w:bCs/>
                      <w:sz w:val="21"/>
                      <w:szCs w:val="21"/>
                    </w:rPr>
                  </w:pPr>
                  <w:r>
                    <w:rPr>
                      <w:rFonts w:hint="eastAsia" w:eastAsia="新宋体"/>
                      <w:bCs/>
                      <w:sz w:val="21"/>
                      <w:szCs w:val="21"/>
                    </w:rPr>
                    <w:t>石油类</w:t>
                  </w:r>
                </w:p>
              </w:tc>
              <w:tc>
                <w:tcPr>
                  <w:tcW w:w="1721" w:type="dxa"/>
                  <w:vAlign w:val="center"/>
                </w:tcPr>
                <w:p>
                  <w:pPr>
                    <w:spacing w:line="240" w:lineRule="auto"/>
                    <w:jc w:val="center"/>
                    <w:rPr>
                      <w:rFonts w:eastAsia="新宋体"/>
                      <w:bCs/>
                      <w:sz w:val="21"/>
                      <w:szCs w:val="21"/>
                    </w:rPr>
                  </w:pPr>
                  <w:r>
                    <w:rPr>
                      <w:rFonts w:hint="eastAsia" w:eastAsia="新宋体"/>
                      <w:bCs/>
                      <w:sz w:val="21"/>
                      <w:szCs w:val="21"/>
                    </w:rPr>
                    <w:t>0</w:t>
                  </w:r>
                  <w:r>
                    <w:rPr>
                      <w:rFonts w:eastAsia="新宋体"/>
                      <w:bCs/>
                      <w:sz w:val="21"/>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2096" w:type="dxa"/>
                  <w:gridSpan w:val="2"/>
                  <w:vMerge w:val="continue"/>
                  <w:vAlign w:val="center"/>
                </w:tcPr>
                <w:p>
                  <w:pPr>
                    <w:spacing w:line="240" w:lineRule="auto"/>
                    <w:jc w:val="center"/>
                    <w:rPr>
                      <w:rFonts w:eastAsia="新宋体"/>
                      <w:bCs/>
                      <w:sz w:val="21"/>
                      <w:szCs w:val="21"/>
                    </w:rPr>
                  </w:pPr>
                </w:p>
              </w:tc>
              <w:tc>
                <w:tcPr>
                  <w:tcW w:w="4620" w:type="dxa"/>
                  <w:gridSpan w:val="3"/>
                  <w:vAlign w:val="center"/>
                </w:tcPr>
                <w:p>
                  <w:pPr>
                    <w:spacing w:line="240" w:lineRule="auto"/>
                    <w:jc w:val="center"/>
                    <w:rPr>
                      <w:rFonts w:eastAsia="新宋体"/>
                      <w:bCs/>
                      <w:sz w:val="21"/>
                      <w:szCs w:val="21"/>
                    </w:rPr>
                  </w:pPr>
                  <w:r>
                    <w:rPr>
                      <w:rFonts w:eastAsia="新宋体"/>
                      <w:bCs/>
                      <w:sz w:val="21"/>
                      <w:szCs w:val="21"/>
                    </w:rPr>
                    <w:t>SS</w:t>
                  </w:r>
                </w:p>
              </w:tc>
              <w:tc>
                <w:tcPr>
                  <w:tcW w:w="1721" w:type="dxa"/>
                  <w:vAlign w:val="center"/>
                </w:tcPr>
                <w:p>
                  <w:pPr>
                    <w:spacing w:line="240" w:lineRule="auto"/>
                    <w:jc w:val="center"/>
                    <w:rPr>
                      <w:rFonts w:eastAsia="新宋体"/>
                      <w:bCs/>
                      <w:sz w:val="21"/>
                      <w:szCs w:val="21"/>
                    </w:rPr>
                  </w:pPr>
                  <w:r>
                    <w:rPr>
                      <w:rFonts w:hint="eastAsia" w:eastAsia="新宋体"/>
                      <w:bCs/>
                      <w:sz w:val="21"/>
                      <w:szCs w:val="21"/>
                    </w:rPr>
                    <w:t>0</w:t>
                  </w:r>
                  <w:r>
                    <w:rPr>
                      <w:rFonts w:eastAsia="新宋体"/>
                      <w:bCs/>
                      <w:sz w:val="21"/>
                      <w:szCs w:val="21"/>
                    </w:rPr>
                    <w:t>.506</w:t>
                  </w:r>
                </w:p>
              </w:tc>
            </w:tr>
          </w:tbl>
          <w:p>
            <w:pPr>
              <w:pStyle w:val="51"/>
              <w:spacing w:before="0" w:line="360" w:lineRule="auto"/>
              <w:ind w:left="0" w:firstLine="480" w:firstLineChars="200"/>
              <w:outlineLvl w:val="9"/>
              <w:rPr>
                <w:rFonts w:ascii="Times New Roman" w:hAnsi="Times New Roman" w:eastAsia="新宋体"/>
                <w:sz w:val="24"/>
                <w:szCs w:val="24"/>
                <w:lang w:val="en-US"/>
              </w:rPr>
            </w:pPr>
            <w:r>
              <w:rPr>
                <w:rFonts w:hint="eastAsia" w:hAnsi="宋体" w:cs="宋体"/>
                <w:sz w:val="24"/>
                <w:szCs w:val="24"/>
                <w:lang w:val="en-US"/>
              </w:rPr>
              <w:t>②</w:t>
            </w:r>
            <w:r>
              <w:rPr>
                <w:rFonts w:ascii="Times New Roman" w:hAnsi="Times New Roman" w:eastAsia="新宋体"/>
                <w:sz w:val="24"/>
                <w:szCs w:val="24"/>
                <w:lang w:val="en-US"/>
              </w:rPr>
              <w:t>环境影响分析</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项目生活污水排放量为3375m</w:t>
            </w:r>
            <w:r>
              <w:rPr>
                <w:rFonts w:ascii="Times New Roman" w:hAnsi="Times New Roman" w:eastAsia="新宋体"/>
                <w:sz w:val="24"/>
                <w:szCs w:val="24"/>
                <w:vertAlign w:val="superscript"/>
                <w:lang w:val="en-US"/>
              </w:rPr>
              <w:t>3</w:t>
            </w:r>
            <w:r>
              <w:rPr>
                <w:rFonts w:ascii="Times New Roman" w:hAnsi="Times New Roman" w:eastAsia="新宋体"/>
                <w:sz w:val="24"/>
                <w:szCs w:val="24"/>
                <w:lang w:val="en-US"/>
              </w:rPr>
              <w:t>/a，淋雨测试废水排放量为141.12m</w:t>
            </w:r>
            <w:r>
              <w:rPr>
                <w:rFonts w:ascii="Times New Roman" w:hAnsi="Times New Roman" w:eastAsia="新宋体"/>
                <w:sz w:val="24"/>
                <w:szCs w:val="24"/>
                <w:vertAlign w:val="superscript"/>
                <w:lang w:val="en-US"/>
              </w:rPr>
              <w:t>3</w:t>
            </w:r>
            <w:r>
              <w:rPr>
                <w:rFonts w:ascii="Times New Roman" w:hAnsi="Times New Roman" w:eastAsia="新宋体"/>
                <w:sz w:val="24"/>
                <w:szCs w:val="24"/>
                <w:lang w:val="en-US"/>
              </w:rPr>
              <w:t>/a，近期淋雨测试废水与生活污水分别预处理达到河口镇污水处理厂接管标准及广东省《水污染物排放限值》（DB44/26-2001）第二时段三级标准两者较严值后经市政污水管网排入河口镇污水处理厂；远期淋雨测试废水经比亚迪污水处理站预处理达到陆河产业转移工业园工业污水处理厂工业污水处理厂进水水质要求及广东省《水污染物排放限值》（DB44/26-2001）第二时段三级标准的较严值后纳入到陆河产业转移工业园工业污水处理厂污水处理厂处理。河口镇污水处理厂尾水达到</w:t>
            </w:r>
            <w:r>
              <w:rPr>
                <w:rFonts w:ascii="Times New Roman" w:hAnsi="Times New Roman" w:eastAsia="新宋体"/>
                <w:sz w:val="24"/>
                <w:szCs w:val="24"/>
              </w:rPr>
              <w:t>《城镇污水处理厂污染物排放标准》（GB18918-2002）一级标准的A标准和广东省《水污染物排放限值》（DB44/26-2001）第二时段一级标准较严者后排入南北溪，然后汇入螺河</w:t>
            </w:r>
            <w:r>
              <w:rPr>
                <w:rFonts w:ascii="Times New Roman" w:hAnsi="Times New Roman" w:eastAsia="新宋体"/>
                <w:sz w:val="24"/>
                <w:szCs w:val="24"/>
                <w:lang w:val="en-US"/>
              </w:rPr>
              <w:t>，项目运营期产生的废水经过预处理后排入市政污水处理厂处理达标后排放，不会对纳污水体造成明显影响。</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（3）监测要求</w:t>
            </w:r>
          </w:p>
          <w:p>
            <w:pPr>
              <w:pStyle w:val="51"/>
              <w:spacing w:before="0" w:line="360" w:lineRule="auto"/>
              <w:ind w:left="0" w:firstLine="480" w:firstLineChars="200"/>
              <w:outlineLvl w:val="9"/>
            </w:pPr>
            <w:r>
              <w:rPr>
                <w:rFonts w:ascii="Times New Roman" w:hAnsi="Times New Roman" w:eastAsia="新宋体"/>
                <w:sz w:val="24"/>
                <w:szCs w:val="24"/>
                <w:lang w:val="en-US"/>
              </w:rPr>
              <w:t>根据《排污许可证申请与核发技术规范 电池工业》（HJ967-2018）的7.3.3.1废水监测可知，废水监测项目与最低监测频次如下表所示。</w:t>
            </w:r>
          </w:p>
          <w:p>
            <w:pPr>
              <w:pStyle w:val="169"/>
              <w:spacing w:line="240" w:lineRule="auto"/>
              <w:rPr>
                <w:rFonts w:hint="default" w:hAnsi="Times New Roman" w:eastAsiaTheme="minorEastAsia"/>
                <w:sz w:val="24"/>
                <w:szCs w:val="24"/>
              </w:rPr>
            </w:pPr>
            <w:r>
              <w:rPr>
                <w:rFonts w:hAnsi="Times New Roman" w:eastAsiaTheme="minorEastAsia"/>
                <w:sz w:val="24"/>
                <w:szCs w:val="24"/>
              </w:rPr>
              <w:t>表4-</w:t>
            </w:r>
            <w:r>
              <w:rPr>
                <w:rFonts w:hint="default" w:hAnsi="Times New Roman" w:eastAsiaTheme="minorEastAsia"/>
                <w:sz w:val="24"/>
                <w:szCs w:val="24"/>
              </w:rPr>
              <w:t xml:space="preserve">9 </w:t>
            </w:r>
            <w:r>
              <w:rPr>
                <w:rFonts w:hAnsi="Times New Roman" w:eastAsiaTheme="minorEastAsia"/>
                <w:sz w:val="24"/>
                <w:szCs w:val="24"/>
              </w:rPr>
              <w:t>废水监测计划一览表</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1"/>
              <w:gridCol w:w="1419"/>
              <w:gridCol w:w="2078"/>
              <w:gridCol w:w="1244"/>
              <w:gridCol w:w="29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66" w:type="dxa"/>
                  <w:tcBorders>
                    <w:tl2br w:val="nil"/>
                    <w:tr2bl w:val="nil"/>
                  </w:tcBorders>
                  <w:vAlign w:val="center"/>
                </w:tcPr>
                <w:p>
                  <w:pPr>
                    <w:spacing w:line="240" w:lineRule="auto"/>
                    <w:jc w:val="center"/>
                    <w:rPr>
                      <w:rFonts w:eastAsia="新宋体"/>
                      <w:b/>
                      <w:sz w:val="21"/>
                      <w:szCs w:val="21"/>
                    </w:rPr>
                  </w:pPr>
                  <w:r>
                    <w:rPr>
                      <w:rFonts w:eastAsia="新宋体"/>
                      <w:b/>
                      <w:sz w:val="21"/>
                      <w:szCs w:val="21"/>
                    </w:rPr>
                    <w:t>时段</w:t>
                  </w:r>
                </w:p>
              </w:tc>
              <w:tc>
                <w:tcPr>
                  <w:tcW w:w="1491" w:type="dxa"/>
                  <w:tcBorders>
                    <w:tl2br w:val="nil"/>
                    <w:tr2bl w:val="nil"/>
                  </w:tcBorders>
                  <w:vAlign w:val="center"/>
                </w:tcPr>
                <w:p>
                  <w:pPr>
                    <w:spacing w:line="240" w:lineRule="auto"/>
                    <w:jc w:val="center"/>
                    <w:rPr>
                      <w:rFonts w:eastAsia="新宋体"/>
                      <w:b/>
                      <w:sz w:val="21"/>
                      <w:szCs w:val="21"/>
                    </w:rPr>
                  </w:pPr>
                  <w:r>
                    <w:rPr>
                      <w:rFonts w:eastAsia="新宋体"/>
                      <w:b/>
                      <w:sz w:val="21"/>
                      <w:szCs w:val="21"/>
                    </w:rPr>
                    <w:t>监测位置</w:t>
                  </w:r>
                </w:p>
              </w:tc>
              <w:tc>
                <w:tcPr>
                  <w:tcW w:w="2190" w:type="dxa"/>
                  <w:tcBorders>
                    <w:tl2br w:val="nil"/>
                    <w:tr2bl w:val="nil"/>
                  </w:tcBorders>
                  <w:vAlign w:val="center"/>
                </w:tcPr>
                <w:p>
                  <w:pPr>
                    <w:spacing w:line="240" w:lineRule="auto"/>
                    <w:jc w:val="center"/>
                    <w:rPr>
                      <w:rFonts w:eastAsia="新宋体"/>
                      <w:b/>
                      <w:sz w:val="21"/>
                      <w:szCs w:val="21"/>
                    </w:rPr>
                  </w:pPr>
                  <w:r>
                    <w:rPr>
                      <w:rFonts w:eastAsia="新宋体"/>
                      <w:b/>
                      <w:sz w:val="21"/>
                      <w:szCs w:val="21"/>
                    </w:rPr>
                    <w:t>监测项目</w:t>
                  </w:r>
                </w:p>
              </w:tc>
              <w:tc>
                <w:tcPr>
                  <w:tcW w:w="1305" w:type="dxa"/>
                  <w:tcBorders>
                    <w:tl2br w:val="nil"/>
                    <w:tr2bl w:val="nil"/>
                  </w:tcBorders>
                  <w:vAlign w:val="center"/>
                </w:tcPr>
                <w:p>
                  <w:pPr>
                    <w:spacing w:line="240" w:lineRule="auto"/>
                    <w:jc w:val="center"/>
                    <w:rPr>
                      <w:rFonts w:eastAsia="新宋体"/>
                      <w:b/>
                      <w:sz w:val="21"/>
                      <w:szCs w:val="21"/>
                    </w:rPr>
                  </w:pPr>
                  <w:r>
                    <w:rPr>
                      <w:rFonts w:eastAsia="新宋体"/>
                      <w:b/>
                      <w:sz w:val="21"/>
                      <w:szCs w:val="21"/>
                    </w:rPr>
                    <w:t>监测频次</w:t>
                  </w:r>
                </w:p>
              </w:tc>
              <w:tc>
                <w:tcPr>
                  <w:tcW w:w="3123" w:type="dxa"/>
                  <w:tcBorders>
                    <w:tl2br w:val="nil"/>
                    <w:tr2bl w:val="nil"/>
                  </w:tcBorders>
                  <w:vAlign w:val="center"/>
                </w:tcPr>
                <w:p>
                  <w:pPr>
                    <w:spacing w:line="240" w:lineRule="auto"/>
                    <w:jc w:val="center"/>
                    <w:rPr>
                      <w:rFonts w:eastAsia="新宋体"/>
                      <w:b/>
                      <w:sz w:val="21"/>
                      <w:szCs w:val="21"/>
                    </w:rPr>
                  </w:pPr>
                  <w:r>
                    <w:rPr>
                      <w:rFonts w:eastAsia="新宋体"/>
                      <w:b/>
                      <w:sz w:val="21"/>
                      <w:szCs w:val="21"/>
                    </w:rPr>
                    <w:t>执行排放标准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66" w:type="dxa"/>
                  <w:tcBorders>
                    <w:tl2br w:val="nil"/>
                    <w:tr2bl w:val="nil"/>
                  </w:tcBorders>
                  <w:vAlign w:val="center"/>
                </w:tcPr>
                <w:p>
                  <w:pPr>
                    <w:spacing w:line="240" w:lineRule="auto"/>
                    <w:jc w:val="center"/>
                    <w:rPr>
                      <w:rFonts w:eastAsia="新宋体"/>
                      <w:bCs/>
                      <w:sz w:val="21"/>
                      <w:szCs w:val="21"/>
                    </w:rPr>
                  </w:pPr>
                  <w:r>
                    <w:rPr>
                      <w:rFonts w:eastAsia="新宋体"/>
                      <w:bCs/>
                      <w:sz w:val="21"/>
                      <w:szCs w:val="21"/>
                    </w:rPr>
                    <w:t>近期</w:t>
                  </w:r>
                </w:p>
              </w:tc>
              <w:tc>
                <w:tcPr>
                  <w:tcW w:w="1491" w:type="dxa"/>
                  <w:tcBorders>
                    <w:tl2br w:val="nil"/>
                    <w:tr2bl w:val="nil"/>
                  </w:tcBorders>
                  <w:vAlign w:val="center"/>
                </w:tcPr>
                <w:p>
                  <w:pPr>
                    <w:spacing w:line="240" w:lineRule="auto"/>
                    <w:jc w:val="center"/>
                    <w:rPr>
                      <w:rFonts w:eastAsia="新宋体"/>
                      <w:bCs/>
                      <w:sz w:val="21"/>
                      <w:szCs w:val="21"/>
                    </w:rPr>
                  </w:pPr>
                  <w:r>
                    <w:rPr>
                      <w:rFonts w:hint="eastAsia" w:eastAsia="新宋体"/>
                      <w:bCs/>
                      <w:sz w:val="21"/>
                      <w:szCs w:val="21"/>
                    </w:rPr>
                    <w:t>新河工业园区陆河比亚迪汽车厂</w:t>
                  </w:r>
                  <w:r>
                    <w:rPr>
                      <w:rFonts w:eastAsia="新宋体"/>
                      <w:bCs/>
                      <w:sz w:val="21"/>
                      <w:szCs w:val="21"/>
                    </w:rPr>
                    <w:t>废水总排口</w:t>
                  </w:r>
                </w:p>
              </w:tc>
              <w:tc>
                <w:tcPr>
                  <w:tcW w:w="2190" w:type="dxa"/>
                  <w:tcBorders>
                    <w:tl2br w:val="nil"/>
                    <w:tr2bl w:val="nil"/>
                  </w:tcBorders>
                  <w:vAlign w:val="center"/>
                </w:tcPr>
                <w:p>
                  <w:pPr>
                    <w:spacing w:line="240" w:lineRule="auto"/>
                    <w:jc w:val="center"/>
                    <w:rPr>
                      <w:rFonts w:eastAsia="新宋体"/>
                      <w:bCs/>
                      <w:sz w:val="21"/>
                      <w:szCs w:val="21"/>
                    </w:rPr>
                  </w:pPr>
                  <w:r>
                    <w:rPr>
                      <w:rFonts w:eastAsia="新宋体"/>
                      <w:bCs/>
                      <w:sz w:val="21"/>
                      <w:szCs w:val="21"/>
                    </w:rPr>
                    <w:t>pH值、流量、化学需氧量、氨氮、悬浮物、总氮、总磷</w:t>
                  </w:r>
                  <w:r>
                    <w:rPr>
                      <w:rFonts w:hint="eastAsia" w:eastAsia="新宋体"/>
                      <w:bCs/>
                      <w:sz w:val="21"/>
                      <w:szCs w:val="21"/>
                    </w:rPr>
                    <w:t>、石油类</w:t>
                  </w:r>
                </w:p>
              </w:tc>
              <w:tc>
                <w:tcPr>
                  <w:tcW w:w="1305" w:type="dxa"/>
                  <w:tcBorders>
                    <w:tl2br w:val="nil"/>
                    <w:tr2bl w:val="nil"/>
                  </w:tcBorders>
                  <w:vAlign w:val="center"/>
                </w:tcPr>
                <w:p>
                  <w:pPr>
                    <w:spacing w:line="240" w:lineRule="auto"/>
                    <w:jc w:val="center"/>
                    <w:rPr>
                      <w:rFonts w:eastAsia="新宋体"/>
                      <w:bCs/>
                      <w:sz w:val="21"/>
                      <w:szCs w:val="21"/>
                    </w:rPr>
                  </w:pPr>
                  <w:r>
                    <w:rPr>
                      <w:rFonts w:eastAsia="新宋体"/>
                      <w:bCs/>
                      <w:sz w:val="21"/>
                      <w:szCs w:val="21"/>
                    </w:rPr>
                    <w:t>1次/半年</w:t>
                  </w:r>
                </w:p>
              </w:tc>
              <w:tc>
                <w:tcPr>
                  <w:tcW w:w="3123" w:type="dxa"/>
                  <w:tcBorders>
                    <w:tl2br w:val="nil"/>
                    <w:tr2bl w:val="nil"/>
                  </w:tcBorders>
                  <w:vAlign w:val="center"/>
                </w:tcPr>
                <w:p>
                  <w:pPr>
                    <w:spacing w:line="240" w:lineRule="auto"/>
                    <w:jc w:val="center"/>
                    <w:rPr>
                      <w:rFonts w:eastAsia="新宋体"/>
                      <w:bCs/>
                      <w:sz w:val="21"/>
                      <w:szCs w:val="21"/>
                    </w:rPr>
                  </w:pPr>
                  <w:r>
                    <w:rPr>
                      <w:rFonts w:eastAsia="新宋体"/>
                      <w:bCs/>
                      <w:sz w:val="21"/>
                      <w:szCs w:val="21"/>
                    </w:rPr>
                    <w:t>河口镇污水处理厂接管标准及广东省《水污染物排放限值》（DB44/26-2001）第二时段三级标准两者较严值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66" w:type="dxa"/>
                  <w:vMerge w:val="restart"/>
                  <w:tcBorders>
                    <w:tl2br w:val="nil"/>
                    <w:tr2bl w:val="nil"/>
                  </w:tcBorders>
                  <w:vAlign w:val="center"/>
                </w:tcPr>
                <w:p>
                  <w:pPr>
                    <w:spacing w:line="240" w:lineRule="auto"/>
                    <w:jc w:val="center"/>
                    <w:rPr>
                      <w:rFonts w:eastAsia="新宋体"/>
                      <w:bCs/>
                      <w:sz w:val="21"/>
                      <w:szCs w:val="21"/>
                    </w:rPr>
                  </w:pPr>
                  <w:r>
                    <w:rPr>
                      <w:rFonts w:eastAsia="新宋体"/>
                      <w:bCs/>
                      <w:sz w:val="21"/>
                      <w:szCs w:val="21"/>
                    </w:rPr>
                    <w:t>远期</w:t>
                  </w:r>
                </w:p>
              </w:tc>
              <w:tc>
                <w:tcPr>
                  <w:tcW w:w="1491" w:type="dxa"/>
                  <w:tcBorders>
                    <w:tl2br w:val="nil"/>
                    <w:tr2bl w:val="nil"/>
                  </w:tcBorders>
                  <w:vAlign w:val="center"/>
                </w:tcPr>
                <w:p>
                  <w:pPr>
                    <w:spacing w:line="240" w:lineRule="auto"/>
                    <w:jc w:val="center"/>
                    <w:rPr>
                      <w:rFonts w:eastAsia="新宋体"/>
                      <w:bCs/>
                      <w:sz w:val="21"/>
                      <w:szCs w:val="21"/>
                    </w:rPr>
                  </w:pPr>
                  <w:r>
                    <w:rPr>
                      <w:rFonts w:hint="eastAsia" w:eastAsia="新宋体"/>
                      <w:bCs/>
                      <w:sz w:val="21"/>
                      <w:szCs w:val="21"/>
                    </w:rPr>
                    <w:t>新河工业园区陆河比亚迪汽车厂</w:t>
                  </w:r>
                  <w:r>
                    <w:rPr>
                      <w:rFonts w:eastAsia="新宋体"/>
                      <w:bCs/>
                      <w:sz w:val="21"/>
                      <w:szCs w:val="21"/>
                    </w:rPr>
                    <w:t>生产废水排放口</w:t>
                  </w:r>
                </w:p>
              </w:tc>
              <w:tc>
                <w:tcPr>
                  <w:tcW w:w="2190" w:type="dxa"/>
                  <w:tcBorders>
                    <w:tl2br w:val="nil"/>
                    <w:tr2bl w:val="nil"/>
                  </w:tcBorders>
                  <w:vAlign w:val="center"/>
                </w:tcPr>
                <w:p>
                  <w:pPr>
                    <w:spacing w:line="240" w:lineRule="auto"/>
                    <w:jc w:val="center"/>
                    <w:rPr>
                      <w:rFonts w:eastAsia="新宋体"/>
                      <w:bCs/>
                      <w:sz w:val="21"/>
                      <w:szCs w:val="21"/>
                    </w:rPr>
                  </w:pPr>
                  <w:r>
                    <w:rPr>
                      <w:rFonts w:eastAsia="新宋体"/>
                      <w:bCs/>
                      <w:sz w:val="21"/>
                      <w:szCs w:val="21"/>
                    </w:rPr>
                    <w:t>pH值、流量、化学需氧量、氨氮、悬浮物、总氮、总磷</w:t>
                  </w:r>
                  <w:r>
                    <w:rPr>
                      <w:rFonts w:hint="eastAsia" w:eastAsia="新宋体"/>
                      <w:bCs/>
                      <w:sz w:val="21"/>
                      <w:szCs w:val="21"/>
                    </w:rPr>
                    <w:t>、石油类</w:t>
                  </w:r>
                </w:p>
              </w:tc>
              <w:tc>
                <w:tcPr>
                  <w:tcW w:w="1305" w:type="dxa"/>
                  <w:tcBorders>
                    <w:tl2br w:val="nil"/>
                    <w:tr2bl w:val="nil"/>
                  </w:tcBorders>
                  <w:vAlign w:val="center"/>
                </w:tcPr>
                <w:p>
                  <w:pPr>
                    <w:spacing w:line="240" w:lineRule="auto"/>
                    <w:jc w:val="center"/>
                    <w:rPr>
                      <w:rFonts w:eastAsia="新宋体"/>
                      <w:bCs/>
                      <w:sz w:val="21"/>
                      <w:szCs w:val="21"/>
                    </w:rPr>
                  </w:pPr>
                  <w:r>
                    <w:rPr>
                      <w:rFonts w:eastAsia="新宋体"/>
                      <w:bCs/>
                      <w:sz w:val="21"/>
                      <w:szCs w:val="21"/>
                    </w:rPr>
                    <w:t>1次/半年</w:t>
                  </w:r>
                </w:p>
              </w:tc>
              <w:tc>
                <w:tcPr>
                  <w:tcW w:w="3123" w:type="dxa"/>
                  <w:tcBorders>
                    <w:tl2br w:val="nil"/>
                    <w:tr2bl w:val="nil"/>
                  </w:tcBorders>
                  <w:vAlign w:val="center"/>
                </w:tcPr>
                <w:p>
                  <w:pPr>
                    <w:spacing w:line="240" w:lineRule="auto"/>
                    <w:jc w:val="center"/>
                    <w:rPr>
                      <w:rFonts w:eastAsia="新宋体"/>
                      <w:bCs/>
                      <w:sz w:val="21"/>
                      <w:szCs w:val="21"/>
                    </w:rPr>
                  </w:pPr>
                  <w:r>
                    <w:rPr>
                      <w:rFonts w:eastAsia="新宋体"/>
                      <w:bCs/>
                      <w:sz w:val="21"/>
                      <w:szCs w:val="21"/>
                    </w:rPr>
                    <w:t>陆河产业转移工业园工业污水处理厂进水水质要求及广东省《水污染物排放限值》（DB44/26-2001）第二时段三级标准的较严值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66" w:type="dxa"/>
                  <w:vMerge w:val="continue"/>
                  <w:tcBorders>
                    <w:tl2br w:val="nil"/>
                    <w:tr2bl w:val="nil"/>
                  </w:tcBorders>
                  <w:vAlign w:val="center"/>
                </w:tcPr>
                <w:p>
                  <w:pPr>
                    <w:spacing w:line="240" w:lineRule="auto"/>
                    <w:jc w:val="center"/>
                    <w:rPr>
                      <w:rFonts w:eastAsia="新宋体"/>
                      <w:bCs/>
                      <w:sz w:val="21"/>
                      <w:szCs w:val="21"/>
                    </w:rPr>
                  </w:pPr>
                </w:p>
              </w:tc>
              <w:tc>
                <w:tcPr>
                  <w:tcW w:w="1491" w:type="dxa"/>
                  <w:tcBorders>
                    <w:tl2br w:val="nil"/>
                    <w:tr2bl w:val="nil"/>
                  </w:tcBorders>
                  <w:vAlign w:val="center"/>
                </w:tcPr>
                <w:p>
                  <w:pPr>
                    <w:spacing w:line="240" w:lineRule="auto"/>
                    <w:jc w:val="center"/>
                    <w:rPr>
                      <w:rFonts w:eastAsia="新宋体"/>
                      <w:bCs/>
                      <w:sz w:val="21"/>
                      <w:szCs w:val="21"/>
                    </w:rPr>
                  </w:pPr>
                  <w:r>
                    <w:rPr>
                      <w:rFonts w:hint="eastAsia" w:eastAsia="新宋体"/>
                      <w:bCs/>
                      <w:sz w:val="21"/>
                      <w:szCs w:val="21"/>
                    </w:rPr>
                    <w:t>新河工业园区陆河比亚迪汽车厂</w:t>
                  </w:r>
                  <w:r>
                    <w:rPr>
                      <w:rFonts w:eastAsia="新宋体"/>
                      <w:bCs/>
                      <w:sz w:val="21"/>
                      <w:szCs w:val="21"/>
                    </w:rPr>
                    <w:t>生活污水排放口</w:t>
                  </w:r>
                </w:p>
              </w:tc>
              <w:tc>
                <w:tcPr>
                  <w:tcW w:w="6618" w:type="dxa"/>
                  <w:gridSpan w:val="3"/>
                  <w:tcBorders>
                    <w:tl2br w:val="nil"/>
                    <w:tr2bl w:val="nil"/>
                  </w:tcBorders>
                  <w:vAlign w:val="center"/>
                </w:tcPr>
                <w:p>
                  <w:pPr>
                    <w:spacing w:line="240" w:lineRule="auto"/>
                    <w:jc w:val="center"/>
                    <w:rPr>
                      <w:rFonts w:eastAsia="新宋体"/>
                      <w:bCs/>
                      <w:sz w:val="21"/>
                      <w:szCs w:val="21"/>
                    </w:rPr>
                  </w:pPr>
                  <w:r>
                    <w:rPr>
                      <w:rFonts w:eastAsia="新宋体"/>
                      <w:bCs/>
                      <w:sz w:val="21"/>
                      <w:szCs w:val="21"/>
                    </w:rPr>
                    <w:t>单独排向城镇污水集中处理设施的生活污水不需监测</w:t>
                  </w:r>
                </w:p>
              </w:tc>
            </w:tr>
          </w:tbl>
          <w:p>
            <w:pPr>
              <w:pStyle w:val="51"/>
              <w:spacing w:before="0" w:line="360" w:lineRule="auto"/>
              <w:ind w:left="0" w:firstLine="482" w:firstLineChars="200"/>
              <w:outlineLvl w:val="9"/>
              <w:rPr>
                <w:rFonts w:ascii="Times New Roman" w:hAnsi="Times New Roman" w:eastAsia="新宋体"/>
                <w:b/>
                <w:bCs/>
                <w:sz w:val="24"/>
                <w:szCs w:val="24"/>
                <w:lang w:val="en-US"/>
              </w:rPr>
            </w:pPr>
            <w:r>
              <w:rPr>
                <w:rFonts w:ascii="Times New Roman" w:hAnsi="Times New Roman" w:eastAsia="新宋体"/>
                <w:b/>
                <w:bCs/>
                <w:sz w:val="24"/>
                <w:szCs w:val="24"/>
                <w:lang w:val="en-US"/>
              </w:rPr>
              <w:t>（3）废水治理措施可行性分析</w:t>
            </w:r>
          </w:p>
          <w:p>
            <w:pPr>
              <w:pStyle w:val="51"/>
              <w:spacing w:before="0" w:line="360" w:lineRule="auto"/>
              <w:ind w:left="0" w:firstLine="480" w:firstLineChars="200"/>
              <w:outlineLvl w:val="9"/>
              <w:rPr>
                <w:rFonts w:ascii="Times New Roman" w:hAnsi="Times New Roman" w:eastAsia="新宋体"/>
                <w:sz w:val="24"/>
                <w:szCs w:val="24"/>
                <w:lang w:val="en-US"/>
              </w:rPr>
            </w:pPr>
            <w:r>
              <w:rPr>
                <w:rFonts w:hint="eastAsia" w:ascii="Times New Roman" w:hAnsi="Times New Roman" w:eastAsia="新宋体"/>
                <w:sz w:val="24"/>
                <w:szCs w:val="24"/>
                <w:lang w:val="en-US"/>
              </w:rPr>
              <w:t>①</w:t>
            </w:r>
            <w:r>
              <w:rPr>
                <w:rFonts w:ascii="Times New Roman" w:hAnsi="Times New Roman" w:eastAsia="新宋体"/>
                <w:sz w:val="24"/>
                <w:szCs w:val="24"/>
                <w:lang w:val="en-US"/>
              </w:rPr>
              <w:t>淋雨测试废水依托比亚迪污水处理站处理的可行性分析</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比亚迪污水处理站使用废水一体化处理设备对废水进行处理，污水处理站设计处理能力16吨/日，采用厌氧生物处理工艺，具体工艺流程如下：</w:t>
            </w:r>
          </w:p>
          <w:p>
            <w:pPr>
              <w:spacing w:line="240" w:lineRule="auto"/>
              <w:jc w:val="center"/>
              <w:rPr>
                <w:b/>
                <w:sz w:val="21"/>
                <w:szCs w:val="21"/>
              </w:rPr>
            </w:pPr>
            <w:r>
              <w:rPr>
                <w:b/>
                <w:sz w:val="21"/>
                <w:szCs w:val="21"/>
              </w:rPr>
              <w:object>
                <v:shape id="_x0000_i1028" o:spt="75" type="#_x0000_t75" style="height:229.5pt;width:419.25pt;" o:ole="t" filled="f" o:preferrelative="t" stroked="f" coordsize="21600,21600">
                  <v:path/>
                  <v:fill on="f" focussize="0,0"/>
                  <v:stroke on="f" joinstyle="miter"/>
                  <v:imagedata r:id="rId19" o:title=""/>
                  <o:lock v:ext="edit" aspectratio="f"/>
                  <w10:wrap type="none"/>
                  <w10:anchorlock/>
                </v:shape>
                <o:OLEObject Type="Embed" ProgID="Visio.Drawing.11" ShapeID="_x0000_i1028" DrawAspect="Content" ObjectID="_1468075728" r:id="rId18">
                  <o:LockedField>false</o:LockedField>
                </o:OLEObject>
              </w:object>
            </w:r>
          </w:p>
          <w:p>
            <w:pPr>
              <w:pStyle w:val="169"/>
              <w:rPr>
                <w:rFonts w:hint="default" w:hAnsi="Times New Roman" w:eastAsiaTheme="minorEastAsia"/>
                <w:sz w:val="24"/>
                <w:szCs w:val="24"/>
              </w:rPr>
            </w:pPr>
            <w:r>
              <w:rPr>
                <w:rFonts w:hAnsi="Times New Roman" w:eastAsiaTheme="minorEastAsia"/>
                <w:sz w:val="24"/>
                <w:szCs w:val="24"/>
              </w:rPr>
              <w:t>图4-1</w:t>
            </w:r>
            <w:r>
              <w:rPr>
                <w:rFonts w:hint="default" w:hAnsi="Times New Roman" w:eastAsiaTheme="minorEastAsia"/>
                <w:sz w:val="24"/>
                <w:szCs w:val="24"/>
              </w:rPr>
              <w:t xml:space="preserve"> </w:t>
            </w:r>
            <w:r>
              <w:rPr>
                <w:rFonts w:hAnsi="Times New Roman" w:eastAsiaTheme="minorEastAsia"/>
                <w:sz w:val="24"/>
                <w:szCs w:val="24"/>
              </w:rPr>
              <w:t>比亚迪污水处理站工艺流程</w:t>
            </w:r>
          </w:p>
          <w:p>
            <w:pPr>
              <w:pStyle w:val="169"/>
              <w:ind w:firstLine="480" w:firstLineChars="200"/>
              <w:jc w:val="both"/>
              <w:rPr>
                <w:rFonts w:hint="default" w:hAnsi="Times New Roman"/>
                <w:b w:val="0"/>
                <w:bCs w:val="0"/>
                <w:sz w:val="24"/>
                <w:szCs w:val="24"/>
              </w:rPr>
            </w:pPr>
            <w:r>
              <w:rPr>
                <w:rFonts w:hint="default" w:hAnsi="Times New Roman"/>
                <w:b w:val="0"/>
                <w:bCs w:val="0"/>
                <w:sz w:val="24"/>
                <w:szCs w:val="24"/>
              </w:rPr>
              <w:t>厌氧生物处理系统中，厌氧微生物有可能对好氧微生物不能降解的一些有机物进行降解或部分降解，因此，对于含有难降解有机物的废水，可以利用厌氧工艺作为预处理工艺，提高废水的可生化性，提高后续接触氧化处理工艺的处理效果。</w:t>
            </w:r>
          </w:p>
          <w:p>
            <w:pPr>
              <w:pStyle w:val="169"/>
              <w:ind w:firstLine="480" w:firstLineChars="200"/>
              <w:jc w:val="both"/>
              <w:rPr>
                <w:rFonts w:hint="default" w:hAnsi="Times New Roman" w:eastAsia="新宋体"/>
                <w:b w:val="0"/>
                <w:bCs w:val="0"/>
                <w:sz w:val="24"/>
                <w:szCs w:val="24"/>
              </w:rPr>
            </w:pPr>
            <w:r>
              <w:rPr>
                <w:rFonts w:hAnsi="Times New Roman" w:eastAsia="新宋体"/>
                <w:b w:val="0"/>
                <w:bCs w:val="0"/>
                <w:sz w:val="24"/>
                <w:szCs w:val="24"/>
              </w:rPr>
              <w:t>项目淋雨测试废水排放量为141.12m</w:t>
            </w:r>
            <w:r>
              <w:rPr>
                <w:rFonts w:hAnsi="Times New Roman" w:eastAsia="新宋体"/>
                <w:b w:val="0"/>
                <w:bCs w:val="0"/>
                <w:sz w:val="24"/>
                <w:szCs w:val="24"/>
                <w:vertAlign w:val="superscript"/>
              </w:rPr>
              <w:t>3</w:t>
            </w:r>
            <w:r>
              <w:rPr>
                <w:rFonts w:hAnsi="Times New Roman" w:eastAsia="新宋体"/>
                <w:b w:val="0"/>
                <w:bCs w:val="0"/>
                <w:sz w:val="24"/>
                <w:szCs w:val="24"/>
              </w:rPr>
              <w:t>/a（0.42m</w:t>
            </w:r>
            <w:r>
              <w:rPr>
                <w:rFonts w:hAnsi="Times New Roman" w:eastAsia="新宋体"/>
                <w:b w:val="0"/>
                <w:bCs w:val="0"/>
                <w:sz w:val="24"/>
                <w:szCs w:val="24"/>
                <w:vertAlign w:val="superscript"/>
              </w:rPr>
              <w:t>3</w:t>
            </w:r>
            <w:r>
              <w:rPr>
                <w:rFonts w:hAnsi="Times New Roman" w:eastAsia="新宋体"/>
                <w:b w:val="0"/>
                <w:bCs w:val="0"/>
                <w:sz w:val="24"/>
                <w:szCs w:val="24"/>
              </w:rPr>
              <w:t>/d），主要污染物为CODcr、SS、石油类，分析可知，淋雨测试废水排放量小，污染物种类简单，经比亚迪污水处理站处理达到处理可达到河口镇污水处理厂接管标准及广东省《水污染物排放限值》（DB44/26-2001）第二时段三级标准两者较严值；比亚迪污水处理站现有处理余量为10m</w:t>
            </w:r>
            <w:r>
              <w:rPr>
                <w:rFonts w:hAnsi="Times New Roman" w:eastAsia="新宋体"/>
                <w:b w:val="0"/>
                <w:bCs w:val="0"/>
                <w:sz w:val="24"/>
                <w:szCs w:val="24"/>
                <w:vertAlign w:val="superscript"/>
              </w:rPr>
              <w:t>3</w:t>
            </w:r>
            <w:r>
              <w:rPr>
                <w:rFonts w:hAnsi="Times New Roman" w:eastAsia="新宋体"/>
                <w:b w:val="0"/>
                <w:bCs w:val="0"/>
                <w:sz w:val="24"/>
                <w:szCs w:val="24"/>
              </w:rPr>
              <w:t>/d，淋雨测试废水占处理余量约4.2%。</w:t>
            </w:r>
          </w:p>
          <w:p>
            <w:pPr>
              <w:pStyle w:val="169"/>
              <w:ind w:firstLine="480" w:firstLineChars="200"/>
              <w:jc w:val="both"/>
              <w:rPr>
                <w:rFonts w:hint="default" w:hAnsi="Times New Roman" w:eastAsia="新宋体"/>
                <w:b w:val="0"/>
                <w:bCs w:val="0"/>
                <w:sz w:val="24"/>
                <w:szCs w:val="24"/>
              </w:rPr>
            </w:pPr>
            <w:r>
              <w:rPr>
                <w:rFonts w:hAnsi="Times New Roman" w:eastAsia="新宋体"/>
                <w:b w:val="0"/>
                <w:bCs w:val="0"/>
                <w:sz w:val="24"/>
                <w:szCs w:val="24"/>
              </w:rPr>
              <w:t>综上所述，比亚迪污水处理站完全有能力接纳并处理淋雨测试废水。</w:t>
            </w:r>
          </w:p>
          <w:p>
            <w:pPr>
              <w:pStyle w:val="169"/>
              <w:ind w:firstLine="480" w:firstLineChars="200"/>
              <w:jc w:val="both"/>
              <w:rPr>
                <w:rFonts w:hint="default" w:hAnsi="Times New Roman" w:eastAsia="新宋体"/>
                <w:b w:val="0"/>
                <w:bCs w:val="0"/>
                <w:sz w:val="24"/>
                <w:szCs w:val="24"/>
              </w:rPr>
            </w:pPr>
            <w:r>
              <w:rPr>
                <w:rFonts w:hAnsi="Times New Roman" w:eastAsia="新宋体"/>
                <w:b w:val="0"/>
                <w:bCs w:val="0"/>
                <w:sz w:val="24"/>
                <w:szCs w:val="24"/>
              </w:rPr>
              <w:t>②依托河口镇污水处理厂的可行性分析</w:t>
            </w:r>
          </w:p>
          <w:p>
            <w:pPr>
              <w:pStyle w:val="169"/>
              <w:ind w:firstLine="480" w:firstLineChars="200"/>
              <w:jc w:val="both"/>
              <w:rPr>
                <w:rFonts w:hint="default" w:hAnsi="Times New Roman" w:eastAsia="新宋体"/>
                <w:b w:val="0"/>
                <w:bCs w:val="0"/>
                <w:sz w:val="24"/>
                <w:szCs w:val="24"/>
              </w:rPr>
            </w:pPr>
            <w:r>
              <w:rPr>
                <w:rFonts w:hAnsi="Times New Roman" w:eastAsia="新宋体"/>
                <w:b w:val="0"/>
                <w:bCs w:val="0"/>
                <w:sz w:val="24"/>
                <w:szCs w:val="24"/>
              </w:rPr>
              <w:t>陆河县河口镇污水处理厂占地面积为46666平方米，位于陆河县河口镇河口洋，在南北溪汇合处南面河滩附近，为一片较为宽阔的荒地及低洼地，坐标为东经115.6096°，北纬23.1722°，主要收集处理河口镇产生的生活污水。河口镇污水处理厂设计采用A</w:t>
            </w:r>
            <w:r>
              <w:rPr>
                <w:rFonts w:hAnsi="Times New Roman" w:eastAsia="新宋体"/>
                <w:b w:val="0"/>
                <w:bCs w:val="0"/>
                <w:sz w:val="24"/>
                <w:szCs w:val="24"/>
                <w:vertAlign w:val="superscript"/>
              </w:rPr>
              <w:t>2</w:t>
            </w:r>
            <w:r>
              <w:rPr>
                <w:rFonts w:hAnsi="Times New Roman" w:eastAsia="新宋体"/>
                <w:b w:val="0"/>
                <w:bCs w:val="0"/>
                <w:sz w:val="24"/>
                <w:szCs w:val="24"/>
              </w:rPr>
              <w:t>/O污水处理工艺，其污水处理工艺流程见下图：</w:t>
            </w:r>
          </w:p>
          <w:p>
            <w:pPr>
              <w:jc w:val="center"/>
              <w:rPr>
                <w:sz w:val="21"/>
                <w:szCs w:val="21"/>
              </w:rPr>
            </w:pPr>
            <w:r>
              <w:rPr>
                <w:sz w:val="21"/>
                <w:szCs w:val="21"/>
              </w:rPr>
              <w:drawing>
                <wp:inline distT="0" distB="0" distL="114300" distR="114300">
                  <wp:extent cx="4403090" cy="223266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0" cstate="print"/>
                          <a:srcRect t="3436" b="4466"/>
                          <a:stretch>
                            <a:fillRect/>
                          </a:stretch>
                        </pic:blipFill>
                        <pic:spPr>
                          <a:xfrm>
                            <a:off x="0" y="0"/>
                            <a:ext cx="4417961" cy="2240312"/>
                          </a:xfrm>
                          <a:prstGeom prst="rect">
                            <a:avLst/>
                          </a:prstGeom>
                          <a:noFill/>
                          <a:ln>
                            <a:noFill/>
                          </a:ln>
                        </pic:spPr>
                      </pic:pic>
                    </a:graphicData>
                  </a:graphic>
                </wp:inline>
              </w:drawing>
            </w:r>
          </w:p>
          <w:p>
            <w:pPr>
              <w:pStyle w:val="169"/>
              <w:spacing w:line="240" w:lineRule="auto"/>
              <w:rPr>
                <w:rFonts w:hint="default" w:hAnsi="Times New Roman" w:eastAsiaTheme="minorEastAsia"/>
                <w:sz w:val="24"/>
                <w:szCs w:val="24"/>
              </w:rPr>
            </w:pPr>
            <w:r>
              <w:rPr>
                <w:rFonts w:hAnsi="Times New Roman" w:eastAsiaTheme="minorEastAsia"/>
                <w:sz w:val="24"/>
                <w:szCs w:val="24"/>
              </w:rPr>
              <w:t>图4-</w:t>
            </w:r>
            <w:r>
              <w:rPr>
                <w:rFonts w:hint="default" w:hAnsi="Times New Roman" w:eastAsiaTheme="minorEastAsia"/>
                <w:sz w:val="24"/>
                <w:szCs w:val="24"/>
              </w:rPr>
              <w:t xml:space="preserve">2 </w:t>
            </w:r>
            <w:r>
              <w:rPr>
                <w:rFonts w:hAnsi="Times New Roman" w:eastAsiaTheme="minorEastAsia"/>
                <w:sz w:val="24"/>
                <w:szCs w:val="24"/>
              </w:rPr>
              <w:t>河口镇污水处理厂工艺流程</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河口镇污水处理厂设计污水处理规模为1.5万m</w:t>
            </w:r>
            <w:r>
              <w:rPr>
                <w:rFonts w:ascii="Times New Roman" w:hAnsi="Times New Roman" w:eastAsia="新宋体"/>
                <w:sz w:val="24"/>
                <w:szCs w:val="24"/>
                <w:vertAlign w:val="superscript"/>
                <w:lang w:val="en-US"/>
              </w:rPr>
              <w:t>3</w:t>
            </w:r>
            <w:r>
              <w:rPr>
                <w:rFonts w:ascii="Times New Roman" w:hAnsi="Times New Roman" w:eastAsia="新宋体"/>
                <w:sz w:val="24"/>
                <w:szCs w:val="24"/>
                <w:lang w:val="en-US"/>
              </w:rPr>
              <w:t>/d，远期规划污水处理规模为3万m</w:t>
            </w:r>
            <w:r>
              <w:rPr>
                <w:rFonts w:ascii="Times New Roman" w:hAnsi="Times New Roman" w:eastAsia="新宋体"/>
                <w:sz w:val="24"/>
                <w:szCs w:val="24"/>
                <w:vertAlign w:val="superscript"/>
                <w:lang w:val="en-US"/>
              </w:rPr>
              <w:t>3</w:t>
            </w:r>
            <w:r>
              <w:rPr>
                <w:rFonts w:ascii="Times New Roman" w:hAnsi="Times New Roman" w:eastAsia="新宋体"/>
                <w:sz w:val="24"/>
                <w:szCs w:val="24"/>
                <w:lang w:val="en-US"/>
              </w:rPr>
              <w:t>/d，出水水质执行国家标准《城镇污水处理厂污染物排放标准》（GB18918-2002）一级A标准及广东省地方标准《水污染物排放限值》（DB44/26-2001）第二时段一级标准的严者，进出水水质如下。</w:t>
            </w:r>
          </w:p>
          <w:p>
            <w:pPr>
              <w:pStyle w:val="169"/>
              <w:spacing w:line="240" w:lineRule="auto"/>
              <w:rPr>
                <w:rFonts w:hint="default" w:hAnsi="Times New Roman" w:eastAsiaTheme="minorEastAsia"/>
                <w:sz w:val="24"/>
                <w:szCs w:val="24"/>
              </w:rPr>
            </w:pPr>
            <w:r>
              <w:rPr>
                <w:rFonts w:hAnsi="Times New Roman" w:eastAsiaTheme="minorEastAsia"/>
                <w:sz w:val="24"/>
                <w:szCs w:val="24"/>
              </w:rPr>
              <w:t>表4-1</w:t>
            </w:r>
            <w:r>
              <w:rPr>
                <w:rFonts w:hint="default" w:hAnsi="Times New Roman" w:eastAsiaTheme="minorEastAsia"/>
                <w:sz w:val="24"/>
                <w:szCs w:val="24"/>
              </w:rPr>
              <w:t xml:space="preserve">0 </w:t>
            </w:r>
            <w:r>
              <w:rPr>
                <w:rFonts w:hAnsi="Times New Roman" w:eastAsiaTheme="minorEastAsia"/>
                <w:sz w:val="24"/>
                <w:szCs w:val="24"/>
              </w:rPr>
              <w:t>河口镇污水处理厂设计进出水水质</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640"/>
              <w:gridCol w:w="1281"/>
              <w:gridCol w:w="1423"/>
              <w:gridCol w:w="1564"/>
              <w:gridCol w:w="1634"/>
              <w:gridCol w:w="7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69" w:hRule="atLeast"/>
                <w:tblHeader/>
                <w:jc w:val="center"/>
              </w:trPr>
              <w:tc>
                <w:tcPr>
                  <w:tcW w:w="983" w:type="pct"/>
                  <w:tcBorders>
                    <w:tl2br w:val="nil"/>
                    <w:tr2bl w:val="nil"/>
                  </w:tcBorders>
                  <w:vAlign w:val="center"/>
                </w:tcPr>
                <w:p>
                  <w:pPr>
                    <w:autoSpaceDE w:val="0"/>
                    <w:autoSpaceDN w:val="0"/>
                    <w:spacing w:line="240" w:lineRule="auto"/>
                    <w:jc w:val="center"/>
                    <w:rPr>
                      <w:bCs/>
                      <w:kern w:val="0"/>
                      <w:sz w:val="21"/>
                      <w:szCs w:val="21"/>
                    </w:rPr>
                  </w:pPr>
                  <w:r>
                    <w:rPr>
                      <w:b/>
                      <w:kern w:val="0"/>
                      <w:sz w:val="21"/>
                      <w:szCs w:val="21"/>
                    </w:rPr>
                    <w:t>名称</w:t>
                  </w:r>
                </w:p>
              </w:tc>
              <w:tc>
                <w:tcPr>
                  <w:tcW w:w="768" w:type="pct"/>
                  <w:tcBorders>
                    <w:tl2br w:val="nil"/>
                    <w:tr2bl w:val="nil"/>
                  </w:tcBorders>
                  <w:vAlign w:val="center"/>
                </w:tcPr>
                <w:p>
                  <w:pPr>
                    <w:autoSpaceDE w:val="0"/>
                    <w:autoSpaceDN w:val="0"/>
                    <w:spacing w:line="240" w:lineRule="auto"/>
                    <w:jc w:val="center"/>
                    <w:rPr>
                      <w:b/>
                      <w:kern w:val="0"/>
                      <w:sz w:val="21"/>
                      <w:szCs w:val="21"/>
                      <w:lang w:eastAsia="zh-TW"/>
                    </w:rPr>
                  </w:pPr>
                  <w:r>
                    <w:rPr>
                      <w:b/>
                      <w:kern w:val="0"/>
                      <w:sz w:val="21"/>
                      <w:szCs w:val="21"/>
                      <w:lang w:eastAsia="zh-TW"/>
                    </w:rPr>
                    <w:t>BOD</w:t>
                  </w:r>
                  <w:r>
                    <w:rPr>
                      <w:b/>
                      <w:kern w:val="0"/>
                      <w:sz w:val="21"/>
                      <w:szCs w:val="21"/>
                      <w:vertAlign w:val="subscript"/>
                      <w:lang w:eastAsia="zh-TW"/>
                    </w:rPr>
                    <w:t>5</w:t>
                  </w:r>
                </w:p>
              </w:tc>
              <w:tc>
                <w:tcPr>
                  <w:tcW w:w="853" w:type="pct"/>
                  <w:tcBorders>
                    <w:tl2br w:val="nil"/>
                    <w:tr2bl w:val="nil"/>
                  </w:tcBorders>
                  <w:vAlign w:val="center"/>
                </w:tcPr>
                <w:p>
                  <w:pPr>
                    <w:autoSpaceDE w:val="0"/>
                    <w:autoSpaceDN w:val="0"/>
                    <w:spacing w:line="240" w:lineRule="auto"/>
                    <w:jc w:val="center"/>
                    <w:rPr>
                      <w:b/>
                      <w:kern w:val="0"/>
                      <w:sz w:val="21"/>
                      <w:szCs w:val="21"/>
                    </w:rPr>
                  </w:pPr>
                  <w:r>
                    <w:rPr>
                      <w:b/>
                      <w:kern w:val="0"/>
                      <w:sz w:val="21"/>
                      <w:szCs w:val="21"/>
                    </w:rPr>
                    <w:t>COD</w:t>
                  </w:r>
                  <w:r>
                    <w:rPr>
                      <w:b/>
                      <w:kern w:val="0"/>
                      <w:sz w:val="21"/>
                      <w:szCs w:val="21"/>
                      <w:vertAlign w:val="subscript"/>
                    </w:rPr>
                    <w:t>cr</w:t>
                  </w:r>
                </w:p>
              </w:tc>
              <w:tc>
                <w:tcPr>
                  <w:tcW w:w="938" w:type="pct"/>
                  <w:tcBorders>
                    <w:tl2br w:val="nil"/>
                    <w:tr2bl w:val="nil"/>
                  </w:tcBorders>
                  <w:vAlign w:val="center"/>
                </w:tcPr>
                <w:p>
                  <w:pPr>
                    <w:autoSpaceDE w:val="0"/>
                    <w:autoSpaceDN w:val="0"/>
                    <w:spacing w:line="240" w:lineRule="auto"/>
                    <w:jc w:val="center"/>
                    <w:rPr>
                      <w:b/>
                      <w:kern w:val="0"/>
                      <w:sz w:val="21"/>
                      <w:szCs w:val="21"/>
                      <w:lang w:eastAsia="zh-TW"/>
                    </w:rPr>
                  </w:pPr>
                  <w:r>
                    <w:rPr>
                      <w:b/>
                      <w:kern w:val="0"/>
                      <w:sz w:val="21"/>
                      <w:szCs w:val="21"/>
                      <w:lang w:eastAsia="zh-TW"/>
                    </w:rPr>
                    <w:t>SS</w:t>
                  </w:r>
                </w:p>
              </w:tc>
              <w:tc>
                <w:tcPr>
                  <w:tcW w:w="980" w:type="pct"/>
                  <w:tcBorders>
                    <w:tl2br w:val="nil"/>
                    <w:tr2bl w:val="nil"/>
                  </w:tcBorders>
                  <w:vAlign w:val="center"/>
                </w:tcPr>
                <w:p>
                  <w:pPr>
                    <w:autoSpaceDE w:val="0"/>
                    <w:autoSpaceDN w:val="0"/>
                    <w:spacing w:line="240" w:lineRule="auto"/>
                    <w:jc w:val="center"/>
                    <w:rPr>
                      <w:b/>
                      <w:kern w:val="0"/>
                      <w:sz w:val="21"/>
                      <w:szCs w:val="21"/>
                      <w:lang w:eastAsia="zh-TW"/>
                    </w:rPr>
                  </w:pPr>
                  <w:r>
                    <w:rPr>
                      <w:b/>
                      <w:kern w:val="0"/>
                      <w:sz w:val="21"/>
                      <w:szCs w:val="21"/>
                      <w:lang w:eastAsia="zh-TW"/>
                    </w:rPr>
                    <w:t>NH</w:t>
                  </w:r>
                  <w:r>
                    <w:rPr>
                      <w:b/>
                      <w:kern w:val="0"/>
                      <w:sz w:val="21"/>
                      <w:szCs w:val="21"/>
                      <w:vertAlign w:val="subscript"/>
                    </w:rPr>
                    <w:t>3</w:t>
                  </w:r>
                  <w:r>
                    <w:rPr>
                      <w:b/>
                      <w:kern w:val="0"/>
                      <w:sz w:val="21"/>
                      <w:szCs w:val="21"/>
                    </w:rPr>
                    <w:t>-</w:t>
                  </w:r>
                  <w:r>
                    <w:rPr>
                      <w:b/>
                      <w:kern w:val="0"/>
                      <w:sz w:val="21"/>
                      <w:szCs w:val="21"/>
                      <w:lang w:eastAsia="zh-TW"/>
                    </w:rPr>
                    <w:t>N</w:t>
                  </w:r>
                </w:p>
              </w:tc>
              <w:tc>
                <w:tcPr>
                  <w:tcW w:w="478" w:type="pct"/>
                  <w:tcBorders>
                    <w:tl2br w:val="nil"/>
                    <w:tr2bl w:val="nil"/>
                  </w:tcBorders>
                  <w:vAlign w:val="center"/>
                </w:tcPr>
                <w:p>
                  <w:pPr>
                    <w:autoSpaceDE w:val="0"/>
                    <w:autoSpaceDN w:val="0"/>
                    <w:spacing w:line="240" w:lineRule="auto"/>
                    <w:jc w:val="center"/>
                    <w:rPr>
                      <w:b/>
                      <w:kern w:val="0"/>
                      <w:sz w:val="21"/>
                      <w:szCs w:val="21"/>
                      <w:lang w:eastAsia="zh-TW"/>
                    </w:rPr>
                  </w:pPr>
                  <w:r>
                    <w:rPr>
                      <w:rFonts w:hint="eastAsia"/>
                      <w:b/>
                      <w:kern w:val="0"/>
                      <w:sz w:val="21"/>
                      <w:szCs w:val="21"/>
                      <w:lang w:eastAsia="zh-TW"/>
                    </w:rPr>
                    <w:t>石油类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69" w:hRule="atLeast"/>
                <w:jc w:val="center"/>
              </w:trPr>
              <w:tc>
                <w:tcPr>
                  <w:tcW w:w="983" w:type="pct"/>
                  <w:tcBorders>
                    <w:tl2br w:val="nil"/>
                    <w:tr2bl w:val="nil"/>
                  </w:tcBorders>
                  <w:vAlign w:val="center"/>
                </w:tcPr>
                <w:p>
                  <w:pPr>
                    <w:autoSpaceDE w:val="0"/>
                    <w:autoSpaceDN w:val="0"/>
                    <w:spacing w:line="240" w:lineRule="auto"/>
                    <w:jc w:val="center"/>
                    <w:rPr>
                      <w:bCs/>
                      <w:kern w:val="0"/>
                      <w:sz w:val="21"/>
                      <w:szCs w:val="21"/>
                    </w:rPr>
                  </w:pPr>
                  <w:r>
                    <w:rPr>
                      <w:bCs/>
                      <w:kern w:val="0"/>
                      <w:sz w:val="21"/>
                      <w:szCs w:val="21"/>
                    </w:rPr>
                    <w:t>进水（mg/L）</w:t>
                  </w:r>
                </w:p>
              </w:tc>
              <w:tc>
                <w:tcPr>
                  <w:tcW w:w="768" w:type="pct"/>
                  <w:tcBorders>
                    <w:tl2br w:val="nil"/>
                    <w:tr2bl w:val="nil"/>
                  </w:tcBorders>
                  <w:vAlign w:val="center"/>
                </w:tcPr>
                <w:p>
                  <w:pPr>
                    <w:autoSpaceDE w:val="0"/>
                    <w:autoSpaceDN w:val="0"/>
                    <w:spacing w:line="240" w:lineRule="auto"/>
                    <w:jc w:val="center"/>
                    <w:rPr>
                      <w:bCs/>
                      <w:kern w:val="0"/>
                      <w:sz w:val="21"/>
                      <w:szCs w:val="21"/>
                    </w:rPr>
                  </w:pPr>
                  <w:r>
                    <w:rPr>
                      <w:bCs/>
                      <w:kern w:val="0"/>
                      <w:sz w:val="21"/>
                      <w:szCs w:val="21"/>
                    </w:rPr>
                    <w:t>150</w:t>
                  </w:r>
                </w:p>
              </w:tc>
              <w:tc>
                <w:tcPr>
                  <w:tcW w:w="853" w:type="pct"/>
                  <w:tcBorders>
                    <w:tl2br w:val="nil"/>
                    <w:tr2bl w:val="nil"/>
                  </w:tcBorders>
                  <w:vAlign w:val="center"/>
                </w:tcPr>
                <w:p>
                  <w:pPr>
                    <w:autoSpaceDE w:val="0"/>
                    <w:autoSpaceDN w:val="0"/>
                    <w:spacing w:line="240" w:lineRule="auto"/>
                    <w:jc w:val="center"/>
                    <w:rPr>
                      <w:bCs/>
                      <w:kern w:val="0"/>
                      <w:sz w:val="21"/>
                      <w:szCs w:val="21"/>
                    </w:rPr>
                  </w:pPr>
                  <w:r>
                    <w:rPr>
                      <w:bCs/>
                      <w:kern w:val="0"/>
                      <w:sz w:val="21"/>
                      <w:szCs w:val="21"/>
                    </w:rPr>
                    <w:t>250</w:t>
                  </w:r>
                </w:p>
              </w:tc>
              <w:tc>
                <w:tcPr>
                  <w:tcW w:w="938" w:type="pct"/>
                  <w:tcBorders>
                    <w:tl2br w:val="nil"/>
                    <w:tr2bl w:val="nil"/>
                  </w:tcBorders>
                  <w:vAlign w:val="center"/>
                </w:tcPr>
                <w:p>
                  <w:pPr>
                    <w:autoSpaceDE w:val="0"/>
                    <w:autoSpaceDN w:val="0"/>
                    <w:spacing w:line="240" w:lineRule="auto"/>
                    <w:jc w:val="center"/>
                    <w:rPr>
                      <w:bCs/>
                      <w:kern w:val="0"/>
                      <w:sz w:val="21"/>
                      <w:szCs w:val="21"/>
                    </w:rPr>
                  </w:pPr>
                  <w:r>
                    <w:rPr>
                      <w:bCs/>
                      <w:kern w:val="0"/>
                      <w:sz w:val="21"/>
                      <w:szCs w:val="21"/>
                    </w:rPr>
                    <w:t>150</w:t>
                  </w:r>
                </w:p>
              </w:tc>
              <w:tc>
                <w:tcPr>
                  <w:tcW w:w="980" w:type="pct"/>
                  <w:tcBorders>
                    <w:tl2br w:val="nil"/>
                    <w:tr2bl w:val="nil"/>
                  </w:tcBorders>
                  <w:vAlign w:val="center"/>
                </w:tcPr>
                <w:p>
                  <w:pPr>
                    <w:autoSpaceDE w:val="0"/>
                    <w:autoSpaceDN w:val="0"/>
                    <w:spacing w:line="240" w:lineRule="auto"/>
                    <w:jc w:val="center"/>
                    <w:rPr>
                      <w:bCs/>
                      <w:kern w:val="0"/>
                      <w:sz w:val="21"/>
                      <w:szCs w:val="21"/>
                    </w:rPr>
                  </w:pPr>
                  <w:r>
                    <w:rPr>
                      <w:bCs/>
                      <w:kern w:val="0"/>
                      <w:sz w:val="21"/>
                      <w:szCs w:val="21"/>
                    </w:rPr>
                    <w:t>30</w:t>
                  </w:r>
                </w:p>
              </w:tc>
              <w:tc>
                <w:tcPr>
                  <w:tcW w:w="478" w:type="pct"/>
                  <w:tcBorders>
                    <w:tl2br w:val="nil"/>
                    <w:tr2bl w:val="nil"/>
                  </w:tcBorders>
                  <w:vAlign w:val="center"/>
                </w:tcPr>
                <w:p>
                  <w:pPr>
                    <w:autoSpaceDE w:val="0"/>
                    <w:autoSpaceDN w:val="0"/>
                    <w:spacing w:line="240" w:lineRule="auto"/>
                    <w:jc w:val="center"/>
                    <w:rPr>
                      <w:bCs/>
                      <w:kern w:val="0"/>
                      <w:sz w:val="21"/>
                      <w:szCs w:val="21"/>
                    </w:rPr>
                  </w:pPr>
                  <w:r>
                    <w:rPr>
                      <w:rFonts w:hint="eastAsia"/>
                      <w:bCs/>
                      <w:kern w:val="0"/>
                      <w:sz w:val="21"/>
                      <w:szCs w:val="21"/>
                    </w:rPr>
                    <w:t>-</w:t>
                  </w:r>
                  <w:r>
                    <w:rPr>
                      <w:bCs/>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69" w:hRule="atLeast"/>
                <w:jc w:val="center"/>
              </w:trPr>
              <w:tc>
                <w:tcPr>
                  <w:tcW w:w="983" w:type="pct"/>
                  <w:tcBorders>
                    <w:tl2br w:val="nil"/>
                    <w:tr2bl w:val="nil"/>
                  </w:tcBorders>
                  <w:vAlign w:val="center"/>
                </w:tcPr>
                <w:p>
                  <w:pPr>
                    <w:autoSpaceDE w:val="0"/>
                    <w:autoSpaceDN w:val="0"/>
                    <w:spacing w:line="240" w:lineRule="auto"/>
                    <w:jc w:val="center"/>
                    <w:rPr>
                      <w:bCs/>
                      <w:kern w:val="0"/>
                      <w:sz w:val="21"/>
                      <w:szCs w:val="21"/>
                    </w:rPr>
                  </w:pPr>
                  <w:r>
                    <w:rPr>
                      <w:bCs/>
                      <w:kern w:val="0"/>
                      <w:sz w:val="21"/>
                      <w:szCs w:val="21"/>
                    </w:rPr>
                    <w:t>出水（mg/L）</w:t>
                  </w:r>
                </w:p>
              </w:tc>
              <w:tc>
                <w:tcPr>
                  <w:tcW w:w="768" w:type="pct"/>
                  <w:tcBorders>
                    <w:tl2br w:val="nil"/>
                    <w:tr2bl w:val="nil"/>
                  </w:tcBorders>
                  <w:vAlign w:val="center"/>
                </w:tcPr>
                <w:p>
                  <w:pPr>
                    <w:autoSpaceDE w:val="0"/>
                    <w:autoSpaceDN w:val="0"/>
                    <w:spacing w:line="240" w:lineRule="auto"/>
                    <w:jc w:val="center"/>
                    <w:rPr>
                      <w:bCs/>
                      <w:kern w:val="0"/>
                      <w:sz w:val="21"/>
                      <w:szCs w:val="21"/>
                    </w:rPr>
                  </w:pPr>
                  <w:r>
                    <w:rPr>
                      <w:bCs/>
                      <w:kern w:val="0"/>
                      <w:sz w:val="21"/>
                      <w:szCs w:val="21"/>
                    </w:rPr>
                    <w:t>≤ 10</w:t>
                  </w:r>
                </w:p>
              </w:tc>
              <w:tc>
                <w:tcPr>
                  <w:tcW w:w="853" w:type="pct"/>
                  <w:tcBorders>
                    <w:tl2br w:val="nil"/>
                    <w:tr2bl w:val="nil"/>
                  </w:tcBorders>
                  <w:vAlign w:val="center"/>
                </w:tcPr>
                <w:p>
                  <w:pPr>
                    <w:autoSpaceDE w:val="0"/>
                    <w:autoSpaceDN w:val="0"/>
                    <w:spacing w:line="240" w:lineRule="auto"/>
                    <w:jc w:val="center"/>
                    <w:rPr>
                      <w:bCs/>
                      <w:kern w:val="0"/>
                      <w:sz w:val="21"/>
                      <w:szCs w:val="21"/>
                    </w:rPr>
                  </w:pPr>
                  <w:r>
                    <w:rPr>
                      <w:bCs/>
                      <w:kern w:val="0"/>
                      <w:sz w:val="21"/>
                      <w:szCs w:val="21"/>
                    </w:rPr>
                    <w:t>≤ 40</w:t>
                  </w:r>
                </w:p>
              </w:tc>
              <w:tc>
                <w:tcPr>
                  <w:tcW w:w="938" w:type="pct"/>
                  <w:tcBorders>
                    <w:tl2br w:val="nil"/>
                    <w:tr2bl w:val="nil"/>
                  </w:tcBorders>
                  <w:vAlign w:val="center"/>
                </w:tcPr>
                <w:p>
                  <w:pPr>
                    <w:autoSpaceDE w:val="0"/>
                    <w:autoSpaceDN w:val="0"/>
                    <w:spacing w:line="240" w:lineRule="auto"/>
                    <w:jc w:val="center"/>
                    <w:rPr>
                      <w:bCs/>
                      <w:kern w:val="0"/>
                      <w:sz w:val="21"/>
                      <w:szCs w:val="21"/>
                    </w:rPr>
                  </w:pPr>
                  <w:r>
                    <w:rPr>
                      <w:bCs/>
                      <w:kern w:val="0"/>
                      <w:sz w:val="21"/>
                      <w:szCs w:val="21"/>
                    </w:rPr>
                    <w:t>≤ 10</w:t>
                  </w:r>
                </w:p>
              </w:tc>
              <w:tc>
                <w:tcPr>
                  <w:tcW w:w="980" w:type="pct"/>
                  <w:tcBorders>
                    <w:tl2br w:val="nil"/>
                    <w:tr2bl w:val="nil"/>
                  </w:tcBorders>
                  <w:vAlign w:val="center"/>
                </w:tcPr>
                <w:p>
                  <w:pPr>
                    <w:autoSpaceDE w:val="0"/>
                    <w:autoSpaceDN w:val="0"/>
                    <w:spacing w:line="240" w:lineRule="auto"/>
                    <w:jc w:val="center"/>
                    <w:rPr>
                      <w:bCs/>
                      <w:kern w:val="0"/>
                      <w:sz w:val="21"/>
                      <w:szCs w:val="21"/>
                    </w:rPr>
                  </w:pPr>
                  <w:r>
                    <w:rPr>
                      <w:bCs/>
                      <w:kern w:val="0"/>
                      <w:sz w:val="21"/>
                      <w:szCs w:val="21"/>
                    </w:rPr>
                    <w:t>≤ 5</w:t>
                  </w:r>
                </w:p>
              </w:tc>
              <w:tc>
                <w:tcPr>
                  <w:tcW w:w="478" w:type="pct"/>
                  <w:tcBorders>
                    <w:tl2br w:val="nil"/>
                    <w:tr2bl w:val="nil"/>
                  </w:tcBorders>
                  <w:vAlign w:val="center"/>
                </w:tcPr>
                <w:p>
                  <w:pPr>
                    <w:autoSpaceDE w:val="0"/>
                    <w:autoSpaceDN w:val="0"/>
                    <w:spacing w:line="240" w:lineRule="auto"/>
                    <w:jc w:val="center"/>
                    <w:rPr>
                      <w:bCs/>
                      <w:kern w:val="0"/>
                      <w:sz w:val="21"/>
                      <w:szCs w:val="21"/>
                    </w:rPr>
                  </w:pPr>
                  <w:r>
                    <w:rPr>
                      <w:rFonts w:hint="eastAsia"/>
                      <w:bCs/>
                      <w:kern w:val="0"/>
                      <w:sz w:val="21"/>
                      <w:szCs w:val="21"/>
                    </w:rPr>
                    <w:t>-</w:t>
                  </w:r>
                  <w:r>
                    <w:rPr>
                      <w:bCs/>
                      <w:kern w:val="0"/>
                      <w:sz w:val="21"/>
                      <w:szCs w:val="21"/>
                    </w:rPr>
                    <w:t>-</w:t>
                  </w:r>
                </w:p>
              </w:tc>
            </w:tr>
          </w:tbl>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项目生活污水、设备淋雨测试废水水质较简单，主要污染物为COD</w:t>
            </w:r>
            <w:r>
              <w:rPr>
                <w:rFonts w:ascii="Times New Roman" w:hAnsi="Times New Roman" w:eastAsia="新宋体"/>
                <w:sz w:val="24"/>
                <w:szCs w:val="24"/>
                <w:vertAlign w:val="subscript"/>
                <w:lang w:val="en-US"/>
              </w:rPr>
              <w:t>Cr</w:t>
            </w:r>
            <w:r>
              <w:rPr>
                <w:rFonts w:ascii="Times New Roman" w:hAnsi="Times New Roman" w:eastAsia="新宋体"/>
                <w:sz w:val="24"/>
                <w:szCs w:val="24"/>
                <w:lang w:val="en-US"/>
              </w:rPr>
              <w:t>、BOD</w:t>
            </w:r>
            <w:r>
              <w:rPr>
                <w:rFonts w:ascii="Times New Roman" w:hAnsi="Times New Roman" w:eastAsia="新宋体"/>
                <w:sz w:val="24"/>
                <w:szCs w:val="24"/>
                <w:vertAlign w:val="subscript"/>
                <w:lang w:val="en-US"/>
              </w:rPr>
              <w:t>5</w:t>
            </w:r>
            <w:r>
              <w:rPr>
                <w:rFonts w:ascii="Times New Roman" w:hAnsi="Times New Roman" w:eastAsia="新宋体"/>
                <w:sz w:val="24"/>
                <w:szCs w:val="24"/>
                <w:lang w:val="en-US"/>
              </w:rPr>
              <w:t>、SS、氨氮</w:t>
            </w:r>
            <w:r>
              <w:rPr>
                <w:rFonts w:hint="eastAsia" w:ascii="Times New Roman" w:hAnsi="Times New Roman" w:eastAsia="新宋体"/>
                <w:sz w:val="24"/>
                <w:szCs w:val="24"/>
                <w:lang w:val="en-US"/>
              </w:rPr>
              <w:t>、石油类</w:t>
            </w:r>
            <w:r>
              <w:rPr>
                <w:rFonts w:ascii="Times New Roman" w:hAnsi="Times New Roman" w:eastAsia="新宋体"/>
                <w:sz w:val="24"/>
                <w:szCs w:val="24"/>
                <w:lang w:val="en-US"/>
              </w:rPr>
              <w:t>等，生活污水经园区三级化粪池预处理、设备淋雨测试废水经比亚迪污水处理站预处理达到河口镇污水处理厂接管标准及广东省《水污染物排放限值》（DB44/26-2001）第二时段三级标准两者较严值后经市政污水管网排入河口镇污水处理厂，不会对污水处理厂进水水质造成明显影响。由工程分析可知，项目污水排放量为10.47</w:t>
            </w:r>
            <w:r>
              <w:rPr>
                <w:rFonts w:hint="eastAsia" w:ascii="Times New Roman" w:hAnsi="Times New Roman" w:eastAsia="新宋体"/>
                <w:sz w:val="24"/>
                <w:szCs w:val="24"/>
                <w:lang w:val="en-US"/>
              </w:rPr>
              <w:t>m</w:t>
            </w:r>
            <w:r>
              <w:rPr>
                <w:rFonts w:ascii="Times New Roman" w:hAnsi="Times New Roman" w:eastAsia="新宋体"/>
                <w:sz w:val="24"/>
                <w:szCs w:val="24"/>
                <w:vertAlign w:val="superscript"/>
                <w:lang w:val="en-US"/>
              </w:rPr>
              <w:t>3</w:t>
            </w:r>
            <w:r>
              <w:rPr>
                <w:rFonts w:ascii="Times New Roman" w:hAnsi="Times New Roman" w:eastAsia="新宋体"/>
                <w:sz w:val="24"/>
                <w:szCs w:val="24"/>
                <w:lang w:val="en-US"/>
              </w:rPr>
              <w:t>/d（3516.12</w:t>
            </w:r>
            <w:r>
              <w:rPr>
                <w:rFonts w:hint="eastAsia" w:ascii="Times New Roman" w:hAnsi="Times New Roman" w:eastAsia="新宋体"/>
                <w:sz w:val="24"/>
                <w:szCs w:val="24"/>
                <w:lang w:val="en-US"/>
              </w:rPr>
              <w:t>m</w:t>
            </w:r>
            <w:r>
              <w:rPr>
                <w:rFonts w:hint="eastAsia" w:ascii="Times New Roman" w:hAnsi="Times New Roman" w:eastAsia="新宋体"/>
                <w:sz w:val="24"/>
                <w:szCs w:val="24"/>
                <w:vertAlign w:val="superscript"/>
                <w:lang w:val="en-US"/>
              </w:rPr>
              <w:t>3</w:t>
            </w:r>
            <w:r>
              <w:rPr>
                <w:rFonts w:ascii="Times New Roman" w:hAnsi="Times New Roman" w:eastAsia="新宋体"/>
                <w:sz w:val="24"/>
                <w:szCs w:val="24"/>
                <w:lang w:val="en-US"/>
              </w:rPr>
              <w:t>/a），</w:t>
            </w:r>
            <w:r>
              <w:rPr>
                <w:rFonts w:hint="eastAsia" w:ascii="Times New Roman" w:hAnsi="Times New Roman" w:eastAsia="新宋体"/>
                <w:sz w:val="24"/>
                <w:szCs w:val="24"/>
                <w:lang w:val="en-US"/>
              </w:rPr>
              <w:t>河口镇污水处理厂尚有处理余量</w:t>
            </w:r>
            <w:r>
              <w:rPr>
                <w:rFonts w:ascii="Times New Roman" w:hAnsi="Times New Roman" w:eastAsia="新宋体"/>
                <w:sz w:val="24"/>
                <w:szCs w:val="24"/>
                <w:lang w:val="en-US"/>
              </w:rPr>
              <w:t>0.5</w:t>
            </w:r>
            <w:r>
              <w:rPr>
                <w:rFonts w:hint="eastAsia" w:ascii="Times New Roman" w:hAnsi="Times New Roman" w:eastAsia="新宋体"/>
                <w:sz w:val="24"/>
                <w:szCs w:val="24"/>
                <w:lang w:val="en-US"/>
              </w:rPr>
              <w:t>万m</w:t>
            </w:r>
            <w:r>
              <w:rPr>
                <w:rFonts w:ascii="Times New Roman" w:hAnsi="Times New Roman" w:eastAsia="新宋体"/>
                <w:sz w:val="24"/>
                <w:szCs w:val="24"/>
                <w:vertAlign w:val="superscript"/>
                <w:lang w:val="en-US"/>
              </w:rPr>
              <w:t>3</w:t>
            </w:r>
            <w:r>
              <w:rPr>
                <w:rFonts w:hint="eastAsia" w:ascii="Times New Roman" w:hAnsi="Times New Roman" w:eastAsia="新宋体"/>
                <w:sz w:val="24"/>
                <w:szCs w:val="24"/>
                <w:lang w:val="en-US"/>
              </w:rPr>
              <w:t>/d，</w:t>
            </w:r>
            <w:r>
              <w:rPr>
                <w:rFonts w:ascii="Times New Roman" w:hAnsi="Times New Roman" w:eastAsia="新宋体"/>
                <w:sz w:val="24"/>
                <w:szCs w:val="24"/>
                <w:lang w:val="en-US"/>
              </w:rPr>
              <w:t>占河口镇污水处理厂</w:t>
            </w:r>
            <w:r>
              <w:rPr>
                <w:rFonts w:hint="eastAsia" w:ascii="Times New Roman" w:hAnsi="Times New Roman" w:eastAsia="新宋体"/>
                <w:sz w:val="24"/>
                <w:szCs w:val="24"/>
                <w:lang w:val="en-US"/>
              </w:rPr>
              <w:t>处理余量</w:t>
            </w:r>
            <w:r>
              <w:rPr>
                <w:rFonts w:ascii="Times New Roman" w:hAnsi="Times New Roman" w:eastAsia="新宋体"/>
                <w:sz w:val="24"/>
                <w:szCs w:val="24"/>
                <w:lang w:val="en-US"/>
              </w:rPr>
              <w:t>的0.21%，所占比例较小，在河口镇污水处理厂的处理能力之内，废水水量不会对其造成冲击。</w:t>
            </w:r>
          </w:p>
          <w:p>
            <w:pPr>
              <w:pStyle w:val="51"/>
              <w:spacing w:before="0" w:line="360" w:lineRule="auto"/>
              <w:ind w:left="0" w:firstLine="480" w:firstLineChars="200"/>
              <w:outlineLvl w:val="9"/>
              <w:rPr>
                <w:rFonts w:ascii="Times New Roman" w:hAnsi="Times New Roman" w:eastAsia="新宋体"/>
                <w:sz w:val="24"/>
                <w:szCs w:val="24"/>
                <w:lang w:val="en-US"/>
              </w:rPr>
            </w:pPr>
            <w:r>
              <w:rPr>
                <w:rFonts w:hint="eastAsia" w:ascii="Times New Roman" w:hAnsi="Times New Roman" w:eastAsia="新宋体"/>
                <w:sz w:val="24"/>
                <w:szCs w:val="24"/>
                <w:lang w:val="en-US"/>
              </w:rPr>
              <w:t>③</w:t>
            </w:r>
            <w:r>
              <w:rPr>
                <w:rFonts w:ascii="Times New Roman" w:hAnsi="Times New Roman" w:eastAsia="新宋体"/>
                <w:sz w:val="24"/>
                <w:szCs w:val="24"/>
                <w:lang w:val="en-US"/>
              </w:rPr>
              <w:t>生产废水远期依托陆河产业转移工业园工业废水处理厂可行性分析</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根据规划，未来陆河产业转移工业园主片区东部生产废水规划纳入陆河产业转移工业园工业污水处理厂进行处理。目前，陆河产业转移工业园工业污水处理厂处于可研设计阶段中，预计202</w:t>
            </w:r>
            <w:r>
              <w:rPr>
                <w:rFonts w:hint="eastAsia" w:ascii="Times New Roman" w:hAnsi="Times New Roman" w:eastAsia="新宋体"/>
                <w:sz w:val="24"/>
                <w:szCs w:val="24"/>
                <w:lang w:val="en-US"/>
              </w:rPr>
              <w:t>2</w:t>
            </w:r>
            <w:r>
              <w:rPr>
                <w:rFonts w:ascii="Times New Roman" w:hAnsi="Times New Roman" w:eastAsia="新宋体"/>
                <w:sz w:val="24"/>
                <w:szCs w:val="24"/>
                <w:lang w:val="en-US"/>
              </w:rPr>
              <w:t>年底投产使用。陆河县产业转移工业园污水处理厂设计规模为600m</w:t>
            </w:r>
            <w:r>
              <w:rPr>
                <w:rFonts w:ascii="Times New Roman" w:hAnsi="Times New Roman" w:eastAsia="新宋体"/>
                <w:sz w:val="24"/>
                <w:szCs w:val="24"/>
                <w:vertAlign w:val="superscript"/>
                <w:lang w:val="en-US"/>
              </w:rPr>
              <w:t>3</w:t>
            </w:r>
            <w:r>
              <w:rPr>
                <w:rFonts w:ascii="Times New Roman" w:hAnsi="Times New Roman" w:eastAsia="新宋体"/>
                <w:sz w:val="24"/>
                <w:szCs w:val="24"/>
                <w:lang w:val="en-US"/>
              </w:rPr>
              <w:t>/d，用于接纳园区主片区东部生产废水。工业园内的企业生产废水经企业自建污水处理设施预处理达到工业污水处理厂进水水质要求及广东省《水污染物排放限值》（DB44/26-2001）第二时段三级标准的较严值（有行业标准的执行行业标准）后纳入到工业污水处理厂处理，尾水达到《地表水环境质量标准》（GB3838-2002）Ⅳ类标准，其余《地表水环境质量标准》（GB3838-2002）Ⅳ类标准未注明指标，执行《城镇污水处理厂污染物排放标准》（GB18918-2002）一级A标准后，排至砂公留小水塘，经砂公留河涌2.82km（砂公留小水塘至暗渠0.02km、暗渠段1.80km、暗渠出口下游1.00km）后，汇入螺河。</w:t>
            </w:r>
          </w:p>
          <w:p>
            <w:pPr>
              <w:pStyle w:val="169"/>
              <w:spacing w:line="240" w:lineRule="auto"/>
              <w:rPr>
                <w:rFonts w:hint="default" w:hAnsi="Times New Roman" w:eastAsiaTheme="minorEastAsia"/>
                <w:sz w:val="24"/>
                <w:szCs w:val="24"/>
              </w:rPr>
            </w:pPr>
            <w:r>
              <w:rPr>
                <w:rFonts w:hAnsi="Times New Roman" w:eastAsiaTheme="minorEastAsia"/>
                <w:sz w:val="24"/>
                <w:szCs w:val="24"/>
              </w:rPr>
              <w:t>表4-1</w:t>
            </w:r>
            <w:r>
              <w:rPr>
                <w:rFonts w:hint="default" w:hAnsi="Times New Roman" w:eastAsiaTheme="minorEastAsia"/>
                <w:sz w:val="24"/>
                <w:szCs w:val="24"/>
              </w:rPr>
              <w:t>1</w:t>
            </w:r>
            <w:r>
              <w:rPr>
                <w:rFonts w:hAnsi="Times New Roman" w:eastAsiaTheme="minorEastAsia"/>
                <w:sz w:val="24"/>
                <w:szCs w:val="24"/>
              </w:rPr>
              <w:t>陆河产业转移工业园工业污水处理厂设计进出水水质 单位：mg/L，p</w:t>
            </w:r>
            <w:r>
              <w:rPr>
                <w:rFonts w:hint="default" w:hAnsi="Times New Roman" w:eastAsiaTheme="minorEastAsia"/>
                <w:sz w:val="24"/>
                <w:szCs w:val="24"/>
              </w:rPr>
              <w:t>H</w:t>
            </w:r>
            <w:r>
              <w:rPr>
                <w:rFonts w:hAnsi="Times New Roman" w:eastAsiaTheme="minorEastAsia"/>
                <w:sz w:val="24"/>
                <w:szCs w:val="24"/>
              </w:rPr>
              <w:t>无量纲</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42"/>
              <w:gridCol w:w="697"/>
              <w:gridCol w:w="749"/>
              <w:gridCol w:w="807"/>
              <w:gridCol w:w="539"/>
              <w:gridCol w:w="842"/>
              <w:gridCol w:w="842"/>
              <w:gridCol w:w="9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764" w:type="pct"/>
                  <w:tcBorders>
                    <w:tl2br w:val="nil"/>
                    <w:tr2bl w:val="nil"/>
                  </w:tcBorders>
                  <w:vAlign w:val="center"/>
                </w:tcPr>
                <w:p>
                  <w:pPr>
                    <w:spacing w:line="240" w:lineRule="auto"/>
                    <w:jc w:val="center"/>
                    <w:rPr>
                      <w:b/>
                      <w:bCs/>
                      <w:kern w:val="0"/>
                      <w:sz w:val="21"/>
                      <w:szCs w:val="21"/>
                    </w:rPr>
                  </w:pPr>
                  <w:r>
                    <w:rPr>
                      <w:b/>
                      <w:bCs/>
                      <w:kern w:val="0"/>
                      <w:sz w:val="21"/>
                      <w:szCs w:val="21"/>
                    </w:rPr>
                    <w:t>标准类别</w:t>
                  </w:r>
                </w:p>
              </w:tc>
              <w:tc>
                <w:tcPr>
                  <w:tcW w:w="418" w:type="pct"/>
                  <w:tcBorders>
                    <w:tl2br w:val="nil"/>
                    <w:tr2bl w:val="nil"/>
                  </w:tcBorders>
                  <w:vAlign w:val="center"/>
                </w:tcPr>
                <w:p>
                  <w:pPr>
                    <w:spacing w:line="240" w:lineRule="auto"/>
                    <w:jc w:val="center"/>
                    <w:rPr>
                      <w:b/>
                      <w:bCs/>
                      <w:kern w:val="0"/>
                      <w:sz w:val="21"/>
                      <w:szCs w:val="21"/>
                    </w:rPr>
                  </w:pPr>
                  <w:r>
                    <w:rPr>
                      <w:b/>
                      <w:bCs/>
                      <w:kern w:val="0"/>
                      <w:sz w:val="21"/>
                      <w:szCs w:val="21"/>
                    </w:rPr>
                    <w:t>pH</w:t>
                  </w:r>
                </w:p>
              </w:tc>
              <w:tc>
                <w:tcPr>
                  <w:tcW w:w="449" w:type="pct"/>
                  <w:tcBorders>
                    <w:tl2br w:val="nil"/>
                    <w:tr2bl w:val="nil"/>
                  </w:tcBorders>
                  <w:vAlign w:val="center"/>
                </w:tcPr>
                <w:p>
                  <w:pPr>
                    <w:spacing w:line="240" w:lineRule="auto"/>
                    <w:jc w:val="center"/>
                    <w:rPr>
                      <w:b/>
                      <w:bCs/>
                      <w:kern w:val="0"/>
                      <w:sz w:val="21"/>
                      <w:szCs w:val="21"/>
                    </w:rPr>
                  </w:pPr>
                  <w:r>
                    <w:rPr>
                      <w:b/>
                      <w:bCs/>
                      <w:kern w:val="0"/>
                      <w:sz w:val="21"/>
                      <w:szCs w:val="21"/>
                    </w:rPr>
                    <w:t>COD</w:t>
                  </w:r>
                </w:p>
              </w:tc>
              <w:tc>
                <w:tcPr>
                  <w:tcW w:w="484" w:type="pct"/>
                  <w:tcBorders>
                    <w:tl2br w:val="nil"/>
                    <w:tr2bl w:val="nil"/>
                  </w:tcBorders>
                  <w:vAlign w:val="center"/>
                </w:tcPr>
                <w:p>
                  <w:pPr>
                    <w:spacing w:line="240" w:lineRule="auto"/>
                    <w:jc w:val="center"/>
                    <w:rPr>
                      <w:b/>
                      <w:bCs/>
                      <w:kern w:val="0"/>
                      <w:sz w:val="21"/>
                      <w:szCs w:val="21"/>
                    </w:rPr>
                  </w:pPr>
                  <w:r>
                    <w:rPr>
                      <w:b/>
                      <w:bCs/>
                      <w:kern w:val="0"/>
                      <w:sz w:val="21"/>
                      <w:szCs w:val="21"/>
                    </w:rPr>
                    <w:t>BOD</w:t>
                  </w:r>
                  <w:r>
                    <w:rPr>
                      <w:b/>
                      <w:bCs/>
                      <w:kern w:val="0"/>
                      <w:sz w:val="21"/>
                      <w:szCs w:val="21"/>
                      <w:vertAlign w:val="subscript"/>
                    </w:rPr>
                    <w:t>5</w:t>
                  </w:r>
                </w:p>
              </w:tc>
              <w:tc>
                <w:tcPr>
                  <w:tcW w:w="323" w:type="pct"/>
                  <w:tcBorders>
                    <w:tl2br w:val="nil"/>
                    <w:tr2bl w:val="nil"/>
                  </w:tcBorders>
                  <w:vAlign w:val="center"/>
                </w:tcPr>
                <w:p>
                  <w:pPr>
                    <w:spacing w:line="240" w:lineRule="auto"/>
                    <w:jc w:val="center"/>
                    <w:rPr>
                      <w:b/>
                      <w:bCs/>
                      <w:kern w:val="0"/>
                      <w:sz w:val="21"/>
                      <w:szCs w:val="21"/>
                    </w:rPr>
                  </w:pPr>
                  <w:r>
                    <w:rPr>
                      <w:b/>
                      <w:bCs/>
                      <w:kern w:val="0"/>
                      <w:sz w:val="21"/>
                      <w:szCs w:val="21"/>
                    </w:rPr>
                    <w:t>SS</w:t>
                  </w:r>
                </w:p>
              </w:tc>
              <w:tc>
                <w:tcPr>
                  <w:tcW w:w="505" w:type="pct"/>
                  <w:tcBorders>
                    <w:tl2br w:val="nil"/>
                    <w:tr2bl w:val="nil"/>
                  </w:tcBorders>
                  <w:vAlign w:val="center"/>
                </w:tcPr>
                <w:p>
                  <w:pPr>
                    <w:spacing w:line="240" w:lineRule="auto"/>
                    <w:jc w:val="center"/>
                    <w:rPr>
                      <w:b/>
                      <w:bCs/>
                      <w:kern w:val="0"/>
                      <w:sz w:val="21"/>
                      <w:szCs w:val="21"/>
                    </w:rPr>
                  </w:pPr>
                  <w:r>
                    <w:rPr>
                      <w:b/>
                      <w:bCs/>
                      <w:kern w:val="0"/>
                      <w:sz w:val="21"/>
                      <w:szCs w:val="21"/>
                    </w:rPr>
                    <w:t>石油类</w:t>
                  </w:r>
                </w:p>
              </w:tc>
              <w:tc>
                <w:tcPr>
                  <w:tcW w:w="505" w:type="pct"/>
                  <w:tcBorders>
                    <w:tl2br w:val="nil"/>
                    <w:tr2bl w:val="nil"/>
                  </w:tcBorders>
                  <w:vAlign w:val="center"/>
                </w:tcPr>
                <w:p>
                  <w:pPr>
                    <w:spacing w:line="240" w:lineRule="auto"/>
                    <w:jc w:val="center"/>
                    <w:rPr>
                      <w:b/>
                      <w:bCs/>
                      <w:kern w:val="0"/>
                      <w:sz w:val="21"/>
                      <w:szCs w:val="21"/>
                    </w:rPr>
                  </w:pPr>
                  <w:r>
                    <w:rPr>
                      <w:b/>
                      <w:bCs/>
                      <w:kern w:val="0"/>
                      <w:sz w:val="21"/>
                      <w:szCs w:val="21"/>
                    </w:rPr>
                    <w:t>LAS</w:t>
                  </w:r>
                </w:p>
              </w:tc>
              <w:tc>
                <w:tcPr>
                  <w:tcW w:w="552" w:type="pct"/>
                  <w:tcBorders>
                    <w:tl2br w:val="nil"/>
                    <w:tr2bl w:val="nil"/>
                  </w:tcBorders>
                  <w:vAlign w:val="center"/>
                </w:tcPr>
                <w:p>
                  <w:pPr>
                    <w:spacing w:line="240" w:lineRule="auto"/>
                    <w:jc w:val="center"/>
                    <w:rPr>
                      <w:b/>
                      <w:bCs/>
                      <w:kern w:val="0"/>
                      <w:sz w:val="21"/>
                      <w:szCs w:val="21"/>
                    </w:rPr>
                  </w:pPr>
                  <w:r>
                    <w:rPr>
                      <w:b/>
                      <w:bCs/>
                      <w:kern w:val="0"/>
                      <w:sz w:val="21"/>
                      <w:szCs w:val="21"/>
                    </w:rPr>
                    <w:t>氨氮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764" w:type="pct"/>
                  <w:tcBorders>
                    <w:tl2br w:val="nil"/>
                    <w:tr2bl w:val="nil"/>
                  </w:tcBorders>
                  <w:vAlign w:val="center"/>
                </w:tcPr>
                <w:p>
                  <w:pPr>
                    <w:spacing w:line="240" w:lineRule="auto"/>
                    <w:jc w:val="center"/>
                    <w:rPr>
                      <w:kern w:val="0"/>
                      <w:sz w:val="21"/>
                      <w:szCs w:val="21"/>
                    </w:rPr>
                  </w:pPr>
                  <w:r>
                    <w:rPr>
                      <w:kern w:val="0"/>
                      <w:sz w:val="21"/>
                      <w:szCs w:val="21"/>
                    </w:rPr>
                    <w:t>工业污水处理厂进水水质要求</w:t>
                  </w:r>
                </w:p>
              </w:tc>
              <w:tc>
                <w:tcPr>
                  <w:tcW w:w="418" w:type="pct"/>
                  <w:tcBorders>
                    <w:tl2br w:val="nil"/>
                    <w:tr2bl w:val="nil"/>
                  </w:tcBorders>
                  <w:vAlign w:val="center"/>
                </w:tcPr>
                <w:p>
                  <w:pPr>
                    <w:spacing w:line="240" w:lineRule="auto"/>
                    <w:jc w:val="center"/>
                    <w:rPr>
                      <w:kern w:val="0"/>
                      <w:sz w:val="21"/>
                      <w:szCs w:val="21"/>
                    </w:rPr>
                  </w:pPr>
                  <w:r>
                    <w:rPr>
                      <w:kern w:val="0"/>
                      <w:sz w:val="21"/>
                      <w:szCs w:val="21"/>
                    </w:rPr>
                    <w:t>6～9</w:t>
                  </w:r>
                </w:p>
              </w:tc>
              <w:tc>
                <w:tcPr>
                  <w:tcW w:w="449" w:type="pct"/>
                  <w:tcBorders>
                    <w:tl2br w:val="nil"/>
                    <w:tr2bl w:val="nil"/>
                  </w:tcBorders>
                  <w:vAlign w:val="center"/>
                </w:tcPr>
                <w:p>
                  <w:pPr>
                    <w:spacing w:line="240" w:lineRule="auto"/>
                    <w:jc w:val="center"/>
                    <w:rPr>
                      <w:kern w:val="0"/>
                      <w:sz w:val="21"/>
                      <w:szCs w:val="21"/>
                    </w:rPr>
                  </w:pPr>
                  <w:r>
                    <w:rPr>
                      <w:kern w:val="0"/>
                      <w:sz w:val="21"/>
                      <w:szCs w:val="21"/>
                    </w:rPr>
                    <w:t>500</w:t>
                  </w:r>
                </w:p>
              </w:tc>
              <w:tc>
                <w:tcPr>
                  <w:tcW w:w="484" w:type="pct"/>
                  <w:tcBorders>
                    <w:tl2br w:val="nil"/>
                    <w:tr2bl w:val="nil"/>
                  </w:tcBorders>
                  <w:vAlign w:val="center"/>
                </w:tcPr>
                <w:p>
                  <w:pPr>
                    <w:spacing w:line="240" w:lineRule="auto"/>
                    <w:jc w:val="center"/>
                    <w:rPr>
                      <w:kern w:val="0"/>
                      <w:sz w:val="21"/>
                      <w:szCs w:val="21"/>
                    </w:rPr>
                  </w:pPr>
                  <w:r>
                    <w:rPr>
                      <w:kern w:val="0"/>
                      <w:sz w:val="21"/>
                      <w:szCs w:val="21"/>
                    </w:rPr>
                    <w:t>300</w:t>
                  </w:r>
                </w:p>
              </w:tc>
              <w:tc>
                <w:tcPr>
                  <w:tcW w:w="323" w:type="pct"/>
                  <w:tcBorders>
                    <w:tl2br w:val="nil"/>
                    <w:tr2bl w:val="nil"/>
                  </w:tcBorders>
                  <w:vAlign w:val="center"/>
                </w:tcPr>
                <w:p>
                  <w:pPr>
                    <w:spacing w:line="240" w:lineRule="auto"/>
                    <w:jc w:val="center"/>
                    <w:rPr>
                      <w:kern w:val="0"/>
                      <w:sz w:val="21"/>
                      <w:szCs w:val="21"/>
                    </w:rPr>
                  </w:pPr>
                  <w:r>
                    <w:rPr>
                      <w:kern w:val="0"/>
                      <w:sz w:val="21"/>
                      <w:szCs w:val="21"/>
                    </w:rPr>
                    <w:t>400</w:t>
                  </w:r>
                </w:p>
              </w:tc>
              <w:tc>
                <w:tcPr>
                  <w:tcW w:w="505" w:type="pct"/>
                  <w:tcBorders>
                    <w:tl2br w:val="nil"/>
                    <w:tr2bl w:val="nil"/>
                  </w:tcBorders>
                  <w:vAlign w:val="center"/>
                </w:tcPr>
                <w:p>
                  <w:pPr>
                    <w:spacing w:line="240" w:lineRule="auto"/>
                    <w:jc w:val="center"/>
                    <w:rPr>
                      <w:kern w:val="0"/>
                      <w:sz w:val="21"/>
                      <w:szCs w:val="21"/>
                    </w:rPr>
                  </w:pPr>
                  <w:r>
                    <w:rPr>
                      <w:kern w:val="0"/>
                      <w:sz w:val="21"/>
                      <w:szCs w:val="21"/>
                    </w:rPr>
                    <w:t>20</w:t>
                  </w:r>
                </w:p>
              </w:tc>
              <w:tc>
                <w:tcPr>
                  <w:tcW w:w="505" w:type="pct"/>
                  <w:tcBorders>
                    <w:tl2br w:val="nil"/>
                    <w:tr2bl w:val="nil"/>
                  </w:tcBorders>
                  <w:vAlign w:val="center"/>
                </w:tcPr>
                <w:p>
                  <w:pPr>
                    <w:spacing w:line="240" w:lineRule="auto"/>
                    <w:jc w:val="center"/>
                    <w:rPr>
                      <w:kern w:val="0"/>
                      <w:sz w:val="21"/>
                      <w:szCs w:val="21"/>
                    </w:rPr>
                  </w:pPr>
                  <w:r>
                    <w:rPr>
                      <w:kern w:val="0"/>
                      <w:sz w:val="21"/>
                      <w:szCs w:val="21"/>
                    </w:rPr>
                    <w:t>20</w:t>
                  </w:r>
                </w:p>
              </w:tc>
              <w:tc>
                <w:tcPr>
                  <w:tcW w:w="552" w:type="pct"/>
                  <w:tcBorders>
                    <w:tl2br w:val="nil"/>
                    <w:tr2bl w:val="nil"/>
                  </w:tcBorders>
                  <w:vAlign w:val="center"/>
                </w:tcPr>
                <w:p>
                  <w:pPr>
                    <w:spacing w:line="240" w:lineRule="auto"/>
                    <w:jc w:val="center"/>
                    <w:rPr>
                      <w:kern w:val="0"/>
                      <w:sz w:val="21"/>
                      <w:szCs w:val="21"/>
                    </w:rPr>
                  </w:pPr>
                  <w:r>
                    <w:rPr>
                      <w:kern w:val="0"/>
                      <w:sz w:val="21"/>
                      <w:szCs w:val="21"/>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764" w:type="pct"/>
                  <w:tcBorders>
                    <w:tl2br w:val="nil"/>
                    <w:tr2bl w:val="nil"/>
                  </w:tcBorders>
                  <w:vAlign w:val="center"/>
                </w:tcPr>
                <w:p>
                  <w:pPr>
                    <w:spacing w:line="240" w:lineRule="auto"/>
                    <w:jc w:val="center"/>
                    <w:rPr>
                      <w:kern w:val="0"/>
                      <w:sz w:val="21"/>
                      <w:szCs w:val="21"/>
                    </w:rPr>
                  </w:pPr>
                  <w:r>
                    <w:rPr>
                      <w:kern w:val="0"/>
                      <w:sz w:val="21"/>
                      <w:szCs w:val="21"/>
                    </w:rPr>
                    <w:t>工业污水处理厂出水水质标准</w:t>
                  </w:r>
                </w:p>
              </w:tc>
              <w:tc>
                <w:tcPr>
                  <w:tcW w:w="418" w:type="pct"/>
                  <w:tcBorders>
                    <w:tl2br w:val="nil"/>
                    <w:tr2bl w:val="nil"/>
                  </w:tcBorders>
                  <w:vAlign w:val="center"/>
                </w:tcPr>
                <w:p>
                  <w:pPr>
                    <w:spacing w:line="240" w:lineRule="auto"/>
                    <w:jc w:val="center"/>
                    <w:rPr>
                      <w:kern w:val="0"/>
                      <w:sz w:val="21"/>
                      <w:szCs w:val="21"/>
                    </w:rPr>
                  </w:pPr>
                  <w:r>
                    <w:rPr>
                      <w:kern w:val="0"/>
                      <w:sz w:val="21"/>
                      <w:szCs w:val="21"/>
                    </w:rPr>
                    <w:t>6～9</w:t>
                  </w:r>
                </w:p>
              </w:tc>
              <w:tc>
                <w:tcPr>
                  <w:tcW w:w="449" w:type="pct"/>
                  <w:tcBorders>
                    <w:tl2br w:val="nil"/>
                    <w:tr2bl w:val="nil"/>
                  </w:tcBorders>
                  <w:vAlign w:val="center"/>
                </w:tcPr>
                <w:p>
                  <w:pPr>
                    <w:spacing w:line="240" w:lineRule="auto"/>
                    <w:jc w:val="center"/>
                    <w:rPr>
                      <w:kern w:val="0"/>
                      <w:sz w:val="21"/>
                      <w:szCs w:val="21"/>
                    </w:rPr>
                  </w:pPr>
                  <w:r>
                    <w:rPr>
                      <w:kern w:val="0"/>
                      <w:sz w:val="21"/>
                      <w:szCs w:val="21"/>
                    </w:rPr>
                    <w:t>30</w:t>
                  </w:r>
                </w:p>
              </w:tc>
              <w:tc>
                <w:tcPr>
                  <w:tcW w:w="484" w:type="pct"/>
                  <w:tcBorders>
                    <w:tl2br w:val="nil"/>
                    <w:tr2bl w:val="nil"/>
                  </w:tcBorders>
                  <w:vAlign w:val="center"/>
                </w:tcPr>
                <w:p>
                  <w:pPr>
                    <w:spacing w:line="240" w:lineRule="auto"/>
                    <w:jc w:val="center"/>
                    <w:rPr>
                      <w:kern w:val="0"/>
                      <w:sz w:val="21"/>
                      <w:szCs w:val="21"/>
                    </w:rPr>
                  </w:pPr>
                  <w:r>
                    <w:rPr>
                      <w:kern w:val="0"/>
                      <w:sz w:val="21"/>
                      <w:szCs w:val="21"/>
                    </w:rPr>
                    <w:t>6</w:t>
                  </w:r>
                </w:p>
              </w:tc>
              <w:tc>
                <w:tcPr>
                  <w:tcW w:w="323" w:type="pct"/>
                  <w:tcBorders>
                    <w:tl2br w:val="nil"/>
                    <w:tr2bl w:val="nil"/>
                  </w:tcBorders>
                  <w:vAlign w:val="center"/>
                </w:tcPr>
                <w:p>
                  <w:pPr>
                    <w:spacing w:line="240" w:lineRule="auto"/>
                    <w:jc w:val="center"/>
                    <w:rPr>
                      <w:kern w:val="0"/>
                      <w:sz w:val="21"/>
                      <w:szCs w:val="21"/>
                    </w:rPr>
                  </w:pPr>
                  <w:r>
                    <w:rPr>
                      <w:kern w:val="0"/>
                      <w:sz w:val="21"/>
                      <w:szCs w:val="21"/>
                    </w:rPr>
                    <w:t>10</w:t>
                  </w:r>
                </w:p>
              </w:tc>
              <w:tc>
                <w:tcPr>
                  <w:tcW w:w="505" w:type="pct"/>
                  <w:tcBorders>
                    <w:tl2br w:val="nil"/>
                    <w:tr2bl w:val="nil"/>
                  </w:tcBorders>
                  <w:vAlign w:val="center"/>
                </w:tcPr>
                <w:p>
                  <w:pPr>
                    <w:spacing w:line="240" w:lineRule="auto"/>
                    <w:jc w:val="center"/>
                    <w:rPr>
                      <w:kern w:val="0"/>
                      <w:sz w:val="21"/>
                      <w:szCs w:val="21"/>
                    </w:rPr>
                  </w:pPr>
                  <w:r>
                    <w:rPr>
                      <w:kern w:val="0"/>
                      <w:sz w:val="21"/>
                      <w:szCs w:val="21"/>
                    </w:rPr>
                    <w:t>0.5</w:t>
                  </w:r>
                </w:p>
              </w:tc>
              <w:tc>
                <w:tcPr>
                  <w:tcW w:w="505" w:type="pct"/>
                  <w:tcBorders>
                    <w:tl2br w:val="nil"/>
                    <w:tr2bl w:val="nil"/>
                  </w:tcBorders>
                  <w:vAlign w:val="center"/>
                </w:tcPr>
                <w:p>
                  <w:pPr>
                    <w:spacing w:line="240" w:lineRule="auto"/>
                    <w:jc w:val="center"/>
                    <w:rPr>
                      <w:kern w:val="0"/>
                      <w:sz w:val="21"/>
                      <w:szCs w:val="21"/>
                    </w:rPr>
                  </w:pPr>
                  <w:r>
                    <w:rPr>
                      <w:kern w:val="0"/>
                      <w:sz w:val="21"/>
                      <w:szCs w:val="21"/>
                    </w:rPr>
                    <w:t>0.3</w:t>
                  </w:r>
                </w:p>
              </w:tc>
              <w:tc>
                <w:tcPr>
                  <w:tcW w:w="552" w:type="pct"/>
                  <w:tcBorders>
                    <w:tl2br w:val="nil"/>
                    <w:tr2bl w:val="nil"/>
                  </w:tcBorders>
                  <w:vAlign w:val="center"/>
                </w:tcPr>
                <w:p>
                  <w:pPr>
                    <w:spacing w:line="240" w:lineRule="auto"/>
                    <w:jc w:val="center"/>
                    <w:rPr>
                      <w:kern w:val="0"/>
                      <w:sz w:val="21"/>
                      <w:szCs w:val="21"/>
                    </w:rPr>
                  </w:pPr>
                  <w:r>
                    <w:rPr>
                      <w:kern w:val="0"/>
                      <w:sz w:val="21"/>
                      <w:szCs w:val="21"/>
                    </w:rPr>
                    <w:t>1.5</w:t>
                  </w:r>
                </w:p>
              </w:tc>
            </w:tr>
          </w:tbl>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陆河产业转移工业园工业污水处理厂采用</w:t>
            </w:r>
            <w:r>
              <w:rPr>
                <w:rFonts w:hint="eastAsia" w:ascii="Times New Roman" w:hAnsi="Times New Roman" w:eastAsia="新宋体"/>
                <w:sz w:val="24"/>
                <w:szCs w:val="24"/>
                <w:lang w:val="en-US"/>
              </w:rPr>
              <w:t>“</w:t>
            </w:r>
            <w:r>
              <w:rPr>
                <w:rFonts w:ascii="Times New Roman" w:hAnsi="Times New Roman" w:eastAsia="新宋体"/>
                <w:sz w:val="24"/>
                <w:szCs w:val="24"/>
                <w:lang w:val="en-US"/>
              </w:rPr>
              <w:t>单级物化反应沉淀+二级AO处理+污泥回流+二级反应沉淀+砂滤+碳滤+UF</w:t>
            </w:r>
            <w:r>
              <w:rPr>
                <w:rFonts w:hint="eastAsia" w:ascii="Times New Roman" w:hAnsi="Times New Roman" w:eastAsia="新宋体"/>
                <w:sz w:val="24"/>
                <w:szCs w:val="24"/>
                <w:lang w:val="en-US"/>
              </w:rPr>
              <w:t>”</w:t>
            </w:r>
            <w:r>
              <w:rPr>
                <w:rFonts w:ascii="Times New Roman" w:hAnsi="Times New Roman" w:eastAsia="新宋体"/>
                <w:sz w:val="24"/>
                <w:szCs w:val="24"/>
                <w:lang w:val="en-US"/>
              </w:rPr>
              <w:t>的处理工艺进行处理，详细工艺流程见下图。</w:t>
            </w:r>
          </w:p>
          <w:p>
            <w:pPr>
              <w:jc w:val="center"/>
              <w:rPr>
                <w:rFonts w:eastAsiaTheme="minorEastAsia"/>
                <w:b/>
                <w:bCs/>
                <w:sz w:val="24"/>
              </w:rPr>
            </w:pPr>
            <w:r>
              <w:rPr>
                <w:b/>
                <w:bCs/>
                <w:sz w:val="21"/>
                <w:szCs w:val="21"/>
              </w:rPr>
              <w:drawing>
                <wp:inline distT="0" distB="0" distL="114300" distR="114300">
                  <wp:extent cx="5133340" cy="2753360"/>
                  <wp:effectExtent l="0" t="0" r="0" b="889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21" cstate="print"/>
                          <a:srcRect t="5516" b="4027"/>
                          <a:stretch>
                            <a:fillRect/>
                          </a:stretch>
                        </pic:blipFill>
                        <pic:spPr>
                          <a:xfrm>
                            <a:off x="0" y="0"/>
                            <a:ext cx="5133340" cy="2753832"/>
                          </a:xfrm>
                          <a:prstGeom prst="rect">
                            <a:avLst/>
                          </a:prstGeom>
                          <a:noFill/>
                          <a:ln>
                            <a:noFill/>
                          </a:ln>
                        </pic:spPr>
                      </pic:pic>
                    </a:graphicData>
                  </a:graphic>
                </wp:inline>
              </w:drawing>
            </w:r>
          </w:p>
          <w:p>
            <w:pPr>
              <w:jc w:val="center"/>
              <w:rPr>
                <w:rFonts w:eastAsiaTheme="minorEastAsia"/>
                <w:b/>
                <w:bCs/>
                <w:sz w:val="24"/>
              </w:rPr>
            </w:pPr>
            <w:r>
              <w:rPr>
                <w:rFonts w:eastAsiaTheme="minorEastAsia"/>
                <w:b/>
                <w:bCs/>
                <w:sz w:val="24"/>
              </w:rPr>
              <w:t>图4-3 陆河产业转移工业园工业污水处理厂处理工艺流程图</w:t>
            </w:r>
          </w:p>
          <w:p>
            <w:pPr>
              <w:ind w:firstLine="480" w:firstLineChars="200"/>
              <w:rPr>
                <w:rFonts w:eastAsia="新宋体"/>
                <w:sz w:val="24"/>
              </w:rPr>
            </w:pPr>
            <w:r>
              <w:rPr>
                <w:rFonts w:eastAsia="新宋体"/>
                <w:sz w:val="24"/>
              </w:rPr>
              <w:t>处理工艺说明：</w:t>
            </w:r>
          </w:p>
          <w:p>
            <w:pPr>
              <w:ind w:firstLine="480" w:firstLineChars="200"/>
              <w:rPr>
                <w:rFonts w:eastAsia="新宋体"/>
                <w:sz w:val="24"/>
              </w:rPr>
            </w:pPr>
            <w:r>
              <w:rPr>
                <w:rFonts w:eastAsia="新宋体"/>
                <w:sz w:val="24"/>
              </w:rPr>
              <w:t xml:space="preserve"> a、物化预处理</w:t>
            </w:r>
          </w:p>
          <w:p>
            <w:pPr>
              <w:ind w:firstLine="480" w:firstLineChars="200"/>
              <w:rPr>
                <w:rFonts w:eastAsia="新宋体"/>
                <w:sz w:val="24"/>
              </w:rPr>
            </w:pPr>
            <w:r>
              <w:rPr>
                <w:rFonts w:eastAsia="新宋体"/>
                <w:sz w:val="24"/>
              </w:rPr>
              <w:t>鉴于工业园区污水的特性，各园区内企业排放的污水虽经其自建污水处理设施进行了预处理，但如出现异常排放情况而直接纳入本污水处理站，其中的固体悬浮物可能会堵塞水泵。因此本工艺中，污水的预处理选择</w:t>
            </w:r>
            <w:r>
              <w:rPr>
                <w:rFonts w:hint="eastAsia" w:eastAsia="新宋体"/>
                <w:sz w:val="24"/>
              </w:rPr>
              <w:t>“</w:t>
            </w:r>
            <w:r>
              <w:rPr>
                <w:rFonts w:eastAsia="新宋体"/>
                <w:sz w:val="24"/>
              </w:rPr>
              <w:t>格栅＋沉砂＋混凝沉淀</w:t>
            </w:r>
            <w:r>
              <w:rPr>
                <w:rFonts w:hint="eastAsia" w:eastAsia="新宋体"/>
                <w:sz w:val="24"/>
              </w:rPr>
              <w:t>”</w:t>
            </w:r>
            <w:r>
              <w:rPr>
                <w:rFonts w:eastAsia="新宋体"/>
                <w:sz w:val="24"/>
              </w:rPr>
              <w:t>工艺，去除大部分的固体悬浮物等，同时确保后续生化系统的稳定运转，经预处理后自流入后续生化等流程。</w:t>
            </w:r>
          </w:p>
          <w:p>
            <w:pPr>
              <w:ind w:firstLine="480" w:firstLineChars="200"/>
              <w:rPr>
                <w:rFonts w:eastAsia="新宋体"/>
                <w:sz w:val="24"/>
              </w:rPr>
            </w:pPr>
            <w:r>
              <w:rPr>
                <w:rFonts w:eastAsia="新宋体"/>
                <w:sz w:val="24"/>
              </w:rPr>
              <w:t>b、生化系统选择</w:t>
            </w:r>
          </w:p>
          <w:p>
            <w:pPr>
              <w:ind w:firstLine="480" w:firstLineChars="200"/>
              <w:rPr>
                <w:rFonts w:eastAsia="新宋体"/>
                <w:sz w:val="24"/>
              </w:rPr>
            </w:pPr>
            <w:r>
              <w:rPr>
                <w:rFonts w:eastAsia="新宋体"/>
                <w:sz w:val="24"/>
              </w:rPr>
              <w:t>在生化系统工艺中选用</w:t>
            </w:r>
            <w:r>
              <w:rPr>
                <w:rFonts w:hint="eastAsia" w:eastAsia="新宋体"/>
                <w:sz w:val="24"/>
              </w:rPr>
              <w:t>“</w:t>
            </w:r>
            <w:r>
              <w:rPr>
                <w:rFonts w:eastAsia="新宋体"/>
                <w:sz w:val="24"/>
              </w:rPr>
              <w:t>二级缺氧+好氧+污泥回流+除磷反应沉淀</w:t>
            </w:r>
            <w:r>
              <w:rPr>
                <w:rFonts w:hint="eastAsia" w:eastAsia="新宋体"/>
                <w:sz w:val="24"/>
              </w:rPr>
              <w:t>”</w:t>
            </w:r>
            <w:r>
              <w:rPr>
                <w:rFonts w:eastAsia="新宋体"/>
                <w:sz w:val="24"/>
              </w:rPr>
              <w:t>的工艺。</w:t>
            </w:r>
            <w:r>
              <w:rPr>
                <w:rFonts w:hint="eastAsia" w:eastAsia="新宋体"/>
                <w:sz w:val="24"/>
              </w:rPr>
              <w:t>①</w:t>
            </w:r>
            <w:r>
              <w:rPr>
                <w:rFonts w:eastAsia="新宋体"/>
                <w:sz w:val="24"/>
              </w:rPr>
              <w:t>污水在一级缺氧+一级好氧+污泥回流系统中，利用水解酸化作用将厌氧反应控制在前一阶段，将水中复杂的、大分子量的有机物分解为小分子、易于生物降解的有机物，可有效提高废水的可生化性，然后转入好氧生化处理。好氧微生物必须在水中溶解氧很丰富的条件下才能生存繁衍。好氧微生物以废水中的有机物作为它们进行新陈代谢的基质（营养物)，通过好氧微生物的代谢活动，把有机物转化为H</w:t>
            </w:r>
            <w:r>
              <w:rPr>
                <w:rFonts w:eastAsia="新宋体"/>
                <w:sz w:val="24"/>
                <w:vertAlign w:val="subscript"/>
              </w:rPr>
              <w:t>2</w:t>
            </w:r>
            <w:r>
              <w:rPr>
                <w:rFonts w:eastAsia="新宋体"/>
                <w:sz w:val="24"/>
              </w:rPr>
              <w:t>O和CO</w:t>
            </w:r>
            <w:r>
              <w:rPr>
                <w:rFonts w:eastAsia="新宋体"/>
                <w:sz w:val="24"/>
                <w:vertAlign w:val="subscript"/>
              </w:rPr>
              <w:t>2</w:t>
            </w:r>
            <w:r>
              <w:rPr>
                <w:rFonts w:eastAsia="新宋体"/>
                <w:sz w:val="24"/>
              </w:rPr>
              <w:t>，同时好氧池中的硝化菌将水中的氨氮污染物转变成硝酸盐、亚硝酸盐等硝态氮;</w:t>
            </w:r>
            <w:r>
              <w:rPr>
                <w:rFonts w:hint="eastAsia" w:eastAsia="新宋体"/>
                <w:sz w:val="24"/>
              </w:rPr>
              <w:t>②</w:t>
            </w:r>
            <w:r>
              <w:rPr>
                <w:rFonts w:eastAsia="新宋体"/>
                <w:sz w:val="24"/>
              </w:rPr>
              <w:t>之后污水进入二级缺氧+二级好氧+污泥回流系统中，利用二级缺氧池中的反硝化细菌，将水中的硝酸盐、亚硝酸盐转变成氮气，从而达到去除总氮的目的；二级好氧池中的好氧菌及硝化菌进一步去除污水中的有机物及残留的氨氮污染物，将残留的氨氮污染物转变成硝态氮之后，通过混合液回流泵回流入一级缺氧池中，再利用一级缺氧池中的反硝化细菌，将硝态氮转变成氮气，以去除总氮。两级A/O出水进入除磷反应沉淀系统中，在反应池中投加PAC/PAM，铝盐与污水中的磷酸盐污染物生成磷酸铝沉淀物，进一步去除污水中的磷酸盐污染物。</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c、深度处理</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为确保出水稳定达标及确保出水清澈无悬浮物，上述</w:t>
            </w:r>
            <w:r>
              <w:rPr>
                <w:rFonts w:hint="eastAsia" w:ascii="Times New Roman" w:hAnsi="Times New Roman" w:eastAsia="新宋体"/>
                <w:sz w:val="24"/>
                <w:szCs w:val="24"/>
                <w:lang w:val="en-US"/>
              </w:rPr>
              <w:t>“</w:t>
            </w:r>
            <w:r>
              <w:rPr>
                <w:rFonts w:ascii="Times New Roman" w:hAnsi="Times New Roman" w:eastAsia="新宋体"/>
                <w:sz w:val="24"/>
                <w:szCs w:val="24"/>
                <w:lang w:val="en-US"/>
              </w:rPr>
              <w:t>物化预处理+生化处理”后的废水，仍需进行深度处理。拟选用“化学脱氮+砂滤+碳滤+UF</w:t>
            </w:r>
            <w:r>
              <w:rPr>
                <w:rFonts w:hint="eastAsia" w:ascii="Times New Roman" w:hAnsi="Times New Roman" w:eastAsia="新宋体"/>
                <w:sz w:val="24"/>
                <w:szCs w:val="24"/>
                <w:lang w:val="en-US"/>
              </w:rPr>
              <w:t>”</w:t>
            </w:r>
            <w:r>
              <w:rPr>
                <w:rFonts w:ascii="Times New Roman" w:hAnsi="Times New Roman" w:eastAsia="新宋体"/>
                <w:sz w:val="24"/>
                <w:szCs w:val="24"/>
                <w:lang w:val="en-US"/>
              </w:rPr>
              <w:t>的深度处理工艺。为确保氨氮指标稳定≤1.5mg/l，生化出水增加了化学脱氮工艺，投加NaClO，采用“折点氯化法”，进一步去除水中残留的氨氮污染物。超滤膜可用于去除水中的悬浮微粒、胶体、微生物等。在水压的作用下水分子及小分子物质透过超滤膜，水中的悬浮微粒、胶体、微生物等则被截留在超滤膜的内表面。</w:t>
            </w:r>
          </w:p>
          <w:p>
            <w:pPr>
              <w:pStyle w:val="51"/>
              <w:spacing w:before="0" w:line="360" w:lineRule="auto"/>
              <w:ind w:left="0" w:firstLine="480" w:firstLineChars="200"/>
              <w:outlineLvl w:val="9"/>
              <w:rPr>
                <w:rFonts w:ascii="Times New Roman" w:hAnsi="Times New Roman" w:eastAsia="新宋体"/>
                <w:sz w:val="24"/>
                <w:szCs w:val="24"/>
                <w:lang w:val="en-US"/>
              </w:rPr>
            </w:pPr>
            <w:r>
              <w:rPr>
                <w:rFonts w:hint="eastAsia" w:ascii="Times New Roman" w:hAnsi="Times New Roman" w:eastAsia="新宋体"/>
                <w:sz w:val="24"/>
                <w:szCs w:val="24"/>
                <w:lang w:val="en-US"/>
              </w:rPr>
              <w:t>综上所述</w:t>
            </w:r>
            <w:r>
              <w:rPr>
                <w:rFonts w:ascii="Times New Roman" w:hAnsi="Times New Roman" w:eastAsia="新宋体"/>
                <w:sz w:val="24"/>
                <w:szCs w:val="24"/>
                <w:lang w:val="en-US"/>
              </w:rPr>
              <w:t>，淋雨测试废水排放量小，污染物种类简单，陆河产业转移工业园工业污水处理厂完全有能力接纳并处理淋雨测试废水。</w:t>
            </w:r>
          </w:p>
          <w:p>
            <w:pPr>
              <w:pStyle w:val="51"/>
              <w:spacing w:before="0" w:line="360" w:lineRule="auto"/>
              <w:ind w:left="0" w:firstLine="482" w:firstLineChars="200"/>
              <w:outlineLvl w:val="9"/>
              <w:rPr>
                <w:rFonts w:ascii="Times New Roman" w:hAnsi="Times New Roman" w:eastAsia="新宋体"/>
                <w:b/>
                <w:bCs/>
                <w:sz w:val="24"/>
                <w:szCs w:val="24"/>
                <w:lang w:val="en-US"/>
              </w:rPr>
            </w:pPr>
            <w:r>
              <w:rPr>
                <w:rFonts w:ascii="Times New Roman" w:hAnsi="Times New Roman" w:eastAsia="新宋体"/>
                <w:b/>
                <w:bCs/>
                <w:sz w:val="24"/>
                <w:szCs w:val="24"/>
                <w:lang w:val="en-US"/>
              </w:rPr>
              <w:t>3、声环境影响和保护措施</w:t>
            </w:r>
          </w:p>
          <w:p>
            <w:pPr>
              <w:pStyle w:val="51"/>
              <w:spacing w:before="0" w:line="360" w:lineRule="auto"/>
              <w:ind w:left="0" w:firstLine="482" w:firstLineChars="200"/>
              <w:outlineLvl w:val="9"/>
              <w:rPr>
                <w:rFonts w:ascii="Times New Roman" w:hAnsi="Times New Roman" w:eastAsia="新宋体"/>
                <w:b/>
                <w:bCs/>
                <w:sz w:val="24"/>
                <w:szCs w:val="24"/>
                <w:lang w:val="en-US"/>
              </w:rPr>
            </w:pPr>
            <w:r>
              <w:rPr>
                <w:rFonts w:ascii="Times New Roman" w:hAnsi="Times New Roman" w:eastAsia="新宋体"/>
                <w:b/>
                <w:bCs/>
                <w:sz w:val="24"/>
                <w:szCs w:val="24"/>
                <w:lang w:val="en-US"/>
              </w:rPr>
              <w:t>（1）厂区噪声产排情况</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企业噪声污染主要由生产设备运转所产生，主要机械设备噪声如下表所示。</w:t>
            </w:r>
          </w:p>
          <w:p>
            <w:pPr>
              <w:spacing w:line="240" w:lineRule="auto"/>
              <w:jc w:val="center"/>
              <w:rPr>
                <w:rFonts w:eastAsiaTheme="minorEastAsia"/>
                <w:b/>
                <w:bCs/>
                <w:sz w:val="24"/>
              </w:rPr>
            </w:pPr>
            <w:r>
              <w:rPr>
                <w:rFonts w:eastAsiaTheme="minorEastAsia"/>
                <w:b/>
                <w:bCs/>
                <w:sz w:val="24"/>
              </w:rPr>
              <w:t>表4-12 项目噪声污染情况一览表</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5"/>
              <w:gridCol w:w="2439"/>
              <w:gridCol w:w="708"/>
              <w:gridCol w:w="1560"/>
              <w:gridCol w:w="1796"/>
              <w:gridCol w:w="10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775" w:type="dxa"/>
                  <w:vAlign w:val="center"/>
                </w:tcPr>
                <w:p>
                  <w:pPr>
                    <w:widowControl/>
                    <w:spacing w:line="240" w:lineRule="auto"/>
                    <w:jc w:val="center"/>
                    <w:rPr>
                      <w:b/>
                      <w:kern w:val="0"/>
                      <w:sz w:val="21"/>
                      <w:szCs w:val="21"/>
                    </w:rPr>
                  </w:pPr>
                  <w:r>
                    <w:rPr>
                      <w:b/>
                      <w:kern w:val="0"/>
                      <w:sz w:val="21"/>
                      <w:szCs w:val="21"/>
                    </w:rPr>
                    <w:t>序号</w:t>
                  </w:r>
                </w:p>
              </w:tc>
              <w:tc>
                <w:tcPr>
                  <w:tcW w:w="2439" w:type="dxa"/>
                  <w:vAlign w:val="center"/>
                </w:tcPr>
                <w:p>
                  <w:pPr>
                    <w:widowControl/>
                    <w:spacing w:line="240" w:lineRule="auto"/>
                    <w:jc w:val="center"/>
                    <w:rPr>
                      <w:b/>
                      <w:kern w:val="0"/>
                      <w:sz w:val="21"/>
                      <w:szCs w:val="21"/>
                    </w:rPr>
                  </w:pPr>
                  <w:r>
                    <w:rPr>
                      <w:b/>
                      <w:kern w:val="0"/>
                      <w:sz w:val="21"/>
                      <w:szCs w:val="21"/>
                    </w:rPr>
                    <w:t>设备名称</w:t>
                  </w:r>
                </w:p>
              </w:tc>
              <w:tc>
                <w:tcPr>
                  <w:tcW w:w="708" w:type="dxa"/>
                  <w:vAlign w:val="center"/>
                </w:tcPr>
                <w:p>
                  <w:pPr>
                    <w:widowControl/>
                    <w:spacing w:line="240" w:lineRule="auto"/>
                    <w:jc w:val="center"/>
                    <w:rPr>
                      <w:b/>
                      <w:kern w:val="0"/>
                      <w:sz w:val="21"/>
                      <w:szCs w:val="21"/>
                    </w:rPr>
                  </w:pPr>
                  <w:r>
                    <w:rPr>
                      <w:b/>
                      <w:kern w:val="0"/>
                      <w:sz w:val="21"/>
                      <w:szCs w:val="21"/>
                    </w:rPr>
                    <w:t>数量</w:t>
                  </w:r>
                </w:p>
              </w:tc>
              <w:tc>
                <w:tcPr>
                  <w:tcW w:w="1560" w:type="dxa"/>
                  <w:vAlign w:val="center"/>
                </w:tcPr>
                <w:p>
                  <w:pPr>
                    <w:pStyle w:val="151"/>
                    <w:spacing w:line="240" w:lineRule="auto"/>
                    <w:rPr>
                      <w:b/>
                      <w:kern w:val="0"/>
                      <w:sz w:val="21"/>
                      <w:szCs w:val="21"/>
                    </w:rPr>
                  </w:pPr>
                  <w:r>
                    <w:rPr>
                      <w:b/>
                      <w:sz w:val="21"/>
                      <w:szCs w:val="21"/>
                    </w:rPr>
                    <w:t>距声源距离</w:t>
                  </w:r>
                </w:p>
              </w:tc>
              <w:tc>
                <w:tcPr>
                  <w:tcW w:w="1796" w:type="dxa"/>
                  <w:vAlign w:val="center"/>
                </w:tcPr>
                <w:p>
                  <w:pPr>
                    <w:pStyle w:val="148"/>
                    <w:spacing w:line="240" w:lineRule="auto"/>
                    <w:rPr>
                      <w:rFonts w:hAnsi="Times New Roman"/>
                      <w:b/>
                      <w:kern w:val="0"/>
                    </w:rPr>
                  </w:pPr>
                  <w:r>
                    <w:rPr>
                      <w:rFonts w:hAnsi="Times New Roman" w:eastAsia="新宋体"/>
                      <w:b/>
                      <w:bCs/>
                    </w:rPr>
                    <w:t>噪声源强（dB）</w:t>
                  </w:r>
                </w:p>
              </w:tc>
              <w:tc>
                <w:tcPr>
                  <w:tcW w:w="1061" w:type="dxa"/>
                  <w:vAlign w:val="center"/>
                </w:tcPr>
                <w:p>
                  <w:pPr>
                    <w:widowControl/>
                    <w:spacing w:line="240" w:lineRule="auto"/>
                    <w:jc w:val="center"/>
                    <w:rPr>
                      <w:b/>
                      <w:kern w:val="0"/>
                      <w:sz w:val="21"/>
                      <w:szCs w:val="21"/>
                    </w:rPr>
                  </w:pPr>
                  <w:r>
                    <w:rPr>
                      <w:b/>
                      <w:kern w:val="0"/>
                      <w:sz w:val="21"/>
                      <w:szCs w:val="21"/>
                    </w:rPr>
                    <w:t>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5" w:type="dxa"/>
                  <w:vAlign w:val="center"/>
                </w:tcPr>
                <w:p>
                  <w:pPr>
                    <w:widowControl/>
                    <w:numPr>
                      <w:ilvl w:val="0"/>
                      <w:numId w:val="4"/>
                    </w:numPr>
                    <w:tabs>
                      <w:tab w:val="left" w:pos="0"/>
                    </w:tabs>
                    <w:spacing w:line="240" w:lineRule="auto"/>
                    <w:jc w:val="center"/>
                    <w:rPr>
                      <w:kern w:val="0"/>
                      <w:sz w:val="21"/>
                      <w:szCs w:val="21"/>
                    </w:rPr>
                  </w:pPr>
                </w:p>
              </w:tc>
              <w:tc>
                <w:tcPr>
                  <w:tcW w:w="2439" w:type="dxa"/>
                  <w:vAlign w:val="center"/>
                </w:tcPr>
                <w:p>
                  <w:pPr>
                    <w:spacing w:line="240" w:lineRule="auto"/>
                    <w:jc w:val="center"/>
                    <w:rPr>
                      <w:kern w:val="0"/>
                      <w:sz w:val="21"/>
                      <w:szCs w:val="21"/>
                    </w:rPr>
                  </w:pPr>
                  <w:r>
                    <w:rPr>
                      <w:rFonts w:hint="eastAsia"/>
                      <w:kern w:val="0"/>
                      <w:sz w:val="21"/>
                      <w:szCs w:val="21"/>
                    </w:rPr>
                    <w:t>氢检机</w:t>
                  </w:r>
                </w:p>
              </w:tc>
              <w:tc>
                <w:tcPr>
                  <w:tcW w:w="708" w:type="dxa"/>
                  <w:vAlign w:val="center"/>
                </w:tcPr>
                <w:p>
                  <w:pPr>
                    <w:spacing w:line="240" w:lineRule="auto"/>
                    <w:jc w:val="center"/>
                    <w:rPr>
                      <w:kern w:val="0"/>
                      <w:sz w:val="21"/>
                      <w:szCs w:val="21"/>
                    </w:rPr>
                  </w:pPr>
                  <w:r>
                    <w:rPr>
                      <w:rFonts w:hint="eastAsia"/>
                      <w:kern w:val="0"/>
                      <w:sz w:val="21"/>
                      <w:szCs w:val="21"/>
                    </w:rPr>
                    <w:t>1</w:t>
                  </w:r>
                </w:p>
              </w:tc>
              <w:tc>
                <w:tcPr>
                  <w:tcW w:w="1560" w:type="dxa"/>
                  <w:vAlign w:val="center"/>
                </w:tcPr>
                <w:p>
                  <w:pPr>
                    <w:spacing w:line="240" w:lineRule="auto"/>
                    <w:jc w:val="center"/>
                    <w:rPr>
                      <w:sz w:val="21"/>
                      <w:szCs w:val="21"/>
                    </w:rPr>
                  </w:pPr>
                  <w:r>
                    <w:rPr>
                      <w:sz w:val="21"/>
                      <w:szCs w:val="21"/>
                    </w:rPr>
                    <w:t>1m</w:t>
                  </w:r>
                </w:p>
              </w:tc>
              <w:tc>
                <w:tcPr>
                  <w:tcW w:w="1796" w:type="dxa"/>
                  <w:vAlign w:val="center"/>
                </w:tcPr>
                <w:p>
                  <w:pPr>
                    <w:spacing w:line="240" w:lineRule="auto"/>
                    <w:jc w:val="center"/>
                    <w:rPr>
                      <w:sz w:val="21"/>
                      <w:szCs w:val="21"/>
                    </w:rPr>
                  </w:pPr>
                  <w:r>
                    <w:rPr>
                      <w:sz w:val="21"/>
                      <w:szCs w:val="21"/>
                    </w:rPr>
                    <w:t>60~65</w:t>
                  </w:r>
                </w:p>
              </w:tc>
              <w:tc>
                <w:tcPr>
                  <w:tcW w:w="1061" w:type="dxa"/>
                  <w:vMerge w:val="restart"/>
                  <w:vAlign w:val="center"/>
                </w:tcPr>
                <w:p>
                  <w:pPr>
                    <w:spacing w:line="240" w:lineRule="auto"/>
                    <w:jc w:val="center"/>
                    <w:rPr>
                      <w:kern w:val="0"/>
                      <w:sz w:val="21"/>
                      <w:szCs w:val="21"/>
                    </w:rPr>
                  </w:pPr>
                  <w:r>
                    <w:rPr>
                      <w:kern w:val="0"/>
                      <w:sz w:val="21"/>
                      <w:szCs w:val="21"/>
                    </w:rPr>
                    <w:t>减振、墙体隔声、距离衰减、绿化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5" w:type="dxa"/>
                  <w:vAlign w:val="center"/>
                </w:tcPr>
                <w:p>
                  <w:pPr>
                    <w:widowControl/>
                    <w:numPr>
                      <w:ilvl w:val="0"/>
                      <w:numId w:val="4"/>
                    </w:numPr>
                    <w:tabs>
                      <w:tab w:val="left" w:pos="0"/>
                    </w:tabs>
                    <w:spacing w:line="240" w:lineRule="auto"/>
                    <w:jc w:val="center"/>
                    <w:rPr>
                      <w:kern w:val="0"/>
                      <w:sz w:val="21"/>
                      <w:szCs w:val="21"/>
                    </w:rPr>
                  </w:pPr>
                </w:p>
              </w:tc>
              <w:tc>
                <w:tcPr>
                  <w:tcW w:w="2439" w:type="dxa"/>
                  <w:vAlign w:val="center"/>
                </w:tcPr>
                <w:p>
                  <w:pPr>
                    <w:spacing w:line="240" w:lineRule="auto"/>
                    <w:jc w:val="center"/>
                    <w:rPr>
                      <w:kern w:val="0"/>
                      <w:sz w:val="21"/>
                      <w:szCs w:val="21"/>
                    </w:rPr>
                  </w:pPr>
                  <w:r>
                    <w:rPr>
                      <w:rFonts w:hint="eastAsia"/>
                      <w:kern w:val="0"/>
                      <w:sz w:val="21"/>
                      <w:szCs w:val="21"/>
                    </w:rPr>
                    <w:t>气密性测试设备</w:t>
                  </w:r>
                </w:p>
              </w:tc>
              <w:tc>
                <w:tcPr>
                  <w:tcW w:w="708" w:type="dxa"/>
                  <w:vAlign w:val="center"/>
                </w:tcPr>
                <w:p>
                  <w:pPr>
                    <w:spacing w:line="240" w:lineRule="auto"/>
                    <w:jc w:val="center"/>
                    <w:rPr>
                      <w:kern w:val="0"/>
                      <w:sz w:val="21"/>
                      <w:szCs w:val="21"/>
                    </w:rPr>
                  </w:pPr>
                  <w:r>
                    <w:rPr>
                      <w:rFonts w:hint="eastAsia"/>
                      <w:kern w:val="0"/>
                      <w:sz w:val="21"/>
                      <w:szCs w:val="21"/>
                    </w:rPr>
                    <w:t>1</w:t>
                  </w:r>
                </w:p>
              </w:tc>
              <w:tc>
                <w:tcPr>
                  <w:tcW w:w="1560" w:type="dxa"/>
                  <w:vAlign w:val="center"/>
                </w:tcPr>
                <w:p>
                  <w:pPr>
                    <w:spacing w:line="240" w:lineRule="auto"/>
                    <w:jc w:val="center"/>
                    <w:rPr>
                      <w:sz w:val="21"/>
                      <w:szCs w:val="21"/>
                    </w:rPr>
                  </w:pPr>
                  <w:r>
                    <w:rPr>
                      <w:sz w:val="21"/>
                      <w:szCs w:val="21"/>
                    </w:rPr>
                    <w:t>1m</w:t>
                  </w:r>
                </w:p>
              </w:tc>
              <w:tc>
                <w:tcPr>
                  <w:tcW w:w="1796" w:type="dxa"/>
                  <w:vAlign w:val="center"/>
                </w:tcPr>
                <w:p>
                  <w:pPr>
                    <w:spacing w:line="240" w:lineRule="auto"/>
                    <w:jc w:val="center"/>
                    <w:rPr>
                      <w:sz w:val="21"/>
                      <w:szCs w:val="21"/>
                    </w:rPr>
                  </w:pPr>
                  <w:r>
                    <w:rPr>
                      <w:sz w:val="21"/>
                      <w:szCs w:val="21"/>
                    </w:rPr>
                    <w:t>60~65</w:t>
                  </w:r>
                </w:p>
              </w:tc>
              <w:tc>
                <w:tcPr>
                  <w:tcW w:w="1061" w:type="dxa"/>
                  <w:vMerge w:val="continue"/>
                  <w:vAlign w:val="center"/>
                </w:tcPr>
                <w:p>
                  <w:pPr>
                    <w:spacing w:line="240" w:lineRule="auto"/>
                    <w:jc w:val="center"/>
                    <w:rPr>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5" w:type="dxa"/>
                  <w:vAlign w:val="center"/>
                </w:tcPr>
                <w:p>
                  <w:pPr>
                    <w:widowControl/>
                    <w:numPr>
                      <w:ilvl w:val="0"/>
                      <w:numId w:val="4"/>
                    </w:numPr>
                    <w:tabs>
                      <w:tab w:val="left" w:pos="0"/>
                    </w:tabs>
                    <w:spacing w:line="240" w:lineRule="auto"/>
                    <w:jc w:val="center"/>
                    <w:rPr>
                      <w:kern w:val="0"/>
                      <w:sz w:val="21"/>
                      <w:szCs w:val="21"/>
                    </w:rPr>
                  </w:pPr>
                </w:p>
              </w:tc>
              <w:tc>
                <w:tcPr>
                  <w:tcW w:w="2439" w:type="dxa"/>
                  <w:vAlign w:val="center"/>
                </w:tcPr>
                <w:p>
                  <w:pPr>
                    <w:spacing w:line="240" w:lineRule="auto"/>
                    <w:jc w:val="center"/>
                    <w:rPr>
                      <w:sz w:val="21"/>
                      <w:szCs w:val="21"/>
                    </w:rPr>
                  </w:pPr>
                  <w:r>
                    <w:rPr>
                      <w:rFonts w:hint="eastAsia"/>
                      <w:kern w:val="0"/>
                      <w:sz w:val="21"/>
                      <w:szCs w:val="21"/>
                    </w:rPr>
                    <w:t>空压机</w:t>
                  </w:r>
                </w:p>
              </w:tc>
              <w:tc>
                <w:tcPr>
                  <w:tcW w:w="708" w:type="dxa"/>
                  <w:vAlign w:val="center"/>
                </w:tcPr>
                <w:p>
                  <w:pPr>
                    <w:spacing w:line="240" w:lineRule="auto"/>
                    <w:jc w:val="center"/>
                    <w:rPr>
                      <w:kern w:val="0"/>
                      <w:sz w:val="21"/>
                      <w:szCs w:val="21"/>
                    </w:rPr>
                  </w:pPr>
                  <w:r>
                    <w:rPr>
                      <w:rFonts w:hint="eastAsia"/>
                      <w:kern w:val="0"/>
                      <w:sz w:val="21"/>
                      <w:szCs w:val="21"/>
                    </w:rPr>
                    <w:t>1</w:t>
                  </w:r>
                </w:p>
              </w:tc>
              <w:tc>
                <w:tcPr>
                  <w:tcW w:w="1560" w:type="dxa"/>
                  <w:vAlign w:val="center"/>
                </w:tcPr>
                <w:p>
                  <w:pPr>
                    <w:spacing w:line="240" w:lineRule="auto"/>
                    <w:jc w:val="center"/>
                    <w:rPr>
                      <w:kern w:val="0"/>
                      <w:sz w:val="21"/>
                      <w:szCs w:val="21"/>
                    </w:rPr>
                  </w:pPr>
                  <w:r>
                    <w:rPr>
                      <w:sz w:val="21"/>
                      <w:szCs w:val="21"/>
                    </w:rPr>
                    <w:t>1m</w:t>
                  </w:r>
                </w:p>
              </w:tc>
              <w:tc>
                <w:tcPr>
                  <w:tcW w:w="1796" w:type="dxa"/>
                  <w:vAlign w:val="center"/>
                </w:tcPr>
                <w:p>
                  <w:pPr>
                    <w:spacing w:line="240" w:lineRule="auto"/>
                    <w:jc w:val="center"/>
                    <w:rPr>
                      <w:kern w:val="0"/>
                      <w:sz w:val="21"/>
                      <w:szCs w:val="21"/>
                    </w:rPr>
                  </w:pPr>
                  <w:r>
                    <w:rPr>
                      <w:sz w:val="21"/>
                      <w:szCs w:val="21"/>
                    </w:rPr>
                    <w:t>75~90</w:t>
                  </w:r>
                </w:p>
              </w:tc>
              <w:tc>
                <w:tcPr>
                  <w:tcW w:w="1061" w:type="dxa"/>
                  <w:vMerge w:val="continue"/>
                  <w:vAlign w:val="center"/>
                </w:tcPr>
                <w:p>
                  <w:pPr>
                    <w:widowControl/>
                    <w:spacing w:line="240" w:lineRule="auto"/>
                    <w:jc w:val="center"/>
                    <w:rPr>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5" w:type="dxa"/>
                  <w:vAlign w:val="center"/>
                </w:tcPr>
                <w:p>
                  <w:pPr>
                    <w:widowControl/>
                    <w:numPr>
                      <w:ilvl w:val="0"/>
                      <w:numId w:val="4"/>
                    </w:numPr>
                    <w:tabs>
                      <w:tab w:val="left" w:pos="0"/>
                    </w:tabs>
                    <w:spacing w:line="240" w:lineRule="auto"/>
                    <w:jc w:val="center"/>
                    <w:rPr>
                      <w:kern w:val="0"/>
                      <w:sz w:val="21"/>
                      <w:szCs w:val="21"/>
                    </w:rPr>
                  </w:pPr>
                </w:p>
              </w:tc>
              <w:tc>
                <w:tcPr>
                  <w:tcW w:w="2439" w:type="dxa"/>
                  <w:vAlign w:val="center"/>
                </w:tcPr>
                <w:p>
                  <w:pPr>
                    <w:spacing w:line="240" w:lineRule="auto"/>
                    <w:jc w:val="center"/>
                    <w:rPr>
                      <w:sz w:val="21"/>
                      <w:szCs w:val="21"/>
                    </w:rPr>
                  </w:pPr>
                  <w:r>
                    <w:rPr>
                      <w:rFonts w:hint="eastAsia"/>
                      <w:kern w:val="0"/>
                      <w:sz w:val="21"/>
                      <w:szCs w:val="21"/>
                    </w:rPr>
                    <w:t>风冷式移动空气压缩机</w:t>
                  </w:r>
                </w:p>
              </w:tc>
              <w:tc>
                <w:tcPr>
                  <w:tcW w:w="708" w:type="dxa"/>
                  <w:vAlign w:val="center"/>
                </w:tcPr>
                <w:p>
                  <w:pPr>
                    <w:pStyle w:val="91"/>
                    <w:autoSpaceDE/>
                    <w:autoSpaceDN/>
                    <w:snapToGrid w:val="0"/>
                    <w:textAlignment w:val="auto"/>
                    <w:rPr>
                      <w:sz w:val="21"/>
                      <w:szCs w:val="21"/>
                    </w:rPr>
                  </w:pPr>
                  <w:r>
                    <w:rPr>
                      <w:rFonts w:hint="eastAsia"/>
                      <w:sz w:val="21"/>
                      <w:szCs w:val="21"/>
                    </w:rPr>
                    <w:t>1</w:t>
                  </w:r>
                </w:p>
              </w:tc>
              <w:tc>
                <w:tcPr>
                  <w:tcW w:w="1560" w:type="dxa"/>
                  <w:vAlign w:val="center"/>
                </w:tcPr>
                <w:p>
                  <w:pPr>
                    <w:spacing w:line="240" w:lineRule="auto"/>
                    <w:jc w:val="center"/>
                    <w:rPr>
                      <w:kern w:val="0"/>
                      <w:sz w:val="21"/>
                      <w:szCs w:val="21"/>
                    </w:rPr>
                  </w:pPr>
                  <w:r>
                    <w:rPr>
                      <w:sz w:val="21"/>
                      <w:szCs w:val="21"/>
                    </w:rPr>
                    <w:t>1m</w:t>
                  </w:r>
                </w:p>
              </w:tc>
              <w:tc>
                <w:tcPr>
                  <w:tcW w:w="1796" w:type="dxa"/>
                  <w:vAlign w:val="center"/>
                </w:tcPr>
                <w:p>
                  <w:pPr>
                    <w:spacing w:line="240" w:lineRule="auto"/>
                    <w:jc w:val="center"/>
                    <w:rPr>
                      <w:kern w:val="0"/>
                      <w:sz w:val="21"/>
                      <w:szCs w:val="21"/>
                    </w:rPr>
                  </w:pPr>
                  <w:r>
                    <w:rPr>
                      <w:sz w:val="21"/>
                      <w:szCs w:val="21"/>
                    </w:rPr>
                    <w:t>75~90</w:t>
                  </w:r>
                </w:p>
              </w:tc>
              <w:tc>
                <w:tcPr>
                  <w:tcW w:w="1061" w:type="dxa"/>
                  <w:vMerge w:val="continue"/>
                  <w:vAlign w:val="center"/>
                </w:tcPr>
                <w:p>
                  <w:pPr>
                    <w:spacing w:line="240" w:lineRule="auto"/>
                    <w:jc w:val="center"/>
                    <w:rPr>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5" w:type="dxa"/>
                  <w:vAlign w:val="center"/>
                </w:tcPr>
                <w:p>
                  <w:pPr>
                    <w:widowControl/>
                    <w:numPr>
                      <w:ilvl w:val="0"/>
                      <w:numId w:val="4"/>
                    </w:numPr>
                    <w:tabs>
                      <w:tab w:val="left" w:pos="0"/>
                    </w:tabs>
                    <w:spacing w:line="240" w:lineRule="auto"/>
                    <w:jc w:val="center"/>
                    <w:rPr>
                      <w:kern w:val="0"/>
                      <w:sz w:val="21"/>
                      <w:szCs w:val="21"/>
                    </w:rPr>
                  </w:pPr>
                </w:p>
              </w:tc>
              <w:tc>
                <w:tcPr>
                  <w:tcW w:w="2439" w:type="dxa"/>
                  <w:vAlign w:val="center"/>
                </w:tcPr>
                <w:p>
                  <w:pPr>
                    <w:spacing w:line="240" w:lineRule="auto"/>
                    <w:jc w:val="center"/>
                    <w:rPr>
                      <w:sz w:val="21"/>
                      <w:szCs w:val="21"/>
                    </w:rPr>
                  </w:pPr>
                  <w:r>
                    <w:rPr>
                      <w:rFonts w:hint="eastAsia"/>
                      <w:kern w:val="0"/>
                      <w:sz w:val="21"/>
                      <w:szCs w:val="21"/>
                    </w:rPr>
                    <w:t>跨运机</w:t>
                  </w:r>
                </w:p>
              </w:tc>
              <w:tc>
                <w:tcPr>
                  <w:tcW w:w="708" w:type="dxa"/>
                  <w:vAlign w:val="center"/>
                </w:tcPr>
                <w:p>
                  <w:pPr>
                    <w:pStyle w:val="91"/>
                    <w:autoSpaceDE/>
                    <w:autoSpaceDN/>
                    <w:snapToGrid w:val="0"/>
                    <w:textAlignment w:val="auto"/>
                    <w:rPr>
                      <w:sz w:val="21"/>
                      <w:szCs w:val="21"/>
                    </w:rPr>
                  </w:pPr>
                  <w:r>
                    <w:rPr>
                      <w:rFonts w:hint="eastAsia"/>
                      <w:sz w:val="21"/>
                      <w:szCs w:val="21"/>
                    </w:rPr>
                    <w:t>1</w:t>
                  </w:r>
                </w:p>
              </w:tc>
              <w:tc>
                <w:tcPr>
                  <w:tcW w:w="1560" w:type="dxa"/>
                  <w:vAlign w:val="center"/>
                </w:tcPr>
                <w:p>
                  <w:pPr>
                    <w:spacing w:line="240" w:lineRule="auto"/>
                    <w:jc w:val="center"/>
                    <w:rPr>
                      <w:sz w:val="21"/>
                      <w:szCs w:val="21"/>
                    </w:rPr>
                  </w:pPr>
                  <w:r>
                    <w:rPr>
                      <w:sz w:val="21"/>
                      <w:szCs w:val="21"/>
                    </w:rPr>
                    <w:t>1m</w:t>
                  </w:r>
                </w:p>
              </w:tc>
              <w:tc>
                <w:tcPr>
                  <w:tcW w:w="1796" w:type="dxa"/>
                  <w:vAlign w:val="center"/>
                </w:tcPr>
                <w:p>
                  <w:pPr>
                    <w:spacing w:line="240" w:lineRule="auto"/>
                    <w:jc w:val="center"/>
                    <w:rPr>
                      <w:sz w:val="21"/>
                      <w:szCs w:val="21"/>
                    </w:rPr>
                  </w:pPr>
                  <w:r>
                    <w:rPr>
                      <w:sz w:val="21"/>
                      <w:szCs w:val="21"/>
                    </w:rPr>
                    <w:t>70~85</w:t>
                  </w:r>
                </w:p>
              </w:tc>
              <w:tc>
                <w:tcPr>
                  <w:tcW w:w="1061" w:type="dxa"/>
                  <w:vMerge w:val="continue"/>
                  <w:vAlign w:val="center"/>
                </w:tcPr>
                <w:p>
                  <w:pPr>
                    <w:spacing w:line="240" w:lineRule="auto"/>
                    <w:jc w:val="center"/>
                    <w:rPr>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5" w:type="dxa"/>
                  <w:vAlign w:val="center"/>
                </w:tcPr>
                <w:p>
                  <w:pPr>
                    <w:widowControl/>
                    <w:numPr>
                      <w:ilvl w:val="0"/>
                      <w:numId w:val="4"/>
                    </w:numPr>
                    <w:tabs>
                      <w:tab w:val="left" w:pos="0"/>
                    </w:tabs>
                    <w:spacing w:line="240" w:lineRule="auto"/>
                    <w:jc w:val="center"/>
                    <w:rPr>
                      <w:kern w:val="0"/>
                      <w:sz w:val="21"/>
                      <w:szCs w:val="21"/>
                    </w:rPr>
                  </w:pPr>
                </w:p>
              </w:tc>
              <w:tc>
                <w:tcPr>
                  <w:tcW w:w="2439" w:type="dxa"/>
                  <w:vAlign w:val="center"/>
                </w:tcPr>
                <w:p>
                  <w:pPr>
                    <w:spacing w:line="240" w:lineRule="auto"/>
                    <w:jc w:val="center"/>
                    <w:rPr>
                      <w:sz w:val="21"/>
                      <w:szCs w:val="21"/>
                    </w:rPr>
                  </w:pPr>
                  <w:r>
                    <w:rPr>
                      <w:rFonts w:hint="eastAsia"/>
                      <w:kern w:val="0"/>
                      <w:sz w:val="21"/>
                      <w:szCs w:val="21"/>
                    </w:rPr>
                    <w:t>托盘车</w:t>
                  </w:r>
                </w:p>
              </w:tc>
              <w:tc>
                <w:tcPr>
                  <w:tcW w:w="708" w:type="dxa"/>
                  <w:vAlign w:val="center"/>
                </w:tcPr>
                <w:p>
                  <w:pPr>
                    <w:pStyle w:val="91"/>
                    <w:autoSpaceDE/>
                    <w:autoSpaceDN/>
                    <w:snapToGrid w:val="0"/>
                    <w:textAlignment w:val="auto"/>
                    <w:rPr>
                      <w:sz w:val="21"/>
                      <w:szCs w:val="21"/>
                    </w:rPr>
                  </w:pPr>
                  <w:r>
                    <w:rPr>
                      <w:rFonts w:hint="eastAsia"/>
                      <w:sz w:val="21"/>
                      <w:szCs w:val="21"/>
                    </w:rPr>
                    <w:t>1</w:t>
                  </w:r>
                </w:p>
              </w:tc>
              <w:tc>
                <w:tcPr>
                  <w:tcW w:w="1560" w:type="dxa"/>
                  <w:vAlign w:val="center"/>
                </w:tcPr>
                <w:p>
                  <w:pPr>
                    <w:spacing w:line="240" w:lineRule="auto"/>
                    <w:jc w:val="center"/>
                    <w:rPr>
                      <w:sz w:val="21"/>
                      <w:szCs w:val="21"/>
                    </w:rPr>
                  </w:pPr>
                  <w:r>
                    <w:rPr>
                      <w:sz w:val="21"/>
                      <w:szCs w:val="21"/>
                    </w:rPr>
                    <w:t>1m</w:t>
                  </w:r>
                </w:p>
              </w:tc>
              <w:tc>
                <w:tcPr>
                  <w:tcW w:w="1796" w:type="dxa"/>
                  <w:vAlign w:val="center"/>
                </w:tcPr>
                <w:p>
                  <w:pPr>
                    <w:spacing w:line="240" w:lineRule="auto"/>
                    <w:jc w:val="center"/>
                    <w:rPr>
                      <w:sz w:val="21"/>
                      <w:szCs w:val="21"/>
                    </w:rPr>
                  </w:pPr>
                  <w:r>
                    <w:rPr>
                      <w:sz w:val="21"/>
                      <w:szCs w:val="21"/>
                    </w:rPr>
                    <w:t>70~85</w:t>
                  </w:r>
                </w:p>
              </w:tc>
              <w:tc>
                <w:tcPr>
                  <w:tcW w:w="1061" w:type="dxa"/>
                  <w:vMerge w:val="continue"/>
                  <w:vAlign w:val="center"/>
                </w:tcPr>
                <w:p>
                  <w:pPr>
                    <w:spacing w:line="240" w:lineRule="auto"/>
                    <w:jc w:val="center"/>
                    <w:rPr>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5" w:type="dxa"/>
                  <w:vAlign w:val="center"/>
                </w:tcPr>
                <w:p>
                  <w:pPr>
                    <w:widowControl/>
                    <w:numPr>
                      <w:ilvl w:val="0"/>
                      <w:numId w:val="4"/>
                    </w:numPr>
                    <w:tabs>
                      <w:tab w:val="left" w:pos="0"/>
                    </w:tabs>
                    <w:spacing w:line="240" w:lineRule="auto"/>
                    <w:jc w:val="center"/>
                    <w:rPr>
                      <w:kern w:val="0"/>
                      <w:sz w:val="21"/>
                      <w:szCs w:val="21"/>
                    </w:rPr>
                  </w:pPr>
                </w:p>
              </w:tc>
              <w:tc>
                <w:tcPr>
                  <w:tcW w:w="2439" w:type="dxa"/>
                  <w:vAlign w:val="center"/>
                </w:tcPr>
                <w:p>
                  <w:pPr>
                    <w:spacing w:line="240" w:lineRule="auto"/>
                    <w:jc w:val="center"/>
                    <w:rPr>
                      <w:sz w:val="21"/>
                      <w:szCs w:val="21"/>
                    </w:rPr>
                  </w:pPr>
                  <w:r>
                    <w:rPr>
                      <w:rFonts w:hint="eastAsia"/>
                      <w:kern w:val="0"/>
                      <w:sz w:val="21"/>
                      <w:szCs w:val="21"/>
                    </w:rPr>
                    <w:t>平衡重叉车</w:t>
                  </w:r>
                </w:p>
              </w:tc>
              <w:tc>
                <w:tcPr>
                  <w:tcW w:w="708" w:type="dxa"/>
                  <w:vAlign w:val="center"/>
                </w:tcPr>
                <w:p>
                  <w:pPr>
                    <w:pStyle w:val="91"/>
                    <w:autoSpaceDE/>
                    <w:autoSpaceDN/>
                    <w:snapToGrid w:val="0"/>
                    <w:textAlignment w:val="auto"/>
                    <w:rPr>
                      <w:sz w:val="21"/>
                      <w:szCs w:val="21"/>
                    </w:rPr>
                  </w:pPr>
                  <w:r>
                    <w:rPr>
                      <w:rFonts w:hint="eastAsia"/>
                      <w:sz w:val="21"/>
                      <w:szCs w:val="21"/>
                    </w:rPr>
                    <w:t>2</w:t>
                  </w:r>
                </w:p>
              </w:tc>
              <w:tc>
                <w:tcPr>
                  <w:tcW w:w="1560" w:type="dxa"/>
                  <w:vAlign w:val="center"/>
                </w:tcPr>
                <w:p>
                  <w:pPr>
                    <w:spacing w:line="240" w:lineRule="auto"/>
                    <w:jc w:val="center"/>
                    <w:rPr>
                      <w:sz w:val="21"/>
                      <w:szCs w:val="21"/>
                    </w:rPr>
                  </w:pPr>
                  <w:r>
                    <w:rPr>
                      <w:sz w:val="21"/>
                      <w:szCs w:val="21"/>
                    </w:rPr>
                    <w:t>1m</w:t>
                  </w:r>
                </w:p>
              </w:tc>
              <w:tc>
                <w:tcPr>
                  <w:tcW w:w="1796" w:type="dxa"/>
                  <w:vAlign w:val="center"/>
                </w:tcPr>
                <w:p>
                  <w:pPr>
                    <w:spacing w:line="240" w:lineRule="auto"/>
                    <w:jc w:val="center"/>
                    <w:rPr>
                      <w:sz w:val="21"/>
                      <w:szCs w:val="21"/>
                    </w:rPr>
                  </w:pPr>
                  <w:r>
                    <w:rPr>
                      <w:sz w:val="21"/>
                      <w:szCs w:val="21"/>
                    </w:rPr>
                    <w:t>70~85</w:t>
                  </w:r>
                </w:p>
              </w:tc>
              <w:tc>
                <w:tcPr>
                  <w:tcW w:w="1061" w:type="dxa"/>
                  <w:vMerge w:val="continue"/>
                  <w:vAlign w:val="center"/>
                </w:tcPr>
                <w:p>
                  <w:pPr>
                    <w:spacing w:line="240" w:lineRule="auto"/>
                    <w:jc w:val="center"/>
                    <w:rPr>
                      <w:kern w:val="0"/>
                      <w:sz w:val="21"/>
                      <w:szCs w:val="21"/>
                    </w:rPr>
                  </w:pPr>
                </w:p>
              </w:tc>
            </w:tr>
          </w:tbl>
          <w:p>
            <w:pPr>
              <w:pStyle w:val="51"/>
              <w:spacing w:before="0" w:line="360" w:lineRule="auto"/>
              <w:ind w:left="0" w:firstLine="482" w:firstLineChars="200"/>
              <w:outlineLvl w:val="9"/>
              <w:rPr>
                <w:rFonts w:ascii="Times New Roman" w:hAnsi="Times New Roman" w:eastAsia="新宋体"/>
                <w:b/>
                <w:bCs/>
                <w:sz w:val="24"/>
                <w:szCs w:val="24"/>
                <w:lang w:val="en-US"/>
              </w:rPr>
            </w:pPr>
            <w:r>
              <w:rPr>
                <w:rFonts w:ascii="Times New Roman" w:hAnsi="Times New Roman" w:eastAsia="新宋体"/>
                <w:b/>
                <w:bCs/>
                <w:sz w:val="24"/>
                <w:szCs w:val="24"/>
                <w:lang w:val="en-US"/>
              </w:rPr>
              <w:t>（2）声环境影响分析</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项目周边环境保护目标距离较远，主要分析</w:t>
            </w:r>
            <w:r>
              <w:rPr>
                <w:rFonts w:hint="eastAsia" w:ascii="Times New Roman" w:hAnsi="Times New Roman" w:eastAsia="新宋体"/>
                <w:sz w:val="24"/>
                <w:szCs w:val="24"/>
                <w:lang w:val="en-US"/>
              </w:rPr>
              <w:t>项目</w:t>
            </w:r>
            <w:r>
              <w:rPr>
                <w:rFonts w:ascii="Times New Roman" w:hAnsi="Times New Roman" w:eastAsia="新宋体"/>
                <w:sz w:val="24"/>
                <w:szCs w:val="24"/>
                <w:lang w:val="en-US"/>
              </w:rPr>
              <w:t>厂界噪声达标情况。</w:t>
            </w:r>
          </w:p>
          <w:p>
            <w:pPr>
              <w:pStyle w:val="51"/>
              <w:spacing w:before="0" w:line="360" w:lineRule="auto"/>
              <w:ind w:left="0" w:firstLine="480" w:firstLineChars="200"/>
              <w:outlineLvl w:val="9"/>
              <w:rPr>
                <w:rFonts w:ascii="Times New Roman" w:hAnsi="Times New Roman" w:eastAsia="新宋体"/>
                <w:sz w:val="24"/>
                <w:szCs w:val="24"/>
                <w:lang w:val="en-US"/>
              </w:rPr>
            </w:pPr>
            <w:r>
              <w:rPr>
                <w:rFonts w:hint="eastAsia" w:ascii="Times New Roman" w:hAnsi="Times New Roman" w:eastAsia="新宋体"/>
                <w:sz w:val="24"/>
                <w:szCs w:val="24"/>
                <w:lang w:val="en-US"/>
              </w:rPr>
              <w:t>①</w:t>
            </w:r>
            <w:r>
              <w:rPr>
                <w:rFonts w:ascii="Times New Roman" w:hAnsi="Times New Roman" w:eastAsia="新宋体"/>
                <w:sz w:val="24"/>
                <w:szCs w:val="24"/>
                <w:lang w:val="en-US"/>
              </w:rPr>
              <w:t>预测模式</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项目采取隔声、减振措施，其源强可削减15dB</w:t>
            </w:r>
            <w:r>
              <w:rPr>
                <w:rFonts w:hint="eastAsia" w:ascii="Times New Roman" w:hAnsi="Times New Roman" w:eastAsia="新宋体"/>
                <w:sz w:val="24"/>
                <w:szCs w:val="24"/>
                <w:lang w:val="en-US"/>
              </w:rPr>
              <w:t>（A）</w:t>
            </w:r>
            <w:r>
              <w:rPr>
                <w:rFonts w:ascii="Times New Roman" w:hAnsi="Times New Roman" w:eastAsia="新宋体"/>
                <w:sz w:val="24"/>
                <w:szCs w:val="24"/>
                <w:lang w:val="en-US"/>
              </w:rPr>
              <w:t>左右，并结合《环境影响评价技术导则声环境》(HJ2.4-2009)的要求，本评价选择点声源预测模式，来模拟预测这些声源排放噪声随距离的衰减变化规律。</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噪声的衰减主要与声传播距离、空气吸收、阻挡物的反射与屏障等因素有关。本预测从各点源包络线开始，只考虑声传播距离这一主要因素，各噪声源可近似作为点声源处理，声源位于室内，室内声源可采用等效室外声源声功率级法进行计算。设靠近开口处（或窗户）室内、室外某倍频带的志压级分别为L</w:t>
            </w:r>
            <w:r>
              <w:rPr>
                <w:rFonts w:ascii="Times New Roman" w:hAnsi="Times New Roman" w:eastAsia="新宋体"/>
                <w:sz w:val="24"/>
                <w:szCs w:val="24"/>
                <w:vertAlign w:val="subscript"/>
                <w:lang w:val="en-US"/>
              </w:rPr>
              <w:t>p1</w:t>
            </w:r>
            <w:r>
              <w:rPr>
                <w:rFonts w:ascii="Times New Roman" w:hAnsi="Times New Roman" w:eastAsia="新宋体"/>
                <w:sz w:val="24"/>
                <w:szCs w:val="24"/>
                <w:lang w:val="en-US"/>
              </w:rPr>
              <w:t>和L</w:t>
            </w:r>
            <w:r>
              <w:rPr>
                <w:rFonts w:ascii="Times New Roman" w:hAnsi="Times New Roman" w:eastAsia="新宋体"/>
                <w:sz w:val="24"/>
                <w:szCs w:val="24"/>
                <w:vertAlign w:val="subscript"/>
                <w:lang w:val="en-US"/>
              </w:rPr>
              <w:t>p2</w:t>
            </w:r>
            <w:r>
              <w:rPr>
                <w:rFonts w:ascii="Times New Roman" w:hAnsi="Times New Roman" w:eastAsia="新宋体"/>
                <w:sz w:val="24"/>
                <w:szCs w:val="24"/>
                <w:lang w:val="en-US"/>
              </w:rPr>
              <w:t>。</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若声源所在室内声场为近似扩散声场，则室外的倍频带声压级可按公式（1）近似求出：</w:t>
            </w:r>
          </w:p>
          <w:p>
            <w:pPr>
              <w:pStyle w:val="51"/>
              <w:spacing w:before="0" w:line="360" w:lineRule="auto"/>
              <w:ind w:left="0" w:firstLine="0"/>
              <w:jc w:val="center"/>
              <w:outlineLvl w:val="9"/>
              <w:rPr>
                <w:rFonts w:ascii="Times New Roman" w:hAnsi="Times New Roman" w:eastAsia="新宋体"/>
                <w:sz w:val="24"/>
                <w:szCs w:val="24"/>
                <w:lang w:val="en-US"/>
              </w:rPr>
            </w:pPr>
            <w:r>
              <w:rPr>
                <w:rFonts w:ascii="Times New Roman" w:hAnsi="Times New Roman" w:eastAsia="新宋体"/>
                <w:sz w:val="24"/>
                <w:szCs w:val="24"/>
                <w:lang w:val="en-US"/>
              </w:rPr>
              <w:drawing>
                <wp:inline distT="0" distB="0" distL="114300" distR="114300">
                  <wp:extent cx="1257300" cy="220980"/>
                  <wp:effectExtent l="0" t="0" r="0" b="7620"/>
                  <wp:docPr id="10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8"/>
                          <pic:cNvPicPr>
                            <a:picLocks noChangeAspect="1"/>
                          </pic:cNvPicPr>
                        </pic:nvPicPr>
                        <pic:blipFill>
                          <a:blip r:embed="rId22" cstate="print"/>
                          <a:stretch>
                            <a:fillRect/>
                          </a:stretch>
                        </pic:blipFill>
                        <pic:spPr>
                          <a:xfrm>
                            <a:off x="0" y="0"/>
                            <a:ext cx="1257300" cy="220980"/>
                          </a:xfrm>
                          <a:prstGeom prst="rect">
                            <a:avLst/>
                          </a:prstGeom>
                          <a:noFill/>
                          <a:ln>
                            <a:noFill/>
                          </a:ln>
                        </pic:spPr>
                      </pic:pic>
                    </a:graphicData>
                  </a:graphic>
                </wp:inline>
              </w:drawing>
            </w:r>
            <w:r>
              <w:rPr>
                <w:rFonts w:ascii="Times New Roman" w:hAnsi="Times New Roman" w:eastAsia="新宋体"/>
                <w:sz w:val="24"/>
                <w:szCs w:val="24"/>
                <w:lang w:val="en-US"/>
              </w:rPr>
              <w:t>（1）</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式中：</w:t>
            </w:r>
            <w:r>
              <w:rPr>
                <w:rFonts w:ascii="Times New Roman" w:hAnsi="Times New Roman" w:eastAsia="新宋体"/>
                <w:i/>
                <w:iCs/>
                <w:sz w:val="24"/>
                <w:szCs w:val="24"/>
                <w:lang w:val="en-US"/>
              </w:rPr>
              <w:t>TL</w:t>
            </w:r>
            <w:r>
              <w:rPr>
                <w:rFonts w:ascii="Times New Roman" w:hAnsi="Times New Roman" w:eastAsia="新宋体"/>
                <w:sz w:val="24"/>
                <w:szCs w:val="24"/>
                <w:lang w:val="en-US"/>
              </w:rPr>
              <w:t>－隔墙（或窗户）倍频带的隔声量，dB(A)</w:t>
            </w:r>
          </w:p>
          <w:p>
            <w:pPr>
              <w:jc w:val="center"/>
              <w:rPr>
                <w:bCs/>
                <w:sz w:val="21"/>
                <w:szCs w:val="21"/>
              </w:rPr>
            </w:pPr>
            <w:r>
              <w:drawing>
                <wp:inline distT="0" distB="0" distL="0" distR="0">
                  <wp:extent cx="2309495" cy="946150"/>
                  <wp:effectExtent l="0" t="0" r="0" b="635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3" cstate="print"/>
                          <a:stretch>
                            <a:fillRect/>
                          </a:stretch>
                        </pic:blipFill>
                        <pic:spPr>
                          <a:xfrm>
                            <a:off x="0" y="0"/>
                            <a:ext cx="2314548" cy="948367"/>
                          </a:xfrm>
                          <a:prstGeom prst="rect">
                            <a:avLst/>
                          </a:prstGeom>
                        </pic:spPr>
                      </pic:pic>
                    </a:graphicData>
                  </a:graphic>
                </wp:inline>
              </w:drawing>
            </w:r>
          </w:p>
          <w:p>
            <w:pPr>
              <w:spacing w:line="240" w:lineRule="auto"/>
              <w:jc w:val="center"/>
              <w:rPr>
                <w:rFonts w:eastAsiaTheme="minorEastAsia"/>
                <w:b/>
                <w:bCs/>
                <w:sz w:val="24"/>
              </w:rPr>
            </w:pPr>
            <w:r>
              <w:rPr>
                <w:rFonts w:hint="eastAsia" w:eastAsiaTheme="minorEastAsia"/>
                <w:b/>
                <w:bCs/>
                <w:sz w:val="24"/>
              </w:rPr>
              <w:t>图</w:t>
            </w:r>
            <w:r>
              <w:rPr>
                <w:rFonts w:eastAsiaTheme="minorEastAsia"/>
                <w:b/>
                <w:bCs/>
                <w:sz w:val="24"/>
              </w:rPr>
              <w:t>4-</w:t>
            </w:r>
            <w:r>
              <w:rPr>
                <w:rFonts w:hint="eastAsia" w:eastAsiaTheme="minorEastAsia"/>
                <w:b/>
                <w:bCs/>
                <w:sz w:val="24"/>
              </w:rPr>
              <w:t>3室内声源等效为室外声源图例</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也可按公式（2）计算某一室内声源靠近转护结构处产生的倍频带声压级：</w:t>
            </w:r>
          </w:p>
          <w:p>
            <w:pPr>
              <w:pStyle w:val="51"/>
              <w:spacing w:before="0" w:line="360" w:lineRule="auto"/>
              <w:ind w:left="0" w:firstLine="0"/>
              <w:jc w:val="center"/>
              <w:outlineLvl w:val="9"/>
              <w:rPr>
                <w:rFonts w:ascii="Times New Roman" w:hAnsi="Times New Roman" w:eastAsia="新宋体"/>
                <w:sz w:val="24"/>
                <w:szCs w:val="24"/>
                <w:lang w:val="en-US"/>
              </w:rPr>
            </w:pPr>
            <w:r>
              <w:rPr>
                <w:rFonts w:ascii="Times New Roman" w:hAnsi="Times New Roman" w:eastAsia="新宋体"/>
                <w:sz w:val="24"/>
                <w:szCs w:val="24"/>
                <w:lang w:val="en-US"/>
              </w:rPr>
              <w:drawing>
                <wp:inline distT="0" distB="0" distL="114300" distR="114300">
                  <wp:extent cx="1744980" cy="426720"/>
                  <wp:effectExtent l="0" t="0" r="7620" b="12065"/>
                  <wp:docPr id="10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9"/>
                          <pic:cNvPicPr>
                            <a:picLocks noChangeAspect="1"/>
                          </pic:cNvPicPr>
                        </pic:nvPicPr>
                        <pic:blipFill>
                          <a:blip r:embed="rId24" cstate="print"/>
                          <a:stretch>
                            <a:fillRect/>
                          </a:stretch>
                        </pic:blipFill>
                        <pic:spPr>
                          <a:xfrm>
                            <a:off x="0" y="0"/>
                            <a:ext cx="1744980" cy="426720"/>
                          </a:xfrm>
                          <a:prstGeom prst="rect">
                            <a:avLst/>
                          </a:prstGeom>
                          <a:noFill/>
                          <a:ln>
                            <a:noFill/>
                          </a:ln>
                        </pic:spPr>
                      </pic:pic>
                    </a:graphicData>
                  </a:graphic>
                </wp:inline>
              </w:drawing>
            </w:r>
            <w:r>
              <w:rPr>
                <w:rFonts w:ascii="Times New Roman" w:hAnsi="Times New Roman" w:eastAsia="新宋体"/>
                <w:sz w:val="24"/>
                <w:szCs w:val="24"/>
                <w:lang w:val="en-US"/>
              </w:rPr>
              <w:t>（2）</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式中：Q－指向性因数；通常对无指向性声源，当声源放在房间中心时，Q=1；当入在一面墙的中心时，Q=2；当放在两面墙夹角处时，Q=4；当放在三面墙夹角处时，Q=8；</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R－房间</w:t>
            </w:r>
            <w:r>
              <w:rPr>
                <w:rFonts w:hint="eastAsia" w:ascii="Times New Roman" w:hAnsi="Times New Roman" w:eastAsia="新宋体"/>
                <w:sz w:val="24"/>
                <w:szCs w:val="24"/>
                <w:lang w:val="en-US"/>
              </w:rPr>
              <w:t>常数</w:t>
            </w:r>
            <w:r>
              <w:rPr>
                <w:rFonts w:ascii="Times New Roman" w:hAnsi="Times New Roman" w:eastAsia="新宋体"/>
                <w:sz w:val="24"/>
                <w:szCs w:val="24"/>
                <w:lang w:val="en-US"/>
              </w:rPr>
              <w:t>；</w:t>
            </w:r>
            <w:r>
              <w:rPr>
                <w:rFonts w:ascii="Times New Roman" w:hAnsi="Times New Roman" w:eastAsia="新宋体"/>
                <w:sz w:val="24"/>
                <w:szCs w:val="24"/>
                <w:lang w:val="en-US"/>
              </w:rPr>
              <w:drawing>
                <wp:inline distT="0" distB="0" distL="114300" distR="114300">
                  <wp:extent cx="960120" cy="220980"/>
                  <wp:effectExtent l="0" t="0" r="11430" b="7620"/>
                  <wp:docPr id="10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
                          <pic:cNvPicPr>
                            <a:picLocks noChangeAspect="1"/>
                          </pic:cNvPicPr>
                        </pic:nvPicPr>
                        <pic:blipFill>
                          <a:blip r:embed="rId25" cstate="print"/>
                          <a:stretch>
                            <a:fillRect/>
                          </a:stretch>
                        </pic:blipFill>
                        <pic:spPr>
                          <a:xfrm>
                            <a:off x="0" y="0"/>
                            <a:ext cx="960120" cy="220980"/>
                          </a:xfrm>
                          <a:prstGeom prst="rect">
                            <a:avLst/>
                          </a:prstGeom>
                          <a:noFill/>
                          <a:ln>
                            <a:noFill/>
                          </a:ln>
                        </pic:spPr>
                      </pic:pic>
                    </a:graphicData>
                  </a:graphic>
                </wp:inline>
              </w:drawing>
            </w:r>
            <w:r>
              <w:rPr>
                <w:rFonts w:ascii="Times New Roman" w:hAnsi="Times New Roman" w:eastAsia="新宋体"/>
                <w:sz w:val="24"/>
                <w:szCs w:val="24"/>
                <w:lang w:val="en-US"/>
              </w:rPr>
              <w:t>，S为房间内表面面积，m</w:t>
            </w:r>
            <w:r>
              <w:rPr>
                <w:rFonts w:ascii="Times New Roman" w:hAnsi="Times New Roman" w:eastAsia="新宋体"/>
                <w:sz w:val="24"/>
                <w:szCs w:val="24"/>
                <w:vertAlign w:val="superscript"/>
                <w:lang w:val="en-US"/>
              </w:rPr>
              <w:t>2</w:t>
            </w:r>
            <w:r>
              <w:rPr>
                <w:rFonts w:ascii="Times New Roman" w:hAnsi="Times New Roman" w:eastAsia="新宋体"/>
                <w:sz w:val="24"/>
                <w:szCs w:val="24"/>
                <w:lang w:val="en-US"/>
              </w:rPr>
              <w:t>；</w:t>
            </w:r>
            <w:r>
              <w:rPr>
                <w:rFonts w:ascii="Times New Roman" w:hAnsi="Times New Roman" w:eastAsia="新宋体"/>
                <w:sz w:val="24"/>
                <w:szCs w:val="24"/>
                <w:lang w:val="en-US"/>
              </w:rPr>
              <w:drawing>
                <wp:inline distT="0" distB="0" distL="114300" distR="114300">
                  <wp:extent cx="152400" cy="144780"/>
                  <wp:effectExtent l="0" t="0" r="0" b="5715"/>
                  <wp:docPr id="5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1"/>
                          <pic:cNvPicPr>
                            <a:picLocks noChangeAspect="1"/>
                          </pic:cNvPicPr>
                        </pic:nvPicPr>
                        <pic:blipFill>
                          <a:blip r:embed="rId26" cstate="print"/>
                          <a:stretch>
                            <a:fillRect/>
                          </a:stretch>
                        </pic:blipFill>
                        <pic:spPr>
                          <a:xfrm>
                            <a:off x="0" y="0"/>
                            <a:ext cx="152400" cy="144780"/>
                          </a:xfrm>
                          <a:prstGeom prst="rect">
                            <a:avLst/>
                          </a:prstGeom>
                          <a:noFill/>
                          <a:ln>
                            <a:noFill/>
                          </a:ln>
                        </pic:spPr>
                      </pic:pic>
                    </a:graphicData>
                  </a:graphic>
                </wp:inline>
              </w:drawing>
            </w:r>
            <w:r>
              <w:rPr>
                <w:rFonts w:ascii="Times New Roman" w:hAnsi="Times New Roman" w:eastAsia="新宋体"/>
                <w:sz w:val="24"/>
                <w:szCs w:val="24"/>
                <w:lang w:val="en-US"/>
              </w:rPr>
              <w:t>为平均吸声系数；</w:t>
            </w:r>
          </w:p>
          <w:p>
            <w:pPr>
              <w:pStyle w:val="51"/>
              <w:spacing w:before="0" w:line="360" w:lineRule="auto"/>
              <w:ind w:left="0" w:firstLine="480" w:firstLineChars="200"/>
              <w:outlineLvl w:val="9"/>
              <w:rPr>
                <w:rFonts w:ascii="Times New Roman" w:hAnsi="Times New Roman" w:eastAsia="新宋体"/>
                <w:sz w:val="24"/>
                <w:szCs w:val="24"/>
                <w:lang w:val="en-US"/>
              </w:rPr>
            </w:pPr>
            <w:r>
              <w:rPr>
                <w:rFonts w:hint="eastAsia" w:ascii="Times New Roman" w:hAnsi="Times New Roman" w:eastAsia="新宋体"/>
                <w:sz w:val="24"/>
                <w:szCs w:val="24"/>
                <w:lang w:val="en-US"/>
              </w:rPr>
              <w:t>r</w:t>
            </w:r>
            <w:r>
              <w:rPr>
                <w:rFonts w:ascii="Times New Roman" w:hAnsi="Times New Roman" w:eastAsia="新宋体"/>
                <w:sz w:val="24"/>
                <w:szCs w:val="24"/>
                <w:lang w:val="en-US"/>
              </w:rPr>
              <w:t>－声源到靠近转护结构某点处的距离，m；</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然后按公式（3）计算出所有室内声源在围护结构处产生的i倍频带叠加声压级：</w:t>
            </w:r>
          </w:p>
          <w:p>
            <w:pPr>
              <w:pStyle w:val="51"/>
              <w:spacing w:before="0" w:line="360" w:lineRule="auto"/>
              <w:ind w:left="0" w:firstLine="0"/>
              <w:jc w:val="center"/>
              <w:outlineLvl w:val="9"/>
              <w:rPr>
                <w:rFonts w:ascii="Times New Roman" w:hAnsi="Times New Roman" w:eastAsia="新宋体"/>
                <w:sz w:val="24"/>
                <w:szCs w:val="24"/>
                <w:lang w:val="en-US"/>
              </w:rPr>
            </w:pPr>
            <w:r>
              <w:rPr>
                <w:rFonts w:ascii="Times New Roman" w:hAnsi="Times New Roman" w:eastAsia="新宋体"/>
                <w:sz w:val="24"/>
                <w:szCs w:val="24"/>
                <w:lang w:val="en-US"/>
              </w:rPr>
              <w:drawing>
                <wp:inline distT="0" distB="0" distL="114300" distR="114300">
                  <wp:extent cx="1707515" cy="457200"/>
                  <wp:effectExtent l="0" t="0" r="6985" b="0"/>
                  <wp:docPr id="10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2"/>
                          <pic:cNvPicPr>
                            <a:picLocks noChangeAspect="1"/>
                          </pic:cNvPicPr>
                        </pic:nvPicPr>
                        <pic:blipFill>
                          <a:blip r:embed="rId27" cstate="print"/>
                          <a:stretch>
                            <a:fillRect/>
                          </a:stretch>
                        </pic:blipFill>
                        <pic:spPr>
                          <a:xfrm>
                            <a:off x="0" y="0"/>
                            <a:ext cx="1707515" cy="457200"/>
                          </a:xfrm>
                          <a:prstGeom prst="rect">
                            <a:avLst/>
                          </a:prstGeom>
                          <a:noFill/>
                          <a:ln>
                            <a:noFill/>
                          </a:ln>
                        </pic:spPr>
                      </pic:pic>
                    </a:graphicData>
                  </a:graphic>
                </wp:inline>
              </w:drawing>
            </w:r>
            <w:r>
              <w:rPr>
                <w:rFonts w:ascii="Times New Roman" w:hAnsi="Times New Roman" w:eastAsia="新宋体"/>
                <w:sz w:val="24"/>
                <w:szCs w:val="24"/>
                <w:lang w:val="en-US"/>
              </w:rPr>
              <w:t>（3）</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式中：</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L</w:t>
            </w:r>
            <w:r>
              <w:rPr>
                <w:rFonts w:ascii="Times New Roman" w:hAnsi="Times New Roman" w:eastAsia="新宋体"/>
                <w:sz w:val="24"/>
                <w:szCs w:val="24"/>
                <w:vertAlign w:val="subscript"/>
                <w:lang w:val="en-US"/>
              </w:rPr>
              <w:t>p1</w:t>
            </w:r>
            <w:r>
              <w:rPr>
                <w:rFonts w:hint="eastAsia" w:ascii="Times New Roman" w:hAnsi="Times New Roman" w:eastAsia="新宋体"/>
                <w:sz w:val="24"/>
                <w:szCs w:val="24"/>
                <w:vertAlign w:val="subscript"/>
                <w:lang w:val="en-US"/>
              </w:rPr>
              <w:t>,</w:t>
            </w:r>
            <w:r>
              <w:rPr>
                <w:rFonts w:ascii="Times New Roman" w:hAnsi="Times New Roman" w:eastAsia="新宋体"/>
                <w:sz w:val="24"/>
                <w:szCs w:val="24"/>
                <w:vertAlign w:val="subscript"/>
                <w:lang w:val="en-US"/>
              </w:rPr>
              <w:t>j</w:t>
            </w:r>
            <w:r>
              <w:rPr>
                <w:rFonts w:ascii="Times New Roman" w:hAnsi="Times New Roman" w:eastAsia="新宋体"/>
                <w:sz w:val="24"/>
                <w:szCs w:val="24"/>
                <w:lang w:val="en-US"/>
              </w:rPr>
              <w:t>（T）－靠近围护结构处室内N个声源i倍频带的叠加声压级，dB；</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L</w:t>
            </w:r>
            <w:r>
              <w:rPr>
                <w:rFonts w:ascii="Times New Roman" w:hAnsi="Times New Roman" w:eastAsia="新宋体"/>
                <w:sz w:val="24"/>
                <w:szCs w:val="24"/>
                <w:vertAlign w:val="subscript"/>
                <w:lang w:val="en-US"/>
              </w:rPr>
              <w:t>p1</w:t>
            </w:r>
            <w:r>
              <w:rPr>
                <w:rFonts w:hint="eastAsia" w:ascii="Times New Roman" w:hAnsi="Times New Roman" w:eastAsia="新宋体"/>
                <w:sz w:val="24"/>
                <w:szCs w:val="24"/>
                <w:vertAlign w:val="subscript"/>
                <w:lang w:val="en-US"/>
              </w:rPr>
              <w:t>,</w:t>
            </w:r>
            <w:r>
              <w:rPr>
                <w:rFonts w:ascii="Times New Roman" w:hAnsi="Times New Roman" w:eastAsia="新宋体"/>
                <w:sz w:val="24"/>
                <w:szCs w:val="24"/>
                <w:vertAlign w:val="subscript"/>
                <w:lang w:val="en-US"/>
              </w:rPr>
              <w:t>j</w:t>
            </w:r>
            <w:r>
              <w:rPr>
                <w:rFonts w:ascii="Times New Roman" w:hAnsi="Times New Roman" w:eastAsia="新宋体"/>
                <w:sz w:val="24"/>
                <w:szCs w:val="24"/>
                <w:lang w:val="en-US"/>
              </w:rPr>
              <w:t>－室内j声源i倍频带的声压级，dB；</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N－室内声源总数；</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在室内近似为扩散声场时，按公式（4）计算出靠近室外围护结构处的声压级</w:t>
            </w:r>
          </w:p>
          <w:p>
            <w:pPr>
              <w:pStyle w:val="51"/>
              <w:spacing w:before="0" w:line="360" w:lineRule="auto"/>
              <w:ind w:left="0" w:firstLine="0"/>
              <w:jc w:val="center"/>
              <w:outlineLvl w:val="9"/>
              <w:rPr>
                <w:rFonts w:ascii="Times New Roman" w:hAnsi="Times New Roman" w:eastAsia="新宋体"/>
                <w:sz w:val="24"/>
                <w:szCs w:val="24"/>
                <w:lang w:val="en-US"/>
              </w:rPr>
            </w:pPr>
            <w:r>
              <w:rPr>
                <w:rFonts w:ascii="Times New Roman" w:hAnsi="Times New Roman" w:eastAsia="新宋体"/>
                <w:sz w:val="24"/>
                <w:szCs w:val="24"/>
                <w:lang w:val="en-US"/>
              </w:rPr>
              <w:drawing>
                <wp:inline distT="0" distB="0" distL="114300" distR="114300">
                  <wp:extent cx="1668145" cy="228600"/>
                  <wp:effectExtent l="0" t="0" r="8255" b="0"/>
                  <wp:docPr id="5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3"/>
                          <pic:cNvPicPr>
                            <a:picLocks noChangeAspect="1"/>
                          </pic:cNvPicPr>
                        </pic:nvPicPr>
                        <pic:blipFill>
                          <a:blip r:embed="rId28" cstate="print"/>
                          <a:stretch>
                            <a:fillRect/>
                          </a:stretch>
                        </pic:blipFill>
                        <pic:spPr>
                          <a:xfrm>
                            <a:off x="0" y="0"/>
                            <a:ext cx="1668145" cy="228600"/>
                          </a:xfrm>
                          <a:prstGeom prst="rect">
                            <a:avLst/>
                          </a:prstGeom>
                          <a:noFill/>
                          <a:ln>
                            <a:noFill/>
                          </a:ln>
                        </pic:spPr>
                      </pic:pic>
                    </a:graphicData>
                  </a:graphic>
                </wp:inline>
              </w:drawing>
            </w:r>
            <w:r>
              <w:rPr>
                <w:rFonts w:ascii="Times New Roman" w:hAnsi="Times New Roman" w:eastAsia="新宋体"/>
                <w:sz w:val="24"/>
                <w:szCs w:val="24"/>
                <w:lang w:val="en-US"/>
              </w:rPr>
              <w:t>（4）</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式中：L</w:t>
            </w:r>
            <w:r>
              <w:rPr>
                <w:rFonts w:ascii="Times New Roman" w:hAnsi="Times New Roman" w:eastAsia="新宋体"/>
                <w:sz w:val="24"/>
                <w:szCs w:val="24"/>
                <w:vertAlign w:val="subscript"/>
                <w:lang w:val="en-US"/>
              </w:rPr>
              <w:t>p2</w:t>
            </w:r>
            <w:r>
              <w:rPr>
                <w:rFonts w:hint="eastAsia" w:ascii="Times New Roman" w:hAnsi="Times New Roman" w:eastAsia="新宋体"/>
                <w:sz w:val="24"/>
                <w:szCs w:val="24"/>
                <w:vertAlign w:val="subscript"/>
                <w:lang w:val="en-US"/>
              </w:rPr>
              <w:t>,</w:t>
            </w:r>
            <w:r>
              <w:rPr>
                <w:rFonts w:ascii="Times New Roman" w:hAnsi="Times New Roman" w:eastAsia="新宋体"/>
                <w:sz w:val="24"/>
                <w:szCs w:val="24"/>
                <w:vertAlign w:val="subscript"/>
                <w:lang w:val="en-US"/>
              </w:rPr>
              <w:t>j</w:t>
            </w:r>
            <w:r>
              <w:rPr>
                <w:rFonts w:ascii="Times New Roman" w:hAnsi="Times New Roman" w:eastAsia="新宋体"/>
                <w:sz w:val="24"/>
                <w:szCs w:val="24"/>
                <w:lang w:val="en-US"/>
              </w:rPr>
              <w:t>（T）－靠近围护结构处室外N个声源i倍频带的叠加声压级，dB；</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Ti－围护结构i倍频带的隔声量，dB；</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然后按公式（5）将室外声源的声压级和透过面积换算成等效的室外声源，计算出中心位置于透声面积（S）处的等效声源的倍频带声功率级。</w:t>
            </w:r>
          </w:p>
          <w:p>
            <w:pPr>
              <w:pStyle w:val="51"/>
              <w:spacing w:before="0" w:line="360" w:lineRule="auto"/>
              <w:ind w:left="0" w:firstLine="0"/>
              <w:jc w:val="center"/>
              <w:outlineLvl w:val="9"/>
              <w:rPr>
                <w:rFonts w:ascii="Times New Roman" w:hAnsi="Times New Roman" w:eastAsia="新宋体"/>
                <w:sz w:val="24"/>
                <w:szCs w:val="24"/>
                <w:lang w:val="en-US"/>
              </w:rPr>
            </w:pPr>
            <w:r>
              <w:rPr>
                <w:rFonts w:ascii="Times New Roman" w:hAnsi="Times New Roman" w:eastAsia="新宋体"/>
                <w:sz w:val="24"/>
                <w:szCs w:val="24"/>
                <w:lang w:val="en-US"/>
              </w:rPr>
              <w:drawing>
                <wp:inline distT="0" distB="0" distL="114300" distR="114300">
                  <wp:extent cx="1295400" cy="236220"/>
                  <wp:effectExtent l="0" t="0" r="0" b="12700"/>
                  <wp:docPr id="6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4"/>
                          <pic:cNvPicPr>
                            <a:picLocks noChangeAspect="1"/>
                          </pic:cNvPicPr>
                        </pic:nvPicPr>
                        <pic:blipFill>
                          <a:blip r:embed="rId29" cstate="print"/>
                          <a:stretch>
                            <a:fillRect/>
                          </a:stretch>
                        </pic:blipFill>
                        <pic:spPr>
                          <a:xfrm>
                            <a:off x="0" y="0"/>
                            <a:ext cx="1295400" cy="236220"/>
                          </a:xfrm>
                          <a:prstGeom prst="rect">
                            <a:avLst/>
                          </a:prstGeom>
                          <a:noFill/>
                          <a:ln>
                            <a:noFill/>
                          </a:ln>
                        </pic:spPr>
                      </pic:pic>
                    </a:graphicData>
                  </a:graphic>
                </wp:inline>
              </w:drawing>
            </w:r>
            <w:r>
              <w:rPr>
                <w:rFonts w:ascii="Times New Roman" w:hAnsi="Times New Roman" w:eastAsia="新宋体"/>
                <w:sz w:val="24"/>
                <w:szCs w:val="24"/>
                <w:lang w:val="en-US"/>
              </w:rPr>
              <w:t>（5）</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然后按室外声源预测方法计处预测点处的A声级。</w:t>
            </w:r>
          </w:p>
          <w:p>
            <w:pPr>
              <w:pStyle w:val="51"/>
              <w:spacing w:before="0" w:line="360" w:lineRule="auto"/>
              <w:ind w:left="0" w:firstLine="480" w:firstLineChars="200"/>
              <w:outlineLvl w:val="9"/>
              <w:rPr>
                <w:rFonts w:ascii="Times New Roman" w:hAnsi="Times New Roman" w:eastAsia="新宋体"/>
                <w:sz w:val="24"/>
                <w:szCs w:val="24"/>
                <w:lang w:val="en-US"/>
              </w:rPr>
            </w:pPr>
            <w:r>
              <w:rPr>
                <w:rFonts w:hint="eastAsia" w:ascii="Times New Roman" w:hAnsi="Times New Roman" w:eastAsia="新宋体"/>
                <w:sz w:val="24"/>
                <w:szCs w:val="24"/>
                <w:lang w:val="en-US"/>
              </w:rPr>
              <w:t>②</w:t>
            </w:r>
            <w:r>
              <w:rPr>
                <w:rFonts w:ascii="Times New Roman" w:hAnsi="Times New Roman" w:eastAsia="新宋体"/>
                <w:sz w:val="24"/>
                <w:szCs w:val="24"/>
                <w:lang w:val="en-US"/>
              </w:rPr>
              <w:t>预测结果</w:t>
            </w:r>
          </w:p>
          <w:p>
            <w:pPr>
              <w:pStyle w:val="51"/>
              <w:spacing w:before="0" w:line="360" w:lineRule="auto"/>
              <w:ind w:left="0" w:firstLine="480" w:firstLineChars="200"/>
              <w:outlineLvl w:val="9"/>
            </w:pPr>
            <w:r>
              <w:rPr>
                <w:rFonts w:ascii="Times New Roman" w:hAnsi="Times New Roman" w:eastAsia="新宋体"/>
                <w:sz w:val="24"/>
                <w:szCs w:val="24"/>
                <w:lang w:val="en-US"/>
              </w:rPr>
              <w:t>本次预测主要声源同时排放噪声在采取措施情况下对厂界声环境质量叠加影响。</w:t>
            </w:r>
          </w:p>
          <w:p>
            <w:pPr>
              <w:spacing w:line="240" w:lineRule="auto"/>
              <w:jc w:val="center"/>
              <w:rPr>
                <w:rFonts w:eastAsiaTheme="minorEastAsia"/>
                <w:b/>
                <w:bCs/>
                <w:sz w:val="24"/>
              </w:rPr>
            </w:pPr>
            <w:r>
              <w:rPr>
                <w:rFonts w:eastAsiaTheme="minorEastAsia"/>
                <w:b/>
                <w:bCs/>
                <w:sz w:val="24"/>
              </w:rPr>
              <w:t>表4-13 项目</w:t>
            </w:r>
            <w:r>
              <w:rPr>
                <w:rFonts w:hint="eastAsia" w:eastAsiaTheme="minorEastAsia"/>
                <w:b/>
                <w:bCs/>
                <w:sz w:val="24"/>
              </w:rPr>
              <w:t>运营期</w:t>
            </w:r>
            <w:r>
              <w:rPr>
                <w:rFonts w:eastAsiaTheme="minorEastAsia"/>
                <w:b/>
                <w:bCs/>
                <w:sz w:val="24"/>
              </w:rPr>
              <w:t>噪声对厂界影响分析一览表</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5"/>
              <w:gridCol w:w="1674"/>
              <w:gridCol w:w="2090"/>
              <w:gridCol w:w="1745"/>
              <w:gridCol w:w="969"/>
              <w:gridCol w:w="11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9" w:type="pct"/>
                  <w:vMerge w:val="restart"/>
                  <w:tcBorders>
                    <w:tl2br w:val="nil"/>
                    <w:tr2bl w:val="nil"/>
                  </w:tcBorders>
                  <w:vAlign w:val="center"/>
                </w:tcPr>
                <w:p>
                  <w:pPr>
                    <w:spacing w:line="240" w:lineRule="auto"/>
                    <w:jc w:val="center"/>
                    <w:rPr>
                      <w:b/>
                      <w:bCs/>
                      <w:kern w:val="0"/>
                      <w:sz w:val="21"/>
                      <w:szCs w:val="21"/>
                    </w:rPr>
                  </w:pPr>
                  <w:r>
                    <w:rPr>
                      <w:rFonts w:hint="eastAsia"/>
                      <w:b/>
                      <w:bCs/>
                      <w:kern w:val="0"/>
                      <w:sz w:val="21"/>
                      <w:szCs w:val="21"/>
                    </w:rPr>
                    <w:t>序号</w:t>
                  </w:r>
                </w:p>
              </w:tc>
              <w:tc>
                <w:tcPr>
                  <w:tcW w:w="1004" w:type="pct"/>
                  <w:vMerge w:val="restart"/>
                  <w:tcBorders>
                    <w:tl2br w:val="nil"/>
                    <w:tr2bl w:val="nil"/>
                  </w:tcBorders>
                  <w:vAlign w:val="center"/>
                </w:tcPr>
                <w:p>
                  <w:pPr>
                    <w:spacing w:line="240" w:lineRule="auto"/>
                    <w:jc w:val="center"/>
                    <w:rPr>
                      <w:b/>
                      <w:bCs/>
                      <w:kern w:val="0"/>
                      <w:sz w:val="21"/>
                      <w:szCs w:val="21"/>
                    </w:rPr>
                  </w:pPr>
                  <w:r>
                    <w:rPr>
                      <w:b/>
                      <w:bCs/>
                      <w:kern w:val="0"/>
                      <w:sz w:val="21"/>
                      <w:szCs w:val="21"/>
                    </w:rPr>
                    <w:t>预测位置</w:t>
                  </w:r>
                </w:p>
              </w:tc>
              <w:tc>
                <w:tcPr>
                  <w:tcW w:w="1253" w:type="pct"/>
                  <w:vMerge w:val="restart"/>
                  <w:tcBorders>
                    <w:tl2br w:val="nil"/>
                    <w:tr2bl w:val="nil"/>
                  </w:tcBorders>
                  <w:vAlign w:val="center"/>
                </w:tcPr>
                <w:p>
                  <w:pPr>
                    <w:spacing w:line="240" w:lineRule="auto"/>
                    <w:jc w:val="center"/>
                    <w:rPr>
                      <w:b/>
                      <w:bCs/>
                      <w:kern w:val="0"/>
                      <w:sz w:val="21"/>
                      <w:szCs w:val="21"/>
                    </w:rPr>
                  </w:pPr>
                  <w:r>
                    <w:rPr>
                      <w:rFonts w:hint="eastAsia"/>
                      <w:b/>
                      <w:bCs/>
                      <w:kern w:val="0"/>
                      <w:sz w:val="21"/>
                      <w:szCs w:val="21"/>
                    </w:rPr>
                    <w:t>距厂界最近</w:t>
                  </w:r>
                  <w:r>
                    <w:rPr>
                      <w:b/>
                      <w:bCs/>
                      <w:kern w:val="0"/>
                      <w:sz w:val="21"/>
                      <w:szCs w:val="21"/>
                    </w:rPr>
                    <w:t>距离</w:t>
                  </w:r>
                  <w:r>
                    <w:rPr>
                      <w:rFonts w:hint="eastAsia"/>
                      <w:b/>
                      <w:bCs/>
                      <w:kern w:val="0"/>
                      <w:sz w:val="21"/>
                      <w:szCs w:val="21"/>
                    </w:rPr>
                    <w:t>（m）</w:t>
                  </w:r>
                </w:p>
              </w:tc>
              <w:tc>
                <w:tcPr>
                  <w:tcW w:w="1046" w:type="pct"/>
                  <w:vMerge w:val="restart"/>
                  <w:tcBorders>
                    <w:tl2br w:val="nil"/>
                    <w:tr2bl w:val="nil"/>
                  </w:tcBorders>
                  <w:vAlign w:val="center"/>
                </w:tcPr>
                <w:p>
                  <w:pPr>
                    <w:spacing w:line="240" w:lineRule="auto"/>
                    <w:jc w:val="center"/>
                    <w:rPr>
                      <w:b/>
                      <w:bCs/>
                      <w:kern w:val="0"/>
                      <w:sz w:val="21"/>
                      <w:szCs w:val="21"/>
                    </w:rPr>
                  </w:pPr>
                  <w:r>
                    <w:rPr>
                      <w:b/>
                      <w:bCs/>
                      <w:kern w:val="0"/>
                      <w:sz w:val="21"/>
                      <w:szCs w:val="21"/>
                    </w:rPr>
                    <w:t>贡献值dB</w:t>
                  </w:r>
                  <w:r>
                    <w:rPr>
                      <w:rFonts w:hint="eastAsia"/>
                      <w:b/>
                      <w:bCs/>
                      <w:kern w:val="0"/>
                      <w:sz w:val="21"/>
                      <w:szCs w:val="21"/>
                    </w:rPr>
                    <w:t>（A）</w:t>
                  </w:r>
                </w:p>
              </w:tc>
              <w:tc>
                <w:tcPr>
                  <w:tcW w:w="1268" w:type="pct"/>
                  <w:gridSpan w:val="2"/>
                  <w:tcBorders>
                    <w:tl2br w:val="nil"/>
                    <w:tr2bl w:val="nil"/>
                  </w:tcBorders>
                  <w:vAlign w:val="center"/>
                </w:tcPr>
                <w:p>
                  <w:pPr>
                    <w:spacing w:line="240" w:lineRule="auto"/>
                    <w:jc w:val="center"/>
                    <w:rPr>
                      <w:b/>
                      <w:bCs/>
                      <w:kern w:val="0"/>
                      <w:sz w:val="21"/>
                      <w:szCs w:val="21"/>
                    </w:rPr>
                  </w:pPr>
                  <w:r>
                    <w:rPr>
                      <w:b/>
                      <w:bCs/>
                      <w:kern w:val="0"/>
                      <w:sz w:val="21"/>
                      <w:szCs w:val="21"/>
                    </w:rPr>
                    <w:t>标准值dB(A)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9" w:type="pct"/>
                  <w:vMerge w:val="continue"/>
                  <w:tcBorders>
                    <w:tl2br w:val="nil"/>
                    <w:tr2bl w:val="nil"/>
                  </w:tcBorders>
                  <w:vAlign w:val="center"/>
                </w:tcPr>
                <w:p>
                  <w:pPr>
                    <w:spacing w:line="240" w:lineRule="auto"/>
                    <w:jc w:val="center"/>
                    <w:rPr>
                      <w:b/>
                      <w:bCs/>
                      <w:kern w:val="0"/>
                      <w:sz w:val="21"/>
                      <w:szCs w:val="21"/>
                    </w:rPr>
                  </w:pPr>
                </w:p>
              </w:tc>
              <w:tc>
                <w:tcPr>
                  <w:tcW w:w="1004" w:type="pct"/>
                  <w:vMerge w:val="continue"/>
                  <w:tcBorders>
                    <w:tl2br w:val="nil"/>
                    <w:tr2bl w:val="nil"/>
                  </w:tcBorders>
                  <w:vAlign w:val="center"/>
                </w:tcPr>
                <w:p>
                  <w:pPr>
                    <w:spacing w:line="240" w:lineRule="auto"/>
                    <w:jc w:val="center"/>
                    <w:rPr>
                      <w:b/>
                      <w:bCs/>
                      <w:kern w:val="0"/>
                      <w:sz w:val="21"/>
                      <w:szCs w:val="21"/>
                    </w:rPr>
                  </w:pPr>
                </w:p>
              </w:tc>
              <w:tc>
                <w:tcPr>
                  <w:tcW w:w="1253" w:type="pct"/>
                  <w:vMerge w:val="continue"/>
                  <w:tcBorders>
                    <w:tl2br w:val="nil"/>
                    <w:tr2bl w:val="nil"/>
                  </w:tcBorders>
                  <w:vAlign w:val="center"/>
                </w:tcPr>
                <w:p>
                  <w:pPr>
                    <w:spacing w:line="240" w:lineRule="auto"/>
                    <w:jc w:val="center"/>
                    <w:rPr>
                      <w:b/>
                      <w:bCs/>
                      <w:kern w:val="0"/>
                      <w:sz w:val="21"/>
                      <w:szCs w:val="21"/>
                    </w:rPr>
                  </w:pPr>
                </w:p>
              </w:tc>
              <w:tc>
                <w:tcPr>
                  <w:tcW w:w="1046" w:type="pct"/>
                  <w:vMerge w:val="continue"/>
                  <w:tcBorders>
                    <w:tl2br w:val="nil"/>
                    <w:tr2bl w:val="nil"/>
                  </w:tcBorders>
                  <w:vAlign w:val="center"/>
                </w:tcPr>
                <w:p>
                  <w:pPr>
                    <w:spacing w:line="240" w:lineRule="auto"/>
                    <w:jc w:val="center"/>
                    <w:rPr>
                      <w:b/>
                      <w:bCs/>
                      <w:kern w:val="0"/>
                      <w:sz w:val="21"/>
                      <w:szCs w:val="21"/>
                    </w:rPr>
                  </w:pPr>
                </w:p>
              </w:tc>
              <w:tc>
                <w:tcPr>
                  <w:tcW w:w="581" w:type="pct"/>
                  <w:tcBorders>
                    <w:tl2br w:val="nil"/>
                    <w:tr2bl w:val="nil"/>
                  </w:tcBorders>
                  <w:vAlign w:val="center"/>
                </w:tcPr>
                <w:p>
                  <w:pPr>
                    <w:spacing w:line="240" w:lineRule="auto"/>
                    <w:jc w:val="center"/>
                    <w:rPr>
                      <w:b/>
                      <w:bCs/>
                      <w:kern w:val="0"/>
                      <w:sz w:val="21"/>
                      <w:szCs w:val="21"/>
                    </w:rPr>
                  </w:pPr>
                  <w:r>
                    <w:rPr>
                      <w:b/>
                      <w:bCs/>
                      <w:kern w:val="0"/>
                      <w:sz w:val="21"/>
                      <w:szCs w:val="21"/>
                    </w:rPr>
                    <w:t>昼间</w:t>
                  </w:r>
                </w:p>
              </w:tc>
              <w:tc>
                <w:tcPr>
                  <w:tcW w:w="687" w:type="pct"/>
                  <w:tcBorders>
                    <w:tl2br w:val="nil"/>
                    <w:tr2bl w:val="nil"/>
                  </w:tcBorders>
                  <w:vAlign w:val="center"/>
                </w:tcPr>
                <w:p>
                  <w:pPr>
                    <w:spacing w:line="240" w:lineRule="auto"/>
                    <w:jc w:val="center"/>
                    <w:rPr>
                      <w:b/>
                      <w:bCs/>
                      <w:kern w:val="0"/>
                      <w:sz w:val="21"/>
                      <w:szCs w:val="21"/>
                    </w:rPr>
                  </w:pPr>
                  <w:r>
                    <w:rPr>
                      <w:b/>
                      <w:bCs/>
                      <w:kern w:val="0"/>
                      <w:sz w:val="21"/>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9" w:type="pct"/>
                  <w:tcBorders>
                    <w:tl2br w:val="nil"/>
                    <w:tr2bl w:val="nil"/>
                  </w:tcBorders>
                  <w:vAlign w:val="center"/>
                </w:tcPr>
                <w:p>
                  <w:pPr>
                    <w:spacing w:line="240" w:lineRule="auto"/>
                    <w:jc w:val="center"/>
                    <w:rPr>
                      <w:kern w:val="0"/>
                      <w:sz w:val="21"/>
                      <w:szCs w:val="21"/>
                    </w:rPr>
                  </w:pPr>
                  <w:r>
                    <w:rPr>
                      <w:rFonts w:hint="eastAsia"/>
                      <w:kern w:val="0"/>
                      <w:sz w:val="21"/>
                      <w:szCs w:val="21"/>
                    </w:rPr>
                    <w:t>1</w:t>
                  </w:r>
                </w:p>
              </w:tc>
              <w:tc>
                <w:tcPr>
                  <w:tcW w:w="1004" w:type="pct"/>
                  <w:tcBorders>
                    <w:tl2br w:val="nil"/>
                    <w:tr2bl w:val="nil"/>
                  </w:tcBorders>
                  <w:vAlign w:val="center"/>
                </w:tcPr>
                <w:p>
                  <w:pPr>
                    <w:spacing w:line="240" w:lineRule="auto"/>
                    <w:jc w:val="center"/>
                    <w:rPr>
                      <w:kern w:val="0"/>
                      <w:sz w:val="21"/>
                      <w:szCs w:val="21"/>
                    </w:rPr>
                  </w:pPr>
                  <w:r>
                    <w:rPr>
                      <w:rFonts w:hint="eastAsia"/>
                      <w:kern w:val="0"/>
                      <w:sz w:val="21"/>
                      <w:szCs w:val="21"/>
                    </w:rPr>
                    <w:t>项目东侧厂界</w:t>
                  </w:r>
                </w:p>
              </w:tc>
              <w:tc>
                <w:tcPr>
                  <w:tcW w:w="1253" w:type="pct"/>
                  <w:tcBorders>
                    <w:tl2br w:val="nil"/>
                    <w:tr2bl w:val="nil"/>
                  </w:tcBorders>
                  <w:vAlign w:val="center"/>
                </w:tcPr>
                <w:p>
                  <w:pPr>
                    <w:spacing w:line="240" w:lineRule="auto"/>
                    <w:jc w:val="center"/>
                    <w:rPr>
                      <w:kern w:val="0"/>
                      <w:sz w:val="21"/>
                      <w:szCs w:val="21"/>
                    </w:rPr>
                  </w:pPr>
                  <w:r>
                    <w:rPr>
                      <w:kern w:val="0"/>
                      <w:sz w:val="21"/>
                      <w:szCs w:val="21"/>
                    </w:rPr>
                    <w:t>133</w:t>
                  </w:r>
                </w:p>
              </w:tc>
              <w:tc>
                <w:tcPr>
                  <w:tcW w:w="1046" w:type="pct"/>
                  <w:tcBorders>
                    <w:tl2br w:val="nil"/>
                    <w:tr2bl w:val="nil"/>
                  </w:tcBorders>
                  <w:vAlign w:val="center"/>
                </w:tcPr>
                <w:p>
                  <w:pPr>
                    <w:spacing w:line="240" w:lineRule="auto"/>
                    <w:jc w:val="center"/>
                    <w:rPr>
                      <w:kern w:val="0"/>
                      <w:sz w:val="21"/>
                      <w:szCs w:val="21"/>
                    </w:rPr>
                  </w:pPr>
                  <w:r>
                    <w:rPr>
                      <w:kern w:val="0"/>
                      <w:sz w:val="21"/>
                      <w:szCs w:val="21"/>
                    </w:rPr>
                    <w:t>37.6</w:t>
                  </w:r>
                </w:p>
              </w:tc>
              <w:tc>
                <w:tcPr>
                  <w:tcW w:w="581" w:type="pct"/>
                  <w:vMerge w:val="restart"/>
                  <w:tcBorders>
                    <w:tl2br w:val="nil"/>
                    <w:tr2bl w:val="nil"/>
                  </w:tcBorders>
                  <w:vAlign w:val="center"/>
                </w:tcPr>
                <w:p>
                  <w:pPr>
                    <w:spacing w:line="240" w:lineRule="auto"/>
                    <w:jc w:val="center"/>
                    <w:rPr>
                      <w:kern w:val="0"/>
                      <w:sz w:val="21"/>
                      <w:szCs w:val="21"/>
                    </w:rPr>
                  </w:pPr>
                  <w:r>
                    <w:rPr>
                      <w:kern w:val="0"/>
                      <w:sz w:val="21"/>
                      <w:szCs w:val="21"/>
                    </w:rPr>
                    <w:t>65</w:t>
                  </w:r>
                </w:p>
              </w:tc>
              <w:tc>
                <w:tcPr>
                  <w:tcW w:w="687" w:type="pct"/>
                  <w:vMerge w:val="restart"/>
                  <w:tcBorders>
                    <w:tl2br w:val="nil"/>
                    <w:tr2bl w:val="nil"/>
                  </w:tcBorders>
                  <w:vAlign w:val="center"/>
                </w:tcPr>
                <w:p>
                  <w:pPr>
                    <w:spacing w:line="240" w:lineRule="auto"/>
                    <w:jc w:val="center"/>
                    <w:rPr>
                      <w:kern w:val="0"/>
                      <w:sz w:val="21"/>
                      <w:szCs w:val="21"/>
                    </w:rPr>
                  </w:pPr>
                  <w:r>
                    <w:rPr>
                      <w:kern w:val="0"/>
                      <w:sz w:val="21"/>
                      <w:szCs w:val="21"/>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9" w:type="pct"/>
                  <w:tcBorders>
                    <w:tl2br w:val="nil"/>
                    <w:tr2bl w:val="nil"/>
                  </w:tcBorders>
                  <w:vAlign w:val="center"/>
                </w:tcPr>
                <w:p>
                  <w:pPr>
                    <w:spacing w:line="240" w:lineRule="auto"/>
                    <w:jc w:val="center"/>
                    <w:rPr>
                      <w:kern w:val="0"/>
                      <w:sz w:val="21"/>
                      <w:szCs w:val="21"/>
                    </w:rPr>
                  </w:pPr>
                  <w:r>
                    <w:rPr>
                      <w:rFonts w:hint="eastAsia"/>
                      <w:kern w:val="0"/>
                      <w:sz w:val="21"/>
                      <w:szCs w:val="21"/>
                    </w:rPr>
                    <w:t>2</w:t>
                  </w:r>
                </w:p>
              </w:tc>
              <w:tc>
                <w:tcPr>
                  <w:tcW w:w="1004" w:type="pct"/>
                  <w:tcBorders>
                    <w:tl2br w:val="nil"/>
                    <w:tr2bl w:val="nil"/>
                  </w:tcBorders>
                  <w:vAlign w:val="center"/>
                </w:tcPr>
                <w:p>
                  <w:pPr>
                    <w:spacing w:line="240" w:lineRule="auto"/>
                    <w:jc w:val="center"/>
                    <w:rPr>
                      <w:kern w:val="0"/>
                      <w:sz w:val="21"/>
                      <w:szCs w:val="21"/>
                    </w:rPr>
                  </w:pPr>
                  <w:r>
                    <w:rPr>
                      <w:rFonts w:hint="eastAsia"/>
                      <w:kern w:val="0"/>
                      <w:sz w:val="21"/>
                      <w:szCs w:val="21"/>
                    </w:rPr>
                    <w:t>项目南侧厂界</w:t>
                  </w:r>
                </w:p>
              </w:tc>
              <w:tc>
                <w:tcPr>
                  <w:tcW w:w="1253" w:type="pct"/>
                  <w:tcBorders>
                    <w:tl2br w:val="nil"/>
                    <w:tr2bl w:val="nil"/>
                  </w:tcBorders>
                  <w:vAlign w:val="center"/>
                </w:tcPr>
                <w:p>
                  <w:pPr>
                    <w:spacing w:line="240" w:lineRule="auto"/>
                    <w:jc w:val="center"/>
                    <w:rPr>
                      <w:kern w:val="0"/>
                      <w:sz w:val="21"/>
                      <w:szCs w:val="21"/>
                    </w:rPr>
                  </w:pPr>
                  <w:r>
                    <w:rPr>
                      <w:kern w:val="0"/>
                      <w:sz w:val="21"/>
                      <w:szCs w:val="21"/>
                    </w:rPr>
                    <w:t>136</w:t>
                  </w:r>
                </w:p>
              </w:tc>
              <w:tc>
                <w:tcPr>
                  <w:tcW w:w="1046" w:type="pct"/>
                  <w:tcBorders>
                    <w:tl2br w:val="nil"/>
                    <w:tr2bl w:val="nil"/>
                  </w:tcBorders>
                  <w:vAlign w:val="center"/>
                </w:tcPr>
                <w:p>
                  <w:pPr>
                    <w:spacing w:line="240" w:lineRule="auto"/>
                    <w:jc w:val="center"/>
                    <w:rPr>
                      <w:kern w:val="0"/>
                      <w:sz w:val="21"/>
                      <w:szCs w:val="21"/>
                    </w:rPr>
                  </w:pPr>
                  <w:r>
                    <w:rPr>
                      <w:kern w:val="0"/>
                      <w:sz w:val="21"/>
                      <w:szCs w:val="21"/>
                    </w:rPr>
                    <w:t>37.5</w:t>
                  </w:r>
                </w:p>
              </w:tc>
              <w:tc>
                <w:tcPr>
                  <w:tcW w:w="581" w:type="pct"/>
                  <w:vMerge w:val="continue"/>
                  <w:tcBorders>
                    <w:tl2br w:val="nil"/>
                    <w:tr2bl w:val="nil"/>
                  </w:tcBorders>
                  <w:vAlign w:val="center"/>
                </w:tcPr>
                <w:p>
                  <w:pPr>
                    <w:spacing w:line="240" w:lineRule="auto"/>
                    <w:jc w:val="center"/>
                    <w:rPr>
                      <w:kern w:val="0"/>
                      <w:sz w:val="21"/>
                      <w:szCs w:val="21"/>
                    </w:rPr>
                  </w:pPr>
                </w:p>
              </w:tc>
              <w:tc>
                <w:tcPr>
                  <w:tcW w:w="687" w:type="pct"/>
                  <w:vMerge w:val="continue"/>
                  <w:tcBorders>
                    <w:tl2br w:val="nil"/>
                    <w:tr2bl w:val="nil"/>
                  </w:tcBorders>
                  <w:vAlign w:val="center"/>
                </w:tcPr>
                <w:p>
                  <w:pPr>
                    <w:spacing w:line="240" w:lineRule="auto"/>
                    <w:jc w:val="center"/>
                    <w:rPr>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9" w:type="pct"/>
                  <w:tcBorders>
                    <w:tl2br w:val="nil"/>
                    <w:tr2bl w:val="nil"/>
                  </w:tcBorders>
                  <w:vAlign w:val="center"/>
                </w:tcPr>
                <w:p>
                  <w:pPr>
                    <w:spacing w:line="240" w:lineRule="auto"/>
                    <w:jc w:val="center"/>
                    <w:rPr>
                      <w:kern w:val="0"/>
                      <w:sz w:val="21"/>
                      <w:szCs w:val="21"/>
                    </w:rPr>
                  </w:pPr>
                  <w:r>
                    <w:rPr>
                      <w:rFonts w:hint="eastAsia"/>
                      <w:kern w:val="0"/>
                      <w:sz w:val="21"/>
                      <w:szCs w:val="21"/>
                    </w:rPr>
                    <w:t>3</w:t>
                  </w:r>
                </w:p>
              </w:tc>
              <w:tc>
                <w:tcPr>
                  <w:tcW w:w="1004" w:type="pct"/>
                  <w:tcBorders>
                    <w:tl2br w:val="nil"/>
                    <w:tr2bl w:val="nil"/>
                  </w:tcBorders>
                  <w:vAlign w:val="center"/>
                </w:tcPr>
                <w:p>
                  <w:pPr>
                    <w:spacing w:line="240" w:lineRule="auto"/>
                    <w:jc w:val="center"/>
                    <w:rPr>
                      <w:kern w:val="0"/>
                      <w:sz w:val="21"/>
                      <w:szCs w:val="21"/>
                    </w:rPr>
                  </w:pPr>
                  <w:r>
                    <w:rPr>
                      <w:rFonts w:hint="eastAsia"/>
                      <w:kern w:val="0"/>
                      <w:sz w:val="21"/>
                      <w:szCs w:val="21"/>
                    </w:rPr>
                    <w:t>项目西侧厂界</w:t>
                  </w:r>
                </w:p>
              </w:tc>
              <w:tc>
                <w:tcPr>
                  <w:tcW w:w="1253" w:type="pct"/>
                  <w:tcBorders>
                    <w:tl2br w:val="nil"/>
                    <w:tr2bl w:val="nil"/>
                  </w:tcBorders>
                  <w:vAlign w:val="center"/>
                </w:tcPr>
                <w:p>
                  <w:pPr>
                    <w:spacing w:line="240" w:lineRule="auto"/>
                    <w:jc w:val="center"/>
                    <w:rPr>
                      <w:kern w:val="0"/>
                      <w:sz w:val="21"/>
                      <w:szCs w:val="21"/>
                    </w:rPr>
                  </w:pPr>
                  <w:r>
                    <w:rPr>
                      <w:kern w:val="0"/>
                      <w:sz w:val="21"/>
                      <w:szCs w:val="21"/>
                    </w:rPr>
                    <w:t>238</w:t>
                  </w:r>
                </w:p>
              </w:tc>
              <w:tc>
                <w:tcPr>
                  <w:tcW w:w="1046" w:type="pct"/>
                  <w:tcBorders>
                    <w:tl2br w:val="nil"/>
                    <w:tr2bl w:val="nil"/>
                  </w:tcBorders>
                  <w:vAlign w:val="center"/>
                </w:tcPr>
                <w:p>
                  <w:pPr>
                    <w:spacing w:line="240" w:lineRule="auto"/>
                    <w:jc w:val="center"/>
                    <w:rPr>
                      <w:kern w:val="0"/>
                      <w:sz w:val="21"/>
                      <w:szCs w:val="21"/>
                    </w:rPr>
                  </w:pPr>
                  <w:r>
                    <w:rPr>
                      <w:kern w:val="0"/>
                      <w:sz w:val="21"/>
                      <w:szCs w:val="21"/>
                    </w:rPr>
                    <w:t>32.6</w:t>
                  </w:r>
                </w:p>
              </w:tc>
              <w:tc>
                <w:tcPr>
                  <w:tcW w:w="581" w:type="pct"/>
                  <w:vMerge w:val="continue"/>
                  <w:tcBorders>
                    <w:tl2br w:val="nil"/>
                    <w:tr2bl w:val="nil"/>
                  </w:tcBorders>
                  <w:vAlign w:val="center"/>
                </w:tcPr>
                <w:p>
                  <w:pPr>
                    <w:spacing w:line="240" w:lineRule="auto"/>
                    <w:jc w:val="center"/>
                    <w:rPr>
                      <w:kern w:val="0"/>
                      <w:sz w:val="21"/>
                      <w:szCs w:val="21"/>
                    </w:rPr>
                  </w:pPr>
                </w:p>
              </w:tc>
              <w:tc>
                <w:tcPr>
                  <w:tcW w:w="687" w:type="pct"/>
                  <w:vMerge w:val="continue"/>
                  <w:tcBorders>
                    <w:tl2br w:val="nil"/>
                    <w:tr2bl w:val="nil"/>
                  </w:tcBorders>
                  <w:vAlign w:val="center"/>
                </w:tcPr>
                <w:p>
                  <w:pPr>
                    <w:spacing w:line="240" w:lineRule="auto"/>
                    <w:jc w:val="center"/>
                    <w:rPr>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29" w:type="pct"/>
                  <w:tcBorders>
                    <w:tl2br w:val="nil"/>
                    <w:tr2bl w:val="nil"/>
                  </w:tcBorders>
                  <w:vAlign w:val="center"/>
                </w:tcPr>
                <w:p>
                  <w:pPr>
                    <w:spacing w:line="240" w:lineRule="auto"/>
                    <w:jc w:val="center"/>
                    <w:rPr>
                      <w:kern w:val="0"/>
                      <w:sz w:val="21"/>
                      <w:szCs w:val="21"/>
                    </w:rPr>
                  </w:pPr>
                  <w:r>
                    <w:rPr>
                      <w:rFonts w:hint="eastAsia"/>
                      <w:kern w:val="0"/>
                      <w:sz w:val="21"/>
                      <w:szCs w:val="21"/>
                    </w:rPr>
                    <w:t>4</w:t>
                  </w:r>
                </w:p>
              </w:tc>
              <w:tc>
                <w:tcPr>
                  <w:tcW w:w="1004" w:type="pct"/>
                  <w:tcBorders>
                    <w:tl2br w:val="nil"/>
                    <w:tr2bl w:val="nil"/>
                  </w:tcBorders>
                  <w:vAlign w:val="center"/>
                </w:tcPr>
                <w:p>
                  <w:pPr>
                    <w:spacing w:line="240" w:lineRule="auto"/>
                    <w:jc w:val="center"/>
                    <w:rPr>
                      <w:kern w:val="0"/>
                      <w:sz w:val="21"/>
                      <w:szCs w:val="21"/>
                    </w:rPr>
                  </w:pPr>
                  <w:r>
                    <w:rPr>
                      <w:rFonts w:hint="eastAsia"/>
                      <w:kern w:val="0"/>
                      <w:sz w:val="21"/>
                      <w:szCs w:val="21"/>
                    </w:rPr>
                    <w:t>项目北侧厂界</w:t>
                  </w:r>
                </w:p>
              </w:tc>
              <w:tc>
                <w:tcPr>
                  <w:tcW w:w="1253" w:type="pct"/>
                  <w:tcBorders>
                    <w:tl2br w:val="nil"/>
                    <w:tr2bl w:val="nil"/>
                  </w:tcBorders>
                  <w:vAlign w:val="center"/>
                </w:tcPr>
                <w:p>
                  <w:pPr>
                    <w:spacing w:line="240" w:lineRule="auto"/>
                    <w:jc w:val="center"/>
                    <w:rPr>
                      <w:kern w:val="0"/>
                      <w:sz w:val="21"/>
                      <w:szCs w:val="21"/>
                    </w:rPr>
                  </w:pPr>
                  <w:r>
                    <w:rPr>
                      <w:kern w:val="0"/>
                      <w:sz w:val="21"/>
                      <w:szCs w:val="21"/>
                    </w:rPr>
                    <w:t>55</w:t>
                  </w:r>
                </w:p>
              </w:tc>
              <w:tc>
                <w:tcPr>
                  <w:tcW w:w="1046" w:type="pct"/>
                  <w:tcBorders>
                    <w:tl2br w:val="nil"/>
                    <w:tr2bl w:val="nil"/>
                  </w:tcBorders>
                  <w:vAlign w:val="center"/>
                </w:tcPr>
                <w:p>
                  <w:pPr>
                    <w:spacing w:line="240" w:lineRule="auto"/>
                    <w:jc w:val="center"/>
                    <w:rPr>
                      <w:kern w:val="0"/>
                      <w:sz w:val="21"/>
                      <w:szCs w:val="21"/>
                    </w:rPr>
                  </w:pPr>
                  <w:r>
                    <w:rPr>
                      <w:kern w:val="0"/>
                      <w:sz w:val="21"/>
                      <w:szCs w:val="21"/>
                    </w:rPr>
                    <w:t>45.3</w:t>
                  </w:r>
                </w:p>
              </w:tc>
              <w:tc>
                <w:tcPr>
                  <w:tcW w:w="581" w:type="pct"/>
                  <w:vMerge w:val="continue"/>
                  <w:tcBorders>
                    <w:tl2br w:val="nil"/>
                    <w:tr2bl w:val="nil"/>
                  </w:tcBorders>
                  <w:vAlign w:val="center"/>
                </w:tcPr>
                <w:p>
                  <w:pPr>
                    <w:spacing w:line="240" w:lineRule="auto"/>
                    <w:jc w:val="center"/>
                    <w:rPr>
                      <w:kern w:val="0"/>
                      <w:sz w:val="21"/>
                      <w:szCs w:val="21"/>
                    </w:rPr>
                  </w:pPr>
                </w:p>
              </w:tc>
              <w:tc>
                <w:tcPr>
                  <w:tcW w:w="687" w:type="pct"/>
                  <w:vMerge w:val="continue"/>
                  <w:tcBorders>
                    <w:tl2br w:val="nil"/>
                    <w:tr2bl w:val="nil"/>
                  </w:tcBorders>
                  <w:vAlign w:val="center"/>
                </w:tcPr>
                <w:p>
                  <w:pPr>
                    <w:spacing w:line="240" w:lineRule="auto"/>
                    <w:jc w:val="center"/>
                    <w:rPr>
                      <w:kern w:val="0"/>
                      <w:sz w:val="21"/>
                      <w:szCs w:val="21"/>
                    </w:rPr>
                  </w:pPr>
                </w:p>
              </w:tc>
            </w:tr>
          </w:tbl>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根据上表结果，项目</w:t>
            </w:r>
            <w:r>
              <w:rPr>
                <w:rFonts w:hint="eastAsia" w:ascii="Times New Roman" w:hAnsi="Times New Roman" w:eastAsia="新宋体"/>
                <w:sz w:val="24"/>
                <w:szCs w:val="24"/>
                <w:lang w:val="en-US"/>
              </w:rPr>
              <w:t>运营期</w:t>
            </w:r>
            <w:r>
              <w:rPr>
                <w:rFonts w:ascii="Times New Roman" w:hAnsi="Times New Roman" w:eastAsia="新宋体"/>
                <w:sz w:val="24"/>
                <w:szCs w:val="24"/>
                <w:lang w:val="en-US"/>
              </w:rPr>
              <w:t>采取隔声、减振措施后</w:t>
            </w:r>
            <w:r>
              <w:rPr>
                <w:rFonts w:hint="eastAsia" w:ascii="Times New Roman" w:hAnsi="Times New Roman" w:eastAsia="新宋体"/>
                <w:sz w:val="24"/>
                <w:szCs w:val="24"/>
                <w:lang w:val="en-US"/>
              </w:rPr>
              <w:t>，项目厂界昼夜间</w:t>
            </w:r>
            <w:r>
              <w:rPr>
                <w:rFonts w:ascii="Times New Roman" w:hAnsi="Times New Roman" w:eastAsia="新宋体"/>
                <w:sz w:val="24"/>
                <w:szCs w:val="24"/>
                <w:lang w:val="en-US"/>
              </w:rPr>
              <w:t>噪声可达到《工业企业厂界噪声排放标准》（GB12348-2008）3类标准，不会对周边声环境产生明显影响。</w:t>
            </w:r>
          </w:p>
          <w:p>
            <w:pPr>
              <w:pStyle w:val="51"/>
              <w:spacing w:before="0" w:line="360" w:lineRule="auto"/>
              <w:ind w:left="0" w:firstLine="482" w:firstLineChars="200"/>
              <w:outlineLvl w:val="9"/>
              <w:rPr>
                <w:rFonts w:ascii="Times New Roman" w:hAnsi="Times New Roman" w:eastAsia="新宋体"/>
                <w:b/>
                <w:bCs/>
                <w:sz w:val="24"/>
                <w:szCs w:val="24"/>
                <w:lang w:val="en-US"/>
              </w:rPr>
            </w:pPr>
            <w:r>
              <w:rPr>
                <w:rFonts w:ascii="Times New Roman" w:hAnsi="Times New Roman" w:eastAsia="新宋体"/>
                <w:b/>
                <w:bCs/>
                <w:sz w:val="24"/>
                <w:szCs w:val="24"/>
                <w:lang w:val="en-US"/>
              </w:rPr>
              <w:t>（3）噪声防治措施</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建议企业采取从声源上控制、从传播途径上控制以及从总平面布置上控制等综合措施对设备运行噪声加以控制。防治措施有：</w:t>
            </w:r>
          </w:p>
          <w:p>
            <w:pPr>
              <w:pStyle w:val="51"/>
              <w:spacing w:before="0" w:line="360" w:lineRule="auto"/>
              <w:ind w:left="0" w:firstLine="480" w:firstLineChars="200"/>
              <w:outlineLvl w:val="9"/>
              <w:rPr>
                <w:rFonts w:ascii="Times New Roman" w:hAnsi="Times New Roman" w:eastAsia="新宋体"/>
                <w:sz w:val="24"/>
                <w:szCs w:val="24"/>
                <w:lang w:val="en-US"/>
              </w:rPr>
            </w:pPr>
            <w:r>
              <w:rPr>
                <w:rFonts w:hint="eastAsia" w:ascii="Times New Roman" w:hAnsi="Times New Roman" w:eastAsia="新宋体"/>
                <w:sz w:val="24"/>
                <w:szCs w:val="24"/>
                <w:lang w:val="en-US"/>
              </w:rPr>
              <w:t>①</w:t>
            </w:r>
            <w:r>
              <w:rPr>
                <w:rFonts w:ascii="Times New Roman" w:hAnsi="Times New Roman" w:eastAsia="新宋体"/>
                <w:sz w:val="24"/>
                <w:szCs w:val="24"/>
                <w:lang w:val="en-US"/>
              </w:rPr>
              <w:t>优先选用低噪型设备，对主要噪声设备加装隔声罩，转动机械部位加装减振固肋装置，减轻振动引起的噪声，以减小这些设备运行噪声对周边环境的影响；</w:t>
            </w:r>
          </w:p>
          <w:p>
            <w:pPr>
              <w:pStyle w:val="51"/>
              <w:spacing w:before="0" w:line="360" w:lineRule="auto"/>
              <w:ind w:left="0" w:firstLine="480" w:firstLineChars="200"/>
              <w:outlineLvl w:val="9"/>
              <w:rPr>
                <w:rFonts w:ascii="Times New Roman" w:hAnsi="Times New Roman" w:eastAsia="新宋体"/>
                <w:sz w:val="24"/>
                <w:szCs w:val="24"/>
                <w:lang w:val="en-US"/>
              </w:rPr>
            </w:pPr>
            <w:r>
              <w:rPr>
                <w:rFonts w:hint="eastAsia" w:ascii="Times New Roman" w:hAnsi="Times New Roman" w:eastAsia="新宋体"/>
                <w:sz w:val="24"/>
                <w:szCs w:val="24"/>
                <w:lang w:val="en-US"/>
              </w:rPr>
              <w:t>②</w:t>
            </w:r>
            <w:r>
              <w:rPr>
                <w:rFonts w:ascii="Times New Roman" w:hAnsi="Times New Roman" w:eastAsia="新宋体"/>
                <w:sz w:val="24"/>
                <w:szCs w:val="24"/>
                <w:lang w:val="en-US"/>
              </w:rPr>
              <w:t>加强对噪声设备的维护和保养，减少因机械磨损而增加的噪声；</w:t>
            </w:r>
          </w:p>
          <w:p>
            <w:pPr>
              <w:pStyle w:val="51"/>
              <w:spacing w:before="0" w:line="360" w:lineRule="auto"/>
              <w:ind w:left="0" w:firstLine="480" w:firstLineChars="200"/>
              <w:outlineLvl w:val="9"/>
              <w:rPr>
                <w:rFonts w:ascii="Times New Roman" w:hAnsi="Times New Roman" w:eastAsia="新宋体"/>
                <w:sz w:val="24"/>
                <w:szCs w:val="24"/>
                <w:lang w:val="en-US"/>
              </w:rPr>
            </w:pPr>
            <w:r>
              <w:rPr>
                <w:rFonts w:hint="eastAsia" w:ascii="Times New Roman" w:hAnsi="Times New Roman" w:eastAsia="新宋体"/>
                <w:sz w:val="24"/>
                <w:szCs w:val="24"/>
                <w:lang w:val="en-US"/>
              </w:rPr>
              <w:t>③</w:t>
            </w:r>
            <w:r>
              <w:rPr>
                <w:rFonts w:ascii="Times New Roman" w:hAnsi="Times New Roman" w:eastAsia="新宋体"/>
                <w:sz w:val="24"/>
                <w:szCs w:val="24"/>
                <w:lang w:val="en-US"/>
              </w:rPr>
              <w:t>严格管理制度，减少作业时产生的不必要的人为噪声源。</w:t>
            </w:r>
          </w:p>
          <w:p>
            <w:pPr>
              <w:pStyle w:val="51"/>
              <w:spacing w:before="0" w:line="360" w:lineRule="auto"/>
              <w:ind w:left="0" w:firstLine="482" w:firstLineChars="200"/>
              <w:outlineLvl w:val="9"/>
              <w:rPr>
                <w:rFonts w:ascii="Times New Roman" w:hAnsi="Times New Roman" w:eastAsia="新宋体"/>
                <w:b/>
                <w:bCs/>
                <w:sz w:val="24"/>
                <w:szCs w:val="24"/>
                <w:lang w:val="en-US"/>
              </w:rPr>
            </w:pPr>
            <w:r>
              <w:rPr>
                <w:rFonts w:ascii="Times New Roman" w:hAnsi="Times New Roman" w:eastAsia="新宋体"/>
                <w:b/>
                <w:bCs/>
                <w:sz w:val="24"/>
                <w:szCs w:val="24"/>
                <w:lang w:val="en-US"/>
              </w:rPr>
              <w:t>（4）噪声监测要求</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项目</w:t>
            </w:r>
            <w:r>
              <w:rPr>
                <w:rFonts w:hint="eastAsia" w:ascii="Times New Roman" w:hAnsi="Times New Roman" w:eastAsia="新宋体"/>
                <w:sz w:val="24"/>
                <w:szCs w:val="24"/>
                <w:lang w:val="en-US"/>
              </w:rPr>
              <w:t>营运期</w:t>
            </w:r>
            <w:r>
              <w:rPr>
                <w:rFonts w:ascii="Times New Roman" w:hAnsi="Times New Roman" w:eastAsia="新宋体"/>
                <w:sz w:val="24"/>
                <w:szCs w:val="24"/>
                <w:lang w:val="en-US"/>
              </w:rPr>
              <w:t>噪声监测计划如下。</w:t>
            </w:r>
          </w:p>
          <w:p>
            <w:pPr>
              <w:spacing w:line="240" w:lineRule="auto"/>
              <w:jc w:val="center"/>
              <w:rPr>
                <w:rFonts w:eastAsiaTheme="minorEastAsia"/>
                <w:b/>
                <w:bCs/>
                <w:sz w:val="24"/>
              </w:rPr>
            </w:pPr>
            <w:r>
              <w:rPr>
                <w:rFonts w:eastAsiaTheme="minorEastAsia"/>
                <w:b/>
                <w:bCs/>
                <w:sz w:val="24"/>
              </w:rPr>
              <w:t>表4-14 噪声</w:t>
            </w:r>
            <w:r>
              <w:rPr>
                <w:rFonts w:hint="eastAsia" w:eastAsiaTheme="minorEastAsia"/>
                <w:b/>
                <w:bCs/>
                <w:sz w:val="24"/>
              </w:rPr>
              <w:t>监测计划</w:t>
            </w:r>
          </w:p>
          <w:tbl>
            <w:tblPr>
              <w:tblStyle w:val="40"/>
              <w:tblW w:w="498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59"/>
              <w:gridCol w:w="1092"/>
              <w:gridCol w:w="1091"/>
              <w:gridCol w:w="43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58" w:type="pct"/>
                  <w:tcBorders>
                    <w:tl2br w:val="nil"/>
                    <w:tr2bl w:val="nil"/>
                  </w:tcBorders>
                  <w:vAlign w:val="center"/>
                </w:tcPr>
                <w:p>
                  <w:pPr>
                    <w:spacing w:line="240" w:lineRule="auto"/>
                    <w:jc w:val="center"/>
                    <w:rPr>
                      <w:b/>
                      <w:bCs/>
                      <w:spacing w:val="-10"/>
                      <w:sz w:val="21"/>
                      <w:szCs w:val="21"/>
                    </w:rPr>
                  </w:pPr>
                  <w:r>
                    <w:rPr>
                      <w:b/>
                      <w:bCs/>
                      <w:spacing w:val="-10"/>
                      <w:sz w:val="21"/>
                      <w:szCs w:val="21"/>
                    </w:rPr>
                    <w:t>监测点位</w:t>
                  </w:r>
                </w:p>
              </w:tc>
              <w:tc>
                <w:tcPr>
                  <w:tcW w:w="657" w:type="pct"/>
                  <w:tcBorders>
                    <w:tl2br w:val="nil"/>
                    <w:tr2bl w:val="nil"/>
                  </w:tcBorders>
                  <w:vAlign w:val="center"/>
                </w:tcPr>
                <w:p>
                  <w:pPr>
                    <w:spacing w:line="240" w:lineRule="auto"/>
                    <w:jc w:val="center"/>
                    <w:rPr>
                      <w:b/>
                      <w:bCs/>
                      <w:spacing w:val="-10"/>
                      <w:sz w:val="21"/>
                      <w:szCs w:val="21"/>
                    </w:rPr>
                  </w:pPr>
                  <w:r>
                    <w:rPr>
                      <w:b/>
                      <w:bCs/>
                      <w:sz w:val="21"/>
                      <w:szCs w:val="21"/>
                    </w:rPr>
                    <w:t>监测指标</w:t>
                  </w:r>
                </w:p>
              </w:tc>
              <w:tc>
                <w:tcPr>
                  <w:tcW w:w="657" w:type="pct"/>
                  <w:tcBorders>
                    <w:tl2br w:val="nil"/>
                    <w:tr2bl w:val="nil"/>
                  </w:tcBorders>
                  <w:vAlign w:val="center"/>
                </w:tcPr>
                <w:p>
                  <w:pPr>
                    <w:spacing w:line="240" w:lineRule="auto"/>
                    <w:jc w:val="center"/>
                    <w:rPr>
                      <w:b/>
                      <w:bCs/>
                      <w:spacing w:val="-10"/>
                      <w:sz w:val="21"/>
                      <w:szCs w:val="21"/>
                    </w:rPr>
                  </w:pPr>
                  <w:r>
                    <w:rPr>
                      <w:b/>
                      <w:bCs/>
                      <w:sz w:val="21"/>
                      <w:szCs w:val="21"/>
                    </w:rPr>
                    <w:t>监测频次</w:t>
                  </w:r>
                </w:p>
              </w:tc>
              <w:tc>
                <w:tcPr>
                  <w:tcW w:w="2626" w:type="pct"/>
                  <w:tcBorders>
                    <w:tl2br w:val="nil"/>
                    <w:tr2bl w:val="nil"/>
                  </w:tcBorders>
                  <w:vAlign w:val="center"/>
                </w:tcPr>
                <w:p>
                  <w:pPr>
                    <w:spacing w:line="240" w:lineRule="auto"/>
                    <w:jc w:val="center"/>
                    <w:rPr>
                      <w:b/>
                      <w:bCs/>
                      <w:spacing w:val="-10"/>
                      <w:sz w:val="21"/>
                      <w:szCs w:val="21"/>
                    </w:rPr>
                  </w:pPr>
                  <w:r>
                    <w:rPr>
                      <w:b/>
                      <w:bCs/>
                      <w:sz w:val="21"/>
                      <w:szCs w:val="21"/>
                    </w:rPr>
                    <w:t>执行排放标准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58" w:type="pct"/>
                  <w:tcBorders>
                    <w:tl2br w:val="nil"/>
                    <w:tr2bl w:val="nil"/>
                  </w:tcBorders>
                  <w:vAlign w:val="center"/>
                </w:tcPr>
                <w:p>
                  <w:pPr>
                    <w:spacing w:line="240" w:lineRule="auto"/>
                    <w:jc w:val="center"/>
                    <w:rPr>
                      <w:spacing w:val="-10"/>
                      <w:sz w:val="21"/>
                      <w:szCs w:val="21"/>
                    </w:rPr>
                  </w:pPr>
                  <w:r>
                    <w:rPr>
                      <w:spacing w:val="-10"/>
                      <w:sz w:val="21"/>
                      <w:szCs w:val="21"/>
                    </w:rPr>
                    <w:t>比亚迪汽车</w:t>
                  </w:r>
                  <w:r>
                    <w:rPr>
                      <w:rFonts w:hint="eastAsia"/>
                      <w:spacing w:val="-10"/>
                      <w:sz w:val="21"/>
                      <w:szCs w:val="21"/>
                    </w:rPr>
                    <w:t>厂</w:t>
                  </w:r>
                  <w:r>
                    <w:rPr>
                      <w:spacing w:val="-10"/>
                      <w:sz w:val="21"/>
                      <w:szCs w:val="21"/>
                    </w:rPr>
                    <w:t>厂界</w:t>
                  </w:r>
                </w:p>
              </w:tc>
              <w:tc>
                <w:tcPr>
                  <w:tcW w:w="657" w:type="pct"/>
                  <w:tcBorders>
                    <w:tl2br w:val="nil"/>
                    <w:tr2bl w:val="nil"/>
                  </w:tcBorders>
                  <w:vAlign w:val="center"/>
                </w:tcPr>
                <w:p>
                  <w:pPr>
                    <w:spacing w:line="240" w:lineRule="auto"/>
                    <w:jc w:val="center"/>
                    <w:rPr>
                      <w:spacing w:val="-10"/>
                      <w:sz w:val="21"/>
                      <w:szCs w:val="21"/>
                    </w:rPr>
                  </w:pPr>
                  <w:r>
                    <w:rPr>
                      <w:sz w:val="21"/>
                      <w:szCs w:val="21"/>
                    </w:rPr>
                    <w:t>Leq</w:t>
                  </w:r>
                </w:p>
              </w:tc>
              <w:tc>
                <w:tcPr>
                  <w:tcW w:w="657" w:type="pct"/>
                  <w:tcBorders>
                    <w:tl2br w:val="nil"/>
                    <w:tr2bl w:val="nil"/>
                  </w:tcBorders>
                  <w:vAlign w:val="center"/>
                </w:tcPr>
                <w:p>
                  <w:pPr>
                    <w:spacing w:line="240" w:lineRule="auto"/>
                    <w:jc w:val="center"/>
                    <w:rPr>
                      <w:spacing w:val="-10"/>
                      <w:sz w:val="21"/>
                      <w:szCs w:val="21"/>
                    </w:rPr>
                  </w:pPr>
                  <w:r>
                    <w:rPr>
                      <w:spacing w:val="-10"/>
                      <w:sz w:val="21"/>
                      <w:szCs w:val="21"/>
                    </w:rPr>
                    <w:t>1次/季度</w:t>
                  </w:r>
                </w:p>
              </w:tc>
              <w:tc>
                <w:tcPr>
                  <w:tcW w:w="2626" w:type="pct"/>
                  <w:tcBorders>
                    <w:tl2br w:val="nil"/>
                    <w:tr2bl w:val="nil"/>
                  </w:tcBorders>
                  <w:vAlign w:val="center"/>
                </w:tcPr>
                <w:p>
                  <w:pPr>
                    <w:spacing w:line="240" w:lineRule="auto"/>
                    <w:jc w:val="center"/>
                    <w:rPr>
                      <w:spacing w:val="-10"/>
                      <w:sz w:val="21"/>
                      <w:szCs w:val="21"/>
                    </w:rPr>
                  </w:pPr>
                  <w:r>
                    <w:rPr>
                      <w:spacing w:val="-10"/>
                      <w:sz w:val="21"/>
                      <w:szCs w:val="21"/>
                    </w:rPr>
                    <w:t>《工业企业厂界环境噪声排放标准》（GB12348-2008）中的3类标准</w:t>
                  </w:r>
                </w:p>
              </w:tc>
            </w:tr>
          </w:tbl>
          <w:p>
            <w:pPr>
              <w:pStyle w:val="51"/>
              <w:spacing w:before="0" w:line="360" w:lineRule="auto"/>
              <w:ind w:left="0" w:firstLine="482" w:firstLineChars="200"/>
              <w:outlineLvl w:val="9"/>
              <w:rPr>
                <w:rFonts w:ascii="Times New Roman" w:hAnsi="Times New Roman" w:eastAsia="新宋体"/>
                <w:b/>
                <w:bCs/>
                <w:sz w:val="24"/>
                <w:szCs w:val="24"/>
                <w:lang w:val="en-US"/>
              </w:rPr>
            </w:pPr>
            <w:r>
              <w:rPr>
                <w:rFonts w:ascii="Times New Roman" w:hAnsi="Times New Roman" w:eastAsia="新宋体"/>
                <w:b/>
                <w:bCs/>
                <w:sz w:val="24"/>
                <w:szCs w:val="24"/>
                <w:lang w:val="en-US"/>
              </w:rPr>
              <w:t>4、固体废物</w:t>
            </w:r>
          </w:p>
          <w:p>
            <w:pPr>
              <w:pStyle w:val="51"/>
              <w:spacing w:before="0" w:line="360" w:lineRule="auto"/>
              <w:ind w:left="0" w:firstLine="482" w:firstLineChars="200"/>
              <w:outlineLvl w:val="9"/>
              <w:rPr>
                <w:rFonts w:ascii="Times New Roman" w:hAnsi="Times New Roman" w:eastAsia="新宋体"/>
                <w:b/>
                <w:sz w:val="24"/>
                <w:szCs w:val="24"/>
                <w:lang w:val="en-US"/>
              </w:rPr>
            </w:pPr>
            <w:r>
              <w:rPr>
                <w:rFonts w:hint="eastAsia" w:ascii="Times New Roman" w:hAnsi="Times New Roman" w:eastAsia="新宋体"/>
                <w:b/>
                <w:sz w:val="24"/>
                <w:szCs w:val="24"/>
                <w:lang w:val="en-US"/>
              </w:rPr>
              <w:t>（1）</w:t>
            </w:r>
            <w:r>
              <w:rPr>
                <w:rFonts w:ascii="Times New Roman" w:hAnsi="Times New Roman" w:eastAsia="新宋体"/>
                <w:b/>
                <w:sz w:val="24"/>
                <w:szCs w:val="24"/>
                <w:lang w:val="en-US"/>
              </w:rPr>
              <w:t>生活垃圾</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项目定员250人，均在厂内食宿，员工产生垃圾量按每日每人</w:t>
            </w:r>
            <w:r>
              <w:rPr>
                <w:rFonts w:hint="eastAsia" w:ascii="Times New Roman" w:hAnsi="Times New Roman" w:eastAsia="新宋体"/>
                <w:sz w:val="24"/>
                <w:szCs w:val="24"/>
                <w:lang w:val="en-US"/>
              </w:rPr>
              <w:t>1</w:t>
            </w:r>
            <w:r>
              <w:rPr>
                <w:rFonts w:ascii="Times New Roman" w:hAnsi="Times New Roman" w:eastAsia="新宋体"/>
                <w:sz w:val="24"/>
                <w:szCs w:val="24"/>
                <w:lang w:val="en-US"/>
              </w:rPr>
              <w:t>kg计算，则生活垃圾产生量约为</w:t>
            </w:r>
            <w:r>
              <w:rPr>
                <w:rFonts w:hint="eastAsia" w:ascii="Times New Roman" w:hAnsi="Times New Roman" w:eastAsia="新宋体"/>
                <w:sz w:val="24"/>
                <w:szCs w:val="24"/>
                <w:lang w:val="en-US"/>
              </w:rPr>
              <w:t>0.25t/d（84</w:t>
            </w:r>
            <w:r>
              <w:rPr>
                <w:rFonts w:ascii="Times New Roman" w:hAnsi="Times New Roman" w:eastAsia="新宋体"/>
                <w:sz w:val="24"/>
                <w:szCs w:val="24"/>
                <w:lang w:val="en-US"/>
              </w:rPr>
              <w:t>t/a</w:t>
            </w:r>
            <w:r>
              <w:rPr>
                <w:rFonts w:hint="eastAsia" w:ascii="Times New Roman" w:hAnsi="Times New Roman" w:eastAsia="新宋体"/>
                <w:sz w:val="24"/>
                <w:szCs w:val="24"/>
                <w:lang w:val="en-US"/>
              </w:rPr>
              <w:t>）</w:t>
            </w:r>
            <w:r>
              <w:rPr>
                <w:rFonts w:ascii="Times New Roman" w:hAnsi="Times New Roman" w:eastAsia="新宋体"/>
                <w:sz w:val="24"/>
                <w:szCs w:val="24"/>
                <w:lang w:val="en-US"/>
              </w:rPr>
              <w:t>，集中收集后由环卫部门</w:t>
            </w:r>
            <w:r>
              <w:rPr>
                <w:rFonts w:hint="eastAsia" w:ascii="Times New Roman" w:hAnsi="Times New Roman" w:eastAsia="新宋体"/>
                <w:sz w:val="24"/>
                <w:szCs w:val="24"/>
                <w:lang w:val="en-US"/>
              </w:rPr>
              <w:t>清运</w:t>
            </w:r>
            <w:r>
              <w:rPr>
                <w:rFonts w:ascii="Times New Roman" w:hAnsi="Times New Roman" w:eastAsia="新宋体"/>
                <w:sz w:val="24"/>
                <w:szCs w:val="24"/>
                <w:lang w:val="en-US"/>
              </w:rPr>
              <w:t>。</w:t>
            </w:r>
          </w:p>
          <w:p>
            <w:pPr>
              <w:pStyle w:val="51"/>
              <w:spacing w:before="0" w:line="360" w:lineRule="auto"/>
              <w:ind w:left="0" w:firstLine="482" w:firstLineChars="200"/>
              <w:outlineLvl w:val="9"/>
              <w:rPr>
                <w:rFonts w:ascii="Times New Roman" w:hAnsi="Times New Roman" w:eastAsia="新宋体"/>
                <w:b/>
                <w:sz w:val="24"/>
                <w:szCs w:val="24"/>
                <w:lang w:val="en-US"/>
              </w:rPr>
            </w:pPr>
            <w:r>
              <w:rPr>
                <w:rFonts w:hint="eastAsia" w:ascii="Times New Roman" w:hAnsi="Times New Roman" w:eastAsia="新宋体"/>
                <w:b/>
                <w:sz w:val="24"/>
                <w:szCs w:val="24"/>
                <w:lang w:val="en-US"/>
              </w:rPr>
              <w:t>（2）一般固体废物</w:t>
            </w:r>
          </w:p>
          <w:p>
            <w:pPr>
              <w:pStyle w:val="51"/>
              <w:spacing w:before="0" w:line="360" w:lineRule="auto"/>
              <w:ind w:left="0" w:firstLine="480" w:firstLineChars="200"/>
              <w:outlineLvl w:val="9"/>
              <w:rPr>
                <w:rFonts w:ascii="Times New Roman" w:hAnsi="Times New Roman" w:eastAsia="新宋体"/>
                <w:sz w:val="24"/>
                <w:szCs w:val="24"/>
                <w:lang w:val="en-US"/>
              </w:rPr>
            </w:pPr>
            <w:r>
              <w:rPr>
                <w:rFonts w:hint="eastAsia" w:ascii="Times New Roman" w:hAnsi="Times New Roman" w:eastAsia="新宋体"/>
                <w:sz w:val="24"/>
                <w:szCs w:val="24"/>
                <w:lang w:val="en-US"/>
              </w:rPr>
              <w:t>项目废包装材料来源于打包工序，废包装物产生系数约为拉伸膜用量的1%，则废包装物产生量约为0.012t/a，属于一般工业固体废物（代码为3</w:t>
            </w:r>
            <w:r>
              <w:rPr>
                <w:rFonts w:ascii="Times New Roman" w:hAnsi="Times New Roman" w:eastAsia="新宋体"/>
                <w:sz w:val="24"/>
                <w:szCs w:val="24"/>
                <w:lang w:val="en-US"/>
              </w:rPr>
              <w:t>84-999-07</w:t>
            </w:r>
            <w:r>
              <w:rPr>
                <w:rFonts w:hint="eastAsia" w:ascii="Times New Roman" w:hAnsi="Times New Roman" w:eastAsia="新宋体"/>
                <w:sz w:val="24"/>
                <w:szCs w:val="24"/>
                <w:lang w:val="en-US"/>
              </w:rPr>
              <w:t>），收集后交由相关资源回收单位回收。</w:t>
            </w:r>
          </w:p>
          <w:p>
            <w:pPr>
              <w:pStyle w:val="51"/>
              <w:spacing w:before="0" w:line="360" w:lineRule="auto"/>
              <w:ind w:left="0" w:firstLine="482" w:firstLineChars="200"/>
              <w:outlineLvl w:val="9"/>
              <w:rPr>
                <w:rFonts w:ascii="Times New Roman" w:hAnsi="Times New Roman" w:eastAsia="新宋体"/>
                <w:b/>
                <w:sz w:val="24"/>
                <w:szCs w:val="24"/>
                <w:lang w:val="en-US"/>
              </w:rPr>
            </w:pPr>
            <w:r>
              <w:rPr>
                <w:rFonts w:hint="eastAsia" w:ascii="Times New Roman" w:hAnsi="Times New Roman" w:eastAsia="新宋体"/>
                <w:b/>
                <w:sz w:val="24"/>
                <w:szCs w:val="24"/>
                <w:lang w:val="en-US"/>
              </w:rPr>
              <w:t>（3）危险废物</w:t>
            </w:r>
          </w:p>
          <w:p>
            <w:pPr>
              <w:pStyle w:val="51"/>
              <w:spacing w:before="0" w:line="360" w:lineRule="auto"/>
              <w:ind w:left="0" w:firstLine="480" w:firstLineChars="200"/>
              <w:outlineLvl w:val="9"/>
              <w:rPr>
                <w:rFonts w:ascii="Times New Roman" w:hAnsi="Times New Roman" w:eastAsia="新宋体"/>
                <w:sz w:val="24"/>
                <w:szCs w:val="24"/>
                <w:lang w:val="en-US"/>
              </w:rPr>
            </w:pPr>
            <w:r>
              <w:rPr>
                <w:rFonts w:hint="eastAsia" w:ascii="Times New Roman" w:hAnsi="Times New Roman" w:eastAsia="新宋体"/>
                <w:sz w:val="24"/>
                <w:szCs w:val="24"/>
                <w:lang w:val="en-US"/>
              </w:rPr>
              <w:t>①废冷却液桶</w:t>
            </w:r>
          </w:p>
          <w:p>
            <w:pPr>
              <w:pStyle w:val="51"/>
              <w:spacing w:before="0" w:line="360" w:lineRule="auto"/>
              <w:ind w:left="0" w:firstLine="480" w:firstLineChars="200"/>
              <w:outlineLvl w:val="9"/>
              <w:rPr>
                <w:rFonts w:ascii="Times New Roman" w:hAnsi="Times New Roman" w:eastAsia="新宋体"/>
                <w:sz w:val="24"/>
                <w:szCs w:val="24"/>
                <w:lang w:val="en-US"/>
              </w:rPr>
            </w:pPr>
            <w:r>
              <w:rPr>
                <w:rFonts w:hint="eastAsia" w:ascii="Times New Roman" w:hAnsi="Times New Roman" w:eastAsia="新宋体"/>
                <w:sz w:val="24"/>
                <w:szCs w:val="24"/>
                <w:lang w:val="en-US"/>
              </w:rPr>
              <w:t>项目废冷却液桶产生量约为0.5t/a，属于《国家危险废物名录</w:t>
            </w:r>
            <w:r>
              <w:rPr>
                <w:rFonts w:ascii="Times New Roman" w:hAnsi="Times New Roman" w:eastAsia="新宋体"/>
                <w:sz w:val="24"/>
                <w:szCs w:val="24"/>
                <w:lang w:val="en-US"/>
              </w:rPr>
              <w:t>（2021年版）</w:t>
            </w:r>
            <w:r>
              <w:rPr>
                <w:rFonts w:hint="eastAsia" w:ascii="Times New Roman" w:hAnsi="Times New Roman" w:eastAsia="新宋体"/>
                <w:sz w:val="24"/>
                <w:szCs w:val="24"/>
                <w:lang w:val="en-US"/>
              </w:rPr>
              <w:t>》中编号为HW49，废物代码为900-041-49的危险废物</w:t>
            </w:r>
            <w:r>
              <w:rPr>
                <w:rFonts w:ascii="Times New Roman" w:hAnsi="Times New Roman" w:eastAsia="新宋体"/>
                <w:sz w:val="24"/>
                <w:szCs w:val="24"/>
                <w:lang w:val="en-US"/>
              </w:rPr>
              <w:t>。</w:t>
            </w:r>
          </w:p>
          <w:p>
            <w:pPr>
              <w:pStyle w:val="51"/>
              <w:spacing w:before="0" w:line="360" w:lineRule="auto"/>
              <w:ind w:left="0" w:firstLine="480" w:firstLineChars="200"/>
              <w:outlineLvl w:val="9"/>
              <w:rPr>
                <w:rFonts w:ascii="Times New Roman" w:hAnsi="Times New Roman" w:eastAsia="新宋体"/>
                <w:sz w:val="24"/>
                <w:szCs w:val="24"/>
                <w:lang w:val="en-US"/>
              </w:rPr>
            </w:pPr>
            <w:r>
              <w:rPr>
                <w:rFonts w:hint="eastAsia" w:ascii="Times New Roman" w:hAnsi="Times New Roman" w:eastAsia="新宋体"/>
                <w:sz w:val="24"/>
                <w:szCs w:val="24"/>
                <w:lang w:val="en-US"/>
              </w:rPr>
              <w:t>②含油废抹布</w:t>
            </w:r>
          </w:p>
          <w:p>
            <w:pPr>
              <w:pStyle w:val="51"/>
              <w:spacing w:before="0" w:line="360" w:lineRule="auto"/>
              <w:ind w:left="0" w:firstLine="480" w:firstLineChars="200"/>
              <w:outlineLvl w:val="9"/>
              <w:rPr>
                <w:rFonts w:ascii="Times New Roman" w:hAnsi="Times New Roman" w:eastAsia="新宋体"/>
                <w:sz w:val="24"/>
                <w:szCs w:val="24"/>
                <w:lang w:val="en-US"/>
              </w:rPr>
            </w:pPr>
            <w:r>
              <w:rPr>
                <w:rFonts w:hint="eastAsia" w:ascii="Times New Roman" w:hAnsi="Times New Roman" w:eastAsia="新宋体"/>
                <w:sz w:val="24"/>
                <w:szCs w:val="24"/>
                <w:lang w:val="en-US"/>
              </w:rPr>
              <w:t>项目设备日常维护时会产生含油废抹布，产生量约为0.2t/a，属于《国家危险废物名录</w:t>
            </w:r>
            <w:r>
              <w:rPr>
                <w:rFonts w:ascii="Times New Roman" w:hAnsi="Times New Roman" w:eastAsia="新宋体"/>
                <w:sz w:val="24"/>
                <w:szCs w:val="24"/>
                <w:lang w:val="en-US"/>
              </w:rPr>
              <w:t>（2021年版）</w:t>
            </w:r>
            <w:r>
              <w:rPr>
                <w:rFonts w:hint="eastAsia" w:ascii="Times New Roman" w:hAnsi="Times New Roman" w:eastAsia="新宋体"/>
                <w:sz w:val="24"/>
                <w:szCs w:val="24"/>
                <w:lang w:val="en-US"/>
              </w:rPr>
              <w:t>》中编号为HW49，废物代码为900-041-49的危险废物。</w:t>
            </w:r>
          </w:p>
          <w:p>
            <w:pPr>
              <w:pStyle w:val="51"/>
              <w:spacing w:before="0" w:line="360" w:lineRule="auto"/>
              <w:ind w:left="0" w:firstLine="480" w:firstLineChars="200"/>
              <w:outlineLvl w:val="9"/>
              <w:rPr>
                <w:rFonts w:ascii="Times New Roman" w:hAnsi="Times New Roman" w:eastAsia="新宋体"/>
                <w:color w:val="FF0000"/>
                <w:sz w:val="24"/>
                <w:szCs w:val="24"/>
                <w:lang w:val="en-US"/>
              </w:rPr>
            </w:pPr>
            <w:r>
              <w:rPr>
                <w:rFonts w:hint="eastAsia" w:ascii="Times New Roman" w:hAnsi="Times New Roman" w:eastAsia="新宋体"/>
                <w:color w:val="FF0000"/>
                <w:sz w:val="24"/>
                <w:szCs w:val="24"/>
                <w:lang w:val="en-US"/>
              </w:rPr>
              <w:t>③废胶水桶</w:t>
            </w:r>
          </w:p>
          <w:p>
            <w:pPr>
              <w:pStyle w:val="51"/>
              <w:spacing w:before="0" w:line="360" w:lineRule="auto"/>
              <w:ind w:left="0" w:firstLine="480" w:firstLineChars="200"/>
              <w:outlineLvl w:val="9"/>
              <w:rPr>
                <w:rFonts w:ascii="Times New Roman" w:hAnsi="Times New Roman" w:eastAsia="新宋体"/>
                <w:color w:val="FF0000"/>
                <w:sz w:val="24"/>
                <w:szCs w:val="24"/>
                <w:lang w:val="en-US"/>
              </w:rPr>
            </w:pPr>
            <w:r>
              <w:rPr>
                <w:rFonts w:hint="eastAsia" w:ascii="Times New Roman" w:hAnsi="Times New Roman" w:eastAsia="新宋体"/>
                <w:color w:val="FF0000"/>
                <w:sz w:val="24"/>
                <w:szCs w:val="24"/>
                <w:lang w:val="en-US"/>
              </w:rPr>
              <w:t>项目废胶水桶产生量约为0.1t/a，属于《国家危险废物名录</w:t>
            </w:r>
            <w:r>
              <w:rPr>
                <w:rFonts w:ascii="Times New Roman" w:hAnsi="Times New Roman" w:eastAsia="新宋体"/>
                <w:color w:val="FF0000"/>
                <w:sz w:val="24"/>
                <w:szCs w:val="24"/>
                <w:lang w:val="en-US"/>
              </w:rPr>
              <w:t>（2021年版）</w:t>
            </w:r>
            <w:r>
              <w:rPr>
                <w:rFonts w:hint="eastAsia" w:ascii="Times New Roman" w:hAnsi="Times New Roman" w:eastAsia="新宋体"/>
                <w:color w:val="FF0000"/>
                <w:sz w:val="24"/>
                <w:szCs w:val="24"/>
                <w:lang w:val="en-US"/>
              </w:rPr>
              <w:t>》中编号为HW49，废物代码为900-041-49的危险废物。</w:t>
            </w:r>
          </w:p>
          <w:p>
            <w:pPr>
              <w:pStyle w:val="51"/>
              <w:spacing w:before="0" w:line="360" w:lineRule="auto"/>
              <w:ind w:left="0" w:firstLine="480" w:firstLineChars="200"/>
              <w:outlineLvl w:val="9"/>
              <w:rPr>
                <w:rFonts w:ascii="Times New Roman" w:hAnsi="Times New Roman" w:eastAsia="新宋体"/>
                <w:sz w:val="24"/>
                <w:szCs w:val="24"/>
                <w:lang w:val="en-US"/>
              </w:rPr>
            </w:pPr>
            <w:r>
              <w:rPr>
                <w:rFonts w:hint="eastAsia" w:ascii="Times New Roman" w:hAnsi="Times New Roman" w:eastAsia="新宋体"/>
                <w:sz w:val="24"/>
                <w:szCs w:val="24"/>
                <w:lang w:val="en-US"/>
              </w:rPr>
              <w:t>废胶水桶、废冷却液桶和含油废抹布分类收集后暂存于危废暂存间，定期委托有资质的危废处理单位进行拉运处理，其中废胶水桶和废冷却液桶交由供应商回收。</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建设单位产生的固体废物处理处置遵循分类原则及资源化、减量化和无害化原则。建设单位在厂内设置了一般固废间、危废间用于固废分类及暂存。</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A</w:t>
            </w:r>
            <w:r>
              <w:rPr>
                <w:rFonts w:hint="eastAsia" w:ascii="Times New Roman" w:hAnsi="Times New Roman" w:eastAsia="新宋体"/>
                <w:sz w:val="24"/>
                <w:szCs w:val="24"/>
                <w:lang w:val="en-US"/>
              </w:rPr>
              <w:t>、</w:t>
            </w:r>
            <w:r>
              <w:rPr>
                <w:rFonts w:ascii="Times New Roman" w:hAnsi="Times New Roman" w:eastAsia="新宋体"/>
                <w:sz w:val="24"/>
                <w:szCs w:val="24"/>
                <w:lang w:val="en-US"/>
              </w:rPr>
              <w:t>一般工业固废暂存要求</w:t>
            </w:r>
          </w:p>
          <w:p>
            <w:pPr>
              <w:pStyle w:val="51"/>
              <w:spacing w:before="0" w:line="360" w:lineRule="auto"/>
              <w:ind w:left="0" w:firstLine="480" w:firstLineChars="200"/>
              <w:outlineLvl w:val="9"/>
              <w:rPr>
                <w:rFonts w:ascii="Times New Roman" w:hAnsi="Times New Roman" w:eastAsia="新宋体"/>
                <w:sz w:val="24"/>
                <w:szCs w:val="24"/>
                <w:lang w:val="en-US"/>
              </w:rPr>
            </w:pPr>
            <w:r>
              <w:rPr>
                <w:rFonts w:hint="eastAsia" w:ascii="Times New Roman" w:hAnsi="Times New Roman" w:eastAsia="新宋体"/>
                <w:sz w:val="24"/>
                <w:szCs w:val="24"/>
                <w:lang w:val="en-US"/>
              </w:rPr>
              <w:t>建设单位应按照《一般工业固体废物贮存和填埋污染控制标准》（GB18599-2020）统一分类收集、暂存一般工业固废。一般固废暂存间按《一般工业固体废物贮存和填埋污染控制标准》（GB18599-2020）的规定设置环保图形标志，并严禁危险废物和生活垃圾混入</w:t>
            </w:r>
            <w:r>
              <w:rPr>
                <w:rFonts w:ascii="Times New Roman" w:hAnsi="Times New Roman" w:eastAsia="新宋体"/>
                <w:sz w:val="24"/>
                <w:szCs w:val="24"/>
                <w:lang w:val="en-US"/>
              </w:rPr>
              <w:t>。</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B</w:t>
            </w:r>
            <w:r>
              <w:rPr>
                <w:rFonts w:hint="eastAsia" w:ascii="Times New Roman" w:hAnsi="Times New Roman" w:eastAsia="新宋体"/>
                <w:sz w:val="24"/>
                <w:szCs w:val="24"/>
                <w:lang w:val="en-US"/>
              </w:rPr>
              <w:t>、</w:t>
            </w:r>
            <w:r>
              <w:rPr>
                <w:rFonts w:ascii="Times New Roman" w:hAnsi="Times New Roman" w:eastAsia="新宋体"/>
                <w:sz w:val="24"/>
                <w:szCs w:val="24"/>
                <w:lang w:val="en-US"/>
              </w:rPr>
              <w:t>危险废物暂存措施</w:t>
            </w:r>
          </w:p>
          <w:p>
            <w:pPr>
              <w:pStyle w:val="51"/>
              <w:spacing w:before="0" w:line="360" w:lineRule="auto"/>
              <w:ind w:left="0" w:firstLine="480" w:firstLineChars="200"/>
              <w:outlineLvl w:val="9"/>
              <w:rPr>
                <w:szCs w:val="21"/>
              </w:rPr>
            </w:pPr>
            <w:r>
              <w:rPr>
                <w:rFonts w:hint="eastAsia" w:ascii="Times New Roman" w:hAnsi="Times New Roman" w:eastAsia="新宋体"/>
                <w:sz w:val="24"/>
                <w:szCs w:val="24"/>
                <w:lang w:val="en-US"/>
              </w:rPr>
              <w:t>项目废冷却液桶和含油废抹布存于危废暂存间，各危险废物做好标识，定期交由具有危险废物处理资质的单位拉运处理。厂内危险废物暂存场所应按国家《危险废物贮存污染控制标准》（GB18597-2001）及2013年修改单的要求设置，并做好防风、防雨、防晒、防渗措施，要使用专用储存设施，并将危险废物装入专用容器中，无法装入常用容器的危险废物可用防漏胶袋盛装，盛装危险废物的容器和胶带必须贴符合《危险废物贮存污染控制标准》（GB18597-2001）及2013年修改单附录A所示的标签等。危险废物转移要严格执行转移联单制度，规范建立危险废物的产生、转移、处置台账，记录危险废物的去向，并按照生态环境部有关要求做好每年度危险废物管理计划</w:t>
            </w:r>
            <w:r>
              <w:rPr>
                <w:rFonts w:ascii="Times New Roman" w:hAnsi="Times New Roman" w:eastAsia="新宋体"/>
                <w:sz w:val="24"/>
                <w:szCs w:val="24"/>
                <w:lang w:val="en-US"/>
              </w:rPr>
              <w:t>。</w:t>
            </w:r>
          </w:p>
          <w:p>
            <w:pPr>
              <w:spacing w:line="240" w:lineRule="auto"/>
              <w:jc w:val="center"/>
              <w:rPr>
                <w:rFonts w:eastAsiaTheme="minorEastAsia"/>
                <w:b/>
                <w:bCs/>
                <w:sz w:val="24"/>
              </w:rPr>
            </w:pPr>
            <w:r>
              <w:rPr>
                <w:rFonts w:eastAsiaTheme="minorEastAsia"/>
                <w:b/>
                <w:bCs/>
                <w:sz w:val="24"/>
              </w:rPr>
              <w:t>表4-1</w:t>
            </w:r>
            <w:r>
              <w:rPr>
                <w:rFonts w:hint="eastAsia" w:eastAsiaTheme="minorEastAsia"/>
                <w:b/>
                <w:bCs/>
                <w:sz w:val="24"/>
              </w:rPr>
              <w:t xml:space="preserve">5 </w:t>
            </w:r>
            <w:r>
              <w:rPr>
                <w:rFonts w:eastAsiaTheme="minorEastAsia"/>
                <w:b/>
                <w:bCs/>
                <w:sz w:val="24"/>
              </w:rPr>
              <w:t>项目危险废物汇总</w:t>
            </w:r>
          </w:p>
          <w:tbl>
            <w:tblPr>
              <w:tblStyle w:val="4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6"/>
              <w:gridCol w:w="780"/>
              <w:gridCol w:w="678"/>
              <w:gridCol w:w="863"/>
              <w:gridCol w:w="706"/>
              <w:gridCol w:w="834"/>
              <w:gridCol w:w="375"/>
              <w:gridCol w:w="713"/>
              <w:gridCol w:w="697"/>
              <w:gridCol w:w="624"/>
              <w:gridCol w:w="654"/>
              <w:gridCol w:w="10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76"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序号</w:t>
                  </w:r>
                </w:p>
              </w:tc>
              <w:tc>
                <w:tcPr>
                  <w:tcW w:w="780"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危险废物名称</w:t>
                  </w:r>
                </w:p>
              </w:tc>
              <w:tc>
                <w:tcPr>
                  <w:tcW w:w="678"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危险废物类别</w:t>
                  </w:r>
                </w:p>
              </w:tc>
              <w:tc>
                <w:tcPr>
                  <w:tcW w:w="863"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危险废物代码</w:t>
                  </w:r>
                </w:p>
              </w:tc>
              <w:tc>
                <w:tcPr>
                  <w:tcW w:w="706"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产生量t/a</w:t>
                  </w:r>
                </w:p>
              </w:tc>
              <w:tc>
                <w:tcPr>
                  <w:tcW w:w="834"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产生工序及装置</w:t>
                  </w:r>
                </w:p>
              </w:tc>
              <w:tc>
                <w:tcPr>
                  <w:tcW w:w="375"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形态</w:t>
                  </w:r>
                </w:p>
              </w:tc>
              <w:tc>
                <w:tcPr>
                  <w:tcW w:w="713"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主要成分</w:t>
                  </w:r>
                </w:p>
              </w:tc>
              <w:tc>
                <w:tcPr>
                  <w:tcW w:w="697"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有害成分</w:t>
                  </w:r>
                </w:p>
              </w:tc>
              <w:tc>
                <w:tcPr>
                  <w:tcW w:w="624"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产废周期</w:t>
                  </w:r>
                </w:p>
              </w:tc>
              <w:tc>
                <w:tcPr>
                  <w:tcW w:w="654"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危险特性</w:t>
                  </w:r>
                </w:p>
              </w:tc>
              <w:tc>
                <w:tcPr>
                  <w:tcW w:w="1039"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污染防治措施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76"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1</w:t>
                  </w:r>
                </w:p>
              </w:tc>
              <w:tc>
                <w:tcPr>
                  <w:tcW w:w="780"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废冷却液桶</w:t>
                  </w:r>
                </w:p>
              </w:tc>
              <w:tc>
                <w:tcPr>
                  <w:tcW w:w="678"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HW49</w:t>
                  </w:r>
                </w:p>
              </w:tc>
              <w:tc>
                <w:tcPr>
                  <w:tcW w:w="863"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900-041-49</w:t>
                  </w:r>
                </w:p>
              </w:tc>
              <w:tc>
                <w:tcPr>
                  <w:tcW w:w="706" w:type="dxa"/>
                  <w:tcBorders>
                    <w:tl2br w:val="nil"/>
                    <w:tr2bl w:val="nil"/>
                  </w:tcBorders>
                  <w:vAlign w:val="center"/>
                </w:tcPr>
                <w:p>
                  <w:pPr>
                    <w:pStyle w:val="49"/>
                    <w:spacing w:line="240" w:lineRule="auto"/>
                    <w:jc w:val="center"/>
                    <w:rPr>
                      <w:rFonts w:hint="default" w:ascii="Times New Roman" w:hAnsi="Times New Roman" w:eastAsiaTheme="minorEastAsia"/>
                      <w:color w:val="auto"/>
                      <w:sz w:val="21"/>
                      <w:szCs w:val="21"/>
                    </w:rPr>
                  </w:pPr>
                  <w:r>
                    <w:rPr>
                      <w:rFonts w:ascii="Times New Roman" w:hAnsi="Times New Roman" w:eastAsiaTheme="minorEastAsia"/>
                      <w:color w:val="auto"/>
                      <w:sz w:val="21"/>
                      <w:szCs w:val="21"/>
                    </w:rPr>
                    <w:t>0.5</w:t>
                  </w:r>
                </w:p>
              </w:tc>
              <w:tc>
                <w:tcPr>
                  <w:tcW w:w="834"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生产</w:t>
                  </w:r>
                </w:p>
              </w:tc>
              <w:tc>
                <w:tcPr>
                  <w:tcW w:w="375"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固态</w:t>
                  </w:r>
                </w:p>
              </w:tc>
              <w:tc>
                <w:tcPr>
                  <w:tcW w:w="713"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冷却液</w:t>
                  </w:r>
                </w:p>
              </w:tc>
              <w:tc>
                <w:tcPr>
                  <w:tcW w:w="697"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己二醇、</w:t>
                  </w:r>
                </w:p>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添加剂</w:t>
                  </w:r>
                </w:p>
              </w:tc>
              <w:tc>
                <w:tcPr>
                  <w:tcW w:w="624"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间歇</w:t>
                  </w:r>
                </w:p>
              </w:tc>
              <w:tc>
                <w:tcPr>
                  <w:tcW w:w="654"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T</w:t>
                  </w:r>
                  <w:r>
                    <w:rPr>
                      <w:rFonts w:ascii="Times New Roman" w:hAnsi="Times New Roman"/>
                      <w:color w:val="auto"/>
                      <w:sz w:val="21"/>
                      <w:szCs w:val="21"/>
                    </w:rPr>
                    <w:t>,</w:t>
                  </w:r>
                  <w:r>
                    <w:rPr>
                      <w:rFonts w:hint="default" w:ascii="Times New Roman" w:hAnsi="Times New Roman"/>
                      <w:color w:val="auto"/>
                      <w:sz w:val="21"/>
                      <w:szCs w:val="21"/>
                    </w:rPr>
                    <w:t>I</w:t>
                  </w:r>
                </w:p>
              </w:tc>
              <w:tc>
                <w:tcPr>
                  <w:tcW w:w="1039"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供应商回收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76"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2</w:t>
                  </w:r>
                </w:p>
              </w:tc>
              <w:tc>
                <w:tcPr>
                  <w:tcW w:w="780"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含油废抹布</w:t>
                  </w:r>
                </w:p>
              </w:tc>
              <w:tc>
                <w:tcPr>
                  <w:tcW w:w="678"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HW49</w:t>
                  </w:r>
                </w:p>
              </w:tc>
              <w:tc>
                <w:tcPr>
                  <w:tcW w:w="863"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900-041-49</w:t>
                  </w:r>
                </w:p>
              </w:tc>
              <w:tc>
                <w:tcPr>
                  <w:tcW w:w="706" w:type="dxa"/>
                  <w:tcBorders>
                    <w:tl2br w:val="nil"/>
                    <w:tr2bl w:val="nil"/>
                  </w:tcBorders>
                  <w:vAlign w:val="center"/>
                </w:tcPr>
                <w:p>
                  <w:pPr>
                    <w:pStyle w:val="49"/>
                    <w:spacing w:line="240" w:lineRule="auto"/>
                    <w:jc w:val="center"/>
                    <w:rPr>
                      <w:rFonts w:hint="default" w:ascii="Times New Roman" w:hAnsi="Times New Roman" w:eastAsiaTheme="minorEastAsia"/>
                      <w:color w:val="auto"/>
                      <w:sz w:val="21"/>
                      <w:szCs w:val="21"/>
                    </w:rPr>
                  </w:pPr>
                  <w:r>
                    <w:rPr>
                      <w:rFonts w:ascii="Times New Roman" w:hAnsi="Times New Roman" w:eastAsiaTheme="minorEastAsia"/>
                      <w:color w:val="auto"/>
                      <w:sz w:val="21"/>
                      <w:szCs w:val="21"/>
                    </w:rPr>
                    <w:t>0.2</w:t>
                  </w:r>
                </w:p>
              </w:tc>
              <w:tc>
                <w:tcPr>
                  <w:tcW w:w="834"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设备维护</w:t>
                  </w:r>
                </w:p>
              </w:tc>
              <w:tc>
                <w:tcPr>
                  <w:tcW w:w="375"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固态</w:t>
                  </w:r>
                </w:p>
              </w:tc>
              <w:tc>
                <w:tcPr>
                  <w:tcW w:w="713"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矿物油</w:t>
                  </w:r>
                </w:p>
              </w:tc>
              <w:tc>
                <w:tcPr>
                  <w:tcW w:w="697"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基础油、</w:t>
                  </w:r>
                </w:p>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添加剂</w:t>
                  </w:r>
                </w:p>
              </w:tc>
              <w:tc>
                <w:tcPr>
                  <w:tcW w:w="624"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间歇</w:t>
                  </w:r>
                </w:p>
              </w:tc>
              <w:tc>
                <w:tcPr>
                  <w:tcW w:w="654"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T</w:t>
                  </w:r>
                  <w:r>
                    <w:rPr>
                      <w:rFonts w:ascii="Times New Roman" w:hAnsi="Times New Roman"/>
                      <w:color w:val="auto"/>
                      <w:sz w:val="21"/>
                      <w:szCs w:val="21"/>
                    </w:rPr>
                    <w:t>,</w:t>
                  </w:r>
                  <w:r>
                    <w:rPr>
                      <w:rFonts w:hint="default" w:ascii="Times New Roman" w:hAnsi="Times New Roman"/>
                      <w:color w:val="auto"/>
                      <w:sz w:val="21"/>
                      <w:szCs w:val="21"/>
                    </w:rPr>
                    <w:t>I</w:t>
                  </w:r>
                </w:p>
              </w:tc>
              <w:tc>
                <w:tcPr>
                  <w:tcW w:w="1039"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交具有危险废物处理资质的单位处理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76"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3</w:t>
                  </w:r>
                </w:p>
              </w:tc>
              <w:tc>
                <w:tcPr>
                  <w:tcW w:w="780"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废胶水桶</w:t>
                  </w:r>
                </w:p>
              </w:tc>
              <w:tc>
                <w:tcPr>
                  <w:tcW w:w="678"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HW49</w:t>
                  </w:r>
                </w:p>
              </w:tc>
              <w:tc>
                <w:tcPr>
                  <w:tcW w:w="863"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900-041-49</w:t>
                  </w:r>
                </w:p>
              </w:tc>
              <w:tc>
                <w:tcPr>
                  <w:tcW w:w="706" w:type="dxa"/>
                  <w:tcBorders>
                    <w:tl2br w:val="nil"/>
                    <w:tr2bl w:val="nil"/>
                  </w:tcBorders>
                  <w:vAlign w:val="center"/>
                </w:tcPr>
                <w:p>
                  <w:pPr>
                    <w:pStyle w:val="49"/>
                    <w:spacing w:line="240" w:lineRule="auto"/>
                    <w:jc w:val="center"/>
                    <w:rPr>
                      <w:rFonts w:hint="default" w:ascii="Times New Roman" w:hAnsi="Times New Roman" w:eastAsiaTheme="minorEastAsia"/>
                      <w:color w:val="auto"/>
                      <w:sz w:val="21"/>
                      <w:szCs w:val="21"/>
                    </w:rPr>
                  </w:pPr>
                  <w:r>
                    <w:rPr>
                      <w:rFonts w:ascii="Times New Roman" w:hAnsi="Times New Roman" w:eastAsiaTheme="minorEastAsia"/>
                      <w:color w:val="auto"/>
                      <w:sz w:val="21"/>
                      <w:szCs w:val="21"/>
                    </w:rPr>
                    <w:t>0.1</w:t>
                  </w:r>
                </w:p>
              </w:tc>
              <w:tc>
                <w:tcPr>
                  <w:tcW w:w="834"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生产</w:t>
                  </w:r>
                </w:p>
              </w:tc>
              <w:tc>
                <w:tcPr>
                  <w:tcW w:w="375"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固态</w:t>
                  </w:r>
                </w:p>
              </w:tc>
              <w:tc>
                <w:tcPr>
                  <w:tcW w:w="713"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有机树脂</w:t>
                  </w:r>
                </w:p>
              </w:tc>
              <w:tc>
                <w:tcPr>
                  <w:tcW w:w="697"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有机树脂</w:t>
                  </w:r>
                </w:p>
              </w:tc>
              <w:tc>
                <w:tcPr>
                  <w:tcW w:w="624"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间歇</w:t>
                  </w:r>
                </w:p>
              </w:tc>
              <w:tc>
                <w:tcPr>
                  <w:tcW w:w="654"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T</w:t>
                  </w:r>
                  <w:r>
                    <w:rPr>
                      <w:rFonts w:ascii="Times New Roman" w:hAnsi="Times New Roman"/>
                      <w:color w:val="auto"/>
                      <w:sz w:val="21"/>
                      <w:szCs w:val="21"/>
                    </w:rPr>
                    <w:t>,</w:t>
                  </w:r>
                  <w:r>
                    <w:rPr>
                      <w:rFonts w:hint="default" w:ascii="Times New Roman" w:hAnsi="Times New Roman"/>
                      <w:color w:val="auto"/>
                      <w:sz w:val="21"/>
                      <w:szCs w:val="21"/>
                    </w:rPr>
                    <w:t>I</w:t>
                  </w:r>
                </w:p>
              </w:tc>
              <w:tc>
                <w:tcPr>
                  <w:tcW w:w="1039"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供应商回收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339" w:type="dxa"/>
                  <w:gridSpan w:val="12"/>
                  <w:tcBorders>
                    <w:tl2br w:val="nil"/>
                    <w:tr2bl w:val="nil"/>
                  </w:tcBorders>
                  <w:vAlign w:val="center"/>
                </w:tcPr>
                <w:p>
                  <w:pPr>
                    <w:pStyle w:val="49"/>
                    <w:spacing w:line="240" w:lineRule="auto"/>
                    <w:jc w:val="left"/>
                    <w:rPr>
                      <w:rFonts w:hint="default" w:ascii="Times New Roman" w:hAnsi="Times New Roman"/>
                      <w:color w:val="auto"/>
                      <w:sz w:val="21"/>
                      <w:szCs w:val="21"/>
                    </w:rPr>
                  </w:pPr>
                  <w:r>
                    <w:rPr>
                      <w:rFonts w:hint="default" w:ascii="Times New Roman" w:hAnsi="Times New Roman"/>
                      <w:color w:val="auto"/>
                      <w:sz w:val="21"/>
                      <w:szCs w:val="21"/>
                    </w:rPr>
                    <w:t>备注：危险特性，包括腐蚀性（Corrosivity，C）、毒性（Toxcity，T）、易燃性（Ignitability，I）、反应性（Reactivity，R）和感染性（Infectivity，In）</w:t>
                  </w:r>
                </w:p>
              </w:tc>
            </w:tr>
          </w:tbl>
          <w:p>
            <w:pPr>
              <w:spacing w:line="240" w:lineRule="auto"/>
              <w:jc w:val="center"/>
              <w:rPr>
                <w:rFonts w:eastAsiaTheme="minorEastAsia"/>
                <w:b/>
                <w:bCs/>
                <w:sz w:val="24"/>
              </w:rPr>
            </w:pPr>
          </w:p>
          <w:p>
            <w:pPr>
              <w:spacing w:line="240" w:lineRule="auto"/>
              <w:jc w:val="center"/>
              <w:rPr>
                <w:rFonts w:eastAsiaTheme="minorEastAsia"/>
                <w:b/>
                <w:bCs/>
                <w:sz w:val="24"/>
              </w:rPr>
            </w:pPr>
            <w:r>
              <w:rPr>
                <w:rFonts w:eastAsiaTheme="minorEastAsia"/>
                <w:b/>
                <w:bCs/>
                <w:sz w:val="24"/>
              </w:rPr>
              <w:t>表4-1</w:t>
            </w:r>
            <w:r>
              <w:rPr>
                <w:rFonts w:hint="eastAsia" w:eastAsiaTheme="minorEastAsia"/>
                <w:b/>
                <w:bCs/>
                <w:sz w:val="24"/>
              </w:rPr>
              <w:t xml:space="preserve">6 </w:t>
            </w:r>
            <w:r>
              <w:rPr>
                <w:rFonts w:eastAsiaTheme="minorEastAsia"/>
                <w:b/>
                <w:bCs/>
                <w:sz w:val="24"/>
              </w:rPr>
              <w:t>项目危险废物贮存场所（设施）基本情况</w:t>
            </w:r>
          </w:p>
          <w:tbl>
            <w:tblPr>
              <w:tblStyle w:val="4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83"/>
              <w:gridCol w:w="1046"/>
              <w:gridCol w:w="1052"/>
              <w:gridCol w:w="1140"/>
              <w:gridCol w:w="736"/>
              <w:gridCol w:w="744"/>
              <w:gridCol w:w="705"/>
              <w:gridCol w:w="736"/>
              <w:gridCol w:w="6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83"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贮存场所（设施）名称</w:t>
                  </w:r>
                </w:p>
              </w:tc>
              <w:tc>
                <w:tcPr>
                  <w:tcW w:w="1046"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危险废物名称</w:t>
                  </w:r>
                </w:p>
              </w:tc>
              <w:tc>
                <w:tcPr>
                  <w:tcW w:w="1052"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危险废物类别</w:t>
                  </w:r>
                </w:p>
              </w:tc>
              <w:tc>
                <w:tcPr>
                  <w:tcW w:w="1140"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危险废物代码</w:t>
                  </w:r>
                </w:p>
              </w:tc>
              <w:tc>
                <w:tcPr>
                  <w:tcW w:w="736"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位置</w:t>
                  </w:r>
                </w:p>
              </w:tc>
              <w:tc>
                <w:tcPr>
                  <w:tcW w:w="744"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占地面积</w:t>
                  </w:r>
                </w:p>
              </w:tc>
              <w:tc>
                <w:tcPr>
                  <w:tcW w:w="705"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贮存方式</w:t>
                  </w:r>
                </w:p>
              </w:tc>
              <w:tc>
                <w:tcPr>
                  <w:tcW w:w="736"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贮存能力</w:t>
                  </w:r>
                </w:p>
              </w:tc>
              <w:tc>
                <w:tcPr>
                  <w:tcW w:w="697" w:type="dxa"/>
                  <w:tcBorders>
                    <w:tl2br w:val="nil"/>
                    <w:tr2bl w:val="nil"/>
                  </w:tcBorders>
                  <w:vAlign w:val="center"/>
                </w:tcPr>
                <w:p>
                  <w:pPr>
                    <w:pStyle w:val="49"/>
                    <w:spacing w:line="240" w:lineRule="auto"/>
                    <w:jc w:val="center"/>
                    <w:rPr>
                      <w:rFonts w:hint="default" w:ascii="Times New Roman" w:hAnsi="Times New Roman"/>
                      <w:b/>
                      <w:bCs/>
                      <w:color w:val="auto"/>
                      <w:sz w:val="21"/>
                      <w:szCs w:val="21"/>
                    </w:rPr>
                  </w:pPr>
                  <w:r>
                    <w:rPr>
                      <w:rFonts w:hint="default" w:ascii="Times New Roman" w:hAnsi="Times New Roman"/>
                      <w:b/>
                      <w:bCs/>
                      <w:color w:val="auto"/>
                      <w:sz w:val="21"/>
                      <w:szCs w:val="21"/>
                    </w:rPr>
                    <w:t>贮存周期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83" w:type="dxa"/>
                  <w:vMerge w:val="restart"/>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危废暂存间</w:t>
                  </w:r>
                </w:p>
              </w:tc>
              <w:tc>
                <w:tcPr>
                  <w:tcW w:w="1046"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废冷却液桶</w:t>
                  </w:r>
                </w:p>
              </w:tc>
              <w:tc>
                <w:tcPr>
                  <w:tcW w:w="1052"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900-041-49</w:t>
                  </w:r>
                </w:p>
              </w:tc>
              <w:tc>
                <w:tcPr>
                  <w:tcW w:w="1140"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eastAsiaTheme="minorEastAsia"/>
                      <w:color w:val="auto"/>
                      <w:sz w:val="21"/>
                      <w:szCs w:val="21"/>
                    </w:rPr>
                    <w:t>0.5</w:t>
                  </w:r>
                </w:p>
              </w:tc>
              <w:tc>
                <w:tcPr>
                  <w:tcW w:w="736" w:type="dxa"/>
                  <w:vMerge w:val="restart"/>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厂区</w:t>
                  </w:r>
                  <w:r>
                    <w:rPr>
                      <w:rFonts w:ascii="Times New Roman" w:hAnsi="Times New Roman"/>
                      <w:color w:val="auto"/>
                      <w:sz w:val="21"/>
                      <w:szCs w:val="21"/>
                    </w:rPr>
                    <w:t>西</w:t>
                  </w:r>
                  <w:r>
                    <w:rPr>
                      <w:rFonts w:hint="default" w:ascii="Times New Roman" w:hAnsi="Times New Roman"/>
                      <w:color w:val="auto"/>
                      <w:sz w:val="21"/>
                      <w:szCs w:val="21"/>
                    </w:rPr>
                    <w:t>北侧</w:t>
                  </w:r>
                </w:p>
              </w:tc>
              <w:tc>
                <w:tcPr>
                  <w:tcW w:w="744" w:type="dxa"/>
                  <w:vMerge w:val="restart"/>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8</w:t>
                  </w:r>
                  <w:r>
                    <w:rPr>
                      <w:rFonts w:ascii="Times New Roman" w:hAnsi="Times New Roman"/>
                      <w:color w:val="auto"/>
                      <w:sz w:val="21"/>
                      <w:szCs w:val="21"/>
                    </w:rPr>
                    <w:t>0</w:t>
                  </w:r>
                  <w:r>
                    <w:rPr>
                      <w:rFonts w:hint="default" w:ascii="Times New Roman" w:hAnsi="Times New Roman"/>
                      <w:color w:val="auto"/>
                      <w:sz w:val="21"/>
                      <w:szCs w:val="21"/>
                    </w:rPr>
                    <w:t>m</w:t>
                  </w:r>
                  <w:r>
                    <w:rPr>
                      <w:rFonts w:hint="default" w:ascii="Times New Roman" w:hAnsi="Times New Roman"/>
                      <w:color w:val="auto"/>
                      <w:sz w:val="21"/>
                      <w:szCs w:val="21"/>
                      <w:vertAlign w:val="superscript"/>
                    </w:rPr>
                    <w:t>2</w:t>
                  </w:r>
                </w:p>
              </w:tc>
              <w:tc>
                <w:tcPr>
                  <w:tcW w:w="705" w:type="dxa"/>
                  <w:vMerge w:val="restart"/>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桶装密封</w:t>
                  </w:r>
                </w:p>
              </w:tc>
              <w:tc>
                <w:tcPr>
                  <w:tcW w:w="736"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5t</w:t>
                  </w:r>
                </w:p>
              </w:tc>
              <w:tc>
                <w:tcPr>
                  <w:tcW w:w="697"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1年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83" w:type="dxa"/>
                  <w:vMerge w:val="continue"/>
                  <w:tcBorders>
                    <w:tl2br w:val="nil"/>
                    <w:tr2bl w:val="nil"/>
                  </w:tcBorders>
                  <w:vAlign w:val="center"/>
                </w:tcPr>
                <w:p>
                  <w:pPr>
                    <w:pStyle w:val="49"/>
                    <w:spacing w:line="240" w:lineRule="auto"/>
                    <w:jc w:val="center"/>
                    <w:rPr>
                      <w:rFonts w:hint="default" w:ascii="Times New Roman" w:hAnsi="Times New Roman"/>
                      <w:color w:val="auto"/>
                      <w:sz w:val="21"/>
                      <w:szCs w:val="21"/>
                    </w:rPr>
                  </w:pPr>
                </w:p>
              </w:tc>
              <w:tc>
                <w:tcPr>
                  <w:tcW w:w="1046"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废胶水桶</w:t>
                  </w:r>
                </w:p>
              </w:tc>
              <w:tc>
                <w:tcPr>
                  <w:tcW w:w="1052"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900-041-49</w:t>
                  </w:r>
                </w:p>
              </w:tc>
              <w:tc>
                <w:tcPr>
                  <w:tcW w:w="1140"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eastAsiaTheme="minorEastAsia"/>
                      <w:color w:val="auto"/>
                      <w:sz w:val="21"/>
                      <w:szCs w:val="21"/>
                    </w:rPr>
                    <w:t>0.1</w:t>
                  </w:r>
                </w:p>
              </w:tc>
              <w:tc>
                <w:tcPr>
                  <w:tcW w:w="736" w:type="dxa"/>
                  <w:vMerge w:val="continue"/>
                  <w:tcBorders>
                    <w:tl2br w:val="nil"/>
                    <w:tr2bl w:val="nil"/>
                  </w:tcBorders>
                  <w:vAlign w:val="center"/>
                </w:tcPr>
                <w:p>
                  <w:pPr>
                    <w:pStyle w:val="49"/>
                    <w:spacing w:line="240" w:lineRule="auto"/>
                    <w:jc w:val="center"/>
                    <w:rPr>
                      <w:rFonts w:hint="default" w:ascii="Times New Roman" w:hAnsi="Times New Roman"/>
                      <w:color w:val="auto"/>
                      <w:sz w:val="21"/>
                      <w:szCs w:val="21"/>
                    </w:rPr>
                  </w:pPr>
                </w:p>
              </w:tc>
              <w:tc>
                <w:tcPr>
                  <w:tcW w:w="744" w:type="dxa"/>
                  <w:vMerge w:val="continue"/>
                  <w:tcBorders>
                    <w:tl2br w:val="nil"/>
                    <w:tr2bl w:val="nil"/>
                  </w:tcBorders>
                  <w:vAlign w:val="center"/>
                </w:tcPr>
                <w:p>
                  <w:pPr>
                    <w:pStyle w:val="49"/>
                    <w:spacing w:line="240" w:lineRule="auto"/>
                    <w:jc w:val="center"/>
                    <w:rPr>
                      <w:rFonts w:hint="default" w:ascii="Times New Roman" w:hAnsi="Times New Roman"/>
                      <w:color w:val="auto"/>
                      <w:sz w:val="21"/>
                      <w:szCs w:val="21"/>
                    </w:rPr>
                  </w:pPr>
                </w:p>
              </w:tc>
              <w:tc>
                <w:tcPr>
                  <w:tcW w:w="705" w:type="dxa"/>
                  <w:vMerge w:val="continue"/>
                  <w:tcBorders>
                    <w:tl2br w:val="nil"/>
                    <w:tr2bl w:val="nil"/>
                  </w:tcBorders>
                  <w:vAlign w:val="center"/>
                </w:tcPr>
                <w:p>
                  <w:pPr>
                    <w:pStyle w:val="49"/>
                    <w:spacing w:line="240" w:lineRule="auto"/>
                    <w:jc w:val="center"/>
                    <w:rPr>
                      <w:rFonts w:hint="default" w:ascii="Times New Roman" w:hAnsi="Times New Roman"/>
                      <w:color w:val="auto"/>
                      <w:sz w:val="21"/>
                      <w:szCs w:val="21"/>
                    </w:rPr>
                  </w:pPr>
                </w:p>
              </w:tc>
              <w:tc>
                <w:tcPr>
                  <w:tcW w:w="736"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5t</w:t>
                  </w:r>
                </w:p>
              </w:tc>
              <w:tc>
                <w:tcPr>
                  <w:tcW w:w="697"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1年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83" w:type="dxa"/>
                  <w:vMerge w:val="continue"/>
                  <w:tcBorders>
                    <w:tl2br w:val="nil"/>
                    <w:tr2bl w:val="nil"/>
                  </w:tcBorders>
                  <w:vAlign w:val="center"/>
                </w:tcPr>
                <w:p>
                  <w:pPr>
                    <w:pStyle w:val="49"/>
                    <w:spacing w:line="240" w:lineRule="auto"/>
                    <w:jc w:val="center"/>
                    <w:rPr>
                      <w:rFonts w:hint="default" w:ascii="Times New Roman" w:hAnsi="Times New Roman"/>
                      <w:color w:val="auto"/>
                      <w:sz w:val="21"/>
                      <w:szCs w:val="21"/>
                    </w:rPr>
                  </w:pPr>
                </w:p>
              </w:tc>
              <w:tc>
                <w:tcPr>
                  <w:tcW w:w="1046"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含油废抹布</w:t>
                  </w:r>
                </w:p>
              </w:tc>
              <w:tc>
                <w:tcPr>
                  <w:tcW w:w="1052"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900-041-49</w:t>
                  </w:r>
                </w:p>
              </w:tc>
              <w:tc>
                <w:tcPr>
                  <w:tcW w:w="1140"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eastAsiaTheme="minorEastAsia"/>
                      <w:color w:val="auto"/>
                      <w:sz w:val="21"/>
                      <w:szCs w:val="21"/>
                    </w:rPr>
                    <w:t>0.2</w:t>
                  </w:r>
                </w:p>
              </w:tc>
              <w:tc>
                <w:tcPr>
                  <w:tcW w:w="736" w:type="dxa"/>
                  <w:vMerge w:val="continue"/>
                  <w:tcBorders>
                    <w:tl2br w:val="nil"/>
                    <w:tr2bl w:val="nil"/>
                  </w:tcBorders>
                  <w:vAlign w:val="center"/>
                </w:tcPr>
                <w:p>
                  <w:pPr>
                    <w:pStyle w:val="49"/>
                    <w:spacing w:line="240" w:lineRule="auto"/>
                    <w:jc w:val="center"/>
                    <w:rPr>
                      <w:rFonts w:hint="default" w:ascii="Times New Roman" w:hAnsi="Times New Roman"/>
                      <w:color w:val="auto"/>
                      <w:sz w:val="21"/>
                      <w:szCs w:val="21"/>
                    </w:rPr>
                  </w:pPr>
                </w:p>
              </w:tc>
              <w:tc>
                <w:tcPr>
                  <w:tcW w:w="744" w:type="dxa"/>
                  <w:vMerge w:val="continue"/>
                  <w:tcBorders>
                    <w:tl2br w:val="nil"/>
                    <w:tr2bl w:val="nil"/>
                  </w:tcBorders>
                  <w:vAlign w:val="center"/>
                </w:tcPr>
                <w:p>
                  <w:pPr>
                    <w:pStyle w:val="49"/>
                    <w:spacing w:line="240" w:lineRule="auto"/>
                    <w:jc w:val="center"/>
                    <w:rPr>
                      <w:rFonts w:hint="default" w:ascii="Times New Roman" w:hAnsi="Times New Roman"/>
                      <w:color w:val="auto"/>
                      <w:sz w:val="21"/>
                      <w:szCs w:val="21"/>
                    </w:rPr>
                  </w:pPr>
                </w:p>
              </w:tc>
              <w:tc>
                <w:tcPr>
                  <w:tcW w:w="705" w:type="dxa"/>
                  <w:vMerge w:val="continue"/>
                  <w:tcBorders>
                    <w:tl2br w:val="nil"/>
                    <w:tr2bl w:val="nil"/>
                  </w:tcBorders>
                  <w:vAlign w:val="center"/>
                </w:tcPr>
                <w:p>
                  <w:pPr>
                    <w:pStyle w:val="49"/>
                    <w:spacing w:line="240" w:lineRule="auto"/>
                    <w:jc w:val="center"/>
                    <w:rPr>
                      <w:rFonts w:hint="default" w:ascii="Times New Roman" w:hAnsi="Times New Roman"/>
                      <w:color w:val="auto"/>
                      <w:sz w:val="21"/>
                      <w:szCs w:val="21"/>
                    </w:rPr>
                  </w:pPr>
                </w:p>
              </w:tc>
              <w:tc>
                <w:tcPr>
                  <w:tcW w:w="736"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5t</w:t>
                  </w:r>
                </w:p>
              </w:tc>
              <w:tc>
                <w:tcPr>
                  <w:tcW w:w="697" w:type="dxa"/>
                  <w:tcBorders>
                    <w:tl2br w:val="nil"/>
                    <w:tr2bl w:val="nil"/>
                  </w:tcBorders>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1年</w:t>
                  </w:r>
                </w:p>
              </w:tc>
            </w:tr>
          </w:tbl>
          <w:p>
            <w:pPr>
              <w:pStyle w:val="51"/>
              <w:spacing w:before="0" w:line="360" w:lineRule="auto"/>
              <w:ind w:left="0" w:firstLine="380" w:firstLineChars="200"/>
              <w:outlineLvl w:val="9"/>
              <w:rPr>
                <w:rFonts w:eastAsia="新宋体"/>
                <w:bCs/>
                <w:spacing w:val="-10"/>
                <w:szCs w:val="21"/>
              </w:rPr>
            </w:pPr>
          </w:p>
        </w:tc>
      </w:tr>
    </w:tbl>
    <w:p>
      <w:pPr>
        <w:jc w:val="center"/>
        <w:rPr>
          <w:b/>
          <w:kern w:val="0"/>
          <w:szCs w:val="28"/>
        </w:rPr>
        <w:sectPr>
          <w:pgSz w:w="11907" w:h="16840"/>
          <w:pgMar w:top="1418" w:right="1418" w:bottom="1418" w:left="1418" w:header="851" w:footer="992" w:gutter="0"/>
          <w:cols w:space="720" w:num="1"/>
          <w:docGrid w:linePitch="381" w:charSpace="0"/>
        </w:sectPr>
      </w:pPr>
    </w:p>
    <w:tbl>
      <w:tblPr>
        <w:tblStyle w:val="41"/>
        <w:tblW w:w="139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2"/>
        <w:gridCol w:w="13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71" w:hRule="atLeast"/>
          <w:jc w:val="center"/>
        </w:trPr>
        <w:tc>
          <w:tcPr>
            <w:tcW w:w="672" w:type="dxa"/>
            <w:vAlign w:val="center"/>
          </w:tcPr>
          <w:p>
            <w:pPr>
              <w:jc w:val="center"/>
              <w:rPr>
                <w:sz w:val="21"/>
                <w:szCs w:val="21"/>
              </w:rPr>
            </w:pPr>
            <w:r>
              <w:rPr>
                <w:bCs/>
                <w:sz w:val="24"/>
              </w:rPr>
              <w:t>运营期环境影响和保护措施</w:t>
            </w:r>
          </w:p>
        </w:tc>
        <w:tc>
          <w:tcPr>
            <w:tcW w:w="13288" w:type="dxa"/>
          </w:tcPr>
          <w:p>
            <w:pPr>
              <w:spacing w:line="240" w:lineRule="auto"/>
              <w:jc w:val="center"/>
              <w:rPr>
                <w:rFonts w:eastAsiaTheme="minorEastAsia"/>
                <w:b/>
                <w:bCs/>
                <w:sz w:val="24"/>
              </w:rPr>
            </w:pPr>
            <w:r>
              <w:rPr>
                <w:rFonts w:eastAsiaTheme="minorEastAsia"/>
                <w:b/>
                <w:bCs/>
                <w:sz w:val="24"/>
              </w:rPr>
              <w:t>表4-1</w:t>
            </w:r>
            <w:r>
              <w:rPr>
                <w:rFonts w:hint="eastAsia" w:eastAsiaTheme="minorEastAsia"/>
                <w:b/>
                <w:bCs/>
                <w:sz w:val="24"/>
              </w:rPr>
              <w:t>7</w:t>
            </w:r>
            <w:r>
              <w:rPr>
                <w:rFonts w:eastAsiaTheme="minorEastAsia"/>
                <w:b/>
                <w:bCs/>
                <w:sz w:val="24"/>
              </w:rPr>
              <w:t xml:space="preserve"> 固体废物污染源源强核算结果及相关参数一览表</w:t>
            </w:r>
          </w:p>
          <w:tbl>
            <w:tblPr>
              <w:tblStyle w:val="40"/>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089"/>
              <w:gridCol w:w="1089"/>
              <w:gridCol w:w="1339"/>
              <w:gridCol w:w="840"/>
              <w:gridCol w:w="1089"/>
              <w:gridCol w:w="709"/>
              <w:gridCol w:w="1070"/>
              <w:gridCol w:w="814"/>
              <w:gridCol w:w="1583"/>
              <w:gridCol w:w="1523"/>
              <w:gridCol w:w="838"/>
              <w:gridCol w:w="108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089" w:type="dxa"/>
                  <w:vMerge w:val="restart"/>
                  <w:tcBorders>
                    <w:tl2br w:val="nil"/>
                    <w:tr2bl w:val="nil"/>
                  </w:tcBorders>
                  <w:shd w:val="clear" w:color="auto" w:fill="auto"/>
                  <w:vAlign w:val="center"/>
                </w:tcPr>
                <w:p>
                  <w:pPr>
                    <w:pStyle w:val="49"/>
                    <w:spacing w:line="240" w:lineRule="auto"/>
                    <w:jc w:val="center"/>
                    <w:rPr>
                      <w:rFonts w:hint="default" w:ascii="Times New Roman" w:hAnsi="Times New Roman"/>
                      <w:b/>
                      <w:color w:val="auto"/>
                      <w:sz w:val="21"/>
                      <w:szCs w:val="21"/>
                    </w:rPr>
                  </w:pPr>
                  <w:r>
                    <w:rPr>
                      <w:rFonts w:ascii="Times New Roman" w:hAnsi="Times New Roman"/>
                      <w:b/>
                      <w:color w:val="auto"/>
                      <w:sz w:val="21"/>
                      <w:szCs w:val="21"/>
                    </w:rPr>
                    <w:t>产生环节</w:t>
                  </w:r>
                </w:p>
              </w:tc>
              <w:tc>
                <w:tcPr>
                  <w:tcW w:w="1089" w:type="dxa"/>
                  <w:vMerge w:val="restart"/>
                  <w:tcBorders>
                    <w:tl2br w:val="nil"/>
                    <w:tr2bl w:val="nil"/>
                  </w:tcBorders>
                  <w:shd w:val="clear" w:color="auto" w:fill="auto"/>
                  <w:vAlign w:val="center"/>
                </w:tcPr>
                <w:p>
                  <w:pPr>
                    <w:pStyle w:val="49"/>
                    <w:spacing w:line="240" w:lineRule="auto"/>
                    <w:jc w:val="center"/>
                    <w:rPr>
                      <w:rFonts w:hint="default" w:ascii="Times New Roman" w:hAnsi="Times New Roman"/>
                      <w:b/>
                      <w:color w:val="auto"/>
                      <w:sz w:val="21"/>
                      <w:szCs w:val="21"/>
                    </w:rPr>
                  </w:pPr>
                  <w:r>
                    <w:rPr>
                      <w:rFonts w:ascii="Times New Roman" w:hAnsi="Times New Roman"/>
                      <w:b/>
                      <w:color w:val="auto"/>
                      <w:sz w:val="21"/>
                      <w:szCs w:val="21"/>
                    </w:rPr>
                    <w:t>固体废物名称</w:t>
                  </w:r>
                </w:p>
              </w:tc>
              <w:tc>
                <w:tcPr>
                  <w:tcW w:w="1339" w:type="dxa"/>
                  <w:vMerge w:val="restart"/>
                  <w:tcBorders>
                    <w:tl2br w:val="nil"/>
                    <w:tr2bl w:val="nil"/>
                  </w:tcBorders>
                  <w:shd w:val="clear" w:color="auto" w:fill="auto"/>
                  <w:vAlign w:val="center"/>
                </w:tcPr>
                <w:p>
                  <w:pPr>
                    <w:pStyle w:val="49"/>
                    <w:spacing w:line="240" w:lineRule="auto"/>
                    <w:jc w:val="center"/>
                    <w:rPr>
                      <w:rFonts w:hint="default" w:ascii="Times New Roman" w:hAnsi="Times New Roman"/>
                      <w:b/>
                      <w:color w:val="auto"/>
                      <w:sz w:val="21"/>
                      <w:szCs w:val="21"/>
                    </w:rPr>
                  </w:pPr>
                  <w:r>
                    <w:rPr>
                      <w:rFonts w:ascii="Times New Roman" w:hAnsi="Times New Roman"/>
                      <w:b/>
                      <w:color w:val="auto"/>
                      <w:sz w:val="21"/>
                      <w:szCs w:val="21"/>
                    </w:rPr>
                    <w:t>固废属性</w:t>
                  </w:r>
                </w:p>
              </w:tc>
              <w:tc>
                <w:tcPr>
                  <w:tcW w:w="840" w:type="dxa"/>
                  <w:vMerge w:val="restart"/>
                  <w:tcBorders>
                    <w:tl2br w:val="nil"/>
                    <w:tr2bl w:val="nil"/>
                  </w:tcBorders>
                  <w:shd w:val="clear" w:color="auto" w:fill="auto"/>
                  <w:vAlign w:val="center"/>
                </w:tcPr>
                <w:p>
                  <w:pPr>
                    <w:pStyle w:val="49"/>
                    <w:spacing w:line="240" w:lineRule="auto"/>
                    <w:jc w:val="center"/>
                    <w:rPr>
                      <w:rFonts w:hint="default" w:ascii="Times New Roman" w:hAnsi="Times New Roman"/>
                      <w:b/>
                      <w:color w:val="auto"/>
                      <w:sz w:val="21"/>
                      <w:szCs w:val="21"/>
                    </w:rPr>
                  </w:pPr>
                  <w:r>
                    <w:rPr>
                      <w:rFonts w:ascii="Times New Roman" w:hAnsi="Times New Roman"/>
                      <w:b/>
                      <w:color w:val="auto"/>
                      <w:sz w:val="21"/>
                      <w:szCs w:val="21"/>
                    </w:rPr>
                    <w:t>产生量t/a</w:t>
                  </w:r>
                </w:p>
              </w:tc>
              <w:tc>
                <w:tcPr>
                  <w:tcW w:w="1089" w:type="dxa"/>
                  <w:vMerge w:val="restart"/>
                  <w:tcBorders>
                    <w:tl2br w:val="nil"/>
                    <w:tr2bl w:val="nil"/>
                  </w:tcBorders>
                  <w:shd w:val="clear" w:color="auto" w:fill="auto"/>
                  <w:vAlign w:val="center"/>
                </w:tcPr>
                <w:p>
                  <w:pPr>
                    <w:pStyle w:val="49"/>
                    <w:spacing w:line="240" w:lineRule="auto"/>
                    <w:jc w:val="center"/>
                    <w:rPr>
                      <w:rFonts w:hint="default" w:ascii="Times New Roman" w:hAnsi="Times New Roman"/>
                      <w:b/>
                      <w:color w:val="auto"/>
                      <w:sz w:val="21"/>
                      <w:szCs w:val="21"/>
                    </w:rPr>
                  </w:pPr>
                  <w:r>
                    <w:rPr>
                      <w:rFonts w:ascii="Times New Roman" w:hAnsi="Times New Roman"/>
                      <w:b/>
                      <w:color w:val="auto"/>
                      <w:sz w:val="21"/>
                      <w:szCs w:val="21"/>
                    </w:rPr>
                    <w:t>主要有害成分</w:t>
                  </w:r>
                </w:p>
              </w:tc>
              <w:tc>
                <w:tcPr>
                  <w:tcW w:w="709" w:type="dxa"/>
                  <w:vMerge w:val="restart"/>
                  <w:tcBorders>
                    <w:tl2br w:val="nil"/>
                    <w:tr2bl w:val="nil"/>
                  </w:tcBorders>
                  <w:shd w:val="clear" w:color="auto" w:fill="auto"/>
                  <w:vAlign w:val="center"/>
                </w:tcPr>
                <w:p>
                  <w:pPr>
                    <w:pStyle w:val="49"/>
                    <w:spacing w:line="240" w:lineRule="auto"/>
                    <w:jc w:val="center"/>
                    <w:rPr>
                      <w:rFonts w:hint="default" w:ascii="Times New Roman" w:hAnsi="Times New Roman"/>
                      <w:b/>
                      <w:color w:val="auto"/>
                      <w:sz w:val="21"/>
                      <w:szCs w:val="21"/>
                    </w:rPr>
                  </w:pPr>
                  <w:r>
                    <w:rPr>
                      <w:rFonts w:ascii="Times New Roman" w:hAnsi="Times New Roman"/>
                      <w:b/>
                      <w:color w:val="auto"/>
                      <w:sz w:val="21"/>
                      <w:szCs w:val="21"/>
                    </w:rPr>
                    <w:t>物理性状</w:t>
                  </w:r>
                </w:p>
              </w:tc>
              <w:tc>
                <w:tcPr>
                  <w:tcW w:w="1070" w:type="dxa"/>
                  <w:vMerge w:val="restart"/>
                  <w:tcBorders>
                    <w:tl2br w:val="nil"/>
                    <w:tr2bl w:val="nil"/>
                  </w:tcBorders>
                  <w:shd w:val="clear" w:color="auto" w:fill="auto"/>
                  <w:vAlign w:val="center"/>
                </w:tcPr>
                <w:p>
                  <w:pPr>
                    <w:pStyle w:val="49"/>
                    <w:spacing w:line="240" w:lineRule="auto"/>
                    <w:jc w:val="center"/>
                    <w:rPr>
                      <w:rFonts w:hint="default" w:ascii="Times New Roman" w:hAnsi="Times New Roman"/>
                      <w:b/>
                      <w:color w:val="auto"/>
                      <w:sz w:val="21"/>
                      <w:szCs w:val="21"/>
                    </w:rPr>
                  </w:pPr>
                  <w:r>
                    <w:rPr>
                      <w:rFonts w:ascii="Times New Roman" w:hAnsi="Times New Roman"/>
                      <w:b/>
                      <w:color w:val="auto"/>
                      <w:sz w:val="21"/>
                      <w:szCs w:val="21"/>
                    </w:rPr>
                    <w:t>环境危险特性</w:t>
                  </w:r>
                </w:p>
              </w:tc>
              <w:tc>
                <w:tcPr>
                  <w:tcW w:w="814" w:type="dxa"/>
                  <w:vMerge w:val="restart"/>
                  <w:tcBorders>
                    <w:tl2br w:val="nil"/>
                    <w:tr2bl w:val="nil"/>
                  </w:tcBorders>
                  <w:shd w:val="clear" w:color="auto" w:fill="auto"/>
                  <w:vAlign w:val="center"/>
                </w:tcPr>
                <w:p>
                  <w:pPr>
                    <w:pStyle w:val="49"/>
                    <w:spacing w:line="240" w:lineRule="auto"/>
                    <w:jc w:val="center"/>
                    <w:rPr>
                      <w:rFonts w:hint="default" w:ascii="Times New Roman" w:hAnsi="Times New Roman"/>
                      <w:b/>
                      <w:color w:val="auto"/>
                      <w:sz w:val="21"/>
                      <w:szCs w:val="21"/>
                    </w:rPr>
                  </w:pPr>
                  <w:r>
                    <w:rPr>
                      <w:rFonts w:ascii="Times New Roman" w:hAnsi="Times New Roman"/>
                      <w:b/>
                      <w:color w:val="auto"/>
                      <w:sz w:val="21"/>
                      <w:szCs w:val="21"/>
                    </w:rPr>
                    <w:t>贮存方式</w:t>
                  </w:r>
                </w:p>
              </w:tc>
              <w:tc>
                <w:tcPr>
                  <w:tcW w:w="1583" w:type="dxa"/>
                  <w:vMerge w:val="restart"/>
                  <w:tcBorders>
                    <w:tl2br w:val="nil"/>
                    <w:tr2bl w:val="nil"/>
                  </w:tcBorders>
                  <w:shd w:val="clear" w:color="auto" w:fill="auto"/>
                  <w:vAlign w:val="center"/>
                </w:tcPr>
                <w:p>
                  <w:pPr>
                    <w:pStyle w:val="49"/>
                    <w:spacing w:line="240" w:lineRule="auto"/>
                    <w:jc w:val="center"/>
                    <w:rPr>
                      <w:rFonts w:hint="default" w:ascii="Times New Roman" w:hAnsi="Times New Roman"/>
                      <w:b/>
                      <w:color w:val="auto"/>
                      <w:sz w:val="21"/>
                      <w:szCs w:val="21"/>
                    </w:rPr>
                  </w:pPr>
                  <w:r>
                    <w:rPr>
                      <w:rFonts w:ascii="Times New Roman" w:hAnsi="Times New Roman"/>
                      <w:b/>
                      <w:color w:val="auto"/>
                      <w:sz w:val="21"/>
                      <w:szCs w:val="21"/>
                    </w:rPr>
                    <w:t>环境管理要求</w:t>
                  </w:r>
                </w:p>
              </w:tc>
              <w:tc>
                <w:tcPr>
                  <w:tcW w:w="2361" w:type="dxa"/>
                  <w:gridSpan w:val="2"/>
                  <w:tcBorders>
                    <w:tl2br w:val="nil"/>
                    <w:tr2bl w:val="nil"/>
                  </w:tcBorders>
                  <w:shd w:val="clear" w:color="auto" w:fill="auto"/>
                  <w:vAlign w:val="center"/>
                </w:tcPr>
                <w:p>
                  <w:pPr>
                    <w:pStyle w:val="49"/>
                    <w:spacing w:line="240" w:lineRule="auto"/>
                    <w:jc w:val="center"/>
                    <w:rPr>
                      <w:rFonts w:hint="default" w:ascii="Times New Roman" w:hAnsi="Times New Roman"/>
                      <w:b/>
                      <w:color w:val="auto"/>
                      <w:sz w:val="21"/>
                      <w:szCs w:val="21"/>
                    </w:rPr>
                  </w:pPr>
                  <w:r>
                    <w:rPr>
                      <w:rFonts w:ascii="Times New Roman" w:hAnsi="Times New Roman"/>
                      <w:b/>
                      <w:color w:val="auto"/>
                      <w:sz w:val="21"/>
                      <w:szCs w:val="21"/>
                    </w:rPr>
                    <w:t>处置措施</w:t>
                  </w:r>
                </w:p>
              </w:tc>
              <w:tc>
                <w:tcPr>
                  <w:tcW w:w="1089" w:type="dxa"/>
                  <w:vMerge w:val="restart"/>
                  <w:tcBorders>
                    <w:tl2br w:val="nil"/>
                    <w:tr2bl w:val="nil"/>
                  </w:tcBorders>
                  <w:shd w:val="clear" w:color="auto" w:fill="auto"/>
                  <w:vAlign w:val="center"/>
                </w:tcPr>
                <w:p>
                  <w:pPr>
                    <w:pStyle w:val="49"/>
                    <w:spacing w:line="240" w:lineRule="auto"/>
                    <w:jc w:val="center"/>
                    <w:rPr>
                      <w:rFonts w:hint="default" w:ascii="Times New Roman" w:hAnsi="Times New Roman"/>
                      <w:b/>
                      <w:color w:val="auto"/>
                      <w:sz w:val="21"/>
                      <w:szCs w:val="21"/>
                    </w:rPr>
                  </w:pPr>
                  <w:r>
                    <w:rPr>
                      <w:rFonts w:ascii="Times New Roman" w:hAnsi="Times New Roman"/>
                      <w:b/>
                      <w:color w:val="auto"/>
                      <w:sz w:val="21"/>
                      <w:szCs w:val="21"/>
                    </w:rPr>
                    <w:t>最终去向</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089" w:type="dxa"/>
                  <w:vMerge w:val="continue"/>
                  <w:tcBorders>
                    <w:tl2br w:val="nil"/>
                    <w:tr2bl w:val="nil"/>
                  </w:tcBorders>
                  <w:shd w:val="clear" w:color="auto" w:fill="auto"/>
                  <w:vAlign w:val="center"/>
                </w:tcPr>
                <w:p>
                  <w:pPr>
                    <w:pStyle w:val="49"/>
                    <w:spacing w:line="240" w:lineRule="auto"/>
                    <w:jc w:val="center"/>
                    <w:rPr>
                      <w:rFonts w:hint="default" w:ascii="Times New Roman" w:hAnsi="Times New Roman"/>
                      <w:b/>
                      <w:color w:val="auto"/>
                      <w:sz w:val="21"/>
                      <w:szCs w:val="21"/>
                    </w:rPr>
                  </w:pPr>
                </w:p>
              </w:tc>
              <w:tc>
                <w:tcPr>
                  <w:tcW w:w="1089" w:type="dxa"/>
                  <w:vMerge w:val="continue"/>
                  <w:tcBorders>
                    <w:tl2br w:val="nil"/>
                    <w:tr2bl w:val="nil"/>
                  </w:tcBorders>
                  <w:shd w:val="clear" w:color="auto" w:fill="auto"/>
                  <w:vAlign w:val="center"/>
                </w:tcPr>
                <w:p>
                  <w:pPr>
                    <w:pStyle w:val="49"/>
                    <w:spacing w:line="240" w:lineRule="auto"/>
                    <w:jc w:val="center"/>
                    <w:rPr>
                      <w:rFonts w:hint="default" w:ascii="Times New Roman" w:hAnsi="Times New Roman"/>
                      <w:b/>
                      <w:color w:val="auto"/>
                      <w:sz w:val="21"/>
                      <w:szCs w:val="21"/>
                    </w:rPr>
                  </w:pPr>
                </w:p>
              </w:tc>
              <w:tc>
                <w:tcPr>
                  <w:tcW w:w="1339" w:type="dxa"/>
                  <w:vMerge w:val="continue"/>
                  <w:tcBorders>
                    <w:tl2br w:val="nil"/>
                    <w:tr2bl w:val="nil"/>
                  </w:tcBorders>
                  <w:shd w:val="clear" w:color="auto" w:fill="auto"/>
                  <w:vAlign w:val="center"/>
                </w:tcPr>
                <w:p>
                  <w:pPr>
                    <w:pStyle w:val="49"/>
                    <w:spacing w:line="240" w:lineRule="auto"/>
                    <w:jc w:val="center"/>
                    <w:rPr>
                      <w:rFonts w:hint="default" w:ascii="Times New Roman" w:hAnsi="Times New Roman"/>
                      <w:b/>
                      <w:color w:val="auto"/>
                      <w:sz w:val="21"/>
                      <w:szCs w:val="21"/>
                    </w:rPr>
                  </w:pPr>
                </w:p>
              </w:tc>
              <w:tc>
                <w:tcPr>
                  <w:tcW w:w="840" w:type="dxa"/>
                  <w:vMerge w:val="continue"/>
                  <w:tcBorders>
                    <w:tl2br w:val="nil"/>
                    <w:tr2bl w:val="nil"/>
                  </w:tcBorders>
                  <w:shd w:val="clear" w:color="auto" w:fill="auto"/>
                  <w:vAlign w:val="center"/>
                </w:tcPr>
                <w:p>
                  <w:pPr>
                    <w:pStyle w:val="49"/>
                    <w:spacing w:line="240" w:lineRule="auto"/>
                    <w:jc w:val="center"/>
                    <w:rPr>
                      <w:rFonts w:hint="default" w:ascii="Times New Roman" w:hAnsi="Times New Roman"/>
                      <w:b/>
                      <w:color w:val="auto"/>
                      <w:sz w:val="21"/>
                      <w:szCs w:val="21"/>
                    </w:rPr>
                  </w:pPr>
                </w:p>
              </w:tc>
              <w:tc>
                <w:tcPr>
                  <w:tcW w:w="1089" w:type="dxa"/>
                  <w:vMerge w:val="continue"/>
                  <w:tcBorders>
                    <w:tl2br w:val="nil"/>
                    <w:tr2bl w:val="nil"/>
                  </w:tcBorders>
                  <w:shd w:val="clear" w:color="auto" w:fill="auto"/>
                  <w:vAlign w:val="center"/>
                </w:tcPr>
                <w:p>
                  <w:pPr>
                    <w:pStyle w:val="49"/>
                    <w:spacing w:line="240" w:lineRule="auto"/>
                    <w:jc w:val="center"/>
                    <w:rPr>
                      <w:rFonts w:hint="default" w:ascii="Times New Roman" w:hAnsi="Times New Roman"/>
                      <w:b/>
                      <w:color w:val="auto"/>
                      <w:sz w:val="21"/>
                      <w:szCs w:val="21"/>
                    </w:rPr>
                  </w:pPr>
                </w:p>
              </w:tc>
              <w:tc>
                <w:tcPr>
                  <w:tcW w:w="709" w:type="dxa"/>
                  <w:vMerge w:val="continue"/>
                  <w:tcBorders>
                    <w:tl2br w:val="nil"/>
                    <w:tr2bl w:val="nil"/>
                  </w:tcBorders>
                  <w:shd w:val="clear" w:color="auto" w:fill="auto"/>
                  <w:vAlign w:val="center"/>
                </w:tcPr>
                <w:p>
                  <w:pPr>
                    <w:pStyle w:val="49"/>
                    <w:spacing w:line="240" w:lineRule="auto"/>
                    <w:jc w:val="center"/>
                    <w:rPr>
                      <w:rFonts w:hint="default" w:ascii="Times New Roman" w:hAnsi="Times New Roman"/>
                      <w:b/>
                      <w:color w:val="auto"/>
                      <w:sz w:val="21"/>
                      <w:szCs w:val="21"/>
                    </w:rPr>
                  </w:pPr>
                </w:p>
              </w:tc>
              <w:tc>
                <w:tcPr>
                  <w:tcW w:w="1070" w:type="dxa"/>
                  <w:vMerge w:val="continue"/>
                  <w:tcBorders>
                    <w:tl2br w:val="nil"/>
                    <w:tr2bl w:val="nil"/>
                  </w:tcBorders>
                  <w:shd w:val="clear" w:color="auto" w:fill="auto"/>
                  <w:vAlign w:val="center"/>
                </w:tcPr>
                <w:p>
                  <w:pPr>
                    <w:pStyle w:val="49"/>
                    <w:spacing w:line="240" w:lineRule="auto"/>
                    <w:jc w:val="center"/>
                    <w:rPr>
                      <w:rFonts w:hint="default" w:ascii="Times New Roman" w:hAnsi="Times New Roman"/>
                      <w:b/>
                      <w:color w:val="auto"/>
                      <w:sz w:val="21"/>
                      <w:szCs w:val="21"/>
                    </w:rPr>
                  </w:pPr>
                </w:p>
              </w:tc>
              <w:tc>
                <w:tcPr>
                  <w:tcW w:w="814" w:type="dxa"/>
                  <w:vMerge w:val="continue"/>
                  <w:tcBorders>
                    <w:tl2br w:val="nil"/>
                    <w:tr2bl w:val="nil"/>
                  </w:tcBorders>
                  <w:shd w:val="clear" w:color="auto" w:fill="auto"/>
                  <w:vAlign w:val="center"/>
                </w:tcPr>
                <w:p>
                  <w:pPr>
                    <w:pStyle w:val="49"/>
                    <w:spacing w:line="240" w:lineRule="auto"/>
                    <w:jc w:val="center"/>
                    <w:rPr>
                      <w:rFonts w:hint="default" w:ascii="Times New Roman" w:hAnsi="Times New Roman"/>
                      <w:b/>
                      <w:color w:val="auto"/>
                      <w:sz w:val="21"/>
                      <w:szCs w:val="21"/>
                    </w:rPr>
                  </w:pPr>
                </w:p>
              </w:tc>
              <w:tc>
                <w:tcPr>
                  <w:tcW w:w="1583" w:type="dxa"/>
                  <w:vMerge w:val="continue"/>
                  <w:tcBorders>
                    <w:tl2br w:val="nil"/>
                    <w:tr2bl w:val="nil"/>
                  </w:tcBorders>
                  <w:shd w:val="clear" w:color="auto" w:fill="auto"/>
                  <w:vAlign w:val="center"/>
                </w:tcPr>
                <w:p>
                  <w:pPr>
                    <w:pStyle w:val="49"/>
                    <w:spacing w:line="240" w:lineRule="auto"/>
                    <w:jc w:val="center"/>
                    <w:rPr>
                      <w:rFonts w:hint="default" w:ascii="Times New Roman" w:hAnsi="Times New Roman"/>
                      <w:b/>
                      <w:color w:val="auto"/>
                      <w:sz w:val="21"/>
                      <w:szCs w:val="21"/>
                    </w:rPr>
                  </w:pPr>
                </w:p>
              </w:tc>
              <w:tc>
                <w:tcPr>
                  <w:tcW w:w="1523" w:type="dxa"/>
                  <w:tcBorders>
                    <w:tl2br w:val="nil"/>
                    <w:tr2bl w:val="nil"/>
                  </w:tcBorders>
                  <w:shd w:val="clear" w:color="auto" w:fill="auto"/>
                  <w:vAlign w:val="center"/>
                </w:tcPr>
                <w:p>
                  <w:pPr>
                    <w:pStyle w:val="49"/>
                    <w:spacing w:line="240" w:lineRule="auto"/>
                    <w:jc w:val="center"/>
                    <w:rPr>
                      <w:rFonts w:hint="default" w:ascii="Times New Roman" w:hAnsi="Times New Roman"/>
                      <w:b/>
                      <w:color w:val="auto"/>
                      <w:sz w:val="21"/>
                      <w:szCs w:val="21"/>
                    </w:rPr>
                  </w:pPr>
                  <w:r>
                    <w:rPr>
                      <w:rFonts w:ascii="Times New Roman" w:hAnsi="Times New Roman"/>
                      <w:b/>
                      <w:color w:val="auto"/>
                      <w:sz w:val="21"/>
                      <w:szCs w:val="21"/>
                    </w:rPr>
                    <w:t>工艺</w:t>
                  </w:r>
                </w:p>
              </w:tc>
              <w:tc>
                <w:tcPr>
                  <w:tcW w:w="838" w:type="dxa"/>
                  <w:tcBorders>
                    <w:tl2br w:val="nil"/>
                    <w:tr2bl w:val="nil"/>
                  </w:tcBorders>
                  <w:shd w:val="clear" w:color="auto" w:fill="auto"/>
                  <w:vAlign w:val="center"/>
                </w:tcPr>
                <w:p>
                  <w:pPr>
                    <w:pStyle w:val="49"/>
                    <w:spacing w:line="240" w:lineRule="auto"/>
                    <w:jc w:val="center"/>
                    <w:rPr>
                      <w:rFonts w:hint="default" w:ascii="Times New Roman" w:hAnsi="Times New Roman"/>
                      <w:b/>
                      <w:color w:val="auto"/>
                      <w:sz w:val="21"/>
                      <w:szCs w:val="21"/>
                    </w:rPr>
                  </w:pPr>
                  <w:r>
                    <w:rPr>
                      <w:rFonts w:ascii="Times New Roman" w:hAnsi="Times New Roman"/>
                      <w:b/>
                      <w:color w:val="auto"/>
                      <w:sz w:val="21"/>
                      <w:szCs w:val="21"/>
                    </w:rPr>
                    <w:t>处置量t/a</w:t>
                  </w:r>
                </w:p>
              </w:tc>
              <w:tc>
                <w:tcPr>
                  <w:tcW w:w="1089" w:type="dxa"/>
                  <w:vMerge w:val="continue"/>
                  <w:tcBorders>
                    <w:tl2br w:val="nil"/>
                    <w:tr2bl w:val="nil"/>
                  </w:tcBorders>
                  <w:vAlign w:val="center"/>
                </w:tcPr>
                <w:p>
                  <w:pPr>
                    <w:pStyle w:val="49"/>
                    <w:spacing w:line="240" w:lineRule="auto"/>
                    <w:jc w:val="center"/>
                    <w:rPr>
                      <w:rFonts w:hint="default" w:ascii="Times New Roman" w:hAnsi="Times New Roman"/>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089"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打包</w:t>
                  </w:r>
                </w:p>
              </w:tc>
              <w:tc>
                <w:tcPr>
                  <w:tcW w:w="1089"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废</w:t>
                  </w:r>
                  <w:r>
                    <w:rPr>
                      <w:rFonts w:ascii="Times New Roman" w:hAnsi="Times New Roman"/>
                      <w:color w:val="auto"/>
                      <w:sz w:val="21"/>
                      <w:szCs w:val="21"/>
                    </w:rPr>
                    <w:t>包装材料</w:t>
                  </w:r>
                </w:p>
              </w:tc>
              <w:tc>
                <w:tcPr>
                  <w:tcW w:w="1339" w:type="dxa"/>
                  <w:tcBorders>
                    <w:tl2br w:val="nil"/>
                    <w:tr2bl w:val="nil"/>
                  </w:tcBorders>
                  <w:shd w:val="clear" w:color="auto" w:fill="auto"/>
                  <w:vAlign w:val="center"/>
                </w:tcPr>
                <w:p>
                  <w:pPr>
                    <w:widowControl/>
                    <w:spacing w:line="240" w:lineRule="auto"/>
                    <w:jc w:val="center"/>
                    <w:rPr>
                      <w:sz w:val="21"/>
                      <w:szCs w:val="21"/>
                    </w:rPr>
                  </w:pPr>
                  <w:r>
                    <w:rPr>
                      <w:sz w:val="21"/>
                      <w:szCs w:val="21"/>
                    </w:rPr>
                    <w:t>一般固废384-999-07</w:t>
                  </w:r>
                </w:p>
              </w:tc>
              <w:tc>
                <w:tcPr>
                  <w:tcW w:w="840"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0.012</w:t>
                  </w:r>
                </w:p>
              </w:tc>
              <w:tc>
                <w:tcPr>
                  <w:tcW w:w="1089" w:type="dxa"/>
                  <w:tcBorders>
                    <w:tl2br w:val="nil"/>
                    <w:tr2bl w:val="nil"/>
                  </w:tcBorders>
                  <w:shd w:val="clear" w:color="auto" w:fill="auto"/>
                  <w:vAlign w:val="center"/>
                </w:tcPr>
                <w:p>
                  <w:pPr>
                    <w:widowControl/>
                    <w:spacing w:line="240" w:lineRule="auto"/>
                    <w:jc w:val="center"/>
                    <w:rPr>
                      <w:sz w:val="21"/>
                      <w:szCs w:val="21"/>
                    </w:rPr>
                  </w:pPr>
                  <w:r>
                    <w:rPr>
                      <w:sz w:val="21"/>
                      <w:szCs w:val="21"/>
                    </w:rPr>
                    <w:t>/</w:t>
                  </w:r>
                </w:p>
              </w:tc>
              <w:tc>
                <w:tcPr>
                  <w:tcW w:w="709" w:type="dxa"/>
                  <w:tcBorders>
                    <w:tl2br w:val="nil"/>
                    <w:tr2bl w:val="nil"/>
                  </w:tcBorders>
                  <w:shd w:val="clear" w:color="auto" w:fill="auto"/>
                  <w:vAlign w:val="center"/>
                </w:tcPr>
                <w:p>
                  <w:pPr>
                    <w:widowControl/>
                    <w:spacing w:line="240" w:lineRule="auto"/>
                    <w:jc w:val="center"/>
                    <w:rPr>
                      <w:sz w:val="21"/>
                      <w:szCs w:val="21"/>
                    </w:rPr>
                  </w:pPr>
                  <w:r>
                    <w:rPr>
                      <w:sz w:val="21"/>
                      <w:szCs w:val="21"/>
                    </w:rPr>
                    <w:t>固态</w:t>
                  </w:r>
                </w:p>
              </w:tc>
              <w:tc>
                <w:tcPr>
                  <w:tcW w:w="1070" w:type="dxa"/>
                  <w:tcBorders>
                    <w:tl2br w:val="nil"/>
                    <w:tr2bl w:val="nil"/>
                  </w:tcBorders>
                  <w:shd w:val="clear" w:color="auto" w:fill="auto"/>
                  <w:vAlign w:val="center"/>
                </w:tcPr>
                <w:p>
                  <w:pPr>
                    <w:widowControl/>
                    <w:spacing w:line="240" w:lineRule="auto"/>
                    <w:jc w:val="center"/>
                    <w:rPr>
                      <w:sz w:val="21"/>
                      <w:szCs w:val="21"/>
                    </w:rPr>
                  </w:pPr>
                  <w:r>
                    <w:rPr>
                      <w:sz w:val="21"/>
                      <w:szCs w:val="21"/>
                    </w:rPr>
                    <w:t>/</w:t>
                  </w:r>
                </w:p>
              </w:tc>
              <w:tc>
                <w:tcPr>
                  <w:tcW w:w="814" w:type="dxa"/>
                  <w:tcBorders>
                    <w:tl2br w:val="nil"/>
                    <w:tr2bl w:val="nil"/>
                  </w:tcBorders>
                  <w:shd w:val="clear" w:color="auto" w:fill="auto"/>
                  <w:vAlign w:val="center"/>
                </w:tcPr>
                <w:p>
                  <w:pPr>
                    <w:widowControl/>
                    <w:spacing w:line="240" w:lineRule="auto"/>
                    <w:jc w:val="center"/>
                    <w:rPr>
                      <w:sz w:val="21"/>
                      <w:szCs w:val="21"/>
                    </w:rPr>
                  </w:pPr>
                  <w:r>
                    <w:rPr>
                      <w:sz w:val="21"/>
                      <w:szCs w:val="21"/>
                    </w:rPr>
                    <w:t>袋装</w:t>
                  </w:r>
                </w:p>
              </w:tc>
              <w:tc>
                <w:tcPr>
                  <w:tcW w:w="1583" w:type="dxa"/>
                  <w:tcBorders>
                    <w:tl2br w:val="nil"/>
                    <w:tr2bl w:val="nil"/>
                  </w:tcBorders>
                  <w:shd w:val="clear" w:color="auto" w:fill="auto"/>
                  <w:vAlign w:val="center"/>
                </w:tcPr>
                <w:p>
                  <w:pPr>
                    <w:widowControl/>
                    <w:spacing w:line="240" w:lineRule="auto"/>
                    <w:jc w:val="center"/>
                    <w:rPr>
                      <w:sz w:val="21"/>
                      <w:szCs w:val="21"/>
                    </w:rPr>
                  </w:pPr>
                  <w:r>
                    <w:rPr>
                      <w:sz w:val="21"/>
                      <w:szCs w:val="21"/>
                    </w:rPr>
                    <w:t>勿随意丢弃或混入生活垃圾</w:t>
                  </w:r>
                </w:p>
              </w:tc>
              <w:tc>
                <w:tcPr>
                  <w:tcW w:w="1523" w:type="dxa"/>
                  <w:tcBorders>
                    <w:tl2br w:val="nil"/>
                    <w:tr2bl w:val="nil"/>
                  </w:tcBorders>
                  <w:shd w:val="clear" w:color="auto" w:fill="auto"/>
                  <w:vAlign w:val="center"/>
                </w:tcPr>
                <w:p>
                  <w:pPr>
                    <w:widowControl/>
                    <w:spacing w:line="240" w:lineRule="auto"/>
                    <w:jc w:val="center"/>
                    <w:rPr>
                      <w:sz w:val="21"/>
                      <w:szCs w:val="21"/>
                    </w:rPr>
                  </w:pPr>
                  <w:r>
                    <w:rPr>
                      <w:rFonts w:hint="eastAsia"/>
                      <w:sz w:val="21"/>
                      <w:szCs w:val="21"/>
                    </w:rPr>
                    <w:t>/</w:t>
                  </w:r>
                </w:p>
              </w:tc>
              <w:tc>
                <w:tcPr>
                  <w:tcW w:w="838"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0.012</w:t>
                  </w:r>
                </w:p>
              </w:tc>
              <w:tc>
                <w:tcPr>
                  <w:tcW w:w="1089" w:type="dxa"/>
                  <w:tcBorders>
                    <w:tl2br w:val="nil"/>
                    <w:tr2bl w:val="nil"/>
                  </w:tcBorders>
                  <w:shd w:val="clear" w:color="auto" w:fill="auto"/>
                  <w:vAlign w:val="center"/>
                </w:tcPr>
                <w:p>
                  <w:pPr>
                    <w:widowControl/>
                    <w:spacing w:line="240" w:lineRule="auto"/>
                    <w:jc w:val="center"/>
                    <w:rPr>
                      <w:sz w:val="21"/>
                      <w:szCs w:val="21"/>
                    </w:rPr>
                  </w:pPr>
                  <w:r>
                    <w:rPr>
                      <w:rFonts w:hint="eastAsia"/>
                      <w:sz w:val="21"/>
                      <w:szCs w:val="21"/>
                    </w:rPr>
                    <w:t>交由相关资源回收单位回收</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089"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原料使用</w:t>
                  </w:r>
                </w:p>
              </w:tc>
              <w:tc>
                <w:tcPr>
                  <w:tcW w:w="1089"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废胶水桶</w:t>
                  </w:r>
                </w:p>
              </w:tc>
              <w:tc>
                <w:tcPr>
                  <w:tcW w:w="1339"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危险废物900-041-49</w:t>
                  </w:r>
                </w:p>
              </w:tc>
              <w:tc>
                <w:tcPr>
                  <w:tcW w:w="840"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0.1</w:t>
                  </w:r>
                </w:p>
              </w:tc>
              <w:tc>
                <w:tcPr>
                  <w:tcW w:w="1089"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有机树脂</w:t>
                  </w:r>
                </w:p>
              </w:tc>
              <w:tc>
                <w:tcPr>
                  <w:tcW w:w="709"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固态</w:t>
                  </w:r>
                </w:p>
              </w:tc>
              <w:tc>
                <w:tcPr>
                  <w:tcW w:w="1070"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T</w:t>
                  </w:r>
                  <w:r>
                    <w:rPr>
                      <w:rFonts w:ascii="Times New Roman" w:hAnsi="Times New Roman"/>
                      <w:color w:val="auto"/>
                      <w:sz w:val="21"/>
                      <w:szCs w:val="21"/>
                    </w:rPr>
                    <w:t>,</w:t>
                  </w:r>
                  <w:r>
                    <w:rPr>
                      <w:rFonts w:hint="default" w:ascii="Times New Roman" w:hAnsi="Times New Roman"/>
                      <w:color w:val="auto"/>
                      <w:sz w:val="21"/>
                      <w:szCs w:val="21"/>
                    </w:rPr>
                    <w:t>I</w:t>
                  </w:r>
                </w:p>
              </w:tc>
              <w:tc>
                <w:tcPr>
                  <w:tcW w:w="814"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桶装</w:t>
                  </w:r>
                </w:p>
              </w:tc>
              <w:tc>
                <w:tcPr>
                  <w:tcW w:w="1583"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妥善处置，避免对环境造成污染</w:t>
                  </w:r>
                </w:p>
              </w:tc>
              <w:tc>
                <w:tcPr>
                  <w:tcW w:w="1523"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w:t>
                  </w:r>
                </w:p>
              </w:tc>
              <w:tc>
                <w:tcPr>
                  <w:tcW w:w="838"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0.1</w:t>
                  </w:r>
                </w:p>
              </w:tc>
              <w:tc>
                <w:tcPr>
                  <w:tcW w:w="1089"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供应商回收</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089"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原料使用</w:t>
                  </w:r>
                </w:p>
              </w:tc>
              <w:tc>
                <w:tcPr>
                  <w:tcW w:w="1089"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废冷却液桶</w:t>
                  </w:r>
                </w:p>
              </w:tc>
              <w:tc>
                <w:tcPr>
                  <w:tcW w:w="1339"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危险废物900-041-49</w:t>
                  </w:r>
                </w:p>
              </w:tc>
              <w:tc>
                <w:tcPr>
                  <w:tcW w:w="840"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0.5</w:t>
                  </w:r>
                </w:p>
              </w:tc>
              <w:tc>
                <w:tcPr>
                  <w:tcW w:w="1089"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乳化剂、</w:t>
                  </w:r>
                </w:p>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添加剂</w:t>
                  </w:r>
                </w:p>
              </w:tc>
              <w:tc>
                <w:tcPr>
                  <w:tcW w:w="709"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固态</w:t>
                  </w:r>
                </w:p>
              </w:tc>
              <w:tc>
                <w:tcPr>
                  <w:tcW w:w="1070"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T</w:t>
                  </w:r>
                  <w:r>
                    <w:rPr>
                      <w:rFonts w:ascii="Times New Roman" w:hAnsi="Times New Roman"/>
                      <w:color w:val="auto"/>
                      <w:sz w:val="21"/>
                      <w:szCs w:val="21"/>
                    </w:rPr>
                    <w:t>,</w:t>
                  </w:r>
                  <w:r>
                    <w:rPr>
                      <w:rFonts w:hint="default" w:ascii="Times New Roman" w:hAnsi="Times New Roman"/>
                      <w:color w:val="auto"/>
                      <w:sz w:val="21"/>
                      <w:szCs w:val="21"/>
                    </w:rPr>
                    <w:t>I</w:t>
                  </w:r>
                </w:p>
              </w:tc>
              <w:tc>
                <w:tcPr>
                  <w:tcW w:w="814"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桶装</w:t>
                  </w:r>
                </w:p>
              </w:tc>
              <w:tc>
                <w:tcPr>
                  <w:tcW w:w="1583"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妥善处置，避免对环境造成污染</w:t>
                  </w:r>
                </w:p>
              </w:tc>
              <w:tc>
                <w:tcPr>
                  <w:tcW w:w="1523"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w:t>
                  </w:r>
                </w:p>
              </w:tc>
              <w:tc>
                <w:tcPr>
                  <w:tcW w:w="838"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0.5</w:t>
                  </w:r>
                </w:p>
              </w:tc>
              <w:tc>
                <w:tcPr>
                  <w:tcW w:w="1089"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供应商回收</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089"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设备维护</w:t>
                  </w:r>
                </w:p>
              </w:tc>
              <w:tc>
                <w:tcPr>
                  <w:tcW w:w="1089"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含油抹布</w:t>
                  </w:r>
                </w:p>
              </w:tc>
              <w:tc>
                <w:tcPr>
                  <w:tcW w:w="1339"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危险废物900-041-49</w:t>
                  </w:r>
                </w:p>
              </w:tc>
              <w:tc>
                <w:tcPr>
                  <w:tcW w:w="840"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0.2</w:t>
                  </w:r>
                </w:p>
              </w:tc>
              <w:tc>
                <w:tcPr>
                  <w:tcW w:w="1089"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基础油、</w:t>
                  </w:r>
                </w:p>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添加剂</w:t>
                  </w:r>
                </w:p>
              </w:tc>
              <w:tc>
                <w:tcPr>
                  <w:tcW w:w="709"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固态</w:t>
                  </w:r>
                </w:p>
              </w:tc>
              <w:tc>
                <w:tcPr>
                  <w:tcW w:w="1070"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hint="default" w:ascii="Times New Roman" w:hAnsi="Times New Roman"/>
                      <w:color w:val="auto"/>
                      <w:sz w:val="21"/>
                      <w:szCs w:val="21"/>
                    </w:rPr>
                    <w:t>T</w:t>
                  </w:r>
                  <w:r>
                    <w:rPr>
                      <w:rFonts w:ascii="Times New Roman" w:hAnsi="Times New Roman"/>
                      <w:color w:val="auto"/>
                      <w:sz w:val="21"/>
                      <w:szCs w:val="21"/>
                    </w:rPr>
                    <w:t>,</w:t>
                  </w:r>
                  <w:r>
                    <w:rPr>
                      <w:rFonts w:hint="default" w:ascii="Times New Roman" w:hAnsi="Times New Roman"/>
                      <w:color w:val="auto"/>
                      <w:sz w:val="21"/>
                      <w:szCs w:val="21"/>
                    </w:rPr>
                    <w:t>I</w:t>
                  </w:r>
                </w:p>
              </w:tc>
              <w:tc>
                <w:tcPr>
                  <w:tcW w:w="814"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桶装</w:t>
                  </w:r>
                </w:p>
              </w:tc>
              <w:tc>
                <w:tcPr>
                  <w:tcW w:w="1583"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妥善处置，避免对环境造成污染</w:t>
                  </w:r>
                </w:p>
              </w:tc>
              <w:tc>
                <w:tcPr>
                  <w:tcW w:w="1523"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w:t>
                  </w:r>
                </w:p>
              </w:tc>
              <w:tc>
                <w:tcPr>
                  <w:tcW w:w="838"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0.2</w:t>
                  </w:r>
                </w:p>
              </w:tc>
              <w:tc>
                <w:tcPr>
                  <w:tcW w:w="1089"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委托有危险废物资质的单位处理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089"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生活办公</w:t>
                  </w:r>
                </w:p>
              </w:tc>
              <w:tc>
                <w:tcPr>
                  <w:tcW w:w="1089"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生活垃圾</w:t>
                  </w:r>
                </w:p>
              </w:tc>
              <w:tc>
                <w:tcPr>
                  <w:tcW w:w="1339"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生活垃圾</w:t>
                  </w:r>
                </w:p>
              </w:tc>
              <w:tc>
                <w:tcPr>
                  <w:tcW w:w="840"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84</w:t>
                  </w:r>
                </w:p>
              </w:tc>
              <w:tc>
                <w:tcPr>
                  <w:tcW w:w="1089"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w:t>
                  </w:r>
                </w:p>
              </w:tc>
              <w:tc>
                <w:tcPr>
                  <w:tcW w:w="709"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固态</w:t>
                  </w:r>
                </w:p>
              </w:tc>
              <w:tc>
                <w:tcPr>
                  <w:tcW w:w="1070"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w:t>
                  </w:r>
                </w:p>
              </w:tc>
              <w:tc>
                <w:tcPr>
                  <w:tcW w:w="814"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袋装</w:t>
                  </w:r>
                </w:p>
              </w:tc>
              <w:tc>
                <w:tcPr>
                  <w:tcW w:w="1583"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勿随意丢弃</w:t>
                  </w:r>
                </w:p>
              </w:tc>
              <w:tc>
                <w:tcPr>
                  <w:tcW w:w="1523"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w:t>
                  </w:r>
                </w:p>
              </w:tc>
              <w:tc>
                <w:tcPr>
                  <w:tcW w:w="838"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84</w:t>
                  </w:r>
                </w:p>
              </w:tc>
              <w:tc>
                <w:tcPr>
                  <w:tcW w:w="1089" w:type="dxa"/>
                  <w:tcBorders>
                    <w:tl2br w:val="nil"/>
                    <w:tr2bl w:val="nil"/>
                  </w:tcBorders>
                  <w:shd w:val="clear" w:color="auto" w:fill="auto"/>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环卫清理</w:t>
                  </w:r>
                </w:p>
              </w:tc>
            </w:tr>
          </w:tbl>
          <w:p>
            <w:pPr>
              <w:pStyle w:val="49"/>
              <w:rPr>
                <w:rFonts w:hint="default" w:ascii="Times New Roman" w:hAnsi="Times New Roman"/>
                <w:color w:val="auto"/>
                <w:sz w:val="21"/>
                <w:szCs w:val="21"/>
              </w:rPr>
            </w:pPr>
          </w:p>
        </w:tc>
      </w:tr>
    </w:tbl>
    <w:p>
      <w:pPr>
        <w:pStyle w:val="49"/>
        <w:rPr>
          <w:rFonts w:hint="default" w:ascii="Times New Roman" w:hAnsi="Times New Roman"/>
          <w:color w:val="auto"/>
        </w:rPr>
        <w:sectPr>
          <w:pgSz w:w="16840" w:h="11907" w:orient="landscape"/>
          <w:pgMar w:top="1418" w:right="1418" w:bottom="1418" w:left="1418" w:header="851" w:footer="992" w:gutter="0"/>
          <w:cols w:space="720" w:num="1"/>
          <w:docGrid w:linePitch="381" w:charSpace="0"/>
        </w:sectPr>
      </w:pPr>
    </w:p>
    <w:tbl>
      <w:tblPr>
        <w:tblStyle w:val="4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11"/>
        <w:gridCol w:w="869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31" w:type="dxa"/>
            <w:tcMar>
              <w:left w:w="28" w:type="dxa"/>
              <w:right w:w="28" w:type="dxa"/>
            </w:tcMar>
            <w:vAlign w:val="center"/>
          </w:tcPr>
          <w:p>
            <w:pPr>
              <w:jc w:val="center"/>
              <w:rPr>
                <w:bCs/>
                <w:sz w:val="21"/>
                <w:szCs w:val="21"/>
              </w:rPr>
            </w:pPr>
            <w:r>
              <w:rPr>
                <w:sz w:val="21"/>
                <w:szCs w:val="21"/>
              </w:rPr>
              <w:t>运营期环境影响和保护措施</w:t>
            </w:r>
          </w:p>
        </w:tc>
        <w:tc>
          <w:tcPr>
            <w:tcW w:w="9095" w:type="dxa"/>
            <w:vAlign w:val="center"/>
          </w:tcPr>
          <w:p>
            <w:pPr>
              <w:pStyle w:val="51"/>
              <w:spacing w:before="0" w:line="360" w:lineRule="auto"/>
              <w:ind w:left="0" w:firstLine="482" w:firstLineChars="200"/>
              <w:outlineLvl w:val="9"/>
              <w:rPr>
                <w:rFonts w:ascii="Times New Roman" w:hAnsi="Times New Roman" w:eastAsia="新宋体"/>
                <w:b/>
                <w:sz w:val="24"/>
                <w:szCs w:val="24"/>
                <w:lang w:val="en-US"/>
              </w:rPr>
            </w:pPr>
            <w:r>
              <w:rPr>
                <w:rFonts w:ascii="Times New Roman" w:hAnsi="Times New Roman" w:eastAsia="新宋体"/>
                <w:b/>
                <w:sz w:val="24"/>
                <w:szCs w:val="24"/>
                <w:lang w:val="en-US"/>
              </w:rPr>
              <w:t>5、土壤、地下水</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项目涉及的地下水、土壤潜在污染源为生产车间、危废间</w:t>
            </w:r>
            <w:r>
              <w:rPr>
                <w:rFonts w:hint="eastAsia" w:ascii="Times New Roman" w:hAnsi="Times New Roman" w:eastAsia="新宋体"/>
                <w:sz w:val="24"/>
                <w:szCs w:val="24"/>
                <w:lang w:val="en-US"/>
              </w:rPr>
              <w:t>、一般固废仓库以及依托的</w:t>
            </w:r>
            <w:r>
              <w:rPr>
                <w:rFonts w:ascii="Times New Roman" w:hAnsi="Times New Roman" w:eastAsia="新宋体"/>
                <w:sz w:val="24"/>
                <w:szCs w:val="24"/>
                <w:lang w:val="en-US"/>
              </w:rPr>
              <w:t>比亚迪污水处理站，生产车间、危废间、</w:t>
            </w:r>
            <w:r>
              <w:rPr>
                <w:rFonts w:hint="eastAsia" w:ascii="Times New Roman" w:hAnsi="Times New Roman" w:eastAsia="新宋体"/>
                <w:sz w:val="24"/>
                <w:szCs w:val="24"/>
                <w:lang w:val="en-US"/>
              </w:rPr>
              <w:t>一般固废仓库</w:t>
            </w:r>
            <w:r>
              <w:rPr>
                <w:rFonts w:ascii="Times New Roman" w:hAnsi="Times New Roman" w:eastAsia="新宋体"/>
                <w:sz w:val="24"/>
                <w:szCs w:val="24"/>
                <w:lang w:val="en-US"/>
              </w:rPr>
              <w:t>等区域均对地面进行硬化，其中危废间严格按照《危险废物贮存污染控制标准》（GB18597-2001）</w:t>
            </w:r>
            <w:r>
              <w:rPr>
                <w:rFonts w:hint="eastAsia" w:ascii="Times New Roman" w:hAnsi="Times New Roman" w:eastAsia="新宋体"/>
                <w:sz w:val="24"/>
                <w:szCs w:val="24"/>
                <w:lang w:val="en-US"/>
              </w:rPr>
              <w:t>及2013年修订单</w:t>
            </w:r>
            <w:r>
              <w:rPr>
                <w:rFonts w:ascii="Times New Roman" w:hAnsi="Times New Roman" w:eastAsia="新宋体"/>
                <w:sz w:val="24"/>
                <w:szCs w:val="24"/>
                <w:lang w:val="en-US"/>
              </w:rPr>
              <w:t>有关规范设计</w:t>
            </w:r>
            <w:r>
              <w:rPr>
                <w:rFonts w:hint="eastAsia" w:ascii="Times New Roman" w:hAnsi="Times New Roman" w:eastAsia="新宋体"/>
                <w:sz w:val="24"/>
                <w:szCs w:val="24"/>
                <w:lang w:val="en-US"/>
              </w:rPr>
              <w:t>且</w:t>
            </w:r>
            <w:r>
              <w:rPr>
                <w:rFonts w:ascii="Times New Roman" w:hAnsi="Times New Roman" w:eastAsia="新宋体"/>
                <w:sz w:val="24"/>
                <w:szCs w:val="24"/>
                <w:lang w:val="en-US"/>
              </w:rPr>
              <w:t>设有墁坡、沟槽</w:t>
            </w:r>
            <w:r>
              <w:rPr>
                <w:rFonts w:hint="eastAsia" w:ascii="Times New Roman" w:hAnsi="Times New Roman" w:eastAsia="新宋体"/>
                <w:sz w:val="24"/>
                <w:szCs w:val="24"/>
                <w:lang w:val="en-US"/>
              </w:rPr>
              <w:t>，一般固废仓库按照</w:t>
            </w:r>
            <w:r>
              <w:rPr>
                <w:rFonts w:ascii="Times New Roman" w:hAnsi="Times New Roman" w:eastAsia="新宋体"/>
                <w:sz w:val="24"/>
                <w:szCs w:val="24"/>
                <w:lang w:val="en-US"/>
              </w:rPr>
              <w:t>《一般工业固体废物贮存和填埋污染控制标准》（GB 18599-2020）设计；依托的比亚迪污水处理站污水、污泥构筑物及管道均采用符合工程标准要求的防腐、抗渗材料，正常情况下不会发生地下水和土壤污染事故。</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具体防渗措施如下表</w:t>
            </w:r>
            <w:r>
              <w:rPr>
                <w:rFonts w:hint="eastAsia" w:ascii="Times New Roman" w:hAnsi="Times New Roman" w:eastAsia="新宋体"/>
                <w:sz w:val="24"/>
                <w:szCs w:val="24"/>
                <w:lang w:val="en-US"/>
              </w:rPr>
              <w:t>。</w:t>
            </w:r>
          </w:p>
          <w:p>
            <w:pPr>
              <w:spacing w:line="240" w:lineRule="auto"/>
              <w:jc w:val="center"/>
              <w:rPr>
                <w:rFonts w:eastAsiaTheme="minorEastAsia"/>
                <w:b/>
                <w:bCs/>
                <w:sz w:val="24"/>
              </w:rPr>
            </w:pPr>
            <w:r>
              <w:rPr>
                <w:rFonts w:eastAsiaTheme="minorEastAsia"/>
                <w:b/>
                <w:bCs/>
                <w:sz w:val="24"/>
              </w:rPr>
              <w:t>表4-</w:t>
            </w:r>
            <w:r>
              <w:rPr>
                <w:rFonts w:hint="eastAsia" w:eastAsiaTheme="minorEastAsia"/>
                <w:b/>
                <w:bCs/>
                <w:sz w:val="24"/>
              </w:rPr>
              <w:t>18 防渗</w:t>
            </w:r>
            <w:r>
              <w:rPr>
                <w:rFonts w:eastAsiaTheme="minorEastAsia"/>
                <w:b/>
                <w:bCs/>
                <w:sz w:val="24"/>
              </w:rPr>
              <w:t>措施一览表</w:t>
            </w:r>
          </w:p>
          <w:tbl>
            <w:tblPr>
              <w:tblStyle w:val="40"/>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958"/>
              <w:gridCol w:w="652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2049" w:type="dxa"/>
                  <w:vAlign w:val="center"/>
                </w:tcPr>
                <w:p>
                  <w:pPr>
                    <w:pStyle w:val="49"/>
                    <w:spacing w:line="240" w:lineRule="auto"/>
                    <w:jc w:val="center"/>
                    <w:rPr>
                      <w:rFonts w:hint="default" w:ascii="Times New Roman" w:hAnsi="Times New Roman"/>
                      <w:b/>
                      <w:color w:val="auto"/>
                      <w:sz w:val="21"/>
                      <w:szCs w:val="21"/>
                    </w:rPr>
                  </w:pPr>
                  <w:r>
                    <w:rPr>
                      <w:rFonts w:ascii="Times New Roman" w:hAnsi="Times New Roman"/>
                      <w:b/>
                      <w:color w:val="auto"/>
                      <w:sz w:val="21"/>
                      <w:szCs w:val="21"/>
                    </w:rPr>
                    <w:t>潜在污染源区域</w:t>
                  </w:r>
                </w:p>
              </w:tc>
              <w:tc>
                <w:tcPr>
                  <w:tcW w:w="6830" w:type="dxa"/>
                  <w:vAlign w:val="center"/>
                </w:tcPr>
                <w:p>
                  <w:pPr>
                    <w:pStyle w:val="49"/>
                    <w:spacing w:line="240" w:lineRule="auto"/>
                    <w:jc w:val="center"/>
                    <w:rPr>
                      <w:rFonts w:hint="default" w:ascii="Times New Roman" w:hAnsi="Times New Roman"/>
                      <w:b/>
                      <w:color w:val="auto"/>
                      <w:sz w:val="21"/>
                      <w:szCs w:val="21"/>
                    </w:rPr>
                  </w:pPr>
                  <w:r>
                    <w:rPr>
                      <w:rFonts w:ascii="Times New Roman" w:hAnsi="Times New Roman"/>
                      <w:b/>
                      <w:color w:val="auto"/>
                      <w:sz w:val="21"/>
                      <w:szCs w:val="21"/>
                    </w:rPr>
                    <w:t>防护措施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2049" w:type="dxa"/>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生产车间</w:t>
                  </w:r>
                </w:p>
              </w:tc>
              <w:tc>
                <w:tcPr>
                  <w:tcW w:w="6830" w:type="dxa"/>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硬底化等防腐防渗处理，平时做好防腐防渗措施的维护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2049" w:type="dxa"/>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危废间</w:t>
                  </w:r>
                </w:p>
              </w:tc>
              <w:tc>
                <w:tcPr>
                  <w:tcW w:w="6830" w:type="dxa"/>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做好防风挡雨措施；地面做好防腐、防渗措施；仓库门口设置墁坡、沟槽，危废间的设置需符合《危险废物贮存污染控制标准》（GB18597-2001）及2013年修订单的要求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2049" w:type="dxa"/>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一般固废仓库</w:t>
                  </w:r>
                </w:p>
              </w:tc>
              <w:tc>
                <w:tcPr>
                  <w:tcW w:w="6830" w:type="dxa"/>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硬底化等防腐防渗处理，一般固废仓库符合《一般工业固体废物贮存和填埋污染控制标准》（GB 18599-2020）相关要求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2049" w:type="dxa"/>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比亚迪污水处理站</w:t>
                  </w:r>
                </w:p>
              </w:tc>
              <w:tc>
                <w:tcPr>
                  <w:tcW w:w="6830" w:type="dxa"/>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污水处理站除地面用防渗混凝土以外，对于混凝土中间的伸缩缝、缩缝和与实体基础的缝隙，通过填充柔性材料、防渗填塞料达到防渗的目的</w:t>
                  </w:r>
                </w:p>
              </w:tc>
            </w:tr>
          </w:tbl>
          <w:p>
            <w:pPr>
              <w:pStyle w:val="51"/>
              <w:spacing w:before="0" w:line="360" w:lineRule="auto"/>
              <w:ind w:left="0" w:firstLine="482" w:firstLineChars="200"/>
              <w:outlineLvl w:val="9"/>
              <w:rPr>
                <w:rFonts w:ascii="Times New Roman" w:hAnsi="Times New Roman" w:eastAsia="新宋体"/>
                <w:b/>
                <w:sz w:val="24"/>
                <w:szCs w:val="24"/>
                <w:lang w:val="en-US"/>
              </w:rPr>
            </w:pPr>
            <w:r>
              <w:rPr>
                <w:rFonts w:ascii="Times New Roman" w:hAnsi="Times New Roman" w:eastAsia="新宋体"/>
                <w:b/>
                <w:sz w:val="24"/>
                <w:szCs w:val="24"/>
                <w:lang w:val="en-US"/>
              </w:rPr>
              <w:t>6、生态</w:t>
            </w:r>
          </w:p>
          <w:p>
            <w:pPr>
              <w:pStyle w:val="51"/>
              <w:spacing w:before="0" w:line="360" w:lineRule="auto"/>
              <w:ind w:left="0" w:firstLine="480" w:firstLineChars="200"/>
              <w:outlineLvl w:val="9"/>
              <w:rPr>
                <w:rFonts w:ascii="Times New Roman" w:hAnsi="Times New Roman" w:eastAsia="新宋体"/>
                <w:sz w:val="24"/>
                <w:szCs w:val="24"/>
                <w:lang w:val="en-US"/>
              </w:rPr>
            </w:pPr>
            <w:r>
              <w:rPr>
                <w:rFonts w:hint="eastAsia" w:ascii="Times New Roman" w:hAnsi="Times New Roman" w:eastAsia="新宋体"/>
                <w:sz w:val="24"/>
                <w:szCs w:val="24"/>
                <w:lang w:val="en-US"/>
              </w:rPr>
              <w:t>本项目不属于产业园区外建设项目，依托现有厂房进行生产，不新增占地，且无生态环境保护目标，故对周边生态环境影响不大。</w:t>
            </w:r>
          </w:p>
          <w:p>
            <w:pPr>
              <w:pStyle w:val="51"/>
              <w:spacing w:before="0" w:line="360" w:lineRule="auto"/>
              <w:ind w:left="0" w:firstLine="482" w:firstLineChars="200"/>
              <w:outlineLvl w:val="9"/>
              <w:rPr>
                <w:rFonts w:ascii="Times New Roman" w:hAnsi="Times New Roman" w:eastAsia="新宋体"/>
                <w:b/>
                <w:sz w:val="24"/>
                <w:szCs w:val="24"/>
                <w:lang w:val="en-US"/>
              </w:rPr>
            </w:pPr>
            <w:r>
              <w:rPr>
                <w:rFonts w:ascii="Times New Roman" w:hAnsi="Times New Roman" w:eastAsia="新宋体"/>
                <w:b/>
                <w:sz w:val="24"/>
                <w:szCs w:val="24"/>
                <w:lang w:val="en-US"/>
              </w:rPr>
              <w:t>7、环境风险分析</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（1）风险调查</w:t>
            </w:r>
          </w:p>
          <w:p>
            <w:pPr>
              <w:pStyle w:val="51"/>
              <w:spacing w:before="0" w:line="360" w:lineRule="auto"/>
              <w:ind w:left="0" w:firstLine="480" w:firstLineChars="200"/>
              <w:outlineLvl w:val="9"/>
              <w:rPr>
                <w:rFonts w:ascii="Times New Roman" w:hAnsi="Times New Roman" w:eastAsia="新宋体"/>
                <w:sz w:val="24"/>
                <w:szCs w:val="24"/>
                <w:lang w:val="en-US"/>
              </w:rPr>
            </w:pPr>
            <w:r>
              <w:rPr>
                <w:rFonts w:hint="eastAsia" w:ascii="Times New Roman" w:hAnsi="Times New Roman" w:eastAsia="新宋体"/>
                <w:sz w:val="24"/>
                <w:szCs w:val="24"/>
                <w:lang w:val="en-US"/>
              </w:rPr>
              <w:t>①</w:t>
            </w:r>
            <w:r>
              <w:rPr>
                <w:rFonts w:ascii="Times New Roman" w:hAnsi="Times New Roman" w:eastAsia="新宋体"/>
                <w:sz w:val="24"/>
                <w:szCs w:val="24"/>
                <w:lang w:val="en-US"/>
              </w:rPr>
              <w:t>风险物质</w:t>
            </w:r>
          </w:p>
          <w:p>
            <w:pPr>
              <w:pStyle w:val="51"/>
              <w:spacing w:before="0" w:line="360" w:lineRule="auto"/>
              <w:ind w:left="0" w:firstLine="480" w:firstLineChars="200"/>
              <w:outlineLvl w:val="9"/>
              <w:rPr>
                <w:rFonts w:ascii="Times New Roman" w:hAnsi="Times New Roman" w:eastAsia="新宋体"/>
                <w:sz w:val="24"/>
                <w:szCs w:val="24"/>
                <w:lang w:val="en-US"/>
              </w:rPr>
            </w:pPr>
            <w:r>
              <w:rPr>
                <w:rFonts w:ascii="Times New Roman" w:hAnsi="Times New Roman" w:eastAsia="新宋体"/>
                <w:sz w:val="24"/>
                <w:szCs w:val="24"/>
                <w:lang w:val="en-US"/>
              </w:rPr>
              <w:t>根据《建设项目环境风险评价技术导则》（HJ169-2018）、《危险化学品重大危险源辨识》（GB18218-2018）及原料MSDS，项目使用的原辅料均不属于</w:t>
            </w:r>
            <w:r>
              <w:rPr>
                <w:rFonts w:hint="eastAsia" w:ascii="Times New Roman" w:hAnsi="Times New Roman" w:eastAsia="新宋体"/>
                <w:sz w:val="24"/>
                <w:szCs w:val="24"/>
                <w:lang w:val="en-US"/>
              </w:rPr>
              <w:t>风险物质</w:t>
            </w:r>
            <w:r>
              <w:rPr>
                <w:rFonts w:ascii="Times New Roman" w:hAnsi="Times New Roman" w:eastAsia="新宋体"/>
                <w:sz w:val="24"/>
                <w:szCs w:val="24"/>
                <w:lang w:val="en-US"/>
              </w:rPr>
              <w:t>。</w:t>
            </w:r>
          </w:p>
          <w:p>
            <w:pPr>
              <w:pStyle w:val="51"/>
              <w:spacing w:before="0" w:line="360" w:lineRule="auto"/>
              <w:ind w:left="0" w:firstLine="480" w:firstLineChars="200"/>
              <w:outlineLvl w:val="9"/>
              <w:rPr>
                <w:rFonts w:ascii="Times New Roman" w:hAnsi="Times New Roman" w:eastAsia="新宋体"/>
                <w:sz w:val="24"/>
                <w:szCs w:val="24"/>
                <w:lang w:val="en-US"/>
              </w:rPr>
            </w:pPr>
            <w:r>
              <w:rPr>
                <w:rFonts w:hint="eastAsia" w:ascii="Times New Roman" w:hAnsi="Times New Roman" w:eastAsia="新宋体"/>
                <w:sz w:val="24"/>
                <w:szCs w:val="24"/>
                <w:lang w:val="en-US"/>
              </w:rPr>
              <w:t>②</w:t>
            </w:r>
            <w:r>
              <w:rPr>
                <w:rFonts w:ascii="Times New Roman" w:hAnsi="Times New Roman" w:eastAsia="新宋体"/>
                <w:sz w:val="24"/>
                <w:szCs w:val="24"/>
                <w:lang w:val="en-US"/>
              </w:rPr>
              <w:t>生产过程风险及最大可信事故</w:t>
            </w:r>
          </w:p>
          <w:p>
            <w:pPr>
              <w:pStyle w:val="51"/>
              <w:spacing w:before="0" w:line="360" w:lineRule="auto"/>
              <w:ind w:left="0" w:firstLine="480" w:firstLineChars="200"/>
              <w:outlineLvl w:val="9"/>
            </w:pPr>
            <w:r>
              <w:rPr>
                <w:rFonts w:ascii="Times New Roman" w:hAnsi="Times New Roman" w:eastAsia="新宋体"/>
                <w:sz w:val="24"/>
                <w:szCs w:val="24"/>
                <w:lang w:val="en-US"/>
              </w:rPr>
              <w:t>建设单位生产过程风险主要为火灾及原料泄漏等。企业风险源及泄漏途径、后果分析见下表。</w:t>
            </w:r>
          </w:p>
          <w:p>
            <w:pPr>
              <w:spacing w:line="240" w:lineRule="auto"/>
              <w:jc w:val="center"/>
              <w:rPr>
                <w:rFonts w:eastAsiaTheme="minorEastAsia"/>
                <w:b/>
                <w:bCs/>
                <w:sz w:val="24"/>
              </w:rPr>
            </w:pPr>
            <w:r>
              <w:rPr>
                <w:rFonts w:eastAsiaTheme="minorEastAsia"/>
                <w:b/>
                <w:bCs/>
                <w:sz w:val="24"/>
              </w:rPr>
              <w:t>表4-</w:t>
            </w:r>
            <w:r>
              <w:rPr>
                <w:rFonts w:hint="eastAsia" w:eastAsiaTheme="minorEastAsia"/>
                <w:b/>
                <w:bCs/>
                <w:sz w:val="24"/>
              </w:rPr>
              <w:t xml:space="preserve">19 </w:t>
            </w:r>
            <w:r>
              <w:rPr>
                <w:rFonts w:eastAsiaTheme="minorEastAsia"/>
                <w:b/>
                <w:bCs/>
                <w:sz w:val="24"/>
              </w:rPr>
              <w:t>风险分析内容表</w:t>
            </w:r>
          </w:p>
          <w:tbl>
            <w:tblPr>
              <w:tblStyle w:val="4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0"/>
              <w:gridCol w:w="1554"/>
              <w:gridCol w:w="984"/>
              <w:gridCol w:w="901"/>
              <w:gridCol w:w="2373"/>
              <w:gridCol w:w="17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13" w:type="pct"/>
                  <w:vAlign w:val="center"/>
                </w:tcPr>
                <w:p>
                  <w:pPr>
                    <w:spacing w:line="240" w:lineRule="auto"/>
                    <w:jc w:val="center"/>
                    <w:rPr>
                      <w:b/>
                      <w:sz w:val="21"/>
                      <w:szCs w:val="21"/>
                    </w:rPr>
                  </w:pPr>
                  <w:r>
                    <w:rPr>
                      <w:b/>
                      <w:sz w:val="21"/>
                      <w:szCs w:val="21"/>
                    </w:rPr>
                    <w:t>事故起因</w:t>
                  </w:r>
                </w:p>
              </w:tc>
              <w:tc>
                <w:tcPr>
                  <w:tcW w:w="916" w:type="pct"/>
                  <w:vAlign w:val="center"/>
                </w:tcPr>
                <w:p>
                  <w:pPr>
                    <w:spacing w:line="240" w:lineRule="auto"/>
                    <w:jc w:val="center"/>
                    <w:rPr>
                      <w:b/>
                      <w:sz w:val="21"/>
                      <w:szCs w:val="21"/>
                    </w:rPr>
                  </w:pPr>
                  <w:r>
                    <w:rPr>
                      <w:b/>
                      <w:sz w:val="21"/>
                      <w:szCs w:val="21"/>
                    </w:rPr>
                    <w:t>环境风险描述</w:t>
                  </w:r>
                </w:p>
              </w:tc>
              <w:tc>
                <w:tcPr>
                  <w:tcW w:w="580" w:type="pct"/>
                  <w:vAlign w:val="center"/>
                </w:tcPr>
                <w:p>
                  <w:pPr>
                    <w:spacing w:line="240" w:lineRule="auto"/>
                    <w:jc w:val="center"/>
                    <w:rPr>
                      <w:b/>
                      <w:sz w:val="21"/>
                      <w:szCs w:val="21"/>
                    </w:rPr>
                  </w:pPr>
                  <w:r>
                    <w:rPr>
                      <w:b/>
                      <w:sz w:val="21"/>
                      <w:szCs w:val="21"/>
                    </w:rPr>
                    <w:t>涉及化学品</w:t>
                  </w:r>
                </w:p>
              </w:tc>
              <w:tc>
                <w:tcPr>
                  <w:tcW w:w="531" w:type="pct"/>
                  <w:vAlign w:val="center"/>
                </w:tcPr>
                <w:p>
                  <w:pPr>
                    <w:spacing w:line="240" w:lineRule="auto"/>
                    <w:jc w:val="center"/>
                    <w:rPr>
                      <w:b/>
                      <w:sz w:val="21"/>
                      <w:szCs w:val="21"/>
                    </w:rPr>
                  </w:pPr>
                  <w:r>
                    <w:rPr>
                      <w:b/>
                      <w:sz w:val="21"/>
                      <w:szCs w:val="21"/>
                    </w:rPr>
                    <w:t>风险类别</w:t>
                  </w:r>
                </w:p>
              </w:tc>
              <w:tc>
                <w:tcPr>
                  <w:tcW w:w="1399" w:type="pct"/>
                  <w:vAlign w:val="center"/>
                </w:tcPr>
                <w:p>
                  <w:pPr>
                    <w:spacing w:line="240" w:lineRule="auto"/>
                    <w:jc w:val="center"/>
                    <w:rPr>
                      <w:b/>
                      <w:sz w:val="21"/>
                      <w:szCs w:val="21"/>
                    </w:rPr>
                  </w:pPr>
                  <w:r>
                    <w:rPr>
                      <w:b/>
                      <w:sz w:val="21"/>
                      <w:szCs w:val="21"/>
                    </w:rPr>
                    <w:t>途径及后果</w:t>
                  </w:r>
                </w:p>
              </w:tc>
              <w:tc>
                <w:tcPr>
                  <w:tcW w:w="1060" w:type="pct"/>
                  <w:vAlign w:val="center"/>
                </w:tcPr>
                <w:p>
                  <w:pPr>
                    <w:spacing w:line="240" w:lineRule="auto"/>
                    <w:jc w:val="center"/>
                    <w:rPr>
                      <w:b/>
                      <w:sz w:val="21"/>
                      <w:szCs w:val="21"/>
                    </w:rPr>
                  </w:pPr>
                  <w:r>
                    <w:rPr>
                      <w:b/>
                      <w:sz w:val="21"/>
                      <w:szCs w:val="21"/>
                    </w:rPr>
                    <w:t>风险防范措施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13" w:type="pct"/>
                  <w:vAlign w:val="center"/>
                </w:tcPr>
                <w:p>
                  <w:pPr>
                    <w:spacing w:line="240" w:lineRule="auto"/>
                    <w:jc w:val="center"/>
                    <w:rPr>
                      <w:sz w:val="21"/>
                      <w:szCs w:val="21"/>
                    </w:rPr>
                  </w:pPr>
                  <w:r>
                    <w:rPr>
                      <w:sz w:val="21"/>
                      <w:szCs w:val="21"/>
                    </w:rPr>
                    <w:t>化学品泄漏</w:t>
                  </w:r>
                </w:p>
              </w:tc>
              <w:tc>
                <w:tcPr>
                  <w:tcW w:w="916" w:type="pct"/>
                  <w:vAlign w:val="center"/>
                </w:tcPr>
                <w:p>
                  <w:pPr>
                    <w:spacing w:line="240" w:lineRule="auto"/>
                    <w:jc w:val="center"/>
                    <w:rPr>
                      <w:sz w:val="21"/>
                      <w:szCs w:val="21"/>
                    </w:rPr>
                  </w:pPr>
                  <w:r>
                    <w:rPr>
                      <w:sz w:val="21"/>
                      <w:szCs w:val="21"/>
                    </w:rPr>
                    <w:t>化学品进入水体</w:t>
                  </w:r>
                </w:p>
              </w:tc>
              <w:tc>
                <w:tcPr>
                  <w:tcW w:w="580" w:type="pct"/>
                  <w:vAlign w:val="center"/>
                </w:tcPr>
                <w:p>
                  <w:pPr>
                    <w:spacing w:line="240" w:lineRule="auto"/>
                    <w:jc w:val="center"/>
                    <w:rPr>
                      <w:sz w:val="21"/>
                      <w:szCs w:val="21"/>
                    </w:rPr>
                  </w:pPr>
                  <w:r>
                    <w:rPr>
                      <w:rFonts w:hint="eastAsia"/>
                      <w:kern w:val="0"/>
                      <w:sz w:val="21"/>
                      <w:szCs w:val="21"/>
                    </w:rPr>
                    <w:t>冷却液</w:t>
                  </w:r>
                </w:p>
              </w:tc>
              <w:tc>
                <w:tcPr>
                  <w:tcW w:w="531" w:type="pct"/>
                  <w:vAlign w:val="center"/>
                </w:tcPr>
                <w:p>
                  <w:pPr>
                    <w:spacing w:line="240" w:lineRule="auto"/>
                    <w:jc w:val="center"/>
                    <w:rPr>
                      <w:sz w:val="21"/>
                      <w:szCs w:val="21"/>
                    </w:rPr>
                  </w:pPr>
                  <w:r>
                    <w:rPr>
                      <w:sz w:val="21"/>
                      <w:szCs w:val="21"/>
                    </w:rPr>
                    <w:t>水环境</w:t>
                  </w:r>
                </w:p>
              </w:tc>
              <w:tc>
                <w:tcPr>
                  <w:tcW w:w="1399" w:type="pct"/>
                  <w:vAlign w:val="center"/>
                </w:tcPr>
                <w:p>
                  <w:pPr>
                    <w:spacing w:line="240" w:lineRule="auto"/>
                    <w:jc w:val="center"/>
                    <w:rPr>
                      <w:sz w:val="21"/>
                      <w:szCs w:val="21"/>
                    </w:rPr>
                  </w:pPr>
                  <w:r>
                    <w:rPr>
                      <w:sz w:val="21"/>
                      <w:szCs w:val="21"/>
                    </w:rPr>
                    <w:t>通过雨水管排放到附近水体，影响地表水水质，影响水生环境</w:t>
                  </w:r>
                </w:p>
              </w:tc>
              <w:tc>
                <w:tcPr>
                  <w:tcW w:w="1060" w:type="pct"/>
                  <w:vAlign w:val="center"/>
                </w:tcPr>
                <w:p>
                  <w:pPr>
                    <w:spacing w:line="240" w:lineRule="auto"/>
                    <w:jc w:val="center"/>
                    <w:rPr>
                      <w:sz w:val="21"/>
                      <w:szCs w:val="21"/>
                    </w:rPr>
                  </w:pPr>
                  <w:r>
                    <w:rPr>
                      <w:sz w:val="21"/>
                      <w:szCs w:val="21"/>
                    </w:rPr>
                    <w:t>仓库设置沟槽。现场配置泄漏吸附收集等应急器材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13" w:type="pct"/>
                  <w:vMerge w:val="restart"/>
                  <w:vAlign w:val="center"/>
                </w:tcPr>
                <w:p>
                  <w:pPr>
                    <w:spacing w:line="240" w:lineRule="auto"/>
                    <w:jc w:val="center"/>
                    <w:rPr>
                      <w:sz w:val="21"/>
                      <w:szCs w:val="21"/>
                    </w:rPr>
                  </w:pPr>
                  <w:r>
                    <w:rPr>
                      <w:sz w:val="21"/>
                      <w:szCs w:val="21"/>
                    </w:rPr>
                    <w:t>火灾</w:t>
                  </w:r>
                </w:p>
              </w:tc>
              <w:tc>
                <w:tcPr>
                  <w:tcW w:w="916" w:type="pct"/>
                  <w:vAlign w:val="center"/>
                </w:tcPr>
                <w:p>
                  <w:pPr>
                    <w:spacing w:line="240" w:lineRule="auto"/>
                    <w:jc w:val="center"/>
                    <w:rPr>
                      <w:sz w:val="21"/>
                      <w:szCs w:val="21"/>
                    </w:rPr>
                  </w:pPr>
                  <w:r>
                    <w:rPr>
                      <w:sz w:val="21"/>
                      <w:szCs w:val="21"/>
                    </w:rPr>
                    <w:t>燃烧烟尘及污染物污染周围大气环境</w:t>
                  </w:r>
                </w:p>
              </w:tc>
              <w:tc>
                <w:tcPr>
                  <w:tcW w:w="580" w:type="pct"/>
                  <w:vAlign w:val="center"/>
                </w:tcPr>
                <w:p>
                  <w:pPr>
                    <w:spacing w:line="240" w:lineRule="auto"/>
                    <w:jc w:val="center"/>
                    <w:rPr>
                      <w:sz w:val="21"/>
                      <w:szCs w:val="21"/>
                    </w:rPr>
                  </w:pPr>
                  <w:r>
                    <w:rPr>
                      <w:sz w:val="21"/>
                      <w:szCs w:val="21"/>
                    </w:rPr>
                    <w:t>CO、TSP</w:t>
                  </w:r>
                </w:p>
              </w:tc>
              <w:tc>
                <w:tcPr>
                  <w:tcW w:w="531" w:type="pct"/>
                  <w:vAlign w:val="center"/>
                </w:tcPr>
                <w:p>
                  <w:pPr>
                    <w:spacing w:line="240" w:lineRule="auto"/>
                    <w:jc w:val="center"/>
                    <w:rPr>
                      <w:sz w:val="21"/>
                      <w:szCs w:val="21"/>
                    </w:rPr>
                  </w:pPr>
                  <w:r>
                    <w:rPr>
                      <w:sz w:val="21"/>
                      <w:szCs w:val="21"/>
                    </w:rPr>
                    <w:t>大气环境</w:t>
                  </w:r>
                </w:p>
              </w:tc>
              <w:tc>
                <w:tcPr>
                  <w:tcW w:w="1399" w:type="pct"/>
                  <w:vAlign w:val="center"/>
                </w:tcPr>
                <w:p>
                  <w:pPr>
                    <w:spacing w:line="240" w:lineRule="auto"/>
                    <w:jc w:val="center"/>
                    <w:rPr>
                      <w:sz w:val="21"/>
                      <w:szCs w:val="21"/>
                    </w:rPr>
                  </w:pPr>
                  <w:r>
                    <w:rPr>
                      <w:sz w:val="21"/>
                      <w:szCs w:val="21"/>
                    </w:rPr>
                    <w:t>通过燃烧烟气扩散，对周围大气环境造成短时污染</w:t>
                  </w:r>
                </w:p>
              </w:tc>
              <w:tc>
                <w:tcPr>
                  <w:tcW w:w="1060" w:type="pct"/>
                  <w:vMerge w:val="restart"/>
                  <w:vAlign w:val="center"/>
                </w:tcPr>
                <w:p>
                  <w:pPr>
                    <w:spacing w:line="240" w:lineRule="auto"/>
                    <w:jc w:val="center"/>
                    <w:rPr>
                      <w:sz w:val="21"/>
                      <w:szCs w:val="21"/>
                    </w:rPr>
                  </w:pPr>
                  <w:r>
                    <w:rPr>
                      <w:sz w:val="21"/>
                      <w:szCs w:val="21"/>
                    </w:rPr>
                    <w:t>落实防止火灾措施，发生火灾时可封堵雨水井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13" w:type="pct"/>
                  <w:vMerge w:val="continue"/>
                  <w:vAlign w:val="center"/>
                </w:tcPr>
                <w:p>
                  <w:pPr>
                    <w:spacing w:line="240" w:lineRule="auto"/>
                    <w:jc w:val="center"/>
                    <w:rPr>
                      <w:sz w:val="21"/>
                      <w:szCs w:val="21"/>
                    </w:rPr>
                  </w:pPr>
                </w:p>
              </w:tc>
              <w:tc>
                <w:tcPr>
                  <w:tcW w:w="916" w:type="pct"/>
                  <w:vAlign w:val="center"/>
                </w:tcPr>
                <w:p>
                  <w:pPr>
                    <w:spacing w:line="240" w:lineRule="auto"/>
                    <w:jc w:val="center"/>
                    <w:rPr>
                      <w:sz w:val="21"/>
                      <w:szCs w:val="21"/>
                    </w:rPr>
                  </w:pPr>
                  <w:r>
                    <w:rPr>
                      <w:sz w:val="21"/>
                      <w:szCs w:val="21"/>
                    </w:rPr>
                    <w:t>消防废水进入附近水体</w:t>
                  </w:r>
                </w:p>
              </w:tc>
              <w:tc>
                <w:tcPr>
                  <w:tcW w:w="580" w:type="pct"/>
                  <w:vAlign w:val="center"/>
                </w:tcPr>
                <w:p>
                  <w:pPr>
                    <w:spacing w:line="240" w:lineRule="auto"/>
                    <w:jc w:val="center"/>
                    <w:rPr>
                      <w:sz w:val="21"/>
                      <w:szCs w:val="21"/>
                    </w:rPr>
                  </w:pPr>
                  <w:r>
                    <w:rPr>
                      <w:sz w:val="21"/>
                      <w:szCs w:val="21"/>
                    </w:rPr>
                    <w:t>COD等</w:t>
                  </w:r>
                </w:p>
              </w:tc>
              <w:tc>
                <w:tcPr>
                  <w:tcW w:w="531" w:type="pct"/>
                  <w:vAlign w:val="center"/>
                </w:tcPr>
                <w:p>
                  <w:pPr>
                    <w:spacing w:line="240" w:lineRule="auto"/>
                    <w:jc w:val="center"/>
                    <w:rPr>
                      <w:sz w:val="21"/>
                      <w:szCs w:val="21"/>
                    </w:rPr>
                  </w:pPr>
                  <w:r>
                    <w:rPr>
                      <w:sz w:val="21"/>
                      <w:szCs w:val="21"/>
                    </w:rPr>
                    <w:t>水环境</w:t>
                  </w:r>
                </w:p>
              </w:tc>
              <w:tc>
                <w:tcPr>
                  <w:tcW w:w="1399" w:type="pct"/>
                  <w:vAlign w:val="center"/>
                </w:tcPr>
                <w:p>
                  <w:pPr>
                    <w:spacing w:line="240" w:lineRule="auto"/>
                    <w:jc w:val="center"/>
                    <w:rPr>
                      <w:sz w:val="21"/>
                      <w:szCs w:val="21"/>
                    </w:rPr>
                  </w:pPr>
                  <w:r>
                    <w:rPr>
                      <w:sz w:val="21"/>
                      <w:szCs w:val="21"/>
                    </w:rPr>
                    <w:t>通过雨水管对附近地表水水质造成影响</w:t>
                  </w:r>
                </w:p>
              </w:tc>
              <w:tc>
                <w:tcPr>
                  <w:tcW w:w="1060" w:type="pct"/>
                  <w:vMerge w:val="continue"/>
                  <w:vAlign w:val="center"/>
                </w:tcPr>
                <w:p>
                  <w:pPr>
                    <w:spacing w:line="240" w:lineRule="auto"/>
                    <w:jc w:val="center"/>
                    <w:rPr>
                      <w:sz w:val="21"/>
                      <w:szCs w:val="21"/>
                    </w:rPr>
                  </w:pPr>
                </w:p>
              </w:tc>
            </w:tr>
          </w:tbl>
          <w:p>
            <w:pPr>
              <w:ind w:firstLine="480" w:firstLineChars="200"/>
              <w:rPr>
                <w:rFonts w:eastAsia="新宋体"/>
                <w:sz w:val="24"/>
              </w:rPr>
            </w:pPr>
            <w:r>
              <w:rPr>
                <w:rFonts w:eastAsia="新宋体"/>
                <w:sz w:val="24"/>
              </w:rPr>
              <w:t>（2）风险影响分析</w:t>
            </w:r>
          </w:p>
          <w:p>
            <w:pPr>
              <w:ind w:firstLine="480" w:firstLineChars="200"/>
              <w:rPr>
                <w:rFonts w:eastAsia="新宋体"/>
                <w:sz w:val="24"/>
              </w:rPr>
            </w:pPr>
            <w:r>
              <w:rPr>
                <w:rFonts w:hint="eastAsia" w:eastAsia="新宋体"/>
                <w:sz w:val="24"/>
              </w:rPr>
              <w:t>①</w:t>
            </w:r>
            <w:r>
              <w:rPr>
                <w:rFonts w:eastAsia="新宋体"/>
                <w:sz w:val="24"/>
              </w:rPr>
              <w:t>火灾事故后果分析</w:t>
            </w:r>
          </w:p>
          <w:p>
            <w:pPr>
              <w:ind w:firstLine="480" w:firstLineChars="200"/>
              <w:rPr>
                <w:rFonts w:eastAsia="新宋体"/>
                <w:sz w:val="24"/>
              </w:rPr>
            </w:pPr>
            <w:r>
              <w:rPr>
                <w:rFonts w:eastAsia="新宋体"/>
                <w:sz w:val="24"/>
              </w:rPr>
              <w:t>引发火灾的因素是明火管理不当、设备及线路老化等。火灾一旦发生，对周围环境影响严重。为了防止火灾事故、泄漏事故等危险因素发生，建议采取以下措施：</w:t>
            </w:r>
          </w:p>
          <w:p>
            <w:pPr>
              <w:ind w:firstLine="480" w:firstLineChars="200"/>
              <w:rPr>
                <w:rFonts w:eastAsia="新宋体"/>
                <w:sz w:val="24"/>
              </w:rPr>
            </w:pPr>
            <w:r>
              <w:rPr>
                <w:rFonts w:eastAsia="新宋体"/>
                <w:sz w:val="24"/>
              </w:rPr>
              <w:t>A、总平面布置根据功能分区布置，各构筑物均按火灾危险等级要求进行设计，生产车间及仓库、危险废物贮场等地面应根据需要做防腐防渗处理。</w:t>
            </w:r>
          </w:p>
          <w:p>
            <w:pPr>
              <w:ind w:firstLine="480" w:firstLineChars="200"/>
              <w:rPr>
                <w:rFonts w:eastAsia="新宋体"/>
                <w:sz w:val="24"/>
              </w:rPr>
            </w:pPr>
            <w:r>
              <w:rPr>
                <w:rFonts w:eastAsia="新宋体"/>
                <w:sz w:val="24"/>
              </w:rPr>
              <w:t>B、生产现场设置各种安全标志。</w:t>
            </w:r>
          </w:p>
          <w:p>
            <w:pPr>
              <w:ind w:firstLine="480" w:firstLineChars="200"/>
              <w:rPr>
                <w:rFonts w:eastAsia="新宋体"/>
                <w:sz w:val="24"/>
              </w:rPr>
            </w:pPr>
            <w:r>
              <w:rPr>
                <w:rFonts w:eastAsia="新宋体"/>
                <w:sz w:val="24"/>
              </w:rPr>
              <w:t>C、车间应禁止明火。</w:t>
            </w:r>
          </w:p>
          <w:p>
            <w:pPr>
              <w:ind w:firstLine="480" w:firstLineChars="200"/>
              <w:rPr>
                <w:rFonts w:eastAsia="新宋体"/>
                <w:sz w:val="24"/>
              </w:rPr>
            </w:pPr>
            <w:r>
              <w:rPr>
                <w:rFonts w:eastAsia="新宋体"/>
                <w:sz w:val="24"/>
              </w:rPr>
              <w:t>D、做好人员培训工作，要求职工持证上岗，规范操作机械设备及流程。</w:t>
            </w:r>
          </w:p>
          <w:p>
            <w:pPr>
              <w:ind w:firstLine="480" w:firstLineChars="200"/>
              <w:rPr>
                <w:rFonts w:eastAsia="新宋体"/>
                <w:sz w:val="24"/>
              </w:rPr>
            </w:pPr>
            <w:r>
              <w:rPr>
                <w:rFonts w:eastAsia="新宋体"/>
                <w:sz w:val="24"/>
              </w:rPr>
              <w:t>项目总图布置符合《建筑设计防火规范》（GB50016-2014）的有关规定。根据现场勘查结果，企业生产车间切实做到通风、防晒、防火、防爆，并按照国家标准和国家有关规定进行维护、保养，保证符合安全运行要求，车间设置了基本的消防及火灾报警系统。</w:t>
            </w:r>
          </w:p>
          <w:p>
            <w:pPr>
              <w:ind w:firstLine="480" w:firstLineChars="200"/>
              <w:rPr>
                <w:rFonts w:eastAsia="新宋体"/>
                <w:sz w:val="24"/>
              </w:rPr>
            </w:pPr>
            <w:r>
              <w:rPr>
                <w:rFonts w:hint="eastAsia" w:eastAsia="新宋体"/>
                <w:sz w:val="24"/>
              </w:rPr>
              <w:t>②</w:t>
            </w:r>
            <w:r>
              <w:rPr>
                <w:rFonts w:eastAsia="新宋体"/>
                <w:sz w:val="24"/>
              </w:rPr>
              <w:t>原料泄漏</w:t>
            </w:r>
          </w:p>
          <w:p>
            <w:pPr>
              <w:ind w:firstLine="480" w:firstLineChars="200"/>
              <w:rPr>
                <w:rFonts w:eastAsia="新宋体"/>
                <w:sz w:val="24"/>
              </w:rPr>
            </w:pPr>
            <w:r>
              <w:rPr>
                <w:rFonts w:eastAsia="新宋体"/>
                <w:sz w:val="24"/>
              </w:rPr>
              <w:t>一旦出现泄漏，</w:t>
            </w:r>
            <w:r>
              <w:rPr>
                <w:rFonts w:hint="eastAsia" w:eastAsia="新宋体"/>
                <w:sz w:val="24"/>
              </w:rPr>
              <w:t>冷却液</w:t>
            </w:r>
            <w:r>
              <w:rPr>
                <w:rFonts w:eastAsia="新宋体"/>
                <w:sz w:val="24"/>
              </w:rPr>
              <w:t>易被带出车间进入水体，对环境造成危害，在加强管理和采取措施情况下是风险是可控的。为避免泄漏的化学品进入水体，要求在仓库原料储存区设置沟槽，将泄漏物控制在储存区范围内</w:t>
            </w:r>
            <w:r>
              <w:rPr>
                <w:rFonts w:hint="eastAsia" w:eastAsia="新宋体"/>
                <w:sz w:val="24"/>
              </w:rPr>
              <w:t>；同时</w:t>
            </w:r>
            <w:r>
              <w:rPr>
                <w:rFonts w:eastAsia="新宋体"/>
                <w:snapToGrid w:val="0"/>
                <w:kern w:val="0"/>
                <w:sz w:val="24"/>
              </w:rPr>
              <w:t>陆河比亚迪车工业园</w:t>
            </w:r>
            <w:r>
              <w:rPr>
                <w:rFonts w:hint="eastAsia" w:eastAsia="新宋体"/>
                <w:snapToGrid w:val="0"/>
                <w:kern w:val="0"/>
                <w:sz w:val="24"/>
              </w:rPr>
              <w:t>园区已设置一座容积为3</w:t>
            </w:r>
            <w:r>
              <w:rPr>
                <w:rFonts w:eastAsia="新宋体"/>
                <w:snapToGrid w:val="0"/>
                <w:kern w:val="0"/>
                <w:sz w:val="24"/>
              </w:rPr>
              <w:t>00</w:t>
            </w:r>
            <w:r>
              <w:rPr>
                <w:rFonts w:hint="eastAsia" w:eastAsia="新宋体"/>
                <w:snapToGrid w:val="0"/>
                <w:kern w:val="0"/>
                <w:sz w:val="24"/>
              </w:rPr>
              <w:t>m</w:t>
            </w:r>
            <w:r>
              <w:rPr>
                <w:rFonts w:eastAsia="新宋体"/>
                <w:snapToGrid w:val="0"/>
                <w:kern w:val="0"/>
                <w:sz w:val="24"/>
                <w:vertAlign w:val="superscript"/>
              </w:rPr>
              <w:t>3</w:t>
            </w:r>
            <w:r>
              <w:rPr>
                <w:rFonts w:hint="eastAsia" w:eastAsia="新宋体"/>
                <w:snapToGrid w:val="0"/>
                <w:kern w:val="0"/>
                <w:sz w:val="24"/>
              </w:rPr>
              <w:t>的应急池</w:t>
            </w:r>
            <w:r>
              <w:rPr>
                <w:rFonts w:hint="eastAsia" w:eastAsia="新宋体"/>
                <w:sz w:val="24"/>
              </w:rPr>
              <w:t>，冷却液最大泄漏量为1m</w:t>
            </w:r>
            <w:r>
              <w:rPr>
                <w:rFonts w:eastAsia="新宋体"/>
                <w:sz w:val="24"/>
                <w:vertAlign w:val="superscript"/>
              </w:rPr>
              <w:t>3</w:t>
            </w:r>
            <w:r>
              <w:rPr>
                <w:rFonts w:hint="eastAsia" w:eastAsia="新宋体"/>
                <w:sz w:val="24"/>
              </w:rPr>
              <w:t>，若泄露的冷却液泄漏至厂区外时可经收集沟进行收集，可满足泄露的冷却液的收集。</w:t>
            </w:r>
          </w:p>
          <w:p>
            <w:pPr>
              <w:ind w:firstLine="480" w:firstLineChars="200"/>
            </w:pPr>
            <w:r>
              <w:rPr>
                <w:rFonts w:eastAsia="新宋体"/>
                <w:sz w:val="24"/>
              </w:rPr>
              <w:t>正常生产情况下，建设单位按照本环评要求加强管理和设备的维护，并设立完善的预防措施和预警系统，并配备必要的设备设施，制定严格的安全操作规程和维修维护措施，项目的环境风险在可接受范围内。一旦发生事故，因为防护措施得力并反应迅速，可把事故造成的影响降到最小。所以项目在环境风险方面来说是可控制的。</w:t>
            </w:r>
          </w:p>
        </w:tc>
      </w:tr>
    </w:tbl>
    <w:p>
      <w:pPr>
        <w:sectPr>
          <w:pgSz w:w="11907" w:h="16840"/>
          <w:pgMar w:top="1418" w:right="1418" w:bottom="1418" w:left="1418" w:header="851" w:footer="992" w:gutter="0"/>
          <w:cols w:space="720" w:num="1"/>
          <w:docGrid w:linePitch="381" w:charSpace="0"/>
        </w:sectPr>
      </w:pPr>
    </w:p>
    <w:p>
      <w:pPr>
        <w:pStyle w:val="36"/>
        <w:spacing w:beforeLines="100" w:beforeAutospacing="0" w:afterLines="100" w:afterAutospacing="0"/>
        <w:jc w:val="center"/>
        <w:outlineLvl w:val="0"/>
        <w:rPr>
          <w:rFonts w:ascii="Times New Roman" w:hAnsi="Times New Roman" w:eastAsia="黑体" w:cs="Times New Roman"/>
          <w:snapToGrid w:val="0"/>
          <w:sz w:val="30"/>
          <w:szCs w:val="30"/>
        </w:rPr>
      </w:pPr>
      <w:r>
        <w:rPr>
          <w:rFonts w:ascii="Times New Roman" w:hAnsi="Times New Roman" w:eastAsia="黑体" w:cs="Times New Roman"/>
          <w:snapToGrid w:val="0"/>
          <w:sz w:val="30"/>
          <w:szCs w:val="30"/>
        </w:rPr>
        <w:t>五、</w:t>
      </w:r>
      <w:bookmarkStart w:id="2" w:name="_Hlk54167917"/>
      <w:r>
        <w:rPr>
          <w:rFonts w:ascii="Times New Roman" w:hAnsi="Times New Roman" w:eastAsia="黑体" w:cs="Times New Roman"/>
          <w:snapToGrid w:val="0"/>
          <w:sz w:val="30"/>
          <w:szCs w:val="30"/>
        </w:rPr>
        <w:t>环境保护措施监督检查清单</w:t>
      </w:r>
      <w:bookmarkEnd w:id="2"/>
    </w:p>
    <w:tbl>
      <w:tblPr>
        <w:tblStyle w:val="4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45"/>
        <w:gridCol w:w="1509"/>
        <w:gridCol w:w="1018"/>
        <w:gridCol w:w="1600"/>
        <w:gridCol w:w="391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3" w:type="dxa"/>
            <w:tcBorders>
              <w:tl2br w:val="single" w:color="auto" w:sz="4" w:space="0"/>
            </w:tcBorders>
          </w:tcPr>
          <w:p>
            <w:pPr>
              <w:spacing w:line="240" w:lineRule="auto"/>
              <w:jc w:val="right"/>
              <w:rPr>
                <w:b/>
                <w:bCs/>
                <w:sz w:val="21"/>
                <w:szCs w:val="21"/>
              </w:rPr>
            </w:pPr>
            <w:r>
              <w:rPr>
                <w:b/>
                <w:bCs/>
                <w:sz w:val="21"/>
                <w:szCs w:val="21"/>
              </w:rPr>
              <w:t>内容</w:t>
            </w:r>
          </w:p>
          <w:p>
            <w:pPr>
              <w:spacing w:line="240" w:lineRule="auto"/>
              <w:rPr>
                <w:b/>
                <w:bCs/>
                <w:sz w:val="21"/>
                <w:szCs w:val="21"/>
              </w:rPr>
            </w:pPr>
            <w:r>
              <w:rPr>
                <w:b/>
                <w:bCs/>
                <w:sz w:val="21"/>
                <w:szCs w:val="21"/>
              </w:rPr>
              <w:t>要素</w:t>
            </w:r>
          </w:p>
        </w:tc>
        <w:tc>
          <w:tcPr>
            <w:tcW w:w="1471" w:type="dxa"/>
            <w:vAlign w:val="center"/>
          </w:tcPr>
          <w:p>
            <w:pPr>
              <w:spacing w:line="240" w:lineRule="auto"/>
              <w:jc w:val="center"/>
              <w:rPr>
                <w:b/>
                <w:bCs/>
                <w:sz w:val="21"/>
                <w:szCs w:val="21"/>
              </w:rPr>
            </w:pPr>
            <w:r>
              <w:rPr>
                <w:b/>
                <w:bCs/>
                <w:sz w:val="21"/>
                <w:szCs w:val="21"/>
              </w:rPr>
              <w:t>排放口（编号、名称）/污染源</w:t>
            </w:r>
          </w:p>
        </w:tc>
        <w:tc>
          <w:tcPr>
            <w:tcW w:w="992" w:type="dxa"/>
            <w:vAlign w:val="center"/>
          </w:tcPr>
          <w:p>
            <w:pPr>
              <w:spacing w:line="240" w:lineRule="auto"/>
              <w:jc w:val="center"/>
              <w:rPr>
                <w:b/>
                <w:bCs/>
                <w:sz w:val="21"/>
                <w:szCs w:val="21"/>
              </w:rPr>
            </w:pPr>
            <w:r>
              <w:rPr>
                <w:b/>
                <w:bCs/>
                <w:sz w:val="21"/>
                <w:szCs w:val="21"/>
              </w:rPr>
              <w:t>污染物项目</w:t>
            </w:r>
          </w:p>
        </w:tc>
        <w:tc>
          <w:tcPr>
            <w:tcW w:w="1559" w:type="dxa"/>
            <w:vAlign w:val="center"/>
          </w:tcPr>
          <w:p>
            <w:pPr>
              <w:spacing w:line="240" w:lineRule="auto"/>
              <w:jc w:val="center"/>
              <w:rPr>
                <w:b/>
                <w:bCs/>
                <w:sz w:val="21"/>
                <w:szCs w:val="21"/>
              </w:rPr>
            </w:pPr>
            <w:r>
              <w:rPr>
                <w:b/>
                <w:bCs/>
                <w:sz w:val="21"/>
                <w:szCs w:val="21"/>
              </w:rPr>
              <w:t>环境保护措施</w:t>
            </w:r>
          </w:p>
        </w:tc>
        <w:tc>
          <w:tcPr>
            <w:tcW w:w="3815" w:type="dxa"/>
            <w:vAlign w:val="center"/>
          </w:tcPr>
          <w:p>
            <w:pPr>
              <w:spacing w:line="240" w:lineRule="auto"/>
              <w:jc w:val="center"/>
              <w:rPr>
                <w:b/>
                <w:bCs/>
                <w:sz w:val="21"/>
                <w:szCs w:val="21"/>
              </w:rPr>
            </w:pPr>
            <w:r>
              <w:rPr>
                <w:b/>
                <w:bCs/>
                <w:sz w:val="21"/>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3" w:type="dxa"/>
            <w:vAlign w:val="center"/>
          </w:tcPr>
          <w:p>
            <w:pPr>
              <w:spacing w:line="240" w:lineRule="auto"/>
              <w:jc w:val="center"/>
              <w:rPr>
                <w:sz w:val="21"/>
                <w:szCs w:val="21"/>
              </w:rPr>
            </w:pPr>
            <w:r>
              <w:rPr>
                <w:sz w:val="21"/>
                <w:szCs w:val="21"/>
              </w:rPr>
              <w:t>大气环境</w:t>
            </w:r>
          </w:p>
        </w:tc>
        <w:tc>
          <w:tcPr>
            <w:tcW w:w="1471" w:type="dxa"/>
            <w:vAlign w:val="center"/>
          </w:tcPr>
          <w:p>
            <w:pPr>
              <w:spacing w:line="240" w:lineRule="auto"/>
              <w:jc w:val="center"/>
              <w:rPr>
                <w:sz w:val="21"/>
                <w:szCs w:val="21"/>
              </w:rPr>
            </w:pPr>
            <w:r>
              <w:rPr>
                <w:rStyle w:val="48"/>
                <w:rFonts w:hint="eastAsia"/>
              </w:rPr>
              <w:t>无组织</w:t>
            </w:r>
          </w:p>
        </w:tc>
        <w:tc>
          <w:tcPr>
            <w:tcW w:w="992" w:type="dxa"/>
            <w:vAlign w:val="center"/>
          </w:tcPr>
          <w:p>
            <w:pPr>
              <w:pStyle w:val="93"/>
              <w:spacing w:before="0" w:line="240" w:lineRule="auto"/>
              <w:textAlignment w:val="auto"/>
              <w:rPr>
                <w:rFonts w:ascii="Times New Roman"/>
                <w:sz w:val="21"/>
                <w:szCs w:val="21"/>
              </w:rPr>
            </w:pPr>
            <w:r>
              <w:rPr>
                <w:rStyle w:val="48"/>
                <w:rFonts w:ascii="Times New Roman"/>
                <w:kern w:val="2"/>
              </w:rPr>
              <w:t>VOCs</w:t>
            </w:r>
            <w:r>
              <w:rPr>
                <w:rFonts w:ascii="Times New Roman"/>
                <w:sz w:val="21"/>
                <w:szCs w:val="21"/>
              </w:rPr>
              <w:t xml:space="preserve"> </w:t>
            </w:r>
          </w:p>
        </w:tc>
        <w:tc>
          <w:tcPr>
            <w:tcW w:w="1559" w:type="dxa"/>
            <w:vAlign w:val="center"/>
          </w:tcPr>
          <w:p>
            <w:pPr>
              <w:spacing w:line="240" w:lineRule="auto"/>
              <w:jc w:val="center"/>
              <w:rPr>
                <w:sz w:val="21"/>
                <w:szCs w:val="21"/>
              </w:rPr>
            </w:pPr>
            <w:r>
              <w:rPr>
                <w:rFonts w:eastAsia="新宋体"/>
                <w:sz w:val="21"/>
                <w:szCs w:val="21"/>
              </w:rPr>
              <w:t>车间净化系统处理后后，通过</w:t>
            </w:r>
            <w:r>
              <w:rPr>
                <w:rFonts w:hint="eastAsia" w:eastAsia="新宋体"/>
                <w:sz w:val="21"/>
                <w:szCs w:val="21"/>
              </w:rPr>
              <w:t>车间抽风</w:t>
            </w:r>
            <w:r>
              <w:rPr>
                <w:rFonts w:eastAsia="新宋体"/>
                <w:sz w:val="21"/>
                <w:szCs w:val="21"/>
              </w:rPr>
              <w:t>排至车间外部</w:t>
            </w:r>
          </w:p>
        </w:tc>
        <w:tc>
          <w:tcPr>
            <w:tcW w:w="3815" w:type="dxa"/>
            <w:vAlign w:val="center"/>
          </w:tcPr>
          <w:p>
            <w:pPr>
              <w:spacing w:line="240" w:lineRule="auto"/>
              <w:jc w:val="center"/>
              <w:rPr>
                <w:sz w:val="21"/>
                <w:szCs w:val="21"/>
              </w:rPr>
            </w:pPr>
            <w:r>
              <w:rPr>
                <w:sz w:val="21"/>
                <w:szCs w:val="21"/>
              </w:rPr>
              <w:t>执行《家具制造行业挥发性有机化合物排放标准》（DB 44/814-2010）表2无组织排放监控点浓度限值</w:t>
            </w:r>
            <w:r>
              <w:rPr>
                <w:rFonts w:hint="eastAsia"/>
                <w:sz w:val="21"/>
                <w:szCs w:val="21"/>
              </w:rPr>
              <w:t>，《挥发性有机物无组织排放控制标准》（GB37822-2019）附录A.1中的特别排放限值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213" w:type="dxa"/>
            <w:vMerge w:val="restart"/>
            <w:vAlign w:val="center"/>
          </w:tcPr>
          <w:p>
            <w:pPr>
              <w:spacing w:line="240" w:lineRule="auto"/>
              <w:jc w:val="center"/>
              <w:rPr>
                <w:sz w:val="21"/>
                <w:szCs w:val="21"/>
              </w:rPr>
            </w:pPr>
            <w:r>
              <w:rPr>
                <w:sz w:val="21"/>
                <w:szCs w:val="21"/>
              </w:rPr>
              <w:t>地表水环境</w:t>
            </w:r>
          </w:p>
        </w:tc>
        <w:tc>
          <w:tcPr>
            <w:tcW w:w="1471" w:type="dxa"/>
            <w:vAlign w:val="center"/>
          </w:tcPr>
          <w:p>
            <w:pPr>
              <w:spacing w:line="240" w:lineRule="auto"/>
              <w:jc w:val="center"/>
              <w:rPr>
                <w:sz w:val="21"/>
                <w:szCs w:val="21"/>
              </w:rPr>
            </w:pPr>
            <w:r>
              <w:rPr>
                <w:rFonts w:eastAsia="新宋体"/>
                <w:sz w:val="21"/>
                <w:szCs w:val="21"/>
              </w:rPr>
              <w:t>生活污水</w:t>
            </w:r>
          </w:p>
        </w:tc>
        <w:tc>
          <w:tcPr>
            <w:tcW w:w="992" w:type="dxa"/>
            <w:vAlign w:val="center"/>
          </w:tcPr>
          <w:p>
            <w:pPr>
              <w:spacing w:line="240" w:lineRule="auto"/>
              <w:jc w:val="center"/>
              <w:rPr>
                <w:sz w:val="21"/>
                <w:szCs w:val="21"/>
              </w:rPr>
            </w:pPr>
            <w:r>
              <w:rPr>
                <w:rFonts w:eastAsia="新宋体"/>
                <w:sz w:val="21"/>
                <w:szCs w:val="21"/>
              </w:rPr>
              <w:t>CODcr、BOD</w:t>
            </w:r>
            <w:r>
              <w:rPr>
                <w:rFonts w:eastAsia="新宋体"/>
                <w:sz w:val="21"/>
                <w:szCs w:val="21"/>
                <w:vertAlign w:val="subscript"/>
              </w:rPr>
              <w:t>5</w:t>
            </w:r>
            <w:r>
              <w:rPr>
                <w:rFonts w:eastAsia="新宋体"/>
                <w:sz w:val="21"/>
                <w:szCs w:val="21"/>
              </w:rPr>
              <w:t>、氨氮、SS</w:t>
            </w:r>
          </w:p>
        </w:tc>
        <w:tc>
          <w:tcPr>
            <w:tcW w:w="1559" w:type="dxa"/>
            <w:vAlign w:val="center"/>
          </w:tcPr>
          <w:p>
            <w:pPr>
              <w:spacing w:line="240" w:lineRule="auto"/>
              <w:jc w:val="center"/>
              <w:rPr>
                <w:sz w:val="21"/>
                <w:szCs w:val="21"/>
              </w:rPr>
            </w:pPr>
            <w:r>
              <w:rPr>
                <w:sz w:val="21"/>
                <w:szCs w:val="21"/>
              </w:rPr>
              <w:t>三级化粪池</w:t>
            </w:r>
            <w:r>
              <w:rPr>
                <w:rFonts w:hint="eastAsia" w:eastAsia="新宋体"/>
                <w:sz w:val="21"/>
                <w:szCs w:val="21"/>
              </w:rPr>
              <w:t>预处理后排入市政污水管网</w:t>
            </w:r>
          </w:p>
        </w:tc>
        <w:tc>
          <w:tcPr>
            <w:tcW w:w="3815" w:type="dxa"/>
            <w:vAlign w:val="center"/>
          </w:tcPr>
          <w:p>
            <w:pPr>
              <w:spacing w:line="240" w:lineRule="auto"/>
              <w:jc w:val="center"/>
              <w:rPr>
                <w:sz w:val="21"/>
                <w:szCs w:val="21"/>
              </w:rPr>
            </w:pPr>
            <w:r>
              <w:rPr>
                <w:sz w:val="21"/>
                <w:szCs w:val="21"/>
              </w:rPr>
              <w:t>执行河口镇污水处理厂接管标准及广东省《水污染物排放限值》（DB44/26-2001）第二时段三级标准两者较严值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213" w:type="dxa"/>
            <w:vMerge w:val="continue"/>
            <w:vAlign w:val="center"/>
          </w:tcPr>
          <w:p>
            <w:pPr>
              <w:spacing w:line="240" w:lineRule="auto"/>
              <w:jc w:val="center"/>
            </w:pPr>
          </w:p>
        </w:tc>
        <w:tc>
          <w:tcPr>
            <w:tcW w:w="1471" w:type="dxa"/>
            <w:vAlign w:val="center"/>
          </w:tcPr>
          <w:p>
            <w:pPr>
              <w:spacing w:line="240" w:lineRule="auto"/>
              <w:jc w:val="center"/>
              <w:rPr>
                <w:rFonts w:eastAsia="新宋体"/>
                <w:sz w:val="21"/>
                <w:szCs w:val="21"/>
              </w:rPr>
            </w:pPr>
            <w:r>
              <w:rPr>
                <w:rFonts w:eastAsia="新宋体"/>
                <w:sz w:val="21"/>
                <w:szCs w:val="21"/>
              </w:rPr>
              <w:t>淋雨测试废水</w:t>
            </w:r>
          </w:p>
        </w:tc>
        <w:tc>
          <w:tcPr>
            <w:tcW w:w="992" w:type="dxa"/>
            <w:vAlign w:val="center"/>
          </w:tcPr>
          <w:p>
            <w:pPr>
              <w:spacing w:line="240" w:lineRule="auto"/>
              <w:jc w:val="center"/>
              <w:rPr>
                <w:rFonts w:eastAsia="新宋体"/>
                <w:sz w:val="21"/>
                <w:szCs w:val="21"/>
              </w:rPr>
            </w:pPr>
            <w:r>
              <w:rPr>
                <w:rFonts w:eastAsia="新宋体"/>
                <w:sz w:val="21"/>
                <w:szCs w:val="21"/>
              </w:rPr>
              <w:t>CODcr、SS</w:t>
            </w:r>
            <w:r>
              <w:rPr>
                <w:rFonts w:hint="eastAsia" w:eastAsia="新宋体"/>
                <w:sz w:val="21"/>
                <w:szCs w:val="21"/>
              </w:rPr>
              <w:t>、石油类</w:t>
            </w:r>
          </w:p>
        </w:tc>
        <w:tc>
          <w:tcPr>
            <w:tcW w:w="1559" w:type="dxa"/>
            <w:vAlign w:val="center"/>
          </w:tcPr>
          <w:p>
            <w:pPr>
              <w:spacing w:line="240" w:lineRule="auto"/>
              <w:jc w:val="center"/>
              <w:rPr>
                <w:rFonts w:eastAsia="新宋体"/>
                <w:sz w:val="21"/>
                <w:szCs w:val="21"/>
              </w:rPr>
            </w:pPr>
            <w:r>
              <w:rPr>
                <w:rFonts w:eastAsia="新宋体"/>
                <w:sz w:val="21"/>
                <w:szCs w:val="21"/>
              </w:rPr>
              <w:t>比亚迪污水处理站</w:t>
            </w:r>
            <w:r>
              <w:rPr>
                <w:rFonts w:hint="eastAsia" w:eastAsia="新宋体"/>
                <w:sz w:val="21"/>
                <w:szCs w:val="21"/>
              </w:rPr>
              <w:t>预处理后排入市政污水管网</w:t>
            </w:r>
          </w:p>
        </w:tc>
        <w:tc>
          <w:tcPr>
            <w:tcW w:w="3815" w:type="dxa"/>
            <w:vAlign w:val="center"/>
          </w:tcPr>
          <w:p>
            <w:pPr>
              <w:spacing w:line="240" w:lineRule="auto"/>
              <w:jc w:val="center"/>
              <w:rPr>
                <w:sz w:val="21"/>
                <w:szCs w:val="21"/>
              </w:rPr>
            </w:pPr>
            <w:r>
              <w:rPr>
                <w:b/>
                <w:bCs/>
                <w:sz w:val="21"/>
                <w:szCs w:val="21"/>
              </w:rPr>
              <w:t>近期</w:t>
            </w:r>
            <w:r>
              <w:rPr>
                <w:sz w:val="21"/>
                <w:szCs w:val="21"/>
              </w:rPr>
              <w:t>执行河口镇污水处理厂接管标准及广东省《水污染物排放限值》（DB44/26-2001）第二时段三级标准两者较严值</w:t>
            </w:r>
            <w:r>
              <w:rPr>
                <w:rFonts w:hint="eastAsia"/>
                <w:sz w:val="21"/>
                <w:szCs w:val="21"/>
              </w:rPr>
              <w:t>，</w:t>
            </w:r>
            <w:r>
              <w:rPr>
                <w:b/>
                <w:bCs/>
                <w:sz w:val="21"/>
                <w:szCs w:val="21"/>
              </w:rPr>
              <w:t>远期</w:t>
            </w:r>
            <w:r>
              <w:rPr>
                <w:sz w:val="21"/>
                <w:szCs w:val="21"/>
              </w:rPr>
              <w:t>执行</w:t>
            </w:r>
            <w:r>
              <w:rPr>
                <w:rFonts w:eastAsia="新宋体"/>
                <w:bCs/>
                <w:sz w:val="21"/>
                <w:szCs w:val="21"/>
              </w:rPr>
              <w:t>陆河产业转移工业园</w:t>
            </w:r>
            <w:r>
              <w:rPr>
                <w:sz w:val="21"/>
                <w:szCs w:val="21"/>
              </w:rPr>
              <w:t>工业污水处理厂进水水质要求及广东省《水污染物排放限值》（DB44/26-2001）第二时段三级标准两者较严值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3" w:type="dxa"/>
            <w:vAlign w:val="center"/>
          </w:tcPr>
          <w:p>
            <w:pPr>
              <w:spacing w:line="240" w:lineRule="auto"/>
              <w:jc w:val="center"/>
              <w:rPr>
                <w:sz w:val="21"/>
                <w:szCs w:val="21"/>
              </w:rPr>
            </w:pPr>
            <w:r>
              <w:rPr>
                <w:sz w:val="21"/>
                <w:szCs w:val="21"/>
              </w:rPr>
              <w:t>声环境</w:t>
            </w:r>
          </w:p>
        </w:tc>
        <w:tc>
          <w:tcPr>
            <w:tcW w:w="1471" w:type="dxa"/>
            <w:vAlign w:val="center"/>
          </w:tcPr>
          <w:p>
            <w:pPr>
              <w:spacing w:line="240" w:lineRule="auto"/>
              <w:jc w:val="center"/>
              <w:rPr>
                <w:sz w:val="21"/>
                <w:szCs w:val="21"/>
              </w:rPr>
            </w:pPr>
            <w:r>
              <w:rPr>
                <w:rFonts w:eastAsia="新宋体"/>
                <w:bCs/>
                <w:sz w:val="21"/>
                <w:szCs w:val="21"/>
              </w:rPr>
              <w:t>生产</w:t>
            </w:r>
            <w:r>
              <w:rPr>
                <w:rStyle w:val="48"/>
              </w:rPr>
              <w:t>设备</w:t>
            </w:r>
          </w:p>
        </w:tc>
        <w:tc>
          <w:tcPr>
            <w:tcW w:w="992" w:type="dxa"/>
            <w:vAlign w:val="center"/>
          </w:tcPr>
          <w:p>
            <w:pPr>
              <w:spacing w:line="240" w:lineRule="auto"/>
              <w:jc w:val="center"/>
              <w:rPr>
                <w:sz w:val="21"/>
                <w:szCs w:val="21"/>
              </w:rPr>
            </w:pPr>
            <w:r>
              <w:rPr>
                <w:rFonts w:eastAsia="新宋体"/>
                <w:sz w:val="21"/>
                <w:szCs w:val="21"/>
              </w:rPr>
              <w:t>噪声</w:t>
            </w:r>
          </w:p>
        </w:tc>
        <w:tc>
          <w:tcPr>
            <w:tcW w:w="1559" w:type="dxa"/>
            <w:vAlign w:val="center"/>
          </w:tcPr>
          <w:p>
            <w:pPr>
              <w:spacing w:line="240" w:lineRule="auto"/>
              <w:jc w:val="center"/>
              <w:rPr>
                <w:sz w:val="21"/>
                <w:szCs w:val="21"/>
              </w:rPr>
            </w:pPr>
            <w:r>
              <w:rPr>
                <w:rFonts w:eastAsia="新宋体"/>
                <w:sz w:val="21"/>
                <w:szCs w:val="21"/>
              </w:rPr>
              <w:t>噪声源隔音、消震，合理布局、绿化，厂房隔音</w:t>
            </w:r>
          </w:p>
        </w:tc>
        <w:tc>
          <w:tcPr>
            <w:tcW w:w="3815" w:type="dxa"/>
            <w:vAlign w:val="center"/>
          </w:tcPr>
          <w:p>
            <w:pPr>
              <w:spacing w:line="240" w:lineRule="auto"/>
              <w:jc w:val="center"/>
              <w:rPr>
                <w:sz w:val="21"/>
                <w:szCs w:val="21"/>
              </w:rPr>
            </w:pPr>
            <w:r>
              <w:rPr>
                <w:rFonts w:eastAsia="新宋体"/>
                <w:sz w:val="21"/>
                <w:szCs w:val="21"/>
              </w:rPr>
              <w:t>厂界噪声达到《工业企业厂界环境噪声排放标准》（GB12348-2008）中3类标准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213" w:type="dxa"/>
            <w:vAlign w:val="center"/>
          </w:tcPr>
          <w:p>
            <w:pPr>
              <w:spacing w:line="240" w:lineRule="auto"/>
              <w:jc w:val="center"/>
              <w:rPr>
                <w:sz w:val="21"/>
                <w:szCs w:val="21"/>
              </w:rPr>
            </w:pPr>
            <w:r>
              <w:rPr>
                <w:sz w:val="21"/>
                <w:szCs w:val="21"/>
              </w:rPr>
              <w:t>电磁辐射</w:t>
            </w:r>
          </w:p>
        </w:tc>
        <w:tc>
          <w:tcPr>
            <w:tcW w:w="7837" w:type="dxa"/>
            <w:gridSpan w:val="4"/>
            <w:vAlign w:val="center"/>
          </w:tcPr>
          <w:p>
            <w:pPr>
              <w:spacing w:line="240" w:lineRule="auto"/>
              <w:jc w:val="center"/>
              <w:rPr>
                <w:sz w:val="21"/>
                <w:szCs w:val="21"/>
              </w:rPr>
            </w:pPr>
            <w:r>
              <w:rPr>
                <w:rFonts w:hint="eastAsia"/>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1213" w:type="dxa"/>
            <w:vAlign w:val="center"/>
          </w:tcPr>
          <w:p>
            <w:pPr>
              <w:spacing w:line="240" w:lineRule="auto"/>
              <w:jc w:val="center"/>
              <w:rPr>
                <w:sz w:val="21"/>
                <w:szCs w:val="21"/>
              </w:rPr>
            </w:pPr>
            <w:r>
              <w:rPr>
                <w:sz w:val="21"/>
                <w:szCs w:val="21"/>
              </w:rPr>
              <w:t>固体废物</w:t>
            </w:r>
          </w:p>
        </w:tc>
        <w:tc>
          <w:tcPr>
            <w:tcW w:w="7837" w:type="dxa"/>
            <w:gridSpan w:val="4"/>
            <w:vAlign w:val="center"/>
          </w:tcPr>
          <w:p>
            <w:pPr>
              <w:spacing w:line="240" w:lineRule="auto"/>
              <w:jc w:val="left"/>
              <w:rPr>
                <w:sz w:val="21"/>
                <w:szCs w:val="21"/>
              </w:rPr>
            </w:pPr>
            <w:r>
              <w:rPr>
                <w:sz w:val="21"/>
                <w:szCs w:val="21"/>
              </w:rPr>
              <w:t>生活垃圾集中收集后由环卫部门</w:t>
            </w:r>
            <w:r>
              <w:rPr>
                <w:rFonts w:hint="eastAsia"/>
                <w:sz w:val="21"/>
                <w:szCs w:val="21"/>
              </w:rPr>
              <w:t>清运</w:t>
            </w:r>
            <w:r>
              <w:rPr>
                <w:sz w:val="21"/>
                <w:szCs w:val="21"/>
              </w:rPr>
              <w:t>，</w:t>
            </w:r>
            <w:r>
              <w:rPr>
                <w:rFonts w:hint="eastAsia"/>
                <w:sz w:val="21"/>
                <w:szCs w:val="21"/>
              </w:rPr>
              <w:t>废包装材料收集后交由相关资源回收单位回收，废冷却液桶</w:t>
            </w:r>
            <w:r>
              <w:rPr>
                <w:sz w:val="21"/>
                <w:szCs w:val="21"/>
              </w:rPr>
              <w:t>交由</w:t>
            </w:r>
            <w:r>
              <w:rPr>
                <w:rFonts w:hint="eastAsia"/>
                <w:sz w:val="21"/>
                <w:szCs w:val="21"/>
              </w:rPr>
              <w:t>供应商</w:t>
            </w:r>
            <w:r>
              <w:rPr>
                <w:sz w:val="21"/>
                <w:szCs w:val="21"/>
              </w:rPr>
              <w:t>回收，</w:t>
            </w:r>
            <w:r>
              <w:rPr>
                <w:rFonts w:hint="eastAsia"/>
                <w:sz w:val="21"/>
                <w:szCs w:val="21"/>
              </w:rPr>
              <w:t>含油抹布</w:t>
            </w:r>
            <w:r>
              <w:rPr>
                <w:sz w:val="21"/>
                <w:szCs w:val="21"/>
              </w:rPr>
              <w:t>等危废交由有相关危废处理资质单位处置。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9" w:hRule="atLeast"/>
          <w:jc w:val="center"/>
        </w:trPr>
        <w:tc>
          <w:tcPr>
            <w:tcW w:w="1213" w:type="dxa"/>
            <w:vAlign w:val="center"/>
          </w:tcPr>
          <w:p>
            <w:pPr>
              <w:spacing w:line="240" w:lineRule="auto"/>
              <w:jc w:val="center"/>
              <w:rPr>
                <w:sz w:val="21"/>
                <w:szCs w:val="21"/>
              </w:rPr>
            </w:pPr>
            <w:r>
              <w:rPr>
                <w:sz w:val="21"/>
                <w:szCs w:val="21"/>
              </w:rPr>
              <w:t>土壤及地下水污染防治措施</w:t>
            </w:r>
          </w:p>
        </w:tc>
        <w:tc>
          <w:tcPr>
            <w:tcW w:w="7837" w:type="dxa"/>
            <w:gridSpan w:val="4"/>
            <w:vAlign w:val="center"/>
          </w:tcPr>
          <w:p>
            <w:pPr>
              <w:spacing w:line="240" w:lineRule="auto"/>
              <w:jc w:val="left"/>
              <w:rPr>
                <w:sz w:val="21"/>
                <w:szCs w:val="21"/>
              </w:rPr>
            </w:pPr>
            <w:r>
              <w:rPr>
                <w:sz w:val="21"/>
                <w:szCs w:val="21"/>
              </w:rPr>
              <w:t>生产车间</w:t>
            </w:r>
            <w:r>
              <w:rPr>
                <w:rFonts w:hint="eastAsia"/>
                <w:sz w:val="21"/>
                <w:szCs w:val="21"/>
              </w:rPr>
              <w:t>和一般固废仓</w:t>
            </w:r>
            <w:r>
              <w:rPr>
                <w:sz w:val="21"/>
                <w:szCs w:val="21"/>
              </w:rPr>
              <w:t>铺设了水泥地面做防渗处理</w:t>
            </w:r>
            <w:r>
              <w:rPr>
                <w:rFonts w:hint="eastAsia"/>
                <w:sz w:val="21"/>
                <w:szCs w:val="21"/>
              </w:rPr>
              <w:t>；</w:t>
            </w:r>
            <w:r>
              <w:rPr>
                <w:sz w:val="21"/>
                <w:szCs w:val="21"/>
              </w:rPr>
              <w:t>危废暂存间做好防风挡雨措施</w:t>
            </w:r>
            <w:r>
              <w:rPr>
                <w:rFonts w:hint="eastAsia"/>
                <w:sz w:val="21"/>
                <w:szCs w:val="21"/>
              </w:rPr>
              <w:t>，</w:t>
            </w:r>
            <w:r>
              <w:rPr>
                <w:sz w:val="21"/>
                <w:szCs w:val="21"/>
              </w:rPr>
              <w:t>地面做好防腐、防渗</w:t>
            </w:r>
            <w:r>
              <w:rPr>
                <w:rFonts w:hint="eastAsia"/>
                <w:sz w:val="21"/>
                <w:szCs w:val="21"/>
              </w:rPr>
              <w:t>并设置</w:t>
            </w:r>
            <w:r>
              <w:rPr>
                <w:sz w:val="21"/>
                <w:szCs w:val="21"/>
              </w:rPr>
              <w:t>设置墁坡、沟槽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1213" w:type="dxa"/>
            <w:vAlign w:val="center"/>
          </w:tcPr>
          <w:p>
            <w:pPr>
              <w:spacing w:line="240" w:lineRule="auto"/>
              <w:jc w:val="center"/>
              <w:rPr>
                <w:sz w:val="21"/>
                <w:szCs w:val="21"/>
              </w:rPr>
            </w:pPr>
            <w:r>
              <w:rPr>
                <w:sz w:val="21"/>
                <w:szCs w:val="21"/>
              </w:rPr>
              <w:t>生态保护措施</w:t>
            </w:r>
          </w:p>
        </w:tc>
        <w:tc>
          <w:tcPr>
            <w:tcW w:w="7837" w:type="dxa"/>
            <w:gridSpan w:val="4"/>
            <w:vAlign w:val="center"/>
          </w:tcPr>
          <w:p>
            <w:pPr>
              <w:spacing w:line="240" w:lineRule="auto"/>
              <w:jc w:val="left"/>
              <w:rPr>
                <w:sz w:val="21"/>
                <w:szCs w:val="21"/>
              </w:rPr>
            </w:pPr>
            <w:r>
              <w:rPr>
                <w:sz w:val="21"/>
                <w:szCs w:val="21"/>
              </w:rPr>
              <w:t>项目</w:t>
            </w:r>
            <w:r>
              <w:rPr>
                <w:rFonts w:hint="eastAsia"/>
                <w:sz w:val="21"/>
                <w:szCs w:val="21"/>
              </w:rPr>
              <w:t>依托已建的</w:t>
            </w:r>
            <w:r>
              <w:rPr>
                <w:sz w:val="21"/>
                <w:szCs w:val="21"/>
              </w:rPr>
              <w:t>厂房进行生产，无明显生态影响，不需采取生态保护措施。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213" w:type="dxa"/>
            <w:vAlign w:val="center"/>
          </w:tcPr>
          <w:p>
            <w:pPr>
              <w:spacing w:line="240" w:lineRule="auto"/>
              <w:jc w:val="center"/>
              <w:rPr>
                <w:spacing w:val="-8"/>
                <w:sz w:val="21"/>
                <w:szCs w:val="21"/>
              </w:rPr>
            </w:pPr>
            <w:r>
              <w:rPr>
                <w:spacing w:val="-8"/>
                <w:sz w:val="21"/>
                <w:szCs w:val="21"/>
              </w:rPr>
              <w:t>环境风险</w:t>
            </w:r>
          </w:p>
          <w:p>
            <w:pPr>
              <w:spacing w:line="240" w:lineRule="auto"/>
              <w:jc w:val="center"/>
              <w:rPr>
                <w:spacing w:val="-8"/>
                <w:sz w:val="21"/>
                <w:szCs w:val="21"/>
              </w:rPr>
            </w:pPr>
            <w:r>
              <w:rPr>
                <w:spacing w:val="-8"/>
                <w:sz w:val="21"/>
                <w:szCs w:val="21"/>
              </w:rPr>
              <w:t>防范措施</w:t>
            </w:r>
          </w:p>
        </w:tc>
        <w:tc>
          <w:tcPr>
            <w:tcW w:w="7837" w:type="dxa"/>
            <w:gridSpan w:val="4"/>
            <w:vAlign w:val="center"/>
          </w:tcPr>
          <w:p>
            <w:pPr>
              <w:autoSpaceDE w:val="0"/>
              <w:autoSpaceDN w:val="0"/>
              <w:spacing w:line="240" w:lineRule="auto"/>
              <w:jc w:val="left"/>
            </w:pPr>
            <w:r>
              <w:rPr>
                <w:rFonts w:hint="eastAsia"/>
                <w:kern w:val="0"/>
                <w:sz w:val="21"/>
                <w:szCs w:val="21"/>
              </w:rPr>
              <w:t>①</w:t>
            </w:r>
            <w:r>
              <w:rPr>
                <w:kern w:val="0"/>
                <w:sz w:val="21"/>
                <w:szCs w:val="21"/>
              </w:rPr>
              <w:t>定期对</w:t>
            </w:r>
            <w:r>
              <w:rPr>
                <w:rFonts w:hint="eastAsia"/>
                <w:kern w:val="0"/>
                <w:sz w:val="21"/>
                <w:szCs w:val="21"/>
              </w:rPr>
              <w:t>化学品</w:t>
            </w:r>
            <w:r>
              <w:rPr>
                <w:kern w:val="0"/>
                <w:sz w:val="21"/>
                <w:szCs w:val="21"/>
              </w:rPr>
              <w:t>储放设施以及消防进行检查、维护，生产过程中必须按照相关的操作规范和方法进行，加强化学品管理</w:t>
            </w:r>
            <w:r>
              <w:rPr>
                <w:rFonts w:hint="eastAsia"/>
                <w:kern w:val="0"/>
                <w:sz w:val="21"/>
                <w:szCs w:val="21"/>
              </w:rPr>
              <w:t>。②</w:t>
            </w:r>
            <w:r>
              <w:rPr>
                <w:kern w:val="0"/>
                <w:sz w:val="21"/>
                <w:szCs w:val="21"/>
              </w:rPr>
              <w:t>建立危险废物安全管理制度</w:t>
            </w:r>
            <w:r>
              <w:rPr>
                <w:rFonts w:hint="eastAsia"/>
                <w:kern w:val="0"/>
                <w:sz w:val="21"/>
                <w:szCs w:val="21"/>
              </w:rPr>
              <w:t>，</w:t>
            </w:r>
            <w:r>
              <w:rPr>
                <w:kern w:val="0"/>
                <w:sz w:val="21"/>
                <w:szCs w:val="21"/>
              </w:rPr>
              <w:t xml:space="preserve">加强危险废物的运输、贮存过程的管理，规范操作和使用规范，贮存点应做好防雨、防渗漏措施，定期交由有相应危险废物处理资质的单位处置。 </w:t>
            </w:r>
            <w:r>
              <w:rPr>
                <w:rFonts w:hint="eastAsia"/>
                <w:kern w:val="0"/>
                <w:sz w:val="21"/>
                <w:szCs w:val="21"/>
              </w:rPr>
              <w:t>③</w:t>
            </w:r>
            <w:r>
              <w:rPr>
                <w:kern w:val="0"/>
                <w:sz w:val="21"/>
                <w:szCs w:val="21"/>
              </w:rPr>
              <w:t>定期对</w:t>
            </w:r>
            <w:r>
              <w:rPr>
                <w:sz w:val="21"/>
                <w:szCs w:val="21"/>
              </w:rPr>
              <w:t>工艺、管道、设备、废水和废物储存及处理构筑物</w:t>
            </w:r>
            <w:r>
              <w:rPr>
                <w:kern w:val="0"/>
                <w:sz w:val="21"/>
                <w:szCs w:val="21"/>
              </w:rPr>
              <w:t>进行维护与检测，防止泄漏事故发生，禁止明火等一切安全隐患的存在。对员工进行日常风险教育和培训，提高安全防范知识的宣传力度，增加实验人员的安全意识</w:t>
            </w:r>
            <w:r>
              <w:rPr>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 w:hRule="atLeast"/>
          <w:jc w:val="center"/>
        </w:trPr>
        <w:tc>
          <w:tcPr>
            <w:tcW w:w="1213" w:type="dxa"/>
            <w:vAlign w:val="center"/>
          </w:tcPr>
          <w:p>
            <w:pPr>
              <w:spacing w:line="240" w:lineRule="auto"/>
              <w:jc w:val="center"/>
              <w:rPr>
                <w:spacing w:val="-8"/>
                <w:sz w:val="21"/>
                <w:szCs w:val="21"/>
              </w:rPr>
            </w:pPr>
            <w:r>
              <w:rPr>
                <w:spacing w:val="-8"/>
                <w:sz w:val="21"/>
                <w:szCs w:val="21"/>
              </w:rPr>
              <w:t>其他环境</w:t>
            </w:r>
          </w:p>
          <w:p>
            <w:pPr>
              <w:spacing w:line="240" w:lineRule="auto"/>
              <w:jc w:val="center"/>
              <w:rPr>
                <w:spacing w:val="-8"/>
                <w:sz w:val="21"/>
                <w:szCs w:val="21"/>
              </w:rPr>
            </w:pPr>
            <w:r>
              <w:rPr>
                <w:spacing w:val="-8"/>
                <w:sz w:val="21"/>
                <w:szCs w:val="21"/>
              </w:rPr>
              <w:t>管理要求</w:t>
            </w:r>
          </w:p>
        </w:tc>
        <w:tc>
          <w:tcPr>
            <w:tcW w:w="7837" w:type="dxa"/>
            <w:gridSpan w:val="4"/>
            <w:vAlign w:val="center"/>
          </w:tcPr>
          <w:p>
            <w:pPr>
              <w:spacing w:line="240" w:lineRule="auto"/>
              <w:jc w:val="center"/>
              <w:rPr>
                <w:sz w:val="21"/>
                <w:szCs w:val="21"/>
              </w:rPr>
            </w:pPr>
            <w:r>
              <w:rPr>
                <w:sz w:val="21"/>
                <w:szCs w:val="21"/>
              </w:rPr>
              <w:t>/</w:t>
            </w:r>
          </w:p>
        </w:tc>
      </w:tr>
    </w:tbl>
    <w:p>
      <w:pPr>
        <w:pStyle w:val="36"/>
        <w:spacing w:beforeLines="100" w:beforeAutospacing="0" w:afterLines="100" w:afterAutospacing="0"/>
        <w:jc w:val="center"/>
        <w:outlineLvl w:val="0"/>
        <w:rPr>
          <w:rFonts w:ascii="Times New Roman" w:hAnsi="Times New Roman" w:eastAsia="黑体" w:cs="Times New Roman"/>
          <w:snapToGrid w:val="0"/>
          <w:sz w:val="30"/>
          <w:szCs w:val="30"/>
        </w:rPr>
      </w:pPr>
      <w:r>
        <w:rPr>
          <w:rFonts w:ascii="Times New Roman" w:hAnsi="Times New Roman" w:cs="Times New Roman"/>
          <w:snapToGrid w:val="0"/>
        </w:rPr>
        <w:br w:type="page"/>
      </w:r>
      <w:r>
        <w:rPr>
          <w:rFonts w:ascii="Times New Roman" w:hAnsi="Times New Roman" w:eastAsia="黑体" w:cs="Times New Roman"/>
          <w:snapToGrid w:val="0"/>
          <w:sz w:val="30"/>
          <w:szCs w:val="30"/>
        </w:rPr>
        <w:t>六、结论</w:t>
      </w:r>
    </w:p>
    <w:tbl>
      <w:tblPr>
        <w:tblStyle w:val="4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9667" w:type="dxa"/>
          </w:tcPr>
          <w:p>
            <w:pPr>
              <w:pStyle w:val="49"/>
              <w:ind w:firstLine="480" w:firstLineChars="200"/>
              <w:rPr>
                <w:rFonts w:hint="default" w:ascii="Times New Roman" w:hAnsi="Times New Roman"/>
                <w:color w:val="auto"/>
                <w:sz w:val="21"/>
                <w:szCs w:val="21"/>
              </w:rPr>
            </w:pPr>
            <w:r>
              <w:rPr>
                <w:rFonts w:ascii="Times New Roman" w:hAnsi="Times New Roman"/>
                <w:color w:val="auto"/>
              </w:rPr>
              <w:t>建设单位应必须严格遵守环保“三同时”的管理规定，切实落实本报告提出的各项环保措施，确保本项目所在区域的环境质量不因本项目的建设而受到不良影响。在采取本报告所提出的各项措施后，本项目的建设不会对周围环境产生明显的影响，从环境保护的角度而言，本项目的建设是可行的</w:t>
            </w:r>
            <w:r>
              <w:rPr>
                <w:rFonts w:hint="default" w:ascii="Times New Roman" w:hAnsi="Times New Roman"/>
                <w:color w:val="auto"/>
              </w:rPr>
              <w:t>。</w:t>
            </w:r>
          </w:p>
        </w:tc>
      </w:tr>
    </w:tbl>
    <w:p>
      <w:pPr>
        <w:sectPr>
          <w:pgSz w:w="11906" w:h="16838"/>
          <w:pgMar w:top="1418" w:right="1418" w:bottom="1418" w:left="1418" w:header="851" w:footer="992" w:gutter="0"/>
          <w:cols w:space="720" w:num="1"/>
          <w:docGrid w:linePitch="381" w:charSpace="0"/>
        </w:sectPr>
      </w:pPr>
    </w:p>
    <w:p>
      <w:pPr>
        <w:pStyle w:val="36"/>
        <w:adjustRightInd w:val="0"/>
        <w:snapToGrid w:val="0"/>
        <w:spacing w:before="0" w:beforeAutospacing="0" w:after="0" w:afterAutospacing="0" w:line="360" w:lineRule="auto"/>
        <w:outlineLvl w:val="0"/>
        <w:rPr>
          <w:rFonts w:ascii="Times New Roman" w:hAnsi="Times New Roman" w:eastAsia="黑体" w:cs="Times New Roman"/>
          <w:snapToGrid w:val="0"/>
          <w:sz w:val="32"/>
          <w:szCs w:val="32"/>
        </w:rPr>
      </w:pPr>
      <w:r>
        <w:rPr>
          <w:rFonts w:ascii="Times New Roman" w:hAnsi="Times New Roman" w:eastAsia="黑体" w:cs="Times New Roman"/>
          <w:snapToGrid w:val="0"/>
          <w:sz w:val="32"/>
          <w:szCs w:val="32"/>
        </w:rPr>
        <w:t>附表</w:t>
      </w:r>
    </w:p>
    <w:p>
      <w:pPr>
        <w:pStyle w:val="36"/>
        <w:adjustRightInd w:val="0"/>
        <w:snapToGrid w:val="0"/>
        <w:spacing w:before="0" w:beforeAutospacing="0" w:after="0" w:afterAutospacing="0" w:line="360" w:lineRule="auto"/>
        <w:jc w:val="center"/>
        <w:outlineLvl w:val="1"/>
        <w:rPr>
          <w:rFonts w:ascii="Times New Roman" w:hAnsi="Times New Roman" w:eastAsia="方正小标宋_GBK" w:cs="Times New Roman"/>
          <w:snapToGrid w:val="0"/>
          <w:sz w:val="38"/>
          <w:szCs w:val="38"/>
        </w:rPr>
      </w:pPr>
      <w:r>
        <w:rPr>
          <w:rFonts w:ascii="Times New Roman" w:hAnsi="Times New Roman" w:eastAsia="方正小标宋_GBK" w:cs="Times New Roman"/>
          <w:snapToGrid w:val="0"/>
          <w:sz w:val="38"/>
          <w:szCs w:val="38"/>
        </w:rPr>
        <w:t>建设项目污染物排放量汇总表</w:t>
      </w:r>
    </w:p>
    <w:tbl>
      <w:tblPr>
        <w:tblStyle w:val="4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28"/>
        <w:gridCol w:w="1811"/>
        <w:gridCol w:w="1719"/>
        <w:gridCol w:w="1290"/>
        <w:gridCol w:w="1719"/>
        <w:gridCol w:w="1576"/>
        <w:gridCol w:w="1429"/>
        <w:gridCol w:w="1592"/>
        <w:gridCol w:w="169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22" w:type="dxa"/>
            <w:tcBorders>
              <w:tl2br w:val="single" w:color="auto" w:sz="4" w:space="0"/>
            </w:tcBorders>
            <w:tcMar>
              <w:left w:w="28" w:type="dxa"/>
              <w:right w:w="28" w:type="dxa"/>
            </w:tcMar>
            <w:vAlign w:val="center"/>
          </w:tcPr>
          <w:p>
            <w:pPr>
              <w:pStyle w:val="64"/>
              <w:spacing w:line="240" w:lineRule="auto"/>
              <w:ind w:left="396" w:hanging="396"/>
              <w:jc w:val="right"/>
              <w:rPr>
                <w:rFonts w:ascii="Times New Roman" w:hAnsi="Times New Roman" w:eastAsia="黑体"/>
                <w:spacing w:val="-6"/>
                <w:kern w:val="21"/>
                <w:szCs w:val="21"/>
              </w:rPr>
            </w:pPr>
            <w:r>
              <w:rPr>
                <w:rFonts w:ascii="Times New Roman" w:hAnsi="Times New Roman" w:eastAsia="黑体"/>
                <w:spacing w:val="-6"/>
                <w:kern w:val="21"/>
                <w:szCs w:val="21"/>
              </w:rPr>
              <w:t>项目</w:t>
            </w:r>
          </w:p>
          <w:p>
            <w:pPr>
              <w:pStyle w:val="64"/>
              <w:spacing w:line="240" w:lineRule="auto"/>
              <w:ind w:left="396" w:hanging="396"/>
              <w:jc w:val="left"/>
              <w:rPr>
                <w:rFonts w:ascii="Times New Roman" w:hAnsi="Times New Roman" w:eastAsia="黑体"/>
                <w:spacing w:val="-6"/>
                <w:kern w:val="21"/>
                <w:szCs w:val="21"/>
              </w:rPr>
            </w:pPr>
            <w:r>
              <w:rPr>
                <w:rFonts w:ascii="Times New Roman" w:hAnsi="Times New Roman" w:eastAsia="黑体"/>
                <w:spacing w:val="-6"/>
                <w:kern w:val="21"/>
                <w:szCs w:val="21"/>
              </w:rPr>
              <w:t>分类</w:t>
            </w:r>
          </w:p>
        </w:tc>
        <w:tc>
          <w:tcPr>
            <w:tcW w:w="1801" w:type="dxa"/>
            <w:tcMar>
              <w:left w:w="28" w:type="dxa"/>
              <w:right w:w="28" w:type="dxa"/>
            </w:tcMar>
            <w:vAlign w:val="center"/>
          </w:tcPr>
          <w:p>
            <w:pPr>
              <w:pStyle w:val="64"/>
              <w:spacing w:line="240" w:lineRule="auto"/>
              <w:ind w:left="396" w:hanging="396"/>
              <w:rPr>
                <w:rFonts w:ascii="Times New Roman" w:hAnsi="Times New Roman" w:eastAsia="黑体"/>
                <w:spacing w:val="-6"/>
                <w:kern w:val="21"/>
                <w:szCs w:val="21"/>
              </w:rPr>
            </w:pPr>
            <w:r>
              <w:rPr>
                <w:rFonts w:ascii="Times New Roman" w:hAnsi="Times New Roman" w:eastAsia="黑体"/>
                <w:spacing w:val="-6"/>
                <w:kern w:val="21"/>
                <w:szCs w:val="21"/>
              </w:rPr>
              <w:t>污染物名称</w:t>
            </w:r>
          </w:p>
        </w:tc>
        <w:tc>
          <w:tcPr>
            <w:tcW w:w="1710" w:type="dxa"/>
            <w:tcMar>
              <w:left w:w="28" w:type="dxa"/>
              <w:right w:w="28" w:type="dxa"/>
            </w:tcMar>
            <w:vAlign w:val="center"/>
          </w:tcPr>
          <w:p>
            <w:pPr>
              <w:pStyle w:val="64"/>
              <w:spacing w:line="240" w:lineRule="auto"/>
              <w:ind w:left="396" w:hanging="396"/>
              <w:rPr>
                <w:rFonts w:ascii="Times New Roman" w:hAnsi="Times New Roman" w:eastAsia="黑体"/>
                <w:spacing w:val="-6"/>
                <w:kern w:val="21"/>
                <w:szCs w:val="21"/>
              </w:rPr>
            </w:pPr>
            <w:r>
              <w:rPr>
                <w:rFonts w:ascii="Times New Roman" w:hAnsi="Times New Roman" w:eastAsia="黑体"/>
                <w:spacing w:val="-6"/>
                <w:kern w:val="21"/>
                <w:szCs w:val="21"/>
              </w:rPr>
              <w:t>现有工程</w:t>
            </w:r>
          </w:p>
          <w:p>
            <w:pPr>
              <w:pStyle w:val="64"/>
              <w:spacing w:line="240" w:lineRule="auto"/>
              <w:ind w:left="396" w:hanging="396"/>
              <w:rPr>
                <w:rFonts w:ascii="Times New Roman" w:hAnsi="Times New Roman" w:eastAsia="黑体"/>
                <w:spacing w:val="-6"/>
                <w:kern w:val="21"/>
                <w:szCs w:val="21"/>
              </w:rPr>
            </w:pPr>
            <w:r>
              <w:rPr>
                <w:rFonts w:ascii="Times New Roman" w:hAnsi="Times New Roman" w:eastAsia="黑体"/>
                <w:spacing w:val="-6"/>
                <w:kern w:val="21"/>
                <w:szCs w:val="21"/>
              </w:rPr>
              <w:t>排放量（固体废物产生量）</w:t>
            </w:r>
            <w:r>
              <w:rPr>
                <w:rFonts w:ascii="Times New Roman" w:hAnsi="Times New Roman" w:eastAsia="黑体"/>
                <w:spacing w:val="-6"/>
                <w:kern w:val="21"/>
                <w:szCs w:val="21"/>
              </w:rPr>
              <w:fldChar w:fldCharType="begin"/>
            </w:r>
            <w:r>
              <w:rPr>
                <w:rFonts w:ascii="Times New Roman" w:hAnsi="Times New Roman" w:eastAsia="黑体"/>
                <w:spacing w:val="-6"/>
                <w:kern w:val="21"/>
                <w:szCs w:val="21"/>
              </w:rPr>
              <w:instrText xml:space="preserve"> = 1 \* GB3 \* MERGEFORMAT </w:instrText>
            </w:r>
            <w:r>
              <w:rPr>
                <w:rFonts w:ascii="Times New Roman" w:hAnsi="Times New Roman" w:eastAsia="黑体"/>
                <w:spacing w:val="-6"/>
                <w:kern w:val="21"/>
                <w:szCs w:val="21"/>
              </w:rPr>
              <w:fldChar w:fldCharType="separate"/>
            </w:r>
            <w:r>
              <w:rPr>
                <w:rFonts w:hint="eastAsia" w:cs="宋体"/>
                <w:kern w:val="2"/>
                <w:szCs w:val="21"/>
              </w:rPr>
              <w:t>①</w:t>
            </w:r>
            <w:r>
              <w:rPr>
                <w:rFonts w:ascii="Times New Roman" w:hAnsi="Times New Roman" w:eastAsia="黑体"/>
                <w:spacing w:val="-6"/>
                <w:kern w:val="21"/>
                <w:szCs w:val="21"/>
              </w:rPr>
              <w:fldChar w:fldCharType="end"/>
            </w:r>
          </w:p>
        </w:tc>
        <w:tc>
          <w:tcPr>
            <w:tcW w:w="1283" w:type="dxa"/>
            <w:tcMar>
              <w:left w:w="28" w:type="dxa"/>
              <w:right w:w="28" w:type="dxa"/>
            </w:tcMar>
            <w:vAlign w:val="center"/>
          </w:tcPr>
          <w:p>
            <w:pPr>
              <w:pStyle w:val="64"/>
              <w:spacing w:line="240" w:lineRule="auto"/>
              <w:ind w:left="396" w:hanging="396"/>
              <w:rPr>
                <w:rFonts w:ascii="Times New Roman" w:hAnsi="Times New Roman" w:eastAsia="黑体"/>
                <w:spacing w:val="-6"/>
                <w:kern w:val="21"/>
                <w:szCs w:val="21"/>
              </w:rPr>
            </w:pPr>
            <w:r>
              <w:rPr>
                <w:rFonts w:ascii="Times New Roman" w:hAnsi="Times New Roman" w:eastAsia="黑体"/>
                <w:spacing w:val="-6"/>
                <w:kern w:val="21"/>
                <w:szCs w:val="21"/>
              </w:rPr>
              <w:t>现有工程</w:t>
            </w:r>
          </w:p>
          <w:p>
            <w:pPr>
              <w:pStyle w:val="64"/>
              <w:spacing w:line="240" w:lineRule="auto"/>
              <w:ind w:left="396" w:hanging="396"/>
              <w:rPr>
                <w:rFonts w:ascii="Times New Roman" w:hAnsi="Times New Roman" w:eastAsia="黑体"/>
                <w:spacing w:val="-6"/>
                <w:kern w:val="21"/>
                <w:szCs w:val="21"/>
              </w:rPr>
            </w:pPr>
            <w:r>
              <w:rPr>
                <w:rFonts w:ascii="Times New Roman" w:hAnsi="Times New Roman" w:eastAsia="黑体"/>
                <w:spacing w:val="-6"/>
                <w:kern w:val="21"/>
                <w:szCs w:val="21"/>
              </w:rPr>
              <w:t>许可排放量</w:t>
            </w:r>
          </w:p>
          <w:p>
            <w:pPr>
              <w:pStyle w:val="64"/>
              <w:ind w:left="420" w:hanging="420"/>
              <w:rPr>
                <w:rFonts w:ascii="Times New Roman" w:hAnsi="Times New Roman" w:eastAsia="黑体"/>
                <w:spacing w:val="-6"/>
                <w:kern w:val="21"/>
                <w:szCs w:val="21"/>
              </w:rPr>
            </w:pPr>
            <w:r>
              <w:rPr>
                <w:rFonts w:ascii="Times New Roman" w:hAnsi="Times New Roman" w:eastAsia="黑体"/>
                <w:spacing w:val="-6"/>
                <w:kern w:val="21"/>
                <w:szCs w:val="21"/>
              </w:rPr>
              <w:fldChar w:fldCharType="begin"/>
            </w:r>
            <w:r>
              <w:rPr>
                <w:rFonts w:ascii="Times New Roman" w:hAnsi="Times New Roman" w:eastAsia="黑体"/>
                <w:spacing w:val="-6"/>
                <w:kern w:val="21"/>
                <w:szCs w:val="21"/>
              </w:rPr>
              <w:instrText xml:space="preserve"> = 2 \* GB3 \* MERGEFORMAT </w:instrText>
            </w:r>
            <w:r>
              <w:rPr>
                <w:rFonts w:ascii="Times New Roman" w:hAnsi="Times New Roman" w:eastAsia="黑体"/>
                <w:spacing w:val="-6"/>
                <w:kern w:val="21"/>
                <w:szCs w:val="21"/>
              </w:rPr>
              <w:fldChar w:fldCharType="separate"/>
            </w:r>
            <w:r>
              <w:rPr>
                <w:rFonts w:hint="eastAsia" w:cs="宋体"/>
                <w:spacing w:val="-6"/>
                <w:kern w:val="21"/>
                <w:szCs w:val="21"/>
              </w:rPr>
              <w:t>②</w:t>
            </w:r>
            <w:r>
              <w:rPr>
                <w:rFonts w:ascii="Times New Roman" w:hAnsi="Times New Roman" w:eastAsia="黑体"/>
                <w:spacing w:val="-6"/>
                <w:kern w:val="21"/>
                <w:szCs w:val="21"/>
              </w:rPr>
              <w:fldChar w:fldCharType="end"/>
            </w:r>
          </w:p>
        </w:tc>
        <w:tc>
          <w:tcPr>
            <w:tcW w:w="1710" w:type="dxa"/>
            <w:tcMar>
              <w:left w:w="28" w:type="dxa"/>
              <w:right w:w="28" w:type="dxa"/>
            </w:tcMar>
            <w:vAlign w:val="center"/>
          </w:tcPr>
          <w:p>
            <w:pPr>
              <w:pStyle w:val="64"/>
              <w:spacing w:line="240" w:lineRule="auto"/>
              <w:ind w:left="396" w:hanging="396"/>
              <w:rPr>
                <w:rFonts w:ascii="Times New Roman" w:hAnsi="Times New Roman" w:eastAsia="黑体"/>
                <w:spacing w:val="-6"/>
                <w:kern w:val="21"/>
                <w:szCs w:val="21"/>
              </w:rPr>
            </w:pPr>
            <w:r>
              <w:rPr>
                <w:rFonts w:ascii="Times New Roman" w:hAnsi="Times New Roman" w:eastAsia="黑体"/>
                <w:spacing w:val="-6"/>
                <w:kern w:val="21"/>
                <w:szCs w:val="21"/>
              </w:rPr>
              <w:t>在建工程</w:t>
            </w:r>
          </w:p>
          <w:p>
            <w:pPr>
              <w:pStyle w:val="64"/>
              <w:spacing w:line="240" w:lineRule="auto"/>
              <w:ind w:left="396" w:hanging="396"/>
              <w:rPr>
                <w:rFonts w:ascii="Times New Roman" w:hAnsi="Times New Roman" w:eastAsia="黑体"/>
                <w:spacing w:val="-6"/>
                <w:kern w:val="21"/>
                <w:szCs w:val="21"/>
              </w:rPr>
            </w:pPr>
            <w:r>
              <w:rPr>
                <w:rFonts w:ascii="Times New Roman" w:hAnsi="Times New Roman" w:eastAsia="黑体"/>
                <w:spacing w:val="-6"/>
                <w:kern w:val="21"/>
                <w:szCs w:val="21"/>
              </w:rPr>
              <w:t>排放量（固体废物产生量）</w:t>
            </w:r>
            <w:r>
              <w:rPr>
                <w:rFonts w:ascii="Times New Roman" w:hAnsi="Times New Roman" w:eastAsia="黑体"/>
                <w:spacing w:val="-6"/>
                <w:kern w:val="21"/>
                <w:szCs w:val="21"/>
              </w:rPr>
              <w:fldChar w:fldCharType="begin"/>
            </w:r>
            <w:r>
              <w:rPr>
                <w:rFonts w:ascii="Times New Roman" w:hAnsi="Times New Roman" w:eastAsia="黑体"/>
                <w:spacing w:val="-6"/>
                <w:kern w:val="21"/>
                <w:szCs w:val="21"/>
              </w:rPr>
              <w:instrText xml:space="preserve"> = 3 \* GB3 \* MERGEFORMAT </w:instrText>
            </w:r>
            <w:r>
              <w:rPr>
                <w:rFonts w:ascii="Times New Roman" w:hAnsi="Times New Roman" w:eastAsia="黑体"/>
                <w:spacing w:val="-6"/>
                <w:kern w:val="21"/>
                <w:szCs w:val="21"/>
              </w:rPr>
              <w:fldChar w:fldCharType="separate"/>
            </w:r>
            <w:r>
              <w:rPr>
                <w:rFonts w:hint="eastAsia" w:cs="宋体"/>
                <w:kern w:val="2"/>
                <w:szCs w:val="21"/>
              </w:rPr>
              <w:t>③</w:t>
            </w:r>
            <w:r>
              <w:rPr>
                <w:rFonts w:ascii="Times New Roman" w:hAnsi="Times New Roman" w:eastAsia="黑体"/>
                <w:spacing w:val="-6"/>
                <w:kern w:val="21"/>
                <w:szCs w:val="21"/>
              </w:rPr>
              <w:fldChar w:fldCharType="end"/>
            </w:r>
          </w:p>
        </w:tc>
        <w:tc>
          <w:tcPr>
            <w:tcW w:w="1567" w:type="dxa"/>
            <w:tcMar>
              <w:left w:w="28" w:type="dxa"/>
              <w:right w:w="28" w:type="dxa"/>
            </w:tcMar>
            <w:vAlign w:val="center"/>
          </w:tcPr>
          <w:p>
            <w:pPr>
              <w:pStyle w:val="64"/>
              <w:spacing w:line="240" w:lineRule="auto"/>
              <w:ind w:left="396" w:hanging="396"/>
              <w:rPr>
                <w:rFonts w:ascii="Times New Roman" w:hAnsi="Times New Roman" w:eastAsia="黑体"/>
                <w:spacing w:val="-6"/>
                <w:kern w:val="21"/>
                <w:szCs w:val="21"/>
              </w:rPr>
            </w:pPr>
            <w:r>
              <w:rPr>
                <w:rFonts w:ascii="Times New Roman" w:hAnsi="Times New Roman" w:eastAsia="黑体"/>
                <w:spacing w:val="-6"/>
                <w:kern w:val="21"/>
                <w:szCs w:val="21"/>
              </w:rPr>
              <w:t>项目</w:t>
            </w:r>
          </w:p>
          <w:p>
            <w:pPr>
              <w:pStyle w:val="64"/>
              <w:spacing w:line="240" w:lineRule="auto"/>
              <w:ind w:left="396" w:hanging="396"/>
              <w:rPr>
                <w:rFonts w:ascii="Times New Roman" w:hAnsi="Times New Roman" w:eastAsia="黑体"/>
                <w:spacing w:val="-6"/>
                <w:kern w:val="21"/>
                <w:szCs w:val="21"/>
              </w:rPr>
            </w:pPr>
            <w:r>
              <w:rPr>
                <w:rFonts w:ascii="Times New Roman" w:hAnsi="Times New Roman" w:eastAsia="黑体"/>
                <w:spacing w:val="-6"/>
                <w:kern w:val="21"/>
                <w:szCs w:val="21"/>
              </w:rPr>
              <w:t>排放量（固体废物产生量）</w:t>
            </w:r>
            <w:r>
              <w:rPr>
                <w:rFonts w:ascii="Times New Roman" w:hAnsi="Times New Roman" w:eastAsia="黑体"/>
                <w:spacing w:val="-6"/>
                <w:kern w:val="21"/>
                <w:szCs w:val="21"/>
              </w:rPr>
              <w:fldChar w:fldCharType="begin"/>
            </w:r>
            <w:r>
              <w:rPr>
                <w:rFonts w:ascii="Times New Roman" w:hAnsi="Times New Roman" w:eastAsia="黑体"/>
                <w:spacing w:val="-6"/>
                <w:kern w:val="21"/>
                <w:szCs w:val="21"/>
              </w:rPr>
              <w:instrText xml:space="preserve"> = 4 \* GB3 \* MERGEFORMAT </w:instrText>
            </w:r>
            <w:r>
              <w:rPr>
                <w:rFonts w:ascii="Times New Roman" w:hAnsi="Times New Roman" w:eastAsia="黑体"/>
                <w:spacing w:val="-6"/>
                <w:kern w:val="21"/>
                <w:szCs w:val="21"/>
              </w:rPr>
              <w:fldChar w:fldCharType="separate"/>
            </w:r>
            <w:r>
              <w:rPr>
                <w:rFonts w:hint="eastAsia" w:cs="宋体"/>
                <w:kern w:val="2"/>
                <w:szCs w:val="21"/>
              </w:rPr>
              <w:t>④</w:t>
            </w:r>
            <w:r>
              <w:rPr>
                <w:rFonts w:ascii="Times New Roman" w:hAnsi="Times New Roman" w:eastAsia="黑体"/>
                <w:spacing w:val="-6"/>
                <w:kern w:val="21"/>
                <w:szCs w:val="21"/>
              </w:rPr>
              <w:fldChar w:fldCharType="end"/>
            </w:r>
          </w:p>
        </w:tc>
        <w:tc>
          <w:tcPr>
            <w:tcW w:w="1421" w:type="dxa"/>
            <w:tcMar>
              <w:left w:w="28" w:type="dxa"/>
              <w:right w:w="28" w:type="dxa"/>
            </w:tcMar>
            <w:vAlign w:val="center"/>
          </w:tcPr>
          <w:p>
            <w:pPr>
              <w:pStyle w:val="64"/>
              <w:spacing w:line="240" w:lineRule="auto"/>
              <w:ind w:left="356" w:hanging="356"/>
              <w:rPr>
                <w:rFonts w:ascii="Times New Roman" w:hAnsi="Times New Roman" w:eastAsia="黑体"/>
                <w:spacing w:val="-16"/>
                <w:kern w:val="21"/>
                <w:szCs w:val="21"/>
              </w:rPr>
            </w:pPr>
            <w:r>
              <w:rPr>
                <w:rFonts w:ascii="Times New Roman" w:hAnsi="Times New Roman" w:eastAsia="黑体"/>
                <w:spacing w:val="-16"/>
                <w:kern w:val="21"/>
                <w:szCs w:val="21"/>
              </w:rPr>
              <w:t>以新带老削减量</w:t>
            </w:r>
          </w:p>
          <w:p>
            <w:pPr>
              <w:pStyle w:val="64"/>
              <w:spacing w:line="240" w:lineRule="auto"/>
              <w:ind w:left="356" w:hanging="356"/>
              <w:rPr>
                <w:rFonts w:ascii="Times New Roman" w:hAnsi="Times New Roman" w:eastAsia="黑体"/>
                <w:spacing w:val="-16"/>
                <w:kern w:val="21"/>
                <w:szCs w:val="21"/>
              </w:rPr>
            </w:pPr>
            <w:r>
              <w:rPr>
                <w:rFonts w:ascii="Times New Roman" w:hAnsi="Times New Roman" w:eastAsia="黑体"/>
                <w:spacing w:val="-16"/>
                <w:kern w:val="21"/>
                <w:szCs w:val="21"/>
              </w:rPr>
              <w:t>（新建项目不填）</w:t>
            </w:r>
            <w:r>
              <w:rPr>
                <w:rFonts w:ascii="Times New Roman" w:hAnsi="Times New Roman" w:eastAsia="黑体"/>
                <w:spacing w:val="-16"/>
                <w:kern w:val="21"/>
                <w:szCs w:val="21"/>
              </w:rPr>
              <w:fldChar w:fldCharType="begin"/>
            </w:r>
            <w:r>
              <w:rPr>
                <w:rFonts w:ascii="Times New Roman" w:hAnsi="Times New Roman" w:eastAsia="黑体"/>
                <w:spacing w:val="-16"/>
                <w:kern w:val="21"/>
                <w:szCs w:val="21"/>
              </w:rPr>
              <w:instrText xml:space="preserve"> = 5 \* GB3 \* MERGEFORMAT </w:instrText>
            </w:r>
            <w:r>
              <w:rPr>
                <w:rFonts w:ascii="Times New Roman" w:hAnsi="Times New Roman" w:eastAsia="黑体"/>
                <w:spacing w:val="-16"/>
                <w:kern w:val="21"/>
                <w:szCs w:val="21"/>
              </w:rPr>
              <w:fldChar w:fldCharType="separate"/>
            </w:r>
            <w:r>
              <w:rPr>
                <w:rFonts w:hint="eastAsia" w:cs="宋体"/>
                <w:kern w:val="2"/>
                <w:szCs w:val="21"/>
              </w:rPr>
              <w:t>⑤</w:t>
            </w:r>
            <w:r>
              <w:rPr>
                <w:rFonts w:ascii="Times New Roman" w:hAnsi="Times New Roman" w:eastAsia="黑体"/>
                <w:spacing w:val="-16"/>
                <w:kern w:val="21"/>
                <w:szCs w:val="21"/>
              </w:rPr>
              <w:fldChar w:fldCharType="end"/>
            </w:r>
          </w:p>
        </w:tc>
        <w:tc>
          <w:tcPr>
            <w:tcW w:w="1583" w:type="dxa"/>
            <w:tcMar>
              <w:left w:w="28" w:type="dxa"/>
              <w:right w:w="28" w:type="dxa"/>
            </w:tcMar>
            <w:vAlign w:val="center"/>
          </w:tcPr>
          <w:p>
            <w:pPr>
              <w:pStyle w:val="64"/>
              <w:spacing w:line="240" w:lineRule="auto"/>
              <w:ind w:left="356" w:hanging="356"/>
              <w:rPr>
                <w:rFonts w:ascii="Times New Roman" w:hAnsi="Times New Roman" w:eastAsia="黑体"/>
                <w:spacing w:val="-16"/>
                <w:kern w:val="21"/>
                <w:szCs w:val="21"/>
              </w:rPr>
            </w:pPr>
            <w:r>
              <w:rPr>
                <w:rFonts w:ascii="Times New Roman" w:hAnsi="Times New Roman" w:eastAsia="黑体"/>
                <w:spacing w:val="-16"/>
                <w:kern w:val="21"/>
                <w:szCs w:val="21"/>
              </w:rPr>
              <w:t>项目建成后</w:t>
            </w:r>
          </w:p>
          <w:p>
            <w:pPr>
              <w:pStyle w:val="64"/>
              <w:spacing w:line="240" w:lineRule="auto"/>
              <w:ind w:left="356" w:hanging="356"/>
              <w:rPr>
                <w:rFonts w:ascii="Times New Roman" w:hAnsi="Times New Roman" w:eastAsia="黑体"/>
                <w:spacing w:val="-16"/>
                <w:kern w:val="21"/>
                <w:szCs w:val="21"/>
              </w:rPr>
            </w:pPr>
            <w:r>
              <w:rPr>
                <w:rFonts w:ascii="Times New Roman" w:hAnsi="Times New Roman" w:eastAsia="黑体"/>
                <w:spacing w:val="-16"/>
                <w:kern w:val="21"/>
                <w:szCs w:val="21"/>
              </w:rPr>
              <w:t>全厂排放量（固体废物产生量）</w:t>
            </w:r>
            <w:r>
              <w:rPr>
                <w:rFonts w:ascii="Times New Roman" w:hAnsi="Times New Roman" w:eastAsia="黑体"/>
                <w:spacing w:val="-16"/>
                <w:kern w:val="21"/>
                <w:szCs w:val="21"/>
              </w:rPr>
              <w:fldChar w:fldCharType="begin"/>
            </w:r>
            <w:r>
              <w:rPr>
                <w:rFonts w:ascii="Times New Roman" w:hAnsi="Times New Roman" w:eastAsia="黑体"/>
                <w:spacing w:val="-16"/>
                <w:kern w:val="21"/>
                <w:szCs w:val="21"/>
              </w:rPr>
              <w:instrText xml:space="preserve"> = 6 \* GB3 \* MERGEFORMAT </w:instrText>
            </w:r>
            <w:r>
              <w:rPr>
                <w:rFonts w:ascii="Times New Roman" w:hAnsi="Times New Roman" w:eastAsia="黑体"/>
                <w:spacing w:val="-16"/>
                <w:kern w:val="21"/>
                <w:szCs w:val="21"/>
              </w:rPr>
              <w:fldChar w:fldCharType="separate"/>
            </w:r>
            <w:r>
              <w:rPr>
                <w:rFonts w:hint="eastAsia" w:cs="宋体"/>
                <w:kern w:val="2"/>
                <w:szCs w:val="21"/>
              </w:rPr>
              <w:t>⑥</w:t>
            </w:r>
            <w:r>
              <w:rPr>
                <w:rFonts w:ascii="Times New Roman" w:hAnsi="Times New Roman" w:eastAsia="黑体"/>
                <w:spacing w:val="-16"/>
                <w:kern w:val="21"/>
                <w:szCs w:val="21"/>
              </w:rPr>
              <w:fldChar w:fldCharType="end"/>
            </w:r>
          </w:p>
        </w:tc>
        <w:tc>
          <w:tcPr>
            <w:tcW w:w="1685" w:type="dxa"/>
            <w:tcMar>
              <w:left w:w="28" w:type="dxa"/>
              <w:right w:w="28" w:type="dxa"/>
            </w:tcMar>
            <w:vAlign w:val="center"/>
          </w:tcPr>
          <w:p>
            <w:pPr>
              <w:pStyle w:val="64"/>
              <w:spacing w:line="240" w:lineRule="auto"/>
              <w:ind w:left="396" w:hanging="396"/>
              <w:rPr>
                <w:rFonts w:ascii="Times New Roman" w:hAnsi="Times New Roman" w:eastAsia="黑体"/>
                <w:spacing w:val="-6"/>
                <w:kern w:val="21"/>
                <w:szCs w:val="21"/>
              </w:rPr>
            </w:pPr>
            <w:r>
              <w:rPr>
                <w:rFonts w:ascii="Times New Roman" w:hAnsi="Times New Roman" w:eastAsia="黑体"/>
                <w:spacing w:val="-6"/>
                <w:kern w:val="21"/>
                <w:szCs w:val="21"/>
              </w:rPr>
              <w:t>变化量</w:t>
            </w:r>
          </w:p>
          <w:p>
            <w:pPr>
              <w:pStyle w:val="64"/>
              <w:spacing w:line="240" w:lineRule="auto"/>
              <w:ind w:left="420" w:hanging="420"/>
              <w:rPr>
                <w:rFonts w:ascii="Times New Roman" w:hAnsi="Times New Roman" w:eastAsia="黑体"/>
                <w:spacing w:val="-6"/>
                <w:kern w:val="21"/>
                <w:szCs w:val="21"/>
              </w:rPr>
            </w:pPr>
            <w:r>
              <w:rPr>
                <w:rFonts w:ascii="Times New Roman" w:hAnsi="Times New Roman" w:eastAsia="黑体"/>
                <w:spacing w:val="-6"/>
                <w:kern w:val="21"/>
                <w:szCs w:val="21"/>
              </w:rPr>
              <w:fldChar w:fldCharType="begin"/>
            </w:r>
            <w:r>
              <w:rPr>
                <w:rFonts w:ascii="Times New Roman" w:hAnsi="Times New Roman" w:eastAsia="黑体"/>
                <w:spacing w:val="-6"/>
                <w:kern w:val="21"/>
                <w:szCs w:val="21"/>
              </w:rPr>
              <w:instrText xml:space="preserve"> = 7 \* GB3 \* MERGEFORMAT </w:instrText>
            </w:r>
            <w:r>
              <w:rPr>
                <w:rFonts w:ascii="Times New Roman" w:hAnsi="Times New Roman" w:eastAsia="黑体"/>
                <w:spacing w:val="-6"/>
                <w:kern w:val="21"/>
                <w:szCs w:val="21"/>
              </w:rPr>
              <w:fldChar w:fldCharType="separate"/>
            </w:r>
            <w:r>
              <w:rPr>
                <w:rFonts w:hint="eastAsia" w:cs="宋体"/>
                <w:kern w:val="2"/>
                <w:szCs w:val="21"/>
              </w:rPr>
              <w:t>⑦</w:t>
            </w:r>
            <w:r>
              <w:rPr>
                <w:rFonts w:ascii="Times New Roman" w:hAnsi="Times New Roman" w:eastAsia="黑体"/>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22" w:type="dxa"/>
            <w:vAlign w:val="center"/>
          </w:tcPr>
          <w:p>
            <w:pPr>
              <w:pStyle w:val="64"/>
              <w:spacing w:line="240" w:lineRule="auto"/>
              <w:ind w:left="420" w:hanging="420"/>
              <w:rPr>
                <w:rFonts w:ascii="Times New Roman" w:hAnsi="Times New Roman"/>
                <w:kern w:val="21"/>
                <w:szCs w:val="21"/>
              </w:rPr>
            </w:pPr>
            <w:r>
              <w:rPr>
                <w:rFonts w:ascii="Times New Roman" w:hAnsi="Times New Roman"/>
                <w:kern w:val="21"/>
                <w:szCs w:val="21"/>
              </w:rPr>
              <w:t>废气</w:t>
            </w:r>
          </w:p>
        </w:tc>
        <w:tc>
          <w:tcPr>
            <w:tcW w:w="1801" w:type="dxa"/>
            <w:vAlign w:val="center"/>
          </w:tcPr>
          <w:p>
            <w:pPr>
              <w:pStyle w:val="64"/>
              <w:spacing w:line="240" w:lineRule="auto"/>
              <w:ind w:left="420" w:hanging="420"/>
              <w:rPr>
                <w:rFonts w:ascii="Times New Roman" w:hAnsi="Times New Roman"/>
                <w:kern w:val="21"/>
                <w:szCs w:val="21"/>
              </w:rPr>
            </w:pPr>
            <w:r>
              <w:rPr>
                <w:rFonts w:ascii="Times New Roman" w:hAnsi="Times New Roman"/>
                <w:kern w:val="21"/>
                <w:szCs w:val="21"/>
              </w:rPr>
              <w:t>VOCs</w:t>
            </w:r>
          </w:p>
        </w:tc>
        <w:tc>
          <w:tcPr>
            <w:tcW w:w="1710"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283"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710"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567" w:type="dxa"/>
            <w:vAlign w:val="center"/>
          </w:tcPr>
          <w:p>
            <w:pPr>
              <w:pStyle w:val="64"/>
              <w:spacing w:line="240" w:lineRule="auto"/>
              <w:ind w:left="420" w:hanging="420"/>
              <w:rPr>
                <w:rFonts w:ascii="Times New Roman" w:hAnsi="Times New Roman"/>
                <w:kern w:val="21"/>
                <w:szCs w:val="21"/>
              </w:rPr>
            </w:pPr>
            <w:r>
              <w:rPr>
                <w:rFonts w:ascii="Times New Roman" w:hAnsi="Times New Roman"/>
                <w:kern w:val="21"/>
                <w:szCs w:val="21"/>
              </w:rPr>
              <w:t>0.0072t/a</w:t>
            </w:r>
          </w:p>
        </w:tc>
        <w:tc>
          <w:tcPr>
            <w:tcW w:w="1421"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583" w:type="dxa"/>
            <w:vAlign w:val="center"/>
          </w:tcPr>
          <w:p>
            <w:pPr>
              <w:pStyle w:val="64"/>
              <w:spacing w:line="240" w:lineRule="auto"/>
              <w:ind w:left="420" w:hanging="420"/>
              <w:rPr>
                <w:rFonts w:ascii="Times New Roman" w:hAnsi="Times New Roman"/>
                <w:kern w:val="21"/>
                <w:szCs w:val="21"/>
              </w:rPr>
            </w:pPr>
            <w:r>
              <w:rPr>
                <w:rFonts w:ascii="Times New Roman" w:hAnsi="Times New Roman"/>
                <w:kern w:val="21"/>
                <w:szCs w:val="21"/>
              </w:rPr>
              <w:t>0.0072t/a</w:t>
            </w:r>
          </w:p>
        </w:tc>
        <w:tc>
          <w:tcPr>
            <w:tcW w:w="1685" w:type="dxa"/>
            <w:vAlign w:val="center"/>
          </w:tcPr>
          <w:p>
            <w:pPr>
              <w:pStyle w:val="64"/>
              <w:spacing w:line="240" w:lineRule="auto"/>
              <w:ind w:left="420" w:hanging="420"/>
              <w:rPr>
                <w:rFonts w:ascii="Times New Roman" w:hAnsi="Times New Roman"/>
                <w:kern w:val="21"/>
                <w:szCs w:val="21"/>
              </w:rPr>
            </w:pPr>
            <w:r>
              <w:rPr>
                <w:rFonts w:ascii="Times New Roman" w:hAnsi="Times New Roman"/>
                <w:kern w:val="21"/>
                <w:szCs w:val="21"/>
              </w:rPr>
              <w:t>+0.0072t/a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22" w:type="dxa"/>
            <w:vMerge w:val="restart"/>
            <w:vAlign w:val="center"/>
          </w:tcPr>
          <w:p>
            <w:pPr>
              <w:pStyle w:val="64"/>
              <w:spacing w:line="240" w:lineRule="auto"/>
              <w:ind w:left="420" w:hanging="420"/>
              <w:rPr>
                <w:rFonts w:ascii="Times New Roman" w:hAnsi="Times New Roman"/>
                <w:kern w:val="21"/>
                <w:szCs w:val="21"/>
              </w:rPr>
            </w:pPr>
            <w:r>
              <w:rPr>
                <w:rFonts w:ascii="Times New Roman" w:hAnsi="Times New Roman"/>
                <w:kern w:val="21"/>
                <w:szCs w:val="21"/>
              </w:rPr>
              <w:t>废水</w:t>
            </w:r>
          </w:p>
        </w:tc>
        <w:tc>
          <w:tcPr>
            <w:tcW w:w="1801" w:type="dxa"/>
            <w:vAlign w:val="center"/>
          </w:tcPr>
          <w:p>
            <w:pPr>
              <w:pStyle w:val="119"/>
              <w:spacing w:line="240" w:lineRule="auto"/>
              <w:jc w:val="center"/>
              <w:rPr>
                <w:sz w:val="21"/>
                <w:szCs w:val="21"/>
              </w:rPr>
            </w:pPr>
            <w:r>
              <w:rPr>
                <w:sz w:val="21"/>
                <w:szCs w:val="21"/>
              </w:rPr>
              <w:t>CODcr</w:t>
            </w:r>
          </w:p>
        </w:tc>
        <w:tc>
          <w:tcPr>
            <w:tcW w:w="1710"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283"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710"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567"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r>
              <w:rPr>
                <w:rFonts w:ascii="Times New Roman" w:hAnsi="Times New Roman"/>
                <w:kern w:val="21"/>
                <w:szCs w:val="21"/>
              </w:rPr>
              <w:t>.62t/a</w:t>
            </w:r>
          </w:p>
        </w:tc>
        <w:tc>
          <w:tcPr>
            <w:tcW w:w="1421"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583"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r>
              <w:rPr>
                <w:rFonts w:ascii="Times New Roman" w:hAnsi="Times New Roman"/>
                <w:kern w:val="21"/>
                <w:szCs w:val="21"/>
              </w:rPr>
              <w:t>.62t/a</w:t>
            </w:r>
          </w:p>
        </w:tc>
        <w:tc>
          <w:tcPr>
            <w:tcW w:w="1685" w:type="dxa"/>
            <w:vAlign w:val="center"/>
          </w:tcPr>
          <w:p>
            <w:pPr>
              <w:pStyle w:val="64"/>
              <w:spacing w:line="240" w:lineRule="auto"/>
              <w:ind w:left="420" w:hanging="420"/>
              <w:rPr>
                <w:rFonts w:ascii="Times New Roman" w:hAnsi="Times New Roman"/>
                <w:kern w:val="21"/>
                <w:szCs w:val="21"/>
              </w:rPr>
            </w:pPr>
            <w:r>
              <w:rPr>
                <w:rFonts w:ascii="Times New Roman" w:hAnsi="Times New Roman"/>
                <w:kern w:val="21"/>
                <w:szCs w:val="21"/>
              </w:rPr>
              <w:t>+</w:t>
            </w:r>
            <w:r>
              <w:rPr>
                <w:rFonts w:hint="eastAsia" w:ascii="Times New Roman" w:hAnsi="Times New Roman"/>
                <w:kern w:val="21"/>
                <w:szCs w:val="21"/>
              </w:rPr>
              <w:t>0</w:t>
            </w:r>
            <w:r>
              <w:rPr>
                <w:rFonts w:ascii="Times New Roman" w:hAnsi="Times New Roman"/>
                <w:kern w:val="21"/>
                <w:szCs w:val="21"/>
              </w:rPr>
              <w:t>.62t/a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22" w:type="dxa"/>
            <w:vMerge w:val="continue"/>
            <w:vAlign w:val="center"/>
          </w:tcPr>
          <w:p>
            <w:pPr>
              <w:pStyle w:val="64"/>
              <w:spacing w:line="240" w:lineRule="auto"/>
              <w:ind w:left="420" w:hanging="420"/>
              <w:rPr>
                <w:rFonts w:ascii="Times New Roman" w:hAnsi="Times New Roman"/>
                <w:kern w:val="21"/>
                <w:szCs w:val="21"/>
              </w:rPr>
            </w:pPr>
          </w:p>
        </w:tc>
        <w:tc>
          <w:tcPr>
            <w:tcW w:w="1801" w:type="dxa"/>
            <w:vAlign w:val="center"/>
          </w:tcPr>
          <w:p>
            <w:pPr>
              <w:spacing w:line="240" w:lineRule="auto"/>
              <w:jc w:val="center"/>
              <w:rPr>
                <w:sz w:val="21"/>
                <w:szCs w:val="21"/>
              </w:rPr>
            </w:pPr>
            <w:r>
              <w:rPr>
                <w:sz w:val="21"/>
                <w:szCs w:val="21"/>
              </w:rPr>
              <w:t>BOD</w:t>
            </w:r>
            <w:r>
              <w:rPr>
                <w:sz w:val="21"/>
                <w:szCs w:val="21"/>
                <w:vertAlign w:val="subscript"/>
              </w:rPr>
              <w:t>5</w:t>
            </w:r>
          </w:p>
        </w:tc>
        <w:tc>
          <w:tcPr>
            <w:tcW w:w="1710"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283"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710"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567"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r>
              <w:rPr>
                <w:rFonts w:ascii="Times New Roman" w:hAnsi="Times New Roman"/>
                <w:kern w:val="21"/>
                <w:szCs w:val="21"/>
              </w:rPr>
              <w:t>.287t/a</w:t>
            </w:r>
          </w:p>
        </w:tc>
        <w:tc>
          <w:tcPr>
            <w:tcW w:w="1421"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583"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r>
              <w:rPr>
                <w:rFonts w:ascii="Times New Roman" w:hAnsi="Times New Roman"/>
                <w:kern w:val="21"/>
                <w:szCs w:val="21"/>
              </w:rPr>
              <w:t>.287t/a</w:t>
            </w:r>
          </w:p>
        </w:tc>
        <w:tc>
          <w:tcPr>
            <w:tcW w:w="1685" w:type="dxa"/>
            <w:vAlign w:val="center"/>
          </w:tcPr>
          <w:p>
            <w:pPr>
              <w:pStyle w:val="64"/>
              <w:spacing w:line="240" w:lineRule="auto"/>
              <w:ind w:left="420" w:hanging="420"/>
              <w:rPr>
                <w:rFonts w:ascii="Times New Roman" w:hAnsi="Times New Roman"/>
                <w:kern w:val="21"/>
                <w:szCs w:val="21"/>
              </w:rPr>
            </w:pPr>
            <w:r>
              <w:rPr>
                <w:rFonts w:ascii="Times New Roman" w:hAnsi="Times New Roman"/>
                <w:kern w:val="21"/>
                <w:szCs w:val="21"/>
              </w:rPr>
              <w:t>+</w:t>
            </w:r>
            <w:r>
              <w:rPr>
                <w:rFonts w:hint="eastAsia" w:ascii="Times New Roman" w:hAnsi="Times New Roman"/>
                <w:kern w:val="21"/>
                <w:szCs w:val="21"/>
              </w:rPr>
              <w:t>0</w:t>
            </w:r>
            <w:r>
              <w:rPr>
                <w:rFonts w:ascii="Times New Roman" w:hAnsi="Times New Roman"/>
                <w:kern w:val="21"/>
                <w:szCs w:val="21"/>
              </w:rPr>
              <w:t>.287t/a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22" w:type="dxa"/>
            <w:vMerge w:val="continue"/>
            <w:vAlign w:val="center"/>
          </w:tcPr>
          <w:p>
            <w:pPr>
              <w:pStyle w:val="64"/>
              <w:spacing w:line="240" w:lineRule="auto"/>
              <w:ind w:left="420" w:hanging="420"/>
              <w:rPr>
                <w:rFonts w:ascii="Times New Roman" w:hAnsi="Times New Roman"/>
                <w:kern w:val="21"/>
                <w:szCs w:val="21"/>
              </w:rPr>
            </w:pPr>
          </w:p>
        </w:tc>
        <w:tc>
          <w:tcPr>
            <w:tcW w:w="1801" w:type="dxa"/>
            <w:vAlign w:val="center"/>
          </w:tcPr>
          <w:p>
            <w:pPr>
              <w:spacing w:line="240" w:lineRule="auto"/>
              <w:jc w:val="center"/>
              <w:rPr>
                <w:sz w:val="21"/>
                <w:szCs w:val="21"/>
              </w:rPr>
            </w:pPr>
            <w:r>
              <w:rPr>
                <w:sz w:val="21"/>
                <w:szCs w:val="21"/>
              </w:rPr>
              <w:t>氨氮</w:t>
            </w:r>
          </w:p>
        </w:tc>
        <w:tc>
          <w:tcPr>
            <w:tcW w:w="1710"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283"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710"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567"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r>
              <w:rPr>
                <w:rFonts w:ascii="Times New Roman" w:hAnsi="Times New Roman"/>
                <w:kern w:val="21"/>
                <w:szCs w:val="21"/>
              </w:rPr>
              <w:t>.068t/a</w:t>
            </w:r>
          </w:p>
        </w:tc>
        <w:tc>
          <w:tcPr>
            <w:tcW w:w="1421"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583"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r>
              <w:rPr>
                <w:rFonts w:ascii="Times New Roman" w:hAnsi="Times New Roman"/>
                <w:kern w:val="21"/>
                <w:szCs w:val="21"/>
              </w:rPr>
              <w:t>.068t/a</w:t>
            </w:r>
          </w:p>
        </w:tc>
        <w:tc>
          <w:tcPr>
            <w:tcW w:w="1685" w:type="dxa"/>
            <w:vAlign w:val="center"/>
          </w:tcPr>
          <w:p>
            <w:pPr>
              <w:pStyle w:val="64"/>
              <w:spacing w:line="240" w:lineRule="auto"/>
              <w:ind w:left="420" w:hanging="420"/>
              <w:rPr>
                <w:rFonts w:ascii="Times New Roman" w:hAnsi="Times New Roman"/>
                <w:kern w:val="21"/>
                <w:szCs w:val="21"/>
              </w:rPr>
            </w:pPr>
            <w:r>
              <w:rPr>
                <w:rFonts w:ascii="Times New Roman" w:hAnsi="Times New Roman"/>
                <w:kern w:val="21"/>
                <w:szCs w:val="21"/>
              </w:rPr>
              <w:t>+</w:t>
            </w:r>
            <w:r>
              <w:rPr>
                <w:rFonts w:hint="eastAsia" w:ascii="Times New Roman" w:hAnsi="Times New Roman"/>
                <w:kern w:val="21"/>
                <w:szCs w:val="21"/>
              </w:rPr>
              <w:t>0</w:t>
            </w:r>
            <w:r>
              <w:rPr>
                <w:rFonts w:ascii="Times New Roman" w:hAnsi="Times New Roman"/>
                <w:kern w:val="21"/>
                <w:szCs w:val="21"/>
              </w:rPr>
              <w:t>.068t/a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22" w:type="dxa"/>
            <w:vMerge w:val="continue"/>
            <w:vAlign w:val="center"/>
          </w:tcPr>
          <w:p>
            <w:pPr>
              <w:pStyle w:val="64"/>
              <w:spacing w:line="240" w:lineRule="auto"/>
              <w:ind w:left="420" w:hanging="420"/>
              <w:rPr>
                <w:rFonts w:ascii="Times New Roman" w:hAnsi="Times New Roman"/>
                <w:kern w:val="21"/>
                <w:szCs w:val="21"/>
              </w:rPr>
            </w:pPr>
          </w:p>
        </w:tc>
        <w:tc>
          <w:tcPr>
            <w:tcW w:w="1801" w:type="dxa"/>
            <w:vAlign w:val="center"/>
          </w:tcPr>
          <w:p>
            <w:pPr>
              <w:spacing w:line="240" w:lineRule="auto"/>
              <w:jc w:val="center"/>
              <w:rPr>
                <w:sz w:val="21"/>
                <w:szCs w:val="21"/>
              </w:rPr>
            </w:pPr>
            <w:r>
              <w:rPr>
                <w:rFonts w:hint="eastAsia"/>
                <w:sz w:val="21"/>
                <w:szCs w:val="21"/>
              </w:rPr>
              <w:t>石油类</w:t>
            </w:r>
          </w:p>
        </w:tc>
        <w:tc>
          <w:tcPr>
            <w:tcW w:w="1710"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283"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710"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567"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r>
              <w:rPr>
                <w:rFonts w:ascii="Times New Roman" w:hAnsi="Times New Roman"/>
                <w:kern w:val="21"/>
                <w:szCs w:val="21"/>
              </w:rPr>
              <w:t>.001t/a</w:t>
            </w:r>
          </w:p>
        </w:tc>
        <w:tc>
          <w:tcPr>
            <w:tcW w:w="1421"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583"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r>
              <w:rPr>
                <w:rFonts w:ascii="Times New Roman" w:hAnsi="Times New Roman"/>
                <w:kern w:val="21"/>
                <w:szCs w:val="21"/>
              </w:rPr>
              <w:t>.001t/a</w:t>
            </w:r>
          </w:p>
        </w:tc>
        <w:tc>
          <w:tcPr>
            <w:tcW w:w="1685" w:type="dxa"/>
            <w:vAlign w:val="center"/>
          </w:tcPr>
          <w:p>
            <w:pPr>
              <w:pStyle w:val="64"/>
              <w:spacing w:line="240" w:lineRule="auto"/>
              <w:ind w:left="420" w:hanging="420"/>
              <w:rPr>
                <w:rFonts w:ascii="Times New Roman" w:hAnsi="Times New Roman"/>
                <w:kern w:val="21"/>
                <w:szCs w:val="21"/>
              </w:rPr>
            </w:pPr>
            <w:r>
              <w:rPr>
                <w:rFonts w:ascii="Times New Roman" w:hAnsi="Times New Roman"/>
                <w:kern w:val="21"/>
                <w:szCs w:val="21"/>
              </w:rPr>
              <w:t>+</w:t>
            </w:r>
            <w:r>
              <w:rPr>
                <w:rFonts w:hint="eastAsia" w:ascii="Times New Roman" w:hAnsi="Times New Roman"/>
                <w:kern w:val="21"/>
                <w:szCs w:val="21"/>
              </w:rPr>
              <w:t>0</w:t>
            </w:r>
            <w:r>
              <w:rPr>
                <w:rFonts w:ascii="Times New Roman" w:hAnsi="Times New Roman"/>
                <w:kern w:val="21"/>
                <w:szCs w:val="21"/>
              </w:rPr>
              <w:t>.001t/a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22" w:type="dxa"/>
            <w:vMerge w:val="continue"/>
            <w:vAlign w:val="center"/>
          </w:tcPr>
          <w:p>
            <w:pPr>
              <w:pStyle w:val="64"/>
              <w:spacing w:line="240" w:lineRule="auto"/>
              <w:ind w:left="420" w:hanging="420"/>
              <w:rPr>
                <w:rFonts w:ascii="Times New Roman" w:hAnsi="Times New Roman"/>
                <w:kern w:val="21"/>
                <w:szCs w:val="21"/>
              </w:rPr>
            </w:pPr>
          </w:p>
        </w:tc>
        <w:tc>
          <w:tcPr>
            <w:tcW w:w="1801" w:type="dxa"/>
            <w:vAlign w:val="center"/>
          </w:tcPr>
          <w:p>
            <w:pPr>
              <w:spacing w:line="240" w:lineRule="auto"/>
              <w:jc w:val="center"/>
              <w:rPr>
                <w:sz w:val="21"/>
                <w:szCs w:val="21"/>
              </w:rPr>
            </w:pPr>
            <w:r>
              <w:rPr>
                <w:sz w:val="21"/>
                <w:szCs w:val="21"/>
              </w:rPr>
              <w:t>SS</w:t>
            </w:r>
          </w:p>
        </w:tc>
        <w:tc>
          <w:tcPr>
            <w:tcW w:w="1710"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283"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710"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567"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r>
              <w:rPr>
                <w:rFonts w:ascii="Times New Roman" w:hAnsi="Times New Roman"/>
                <w:kern w:val="21"/>
                <w:szCs w:val="21"/>
              </w:rPr>
              <w:t>.506t/a</w:t>
            </w:r>
          </w:p>
        </w:tc>
        <w:tc>
          <w:tcPr>
            <w:tcW w:w="1421"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583"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r>
              <w:rPr>
                <w:rFonts w:ascii="Times New Roman" w:hAnsi="Times New Roman"/>
                <w:kern w:val="21"/>
                <w:szCs w:val="21"/>
              </w:rPr>
              <w:t>.506t/a</w:t>
            </w:r>
          </w:p>
        </w:tc>
        <w:tc>
          <w:tcPr>
            <w:tcW w:w="1685" w:type="dxa"/>
            <w:vAlign w:val="center"/>
          </w:tcPr>
          <w:p>
            <w:pPr>
              <w:pStyle w:val="64"/>
              <w:spacing w:line="240" w:lineRule="auto"/>
              <w:ind w:left="420" w:hanging="420"/>
              <w:rPr>
                <w:rFonts w:ascii="Times New Roman" w:hAnsi="Times New Roman"/>
                <w:kern w:val="21"/>
                <w:szCs w:val="21"/>
              </w:rPr>
            </w:pPr>
            <w:r>
              <w:rPr>
                <w:rFonts w:ascii="Times New Roman" w:hAnsi="Times New Roman"/>
                <w:kern w:val="21"/>
                <w:szCs w:val="21"/>
              </w:rPr>
              <w:t>+</w:t>
            </w:r>
            <w:r>
              <w:rPr>
                <w:rFonts w:hint="eastAsia" w:ascii="Times New Roman" w:hAnsi="Times New Roman"/>
                <w:kern w:val="21"/>
                <w:szCs w:val="21"/>
              </w:rPr>
              <w:t>0</w:t>
            </w:r>
            <w:r>
              <w:rPr>
                <w:rFonts w:ascii="Times New Roman" w:hAnsi="Times New Roman"/>
                <w:kern w:val="21"/>
                <w:szCs w:val="21"/>
              </w:rPr>
              <w:t>.506t/a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22" w:type="dxa"/>
            <w:vAlign w:val="center"/>
          </w:tcPr>
          <w:p>
            <w:pPr>
              <w:pStyle w:val="64"/>
              <w:spacing w:line="240" w:lineRule="auto"/>
              <w:ind w:left="420" w:hanging="420"/>
              <w:rPr>
                <w:rFonts w:ascii="Times New Roman" w:hAnsi="Times New Roman"/>
                <w:kern w:val="21"/>
                <w:szCs w:val="21"/>
              </w:rPr>
            </w:pPr>
            <w:r>
              <w:rPr>
                <w:rFonts w:ascii="Times New Roman" w:hAnsi="Times New Roman"/>
                <w:kern w:val="21"/>
                <w:szCs w:val="21"/>
              </w:rPr>
              <w:t>生活垃圾</w:t>
            </w:r>
          </w:p>
        </w:tc>
        <w:tc>
          <w:tcPr>
            <w:tcW w:w="1801" w:type="dxa"/>
            <w:vAlign w:val="center"/>
          </w:tcPr>
          <w:p>
            <w:pPr>
              <w:pStyle w:val="49"/>
              <w:spacing w:line="240" w:lineRule="auto"/>
              <w:jc w:val="center"/>
              <w:rPr>
                <w:rFonts w:hint="default" w:ascii="Times New Roman" w:hAnsi="Times New Roman"/>
                <w:color w:val="auto"/>
                <w:kern w:val="21"/>
                <w:sz w:val="21"/>
                <w:szCs w:val="21"/>
              </w:rPr>
            </w:pPr>
            <w:r>
              <w:rPr>
                <w:rFonts w:hint="default" w:ascii="Times New Roman" w:hAnsi="Times New Roman"/>
                <w:color w:val="auto"/>
                <w:sz w:val="21"/>
                <w:szCs w:val="21"/>
                <w:lang w:val="zh-CN"/>
              </w:rPr>
              <w:t>生活垃圾</w:t>
            </w:r>
          </w:p>
        </w:tc>
        <w:tc>
          <w:tcPr>
            <w:tcW w:w="1710"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283"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710"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567" w:type="dxa"/>
            <w:vAlign w:val="center"/>
          </w:tcPr>
          <w:p>
            <w:pPr>
              <w:pStyle w:val="64"/>
              <w:spacing w:line="240" w:lineRule="auto"/>
              <w:ind w:left="420" w:hanging="420"/>
              <w:rPr>
                <w:rFonts w:ascii="Times New Roman" w:hAnsi="Times New Roman"/>
                <w:kern w:val="21"/>
                <w:szCs w:val="21"/>
              </w:rPr>
            </w:pPr>
            <w:r>
              <w:rPr>
                <w:rFonts w:ascii="Times New Roman" w:hAnsi="Times New Roman"/>
                <w:kern w:val="21"/>
                <w:szCs w:val="21"/>
              </w:rPr>
              <w:t>84t/a</w:t>
            </w:r>
          </w:p>
        </w:tc>
        <w:tc>
          <w:tcPr>
            <w:tcW w:w="1421"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583" w:type="dxa"/>
            <w:vAlign w:val="center"/>
          </w:tcPr>
          <w:p>
            <w:pPr>
              <w:pStyle w:val="64"/>
              <w:spacing w:line="240" w:lineRule="auto"/>
              <w:ind w:left="420" w:hanging="420"/>
              <w:rPr>
                <w:rFonts w:ascii="Times New Roman" w:hAnsi="Times New Roman"/>
                <w:kern w:val="21"/>
                <w:szCs w:val="21"/>
              </w:rPr>
            </w:pPr>
            <w:r>
              <w:rPr>
                <w:rFonts w:ascii="Times New Roman" w:hAnsi="Times New Roman"/>
                <w:kern w:val="21"/>
                <w:szCs w:val="21"/>
              </w:rPr>
              <w:t>84t/a</w:t>
            </w:r>
          </w:p>
        </w:tc>
        <w:tc>
          <w:tcPr>
            <w:tcW w:w="1685" w:type="dxa"/>
            <w:vAlign w:val="center"/>
          </w:tcPr>
          <w:p>
            <w:pPr>
              <w:pStyle w:val="64"/>
              <w:spacing w:line="240" w:lineRule="auto"/>
              <w:ind w:left="420" w:hanging="420"/>
              <w:rPr>
                <w:rFonts w:ascii="Times New Roman" w:hAnsi="Times New Roman"/>
                <w:kern w:val="21"/>
                <w:szCs w:val="21"/>
              </w:rPr>
            </w:pPr>
            <w:r>
              <w:rPr>
                <w:rFonts w:ascii="Times New Roman" w:hAnsi="Times New Roman"/>
                <w:kern w:val="21"/>
                <w:szCs w:val="21"/>
              </w:rPr>
              <w:t>+84t/a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22" w:type="dxa"/>
            <w:vAlign w:val="center"/>
          </w:tcPr>
          <w:p>
            <w:pPr>
              <w:pStyle w:val="64"/>
              <w:spacing w:line="240" w:lineRule="auto"/>
              <w:ind w:left="420" w:hanging="420"/>
              <w:rPr>
                <w:rFonts w:ascii="Times New Roman" w:hAnsi="Times New Roman"/>
                <w:kern w:val="21"/>
                <w:szCs w:val="21"/>
              </w:rPr>
            </w:pPr>
            <w:r>
              <w:rPr>
                <w:rFonts w:ascii="Times New Roman" w:hAnsi="Times New Roman"/>
                <w:kern w:val="21"/>
                <w:szCs w:val="21"/>
              </w:rPr>
              <w:t>一般工业</w:t>
            </w:r>
          </w:p>
          <w:p>
            <w:pPr>
              <w:pStyle w:val="64"/>
              <w:spacing w:line="240" w:lineRule="auto"/>
              <w:ind w:left="420" w:hanging="420"/>
              <w:rPr>
                <w:rFonts w:ascii="Times New Roman" w:hAnsi="Times New Roman"/>
                <w:kern w:val="21"/>
                <w:szCs w:val="21"/>
              </w:rPr>
            </w:pPr>
            <w:r>
              <w:rPr>
                <w:rFonts w:ascii="Times New Roman" w:hAnsi="Times New Roman"/>
                <w:kern w:val="21"/>
                <w:szCs w:val="21"/>
              </w:rPr>
              <w:t>固体废物</w:t>
            </w:r>
          </w:p>
        </w:tc>
        <w:tc>
          <w:tcPr>
            <w:tcW w:w="1801" w:type="dxa"/>
            <w:vAlign w:val="center"/>
          </w:tcPr>
          <w:p>
            <w:pPr>
              <w:pStyle w:val="49"/>
              <w:spacing w:line="240" w:lineRule="auto"/>
              <w:jc w:val="center"/>
              <w:rPr>
                <w:rFonts w:hint="default" w:ascii="Times New Roman" w:hAnsi="Times New Roman"/>
                <w:color w:val="auto"/>
                <w:kern w:val="21"/>
                <w:sz w:val="21"/>
                <w:szCs w:val="21"/>
              </w:rPr>
            </w:pPr>
            <w:r>
              <w:rPr>
                <w:rFonts w:ascii="Times New Roman" w:hAnsi="Times New Roman"/>
                <w:color w:val="auto"/>
                <w:sz w:val="21"/>
                <w:szCs w:val="21"/>
              </w:rPr>
              <w:t>废包装材料</w:t>
            </w:r>
          </w:p>
        </w:tc>
        <w:tc>
          <w:tcPr>
            <w:tcW w:w="1710"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283"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710"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567" w:type="dxa"/>
            <w:vAlign w:val="center"/>
          </w:tcPr>
          <w:p>
            <w:pPr>
              <w:pStyle w:val="64"/>
              <w:spacing w:line="240" w:lineRule="auto"/>
              <w:ind w:left="420" w:hanging="420"/>
              <w:rPr>
                <w:rFonts w:ascii="Times New Roman" w:hAnsi="Times New Roman"/>
                <w:kern w:val="21"/>
                <w:szCs w:val="21"/>
              </w:rPr>
            </w:pPr>
            <w:r>
              <w:rPr>
                <w:rFonts w:ascii="Times New Roman" w:hAnsi="Times New Roman"/>
              </w:rPr>
              <w:t>0.012</w:t>
            </w:r>
            <w:r>
              <w:rPr>
                <w:rFonts w:ascii="Times New Roman" w:hAnsi="Times New Roman"/>
                <w:kern w:val="21"/>
                <w:szCs w:val="21"/>
              </w:rPr>
              <w:t>t/a</w:t>
            </w:r>
          </w:p>
        </w:tc>
        <w:tc>
          <w:tcPr>
            <w:tcW w:w="1421"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583" w:type="dxa"/>
            <w:vAlign w:val="center"/>
          </w:tcPr>
          <w:p>
            <w:pPr>
              <w:pStyle w:val="64"/>
              <w:spacing w:line="240" w:lineRule="auto"/>
              <w:ind w:left="420" w:hanging="420"/>
              <w:rPr>
                <w:rFonts w:ascii="Times New Roman" w:hAnsi="Times New Roman"/>
                <w:kern w:val="21"/>
                <w:szCs w:val="21"/>
              </w:rPr>
            </w:pPr>
            <w:r>
              <w:rPr>
                <w:rFonts w:ascii="Times New Roman" w:hAnsi="Times New Roman"/>
              </w:rPr>
              <w:t>0.012</w:t>
            </w:r>
            <w:r>
              <w:rPr>
                <w:rFonts w:ascii="Times New Roman" w:hAnsi="Times New Roman"/>
                <w:kern w:val="21"/>
                <w:szCs w:val="21"/>
              </w:rPr>
              <w:t>t/a</w:t>
            </w:r>
          </w:p>
        </w:tc>
        <w:tc>
          <w:tcPr>
            <w:tcW w:w="1685" w:type="dxa"/>
            <w:vAlign w:val="center"/>
          </w:tcPr>
          <w:p>
            <w:pPr>
              <w:pStyle w:val="64"/>
              <w:spacing w:line="240" w:lineRule="auto"/>
              <w:ind w:left="420" w:hanging="420"/>
              <w:rPr>
                <w:rFonts w:ascii="Times New Roman" w:hAnsi="Times New Roman"/>
                <w:kern w:val="21"/>
                <w:szCs w:val="21"/>
              </w:rPr>
            </w:pPr>
            <w:r>
              <w:rPr>
                <w:rFonts w:ascii="Times New Roman" w:hAnsi="Times New Roman"/>
              </w:rPr>
              <w:t>+0.012</w:t>
            </w:r>
            <w:r>
              <w:rPr>
                <w:rFonts w:ascii="Times New Roman" w:hAnsi="Times New Roman"/>
                <w:kern w:val="21"/>
                <w:szCs w:val="21"/>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22" w:type="dxa"/>
            <w:vMerge w:val="restart"/>
            <w:vAlign w:val="center"/>
          </w:tcPr>
          <w:p>
            <w:pPr>
              <w:pStyle w:val="64"/>
              <w:spacing w:line="240" w:lineRule="auto"/>
              <w:ind w:left="420" w:hanging="420"/>
              <w:rPr>
                <w:rFonts w:ascii="Times New Roman" w:hAnsi="Times New Roman"/>
                <w:kern w:val="21"/>
                <w:szCs w:val="21"/>
              </w:rPr>
            </w:pPr>
            <w:r>
              <w:rPr>
                <w:rFonts w:ascii="Times New Roman" w:hAnsi="Times New Roman"/>
                <w:kern w:val="21"/>
                <w:szCs w:val="21"/>
              </w:rPr>
              <w:t>危险废物</w:t>
            </w:r>
          </w:p>
        </w:tc>
        <w:tc>
          <w:tcPr>
            <w:tcW w:w="1801" w:type="dxa"/>
            <w:vAlign w:val="center"/>
          </w:tcPr>
          <w:p>
            <w:pPr>
              <w:pStyle w:val="49"/>
              <w:spacing w:line="240" w:lineRule="auto"/>
              <w:jc w:val="center"/>
              <w:rPr>
                <w:rFonts w:hint="default" w:ascii="Times New Roman" w:hAnsi="Times New Roman"/>
                <w:color w:val="auto"/>
                <w:kern w:val="21"/>
                <w:sz w:val="21"/>
                <w:szCs w:val="21"/>
              </w:rPr>
            </w:pPr>
            <w:r>
              <w:rPr>
                <w:rFonts w:ascii="Times New Roman" w:hAnsi="Times New Roman"/>
                <w:color w:val="auto"/>
                <w:sz w:val="21"/>
                <w:szCs w:val="21"/>
              </w:rPr>
              <w:t>废冷却液桶</w:t>
            </w:r>
          </w:p>
        </w:tc>
        <w:tc>
          <w:tcPr>
            <w:tcW w:w="1710"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283"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710"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567" w:type="dxa"/>
            <w:vAlign w:val="center"/>
          </w:tcPr>
          <w:p>
            <w:pPr>
              <w:pStyle w:val="64"/>
              <w:spacing w:line="240" w:lineRule="auto"/>
              <w:ind w:left="420" w:hanging="420"/>
              <w:rPr>
                <w:rFonts w:ascii="Times New Roman" w:hAnsi="Times New Roman"/>
                <w:kern w:val="21"/>
                <w:szCs w:val="21"/>
              </w:rPr>
            </w:pPr>
            <w:r>
              <w:rPr>
                <w:rFonts w:ascii="Times New Roman" w:hAnsi="Times New Roman"/>
                <w:kern w:val="21"/>
                <w:szCs w:val="21"/>
              </w:rPr>
              <w:t>0.5t/a</w:t>
            </w:r>
          </w:p>
        </w:tc>
        <w:tc>
          <w:tcPr>
            <w:tcW w:w="1421"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583" w:type="dxa"/>
            <w:vAlign w:val="center"/>
          </w:tcPr>
          <w:p>
            <w:pPr>
              <w:pStyle w:val="64"/>
              <w:spacing w:line="240" w:lineRule="auto"/>
              <w:ind w:left="420" w:hanging="420"/>
              <w:rPr>
                <w:rFonts w:ascii="Times New Roman" w:hAnsi="Times New Roman"/>
                <w:kern w:val="21"/>
                <w:szCs w:val="21"/>
              </w:rPr>
            </w:pPr>
            <w:r>
              <w:rPr>
                <w:rFonts w:ascii="Times New Roman" w:hAnsi="Times New Roman"/>
                <w:kern w:val="21"/>
                <w:szCs w:val="21"/>
              </w:rPr>
              <w:t>0.5t/a</w:t>
            </w:r>
          </w:p>
        </w:tc>
        <w:tc>
          <w:tcPr>
            <w:tcW w:w="1685" w:type="dxa"/>
            <w:vAlign w:val="center"/>
          </w:tcPr>
          <w:p>
            <w:pPr>
              <w:pStyle w:val="64"/>
              <w:spacing w:line="240" w:lineRule="auto"/>
              <w:ind w:left="420" w:hanging="420"/>
              <w:rPr>
                <w:rFonts w:ascii="Times New Roman" w:hAnsi="Times New Roman"/>
                <w:kern w:val="21"/>
                <w:szCs w:val="21"/>
              </w:rPr>
            </w:pPr>
            <w:r>
              <w:rPr>
                <w:rFonts w:ascii="Times New Roman" w:hAnsi="Times New Roman"/>
                <w:kern w:val="21"/>
                <w:szCs w:val="21"/>
              </w:rPr>
              <w:t>+0.5t/a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22" w:type="dxa"/>
            <w:vMerge w:val="continue"/>
            <w:vAlign w:val="center"/>
          </w:tcPr>
          <w:p>
            <w:pPr>
              <w:pStyle w:val="64"/>
              <w:spacing w:line="240" w:lineRule="auto"/>
              <w:ind w:left="420" w:hanging="420"/>
              <w:rPr>
                <w:rFonts w:ascii="Times New Roman" w:hAnsi="Times New Roman"/>
                <w:kern w:val="21"/>
                <w:szCs w:val="21"/>
              </w:rPr>
            </w:pPr>
          </w:p>
        </w:tc>
        <w:tc>
          <w:tcPr>
            <w:tcW w:w="1801" w:type="dxa"/>
            <w:vAlign w:val="center"/>
          </w:tcPr>
          <w:p>
            <w:pPr>
              <w:pStyle w:val="49"/>
              <w:spacing w:line="240" w:lineRule="auto"/>
              <w:jc w:val="center"/>
              <w:rPr>
                <w:rFonts w:hint="default" w:ascii="Times New Roman" w:hAnsi="Times New Roman"/>
                <w:color w:val="auto"/>
                <w:sz w:val="21"/>
                <w:szCs w:val="21"/>
              </w:rPr>
            </w:pPr>
            <w:r>
              <w:rPr>
                <w:rFonts w:ascii="Times New Roman" w:hAnsi="Times New Roman"/>
                <w:color w:val="auto"/>
                <w:sz w:val="21"/>
                <w:szCs w:val="21"/>
              </w:rPr>
              <w:t>废含油抹布</w:t>
            </w:r>
          </w:p>
        </w:tc>
        <w:tc>
          <w:tcPr>
            <w:tcW w:w="1710"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283"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710"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567"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r>
              <w:rPr>
                <w:rFonts w:ascii="Times New Roman" w:hAnsi="Times New Roman"/>
                <w:kern w:val="21"/>
                <w:szCs w:val="21"/>
              </w:rPr>
              <w:t>.2t/a</w:t>
            </w:r>
          </w:p>
        </w:tc>
        <w:tc>
          <w:tcPr>
            <w:tcW w:w="1421"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p>
        </w:tc>
        <w:tc>
          <w:tcPr>
            <w:tcW w:w="1583" w:type="dxa"/>
            <w:vAlign w:val="center"/>
          </w:tcPr>
          <w:p>
            <w:pPr>
              <w:pStyle w:val="64"/>
              <w:spacing w:line="240" w:lineRule="auto"/>
              <w:ind w:left="420" w:hanging="420"/>
              <w:rPr>
                <w:rFonts w:ascii="Times New Roman" w:hAnsi="Times New Roman"/>
                <w:kern w:val="21"/>
                <w:szCs w:val="21"/>
              </w:rPr>
            </w:pPr>
            <w:r>
              <w:rPr>
                <w:rFonts w:hint="eastAsia" w:ascii="Times New Roman" w:hAnsi="Times New Roman"/>
                <w:kern w:val="21"/>
                <w:szCs w:val="21"/>
              </w:rPr>
              <w:t>0</w:t>
            </w:r>
            <w:r>
              <w:rPr>
                <w:rFonts w:ascii="Times New Roman" w:hAnsi="Times New Roman"/>
                <w:kern w:val="21"/>
                <w:szCs w:val="21"/>
              </w:rPr>
              <w:t>.2t/a</w:t>
            </w:r>
          </w:p>
        </w:tc>
        <w:tc>
          <w:tcPr>
            <w:tcW w:w="1685" w:type="dxa"/>
            <w:vAlign w:val="center"/>
          </w:tcPr>
          <w:p>
            <w:pPr>
              <w:pStyle w:val="64"/>
              <w:spacing w:line="240" w:lineRule="auto"/>
              <w:ind w:left="420" w:hanging="420"/>
              <w:rPr>
                <w:rFonts w:ascii="Times New Roman" w:hAnsi="Times New Roman"/>
                <w:kern w:val="21"/>
                <w:szCs w:val="21"/>
              </w:rPr>
            </w:pPr>
            <w:r>
              <w:rPr>
                <w:rFonts w:ascii="Times New Roman" w:hAnsi="Times New Roman"/>
                <w:kern w:val="21"/>
                <w:szCs w:val="21"/>
              </w:rPr>
              <w:t>+</w:t>
            </w:r>
            <w:r>
              <w:rPr>
                <w:rFonts w:hint="eastAsia" w:ascii="Times New Roman" w:hAnsi="Times New Roman"/>
                <w:kern w:val="21"/>
                <w:szCs w:val="21"/>
              </w:rPr>
              <w:t>0</w:t>
            </w:r>
            <w:r>
              <w:rPr>
                <w:rFonts w:ascii="Times New Roman" w:hAnsi="Times New Roman"/>
                <w:kern w:val="21"/>
                <w:szCs w:val="21"/>
              </w:rPr>
              <w:t>.2t/a</w:t>
            </w:r>
          </w:p>
        </w:tc>
      </w:tr>
    </w:tbl>
    <w:p>
      <w:pPr>
        <w:pStyle w:val="64"/>
        <w:spacing w:beforeLines="80" w:after="24"/>
        <w:ind w:left="420" w:hanging="420"/>
        <w:jc w:val="left"/>
        <w:rPr>
          <w:rFonts w:ascii="Times New Roman" w:hAnsi="Times New Roman"/>
        </w:rPr>
      </w:pPr>
      <w:r>
        <w:rPr>
          <w:rFonts w:ascii="Times New Roman" w:hAnsi="Times New Roman"/>
          <w:kern w:val="21"/>
          <w:szCs w:val="21"/>
        </w:rPr>
        <w:t>注：</w:t>
      </w:r>
      <w:r>
        <w:rPr>
          <w:rFonts w:ascii="Times New Roman" w:hAnsi="Times New Roman"/>
          <w:spacing w:val="-16"/>
          <w:kern w:val="21"/>
          <w:szCs w:val="21"/>
        </w:rPr>
        <w:fldChar w:fldCharType="begin"/>
      </w:r>
      <w:r>
        <w:rPr>
          <w:rFonts w:ascii="Times New Roman" w:hAnsi="Times New Roman"/>
          <w:spacing w:val="-16"/>
          <w:kern w:val="21"/>
          <w:szCs w:val="21"/>
        </w:rPr>
        <w:instrText xml:space="preserve"> = 6 \* GB3 \* MERGEFORMAT </w:instrText>
      </w:r>
      <w:r>
        <w:rPr>
          <w:rFonts w:ascii="Times New Roman" w:hAnsi="Times New Roman"/>
          <w:spacing w:val="-16"/>
          <w:kern w:val="21"/>
          <w:szCs w:val="21"/>
        </w:rPr>
        <w:fldChar w:fldCharType="separate"/>
      </w:r>
      <w:r>
        <w:rPr>
          <w:rFonts w:hint="eastAsia" w:cs="宋体"/>
          <w:szCs w:val="21"/>
        </w:rPr>
        <w:t>⑥</w:t>
      </w:r>
      <w:r>
        <w:rPr>
          <w:rFonts w:ascii="Times New Roman" w:hAnsi="Times New Roman"/>
          <w:spacing w:val="-16"/>
          <w:kern w:val="21"/>
          <w:szCs w:val="21"/>
        </w:rPr>
        <w:fldChar w:fldCharType="end"/>
      </w:r>
      <w:r>
        <w:rPr>
          <w:rFonts w:ascii="Times New Roman" w:hAnsi="Times New Roman"/>
          <w:spacing w:val="-16"/>
          <w:kern w:val="21"/>
          <w:szCs w:val="21"/>
        </w:rPr>
        <w:t>=</w:t>
      </w:r>
      <w:r>
        <w:rPr>
          <w:rFonts w:ascii="Times New Roman" w:hAnsi="Times New Roman"/>
          <w:spacing w:val="-6"/>
          <w:kern w:val="21"/>
          <w:szCs w:val="21"/>
        </w:rPr>
        <w:fldChar w:fldCharType="begin"/>
      </w:r>
      <w:r>
        <w:rPr>
          <w:rFonts w:ascii="Times New Roman" w:hAnsi="Times New Roman"/>
          <w:spacing w:val="-6"/>
          <w:kern w:val="21"/>
          <w:szCs w:val="21"/>
        </w:rPr>
        <w:instrText xml:space="preserve"> = 1 \* GB3 \* MERGEFORMAT </w:instrText>
      </w:r>
      <w:r>
        <w:rPr>
          <w:rFonts w:ascii="Times New Roman" w:hAnsi="Times New Roman"/>
          <w:spacing w:val="-6"/>
          <w:kern w:val="21"/>
          <w:szCs w:val="21"/>
        </w:rPr>
        <w:fldChar w:fldCharType="separate"/>
      </w:r>
      <w:r>
        <w:rPr>
          <w:rFonts w:hint="eastAsia" w:cs="宋体"/>
          <w:szCs w:val="21"/>
        </w:rPr>
        <w:t>①</w:t>
      </w:r>
      <w:r>
        <w:rPr>
          <w:rFonts w:ascii="Times New Roman" w:hAnsi="Times New Roman"/>
          <w:spacing w:val="-6"/>
          <w:kern w:val="21"/>
          <w:szCs w:val="21"/>
        </w:rPr>
        <w:fldChar w:fldCharType="end"/>
      </w:r>
      <w:r>
        <w:rPr>
          <w:rFonts w:ascii="Times New Roman" w:hAnsi="Times New Roman"/>
          <w:spacing w:val="-6"/>
          <w:kern w:val="21"/>
          <w:szCs w:val="21"/>
        </w:rPr>
        <w:t>+</w:t>
      </w:r>
      <w:r>
        <w:rPr>
          <w:rFonts w:ascii="Times New Roman" w:hAnsi="Times New Roman"/>
          <w:spacing w:val="-6"/>
          <w:kern w:val="21"/>
          <w:szCs w:val="21"/>
        </w:rPr>
        <w:fldChar w:fldCharType="begin"/>
      </w:r>
      <w:r>
        <w:rPr>
          <w:rFonts w:ascii="Times New Roman" w:hAnsi="Times New Roman"/>
          <w:spacing w:val="-6"/>
          <w:kern w:val="21"/>
          <w:szCs w:val="21"/>
        </w:rPr>
        <w:instrText xml:space="preserve"> = 3 \* GB3 \* MERGEFORMAT </w:instrText>
      </w:r>
      <w:r>
        <w:rPr>
          <w:rFonts w:ascii="Times New Roman" w:hAnsi="Times New Roman"/>
          <w:spacing w:val="-6"/>
          <w:kern w:val="21"/>
          <w:szCs w:val="21"/>
        </w:rPr>
        <w:fldChar w:fldCharType="separate"/>
      </w:r>
      <w:r>
        <w:rPr>
          <w:rFonts w:hint="eastAsia" w:cs="宋体"/>
          <w:szCs w:val="21"/>
        </w:rPr>
        <w:t>③</w:t>
      </w:r>
      <w:r>
        <w:rPr>
          <w:rFonts w:ascii="Times New Roman" w:hAnsi="Times New Roman"/>
          <w:spacing w:val="-6"/>
          <w:kern w:val="21"/>
          <w:szCs w:val="21"/>
        </w:rPr>
        <w:fldChar w:fldCharType="end"/>
      </w:r>
      <w:r>
        <w:rPr>
          <w:rFonts w:ascii="Times New Roman" w:hAnsi="Times New Roman"/>
          <w:spacing w:val="-6"/>
          <w:kern w:val="21"/>
          <w:szCs w:val="21"/>
        </w:rPr>
        <w:t>+</w:t>
      </w:r>
      <w:r>
        <w:rPr>
          <w:rFonts w:ascii="Times New Roman" w:hAnsi="Times New Roman"/>
          <w:spacing w:val="-6"/>
          <w:kern w:val="21"/>
          <w:szCs w:val="21"/>
        </w:rPr>
        <w:fldChar w:fldCharType="begin"/>
      </w:r>
      <w:r>
        <w:rPr>
          <w:rFonts w:ascii="Times New Roman" w:hAnsi="Times New Roman"/>
          <w:spacing w:val="-6"/>
          <w:kern w:val="21"/>
          <w:szCs w:val="21"/>
        </w:rPr>
        <w:instrText xml:space="preserve"> = 4 \* GB3 \* MERGEFORMAT </w:instrText>
      </w:r>
      <w:r>
        <w:rPr>
          <w:rFonts w:ascii="Times New Roman" w:hAnsi="Times New Roman"/>
          <w:spacing w:val="-6"/>
          <w:kern w:val="21"/>
          <w:szCs w:val="21"/>
        </w:rPr>
        <w:fldChar w:fldCharType="separate"/>
      </w:r>
      <w:r>
        <w:rPr>
          <w:rFonts w:hint="eastAsia" w:cs="宋体"/>
          <w:szCs w:val="21"/>
        </w:rPr>
        <w:t>④</w:t>
      </w:r>
      <w:r>
        <w:rPr>
          <w:rFonts w:ascii="Times New Roman" w:hAnsi="Times New Roman"/>
          <w:spacing w:val="-6"/>
          <w:kern w:val="21"/>
          <w:szCs w:val="21"/>
        </w:rPr>
        <w:fldChar w:fldCharType="end"/>
      </w:r>
      <w:r>
        <w:rPr>
          <w:rFonts w:ascii="Times New Roman" w:hAnsi="Times New Roman"/>
          <w:spacing w:val="-6"/>
          <w:kern w:val="21"/>
          <w:szCs w:val="21"/>
        </w:rPr>
        <w:t>-</w:t>
      </w:r>
      <w:r>
        <w:rPr>
          <w:rFonts w:ascii="Times New Roman" w:hAnsi="Times New Roman"/>
          <w:spacing w:val="-16"/>
          <w:kern w:val="21"/>
          <w:szCs w:val="21"/>
        </w:rPr>
        <w:fldChar w:fldCharType="begin"/>
      </w:r>
      <w:r>
        <w:rPr>
          <w:rFonts w:ascii="Times New Roman" w:hAnsi="Times New Roman"/>
          <w:spacing w:val="-16"/>
          <w:kern w:val="21"/>
          <w:szCs w:val="21"/>
        </w:rPr>
        <w:instrText xml:space="preserve"> = 5 \* GB3 \* MERGEFORMAT </w:instrText>
      </w:r>
      <w:r>
        <w:rPr>
          <w:rFonts w:ascii="Times New Roman" w:hAnsi="Times New Roman"/>
          <w:spacing w:val="-16"/>
          <w:kern w:val="21"/>
          <w:szCs w:val="21"/>
        </w:rPr>
        <w:fldChar w:fldCharType="separate"/>
      </w:r>
      <w:r>
        <w:rPr>
          <w:rFonts w:hint="eastAsia" w:cs="宋体"/>
          <w:szCs w:val="21"/>
        </w:rPr>
        <w:t>⑤</w:t>
      </w:r>
      <w:r>
        <w:rPr>
          <w:rFonts w:ascii="Times New Roman" w:hAnsi="Times New Roman"/>
          <w:spacing w:val="-16"/>
          <w:kern w:val="21"/>
          <w:szCs w:val="21"/>
        </w:rPr>
        <w:fldChar w:fldCharType="end"/>
      </w:r>
      <w:r>
        <w:rPr>
          <w:rFonts w:ascii="Times New Roman" w:hAnsi="Times New Roman"/>
          <w:spacing w:val="-16"/>
          <w:kern w:val="21"/>
          <w:szCs w:val="21"/>
        </w:rPr>
        <w:t>；</w:t>
      </w:r>
      <w:r>
        <w:rPr>
          <w:rFonts w:ascii="Times New Roman" w:hAnsi="Times New Roman"/>
          <w:spacing w:val="-6"/>
          <w:kern w:val="21"/>
          <w:szCs w:val="21"/>
        </w:rPr>
        <w:fldChar w:fldCharType="begin"/>
      </w:r>
      <w:r>
        <w:rPr>
          <w:rFonts w:ascii="Times New Roman" w:hAnsi="Times New Roman"/>
          <w:spacing w:val="-6"/>
          <w:kern w:val="21"/>
          <w:szCs w:val="21"/>
        </w:rPr>
        <w:instrText xml:space="preserve"> = 7 \* GB3 \* MERGEFORMAT </w:instrText>
      </w:r>
      <w:r>
        <w:rPr>
          <w:rFonts w:ascii="Times New Roman" w:hAnsi="Times New Roman"/>
          <w:spacing w:val="-6"/>
          <w:kern w:val="21"/>
          <w:szCs w:val="21"/>
        </w:rPr>
        <w:fldChar w:fldCharType="separate"/>
      </w:r>
      <w:r>
        <w:rPr>
          <w:rFonts w:hint="eastAsia" w:cs="宋体"/>
          <w:szCs w:val="21"/>
        </w:rPr>
        <w:t>⑦</w:t>
      </w:r>
      <w:r>
        <w:rPr>
          <w:rFonts w:ascii="Times New Roman" w:hAnsi="Times New Roman"/>
          <w:spacing w:val="-6"/>
          <w:kern w:val="21"/>
          <w:szCs w:val="21"/>
        </w:rPr>
        <w:fldChar w:fldCharType="end"/>
      </w:r>
      <w:r>
        <w:rPr>
          <w:rFonts w:ascii="Times New Roman" w:hAnsi="Times New Roman"/>
          <w:spacing w:val="-6"/>
          <w:kern w:val="21"/>
          <w:szCs w:val="21"/>
        </w:rPr>
        <w:t>=</w:t>
      </w:r>
      <w:r>
        <w:rPr>
          <w:rFonts w:ascii="Times New Roman" w:hAnsi="Times New Roman"/>
          <w:spacing w:val="-16"/>
          <w:kern w:val="21"/>
          <w:szCs w:val="21"/>
        </w:rPr>
        <w:fldChar w:fldCharType="begin"/>
      </w:r>
      <w:r>
        <w:rPr>
          <w:rFonts w:ascii="Times New Roman" w:hAnsi="Times New Roman"/>
          <w:spacing w:val="-16"/>
          <w:kern w:val="21"/>
          <w:szCs w:val="21"/>
        </w:rPr>
        <w:instrText xml:space="preserve"> = 6 \* GB3 \* MERGEFORMAT </w:instrText>
      </w:r>
      <w:r>
        <w:rPr>
          <w:rFonts w:ascii="Times New Roman" w:hAnsi="Times New Roman"/>
          <w:spacing w:val="-16"/>
          <w:kern w:val="21"/>
          <w:szCs w:val="21"/>
        </w:rPr>
        <w:fldChar w:fldCharType="separate"/>
      </w:r>
      <w:r>
        <w:rPr>
          <w:rFonts w:hint="eastAsia" w:cs="宋体"/>
          <w:szCs w:val="21"/>
        </w:rPr>
        <w:t>⑥</w:t>
      </w:r>
      <w:r>
        <w:rPr>
          <w:rFonts w:ascii="Times New Roman" w:hAnsi="Times New Roman"/>
          <w:spacing w:val="-16"/>
          <w:kern w:val="21"/>
          <w:szCs w:val="21"/>
        </w:rPr>
        <w:fldChar w:fldCharType="end"/>
      </w:r>
      <w:r>
        <w:rPr>
          <w:rFonts w:ascii="Times New Roman" w:hAnsi="Times New Roman"/>
          <w:spacing w:val="-16"/>
          <w:kern w:val="21"/>
          <w:szCs w:val="21"/>
        </w:rPr>
        <w:t>-</w:t>
      </w:r>
      <w:r>
        <w:rPr>
          <w:rFonts w:ascii="Times New Roman" w:hAnsi="Times New Roman"/>
          <w:spacing w:val="-6"/>
          <w:kern w:val="21"/>
          <w:szCs w:val="21"/>
        </w:rPr>
        <w:fldChar w:fldCharType="begin"/>
      </w:r>
      <w:r>
        <w:rPr>
          <w:rFonts w:ascii="Times New Roman" w:hAnsi="Times New Roman"/>
          <w:spacing w:val="-6"/>
          <w:kern w:val="21"/>
          <w:szCs w:val="21"/>
        </w:rPr>
        <w:instrText xml:space="preserve"> = 1 \* GB3 \* MERGEFORMAT </w:instrText>
      </w:r>
      <w:r>
        <w:rPr>
          <w:rFonts w:ascii="Times New Roman" w:hAnsi="Times New Roman"/>
          <w:spacing w:val="-6"/>
          <w:kern w:val="21"/>
          <w:szCs w:val="21"/>
        </w:rPr>
        <w:fldChar w:fldCharType="separate"/>
      </w:r>
      <w:r>
        <w:rPr>
          <w:rFonts w:hint="eastAsia" w:cs="宋体"/>
          <w:szCs w:val="21"/>
        </w:rPr>
        <w:t>①</w:t>
      </w:r>
      <w:r>
        <w:rPr>
          <w:rFonts w:ascii="Times New Roman" w:hAnsi="Times New Roman"/>
          <w:spacing w:val="-6"/>
          <w:kern w:val="21"/>
          <w:szCs w:val="21"/>
        </w:rPr>
        <w:fldChar w:fldCharType="end"/>
      </w:r>
    </w:p>
    <w:p>
      <w:pPr>
        <w:widowControl/>
        <w:adjustRightInd/>
        <w:snapToGrid/>
        <w:spacing w:line="240" w:lineRule="auto"/>
        <w:jc w:val="left"/>
        <w:sectPr>
          <w:pgSz w:w="16838" w:h="11906" w:orient="landscape"/>
          <w:pgMar w:top="1418" w:right="1418" w:bottom="1418" w:left="1418" w:header="851" w:footer="992" w:gutter="0"/>
          <w:cols w:space="720" w:num="1"/>
          <w:docGrid w:linePitch="381" w:charSpace="0"/>
        </w:sectPr>
      </w:pPr>
    </w:p>
    <w:p>
      <w:pPr>
        <w:pStyle w:val="3"/>
        <w:spacing w:before="100" w:after="100" w:line="360" w:lineRule="auto"/>
        <w:jc w:val="both"/>
        <w:rPr>
          <w:rFonts w:ascii="Times New Roman" w:hAnsi="Times New Roman"/>
        </w:rPr>
      </w:pPr>
      <w:r>
        <w:rPr>
          <w:rFonts w:ascii="Times New Roman" w:hAnsi="Times New Roman"/>
        </w:rPr>
        <w:t>附件1 项目委托书</w:t>
      </w:r>
    </w:p>
    <w:p>
      <w:pPr>
        <w:jc w:val="center"/>
        <w:rPr>
          <w:sz w:val="52"/>
          <w:szCs w:val="52"/>
        </w:rPr>
      </w:pPr>
      <w:r>
        <w:rPr>
          <w:sz w:val="52"/>
          <w:szCs w:val="52"/>
        </w:rPr>
        <w:t>委 托 书</w:t>
      </w:r>
    </w:p>
    <w:p>
      <w:pPr>
        <w:rPr>
          <w:b/>
          <w:kern w:val="10"/>
          <w:szCs w:val="28"/>
        </w:rPr>
      </w:pPr>
      <w:r>
        <w:rPr>
          <w:rFonts w:hint="eastAsia"/>
          <w:b/>
          <w:kern w:val="10"/>
          <w:szCs w:val="28"/>
        </w:rPr>
        <w:t>深圳市汉宇环境科技有限公司</w:t>
      </w:r>
      <w:r>
        <w:rPr>
          <w:b/>
          <w:kern w:val="10"/>
          <w:szCs w:val="28"/>
        </w:rPr>
        <w:t>：</w:t>
      </w:r>
    </w:p>
    <w:p>
      <w:pPr>
        <w:ind w:firstLine="560"/>
        <w:rPr>
          <w:szCs w:val="28"/>
        </w:rPr>
      </w:pPr>
      <w:r>
        <w:rPr>
          <w:szCs w:val="28"/>
        </w:rPr>
        <w:t>根据《中华人民共和国环境保护法》、《中华人民共和国环境影响评价法》、《建设项目环境影响评价分类管理名录》的规定，现委托贵单位承担</w:t>
      </w:r>
      <w:r>
        <w:rPr>
          <w:kern w:val="10"/>
          <w:szCs w:val="28"/>
        </w:rPr>
        <w:t>《</w:t>
      </w:r>
      <w:r>
        <w:rPr>
          <w:rFonts w:hint="eastAsia"/>
          <w:kern w:val="10"/>
          <w:szCs w:val="28"/>
        </w:rPr>
        <w:t>汕尾陆河储能（储电）集装箱生产制造项目</w:t>
      </w:r>
      <w:r>
        <w:rPr>
          <w:kern w:val="10"/>
          <w:szCs w:val="28"/>
        </w:rPr>
        <w:t>环境影响报告表》</w:t>
      </w:r>
      <w:r>
        <w:rPr>
          <w:szCs w:val="28"/>
        </w:rPr>
        <w:t>编制工作。关于工作内容、程序、进度以及费用等问题按合同约定执行。</w:t>
      </w:r>
    </w:p>
    <w:p>
      <w:pPr>
        <w:ind w:firstLine="560"/>
        <w:rPr>
          <w:szCs w:val="28"/>
        </w:rPr>
      </w:pPr>
      <w:r>
        <w:rPr>
          <w:szCs w:val="28"/>
        </w:rPr>
        <w:t>望贵单位尽早提出相应的工作计划并开展工作！</w:t>
      </w:r>
    </w:p>
    <w:p>
      <w:pPr>
        <w:ind w:firstLine="560" w:firstLineChars="200"/>
        <w:jc w:val="right"/>
        <w:rPr>
          <w:kern w:val="10"/>
          <w:szCs w:val="28"/>
        </w:rPr>
      </w:pPr>
    </w:p>
    <w:p>
      <w:pPr>
        <w:ind w:firstLine="562" w:firstLineChars="200"/>
        <w:jc w:val="right"/>
        <w:rPr>
          <w:b/>
          <w:kern w:val="10"/>
          <w:szCs w:val="28"/>
        </w:rPr>
      </w:pPr>
      <w:r>
        <w:rPr>
          <w:rFonts w:hint="eastAsia"/>
          <w:b/>
          <w:kern w:val="10"/>
          <w:szCs w:val="28"/>
        </w:rPr>
        <w:t>汕尾弗迪电池有限公司</w:t>
      </w:r>
    </w:p>
    <w:p>
      <w:pPr>
        <w:ind w:firstLine="562" w:firstLineChars="200"/>
        <w:jc w:val="right"/>
        <w:rPr>
          <w:b/>
          <w:kern w:val="10"/>
          <w:szCs w:val="28"/>
        </w:rPr>
      </w:pPr>
      <w:r>
        <w:rPr>
          <w:b/>
          <w:kern w:val="10"/>
          <w:szCs w:val="28"/>
        </w:rPr>
        <w:t>2021年9月20日</w:t>
      </w:r>
    </w:p>
    <w:p>
      <w:pPr>
        <w:ind w:firstLine="562" w:firstLineChars="200"/>
        <w:jc w:val="right"/>
        <w:rPr>
          <w:b/>
          <w:kern w:val="10"/>
          <w:szCs w:val="28"/>
        </w:rPr>
      </w:pPr>
    </w:p>
    <w:p>
      <w:pPr>
        <w:widowControl/>
        <w:adjustRightInd/>
        <w:snapToGrid/>
        <w:spacing w:line="240" w:lineRule="auto"/>
        <w:jc w:val="left"/>
        <w:rPr>
          <w:b/>
          <w:kern w:val="44"/>
        </w:rPr>
      </w:pPr>
    </w:p>
    <w:p>
      <w:pPr>
        <w:pStyle w:val="3"/>
        <w:spacing w:before="100" w:after="100" w:line="360" w:lineRule="auto"/>
        <w:jc w:val="both"/>
        <w:rPr>
          <w:rFonts w:ascii="Times New Roman" w:hAnsi="Times New Roman"/>
        </w:rPr>
        <w:sectPr>
          <w:pgSz w:w="11905" w:h="16838"/>
          <w:pgMar w:top="1418" w:right="1418" w:bottom="1418" w:left="1418" w:header="850" w:footer="992" w:gutter="0"/>
          <w:cols w:space="720" w:num="1"/>
          <w:docGrid w:linePitch="399" w:charSpace="1041"/>
        </w:sectPr>
      </w:pPr>
    </w:p>
    <w:p>
      <w:pPr>
        <w:pStyle w:val="3"/>
        <w:spacing w:before="100" w:after="100" w:line="360" w:lineRule="auto"/>
        <w:jc w:val="both"/>
        <w:rPr>
          <w:rFonts w:ascii="Times New Roman" w:hAnsi="Times New Roman"/>
        </w:rPr>
      </w:pPr>
      <w:r>
        <w:rPr>
          <w:rFonts w:ascii="Times New Roman" w:hAnsi="Times New Roman"/>
        </w:rPr>
        <w:t>附件2 营业执照</w:t>
      </w:r>
    </w:p>
    <w:p>
      <w:pPr>
        <w:jc w:val="center"/>
      </w:pPr>
    </w:p>
    <w:p>
      <w:pPr>
        <w:pStyle w:val="49"/>
        <w:jc w:val="center"/>
        <w:rPr>
          <w:rFonts w:hint="default" w:ascii="Times New Roman" w:hAnsi="Times New Roman"/>
          <w:color w:val="auto"/>
        </w:rPr>
        <w:sectPr>
          <w:pgSz w:w="11905" w:h="16838"/>
          <w:pgMar w:top="1418" w:right="1418" w:bottom="1418" w:left="1418" w:header="850" w:footer="992" w:gutter="0"/>
          <w:cols w:space="720" w:num="1"/>
          <w:docGrid w:linePitch="399" w:charSpace="1041"/>
        </w:sectPr>
      </w:pPr>
    </w:p>
    <w:p>
      <w:pPr>
        <w:pStyle w:val="3"/>
        <w:spacing w:before="100" w:after="100" w:line="360" w:lineRule="auto"/>
        <w:jc w:val="both"/>
        <w:rPr>
          <w:rFonts w:ascii="Times New Roman" w:hAnsi="Times New Roman"/>
        </w:rPr>
      </w:pPr>
      <w:r>
        <w:rPr>
          <w:rFonts w:ascii="Times New Roman" w:hAnsi="Times New Roman"/>
        </w:rPr>
        <w:t>附件3 3M</w:t>
      </w:r>
      <w:r>
        <w:rPr>
          <w:rFonts w:hint="eastAsia" w:ascii="Times New Roman" w:hAnsi="Times New Roman"/>
        </w:rPr>
        <w:t>结构胶和结构胶</w:t>
      </w:r>
      <w:r>
        <w:rPr>
          <w:rFonts w:ascii="Times New Roman" w:hAnsi="Times New Roman"/>
        </w:rPr>
        <w:t>MSDS</w:t>
      </w:r>
    </w:p>
    <w:p>
      <w:pPr>
        <w:pStyle w:val="2"/>
        <w:spacing w:line="360" w:lineRule="auto"/>
        <w:rPr>
          <w:rFonts w:ascii="Times New Roman" w:hAnsi="Times New Roman"/>
          <w:b/>
          <w:bCs/>
          <w:sz w:val="24"/>
        </w:rPr>
      </w:pPr>
      <w:r>
        <w:rPr>
          <w:rFonts w:ascii="Times New Roman" w:hAnsi="Times New Roman"/>
          <w:b/>
          <w:bCs/>
          <w:sz w:val="24"/>
        </w:rPr>
        <w:t>（1）3 M结构胶MSDS</w:t>
      </w:r>
    </w:p>
    <w:p>
      <w:pPr>
        <w:pStyle w:val="2"/>
        <w:spacing w:line="360" w:lineRule="auto"/>
        <w:jc w:val="center"/>
        <w:rPr>
          <w:rFonts w:ascii="Times New Roman" w:hAnsi="Times New Roman"/>
          <w:b/>
          <w:bCs/>
          <w:sz w:val="24"/>
        </w:rPr>
      </w:pPr>
      <w:r>
        <w:rPr>
          <w:rFonts w:ascii="Times New Roman" w:hAnsi="Times New Roman"/>
          <w:b/>
          <w:bCs/>
          <w:sz w:val="24"/>
        </w:rPr>
        <w:drawing>
          <wp:inline distT="0" distB="0" distL="0" distR="0">
            <wp:extent cx="5375910" cy="7607300"/>
            <wp:effectExtent l="1905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5376142" cy="7607300"/>
                    </a:xfrm>
                    <a:prstGeom prst="rect">
                      <a:avLst/>
                    </a:prstGeom>
                    <a:noFill/>
                    <a:ln>
                      <a:noFill/>
                    </a:ln>
                  </pic:spPr>
                </pic:pic>
              </a:graphicData>
            </a:graphic>
          </wp:inline>
        </w:drawing>
      </w:r>
      <w:r>
        <w:rPr>
          <w:rFonts w:ascii="Times New Roman" w:hAnsi="Times New Roman"/>
          <w:b/>
          <w:bCs/>
          <w:sz w:val="24"/>
        </w:rPr>
        <w:drawing>
          <wp:inline distT="0" distB="0" distL="0" distR="0">
            <wp:extent cx="5753100" cy="81407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5753100" cy="8140700"/>
                    </a:xfrm>
                    <a:prstGeom prst="rect">
                      <a:avLst/>
                    </a:prstGeom>
                    <a:noFill/>
                    <a:ln>
                      <a:noFill/>
                    </a:ln>
                  </pic:spPr>
                </pic:pic>
              </a:graphicData>
            </a:graphic>
          </wp:inline>
        </w:drawing>
      </w:r>
      <w:r>
        <w:rPr>
          <w:rFonts w:ascii="Times New Roman" w:hAnsi="Times New Roman"/>
          <w:b/>
          <w:bCs/>
          <w:sz w:val="24"/>
        </w:rPr>
        <w:drawing>
          <wp:inline distT="0" distB="0" distL="0" distR="0">
            <wp:extent cx="5753100" cy="81407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5753100" cy="8140700"/>
                    </a:xfrm>
                    <a:prstGeom prst="rect">
                      <a:avLst/>
                    </a:prstGeom>
                    <a:noFill/>
                    <a:ln>
                      <a:noFill/>
                    </a:ln>
                  </pic:spPr>
                </pic:pic>
              </a:graphicData>
            </a:graphic>
          </wp:inline>
        </w:drawing>
      </w:r>
      <w:r>
        <w:rPr>
          <w:rFonts w:ascii="Times New Roman" w:hAnsi="Times New Roman"/>
          <w:b/>
          <w:bCs/>
          <w:sz w:val="24"/>
        </w:rPr>
        <w:drawing>
          <wp:inline distT="0" distB="0" distL="0" distR="0">
            <wp:extent cx="5753100" cy="814070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753100" cy="8140700"/>
                    </a:xfrm>
                    <a:prstGeom prst="rect">
                      <a:avLst/>
                    </a:prstGeom>
                    <a:noFill/>
                    <a:ln>
                      <a:noFill/>
                    </a:ln>
                  </pic:spPr>
                </pic:pic>
              </a:graphicData>
            </a:graphic>
          </wp:inline>
        </w:drawing>
      </w:r>
      <w:r>
        <w:rPr>
          <w:rFonts w:ascii="Times New Roman" w:hAnsi="Times New Roman"/>
          <w:b/>
          <w:bCs/>
          <w:sz w:val="24"/>
        </w:rPr>
        <w:drawing>
          <wp:inline distT="0" distB="0" distL="0" distR="0">
            <wp:extent cx="5753100" cy="81407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5753100" cy="8140700"/>
                    </a:xfrm>
                    <a:prstGeom prst="rect">
                      <a:avLst/>
                    </a:prstGeom>
                    <a:noFill/>
                    <a:ln>
                      <a:noFill/>
                    </a:ln>
                  </pic:spPr>
                </pic:pic>
              </a:graphicData>
            </a:graphic>
          </wp:inline>
        </w:drawing>
      </w:r>
      <w:r>
        <w:rPr>
          <w:rFonts w:ascii="Times New Roman" w:hAnsi="Times New Roman"/>
          <w:b/>
          <w:bCs/>
          <w:sz w:val="24"/>
        </w:rPr>
        <w:drawing>
          <wp:inline distT="0" distB="0" distL="0" distR="0">
            <wp:extent cx="5753100" cy="81407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753100" cy="8140700"/>
                    </a:xfrm>
                    <a:prstGeom prst="rect">
                      <a:avLst/>
                    </a:prstGeom>
                    <a:noFill/>
                    <a:ln>
                      <a:noFill/>
                    </a:ln>
                  </pic:spPr>
                </pic:pic>
              </a:graphicData>
            </a:graphic>
          </wp:inline>
        </w:drawing>
      </w:r>
      <w:r>
        <w:rPr>
          <w:rFonts w:ascii="Times New Roman" w:hAnsi="Times New Roman"/>
          <w:b/>
          <w:bCs/>
          <w:sz w:val="24"/>
        </w:rPr>
        <w:drawing>
          <wp:inline distT="0" distB="0" distL="0" distR="0">
            <wp:extent cx="5753100" cy="814070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753100" cy="8140700"/>
                    </a:xfrm>
                    <a:prstGeom prst="rect">
                      <a:avLst/>
                    </a:prstGeom>
                    <a:noFill/>
                    <a:ln>
                      <a:noFill/>
                    </a:ln>
                  </pic:spPr>
                </pic:pic>
              </a:graphicData>
            </a:graphic>
          </wp:inline>
        </w:drawing>
      </w:r>
      <w:r>
        <w:rPr>
          <w:rFonts w:ascii="Times New Roman" w:hAnsi="Times New Roman"/>
          <w:b/>
          <w:bCs/>
          <w:sz w:val="24"/>
        </w:rPr>
        <w:drawing>
          <wp:inline distT="0" distB="0" distL="0" distR="0">
            <wp:extent cx="5753100" cy="814070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5753100" cy="8140700"/>
                    </a:xfrm>
                    <a:prstGeom prst="rect">
                      <a:avLst/>
                    </a:prstGeom>
                    <a:noFill/>
                    <a:ln>
                      <a:noFill/>
                    </a:ln>
                  </pic:spPr>
                </pic:pic>
              </a:graphicData>
            </a:graphic>
          </wp:inline>
        </w:drawing>
      </w:r>
      <w:r>
        <w:rPr>
          <w:rFonts w:ascii="Times New Roman" w:hAnsi="Times New Roman"/>
          <w:b/>
          <w:bCs/>
          <w:sz w:val="24"/>
        </w:rPr>
        <w:drawing>
          <wp:inline distT="0" distB="0" distL="0" distR="0">
            <wp:extent cx="5753100" cy="8140700"/>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5753100" cy="8140700"/>
                    </a:xfrm>
                    <a:prstGeom prst="rect">
                      <a:avLst/>
                    </a:prstGeom>
                    <a:noFill/>
                    <a:ln>
                      <a:noFill/>
                    </a:ln>
                  </pic:spPr>
                </pic:pic>
              </a:graphicData>
            </a:graphic>
          </wp:inline>
        </w:drawing>
      </w:r>
      <w:r>
        <w:rPr>
          <w:rFonts w:ascii="Times New Roman" w:hAnsi="Times New Roman"/>
          <w:b/>
          <w:bCs/>
          <w:sz w:val="24"/>
        </w:rPr>
        <w:drawing>
          <wp:inline distT="0" distB="0" distL="0" distR="0">
            <wp:extent cx="5753100" cy="814070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5753100" cy="8140700"/>
                    </a:xfrm>
                    <a:prstGeom prst="rect">
                      <a:avLst/>
                    </a:prstGeom>
                    <a:noFill/>
                    <a:ln>
                      <a:noFill/>
                    </a:ln>
                  </pic:spPr>
                </pic:pic>
              </a:graphicData>
            </a:graphic>
          </wp:inline>
        </w:drawing>
      </w:r>
      <w:r>
        <w:rPr>
          <w:rFonts w:ascii="Times New Roman" w:hAnsi="Times New Roman"/>
          <w:b/>
          <w:bCs/>
          <w:sz w:val="24"/>
        </w:rPr>
        <w:drawing>
          <wp:inline distT="0" distB="0" distL="0" distR="0">
            <wp:extent cx="5753100" cy="814070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5753100" cy="8140700"/>
                    </a:xfrm>
                    <a:prstGeom prst="rect">
                      <a:avLst/>
                    </a:prstGeom>
                    <a:noFill/>
                    <a:ln>
                      <a:noFill/>
                    </a:ln>
                  </pic:spPr>
                </pic:pic>
              </a:graphicData>
            </a:graphic>
          </wp:inline>
        </w:drawing>
      </w:r>
      <w:r>
        <w:rPr>
          <w:rFonts w:ascii="Times New Roman" w:hAnsi="Times New Roman"/>
          <w:b/>
          <w:bCs/>
          <w:sz w:val="24"/>
        </w:rPr>
        <w:drawing>
          <wp:inline distT="0" distB="0" distL="0" distR="0">
            <wp:extent cx="5753100" cy="814070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5753100" cy="8140700"/>
                    </a:xfrm>
                    <a:prstGeom prst="rect">
                      <a:avLst/>
                    </a:prstGeom>
                    <a:noFill/>
                    <a:ln>
                      <a:noFill/>
                    </a:ln>
                  </pic:spPr>
                </pic:pic>
              </a:graphicData>
            </a:graphic>
          </wp:inline>
        </w:drawing>
      </w:r>
      <w:r>
        <w:rPr>
          <w:rFonts w:ascii="Times New Roman" w:hAnsi="Times New Roman"/>
          <w:b/>
          <w:bCs/>
          <w:sz w:val="24"/>
        </w:rPr>
        <w:drawing>
          <wp:inline distT="0" distB="0" distL="0" distR="0">
            <wp:extent cx="5753100" cy="814070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5753100" cy="8140700"/>
                    </a:xfrm>
                    <a:prstGeom prst="rect">
                      <a:avLst/>
                    </a:prstGeom>
                    <a:noFill/>
                    <a:ln>
                      <a:noFill/>
                    </a:ln>
                  </pic:spPr>
                </pic:pic>
              </a:graphicData>
            </a:graphic>
          </wp:inline>
        </w:drawing>
      </w:r>
      <w:r>
        <w:rPr>
          <w:rFonts w:ascii="Times New Roman" w:hAnsi="Times New Roman"/>
          <w:b/>
          <w:bCs/>
          <w:sz w:val="24"/>
        </w:rPr>
        <w:drawing>
          <wp:inline distT="0" distB="0" distL="0" distR="0">
            <wp:extent cx="5753100" cy="8140700"/>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5753100" cy="8140700"/>
                    </a:xfrm>
                    <a:prstGeom prst="rect">
                      <a:avLst/>
                    </a:prstGeom>
                    <a:noFill/>
                    <a:ln>
                      <a:noFill/>
                    </a:ln>
                  </pic:spPr>
                </pic:pic>
              </a:graphicData>
            </a:graphic>
          </wp:inline>
        </w:drawing>
      </w:r>
    </w:p>
    <w:p>
      <w:pPr>
        <w:widowControl/>
        <w:adjustRightInd/>
        <w:snapToGrid/>
        <w:spacing w:line="240" w:lineRule="auto"/>
        <w:jc w:val="left"/>
        <w:rPr>
          <w:b/>
          <w:bCs/>
          <w:sz w:val="24"/>
        </w:rPr>
      </w:pPr>
      <w:r>
        <w:rPr>
          <w:b/>
          <w:bCs/>
          <w:sz w:val="24"/>
        </w:rPr>
        <w:br w:type="page"/>
      </w:r>
    </w:p>
    <w:p>
      <w:pPr>
        <w:pStyle w:val="2"/>
        <w:spacing w:line="360" w:lineRule="auto"/>
        <w:jc w:val="center"/>
        <w:rPr>
          <w:rFonts w:ascii="Times New Roman" w:hAnsi="Times New Roman"/>
          <w:b/>
          <w:bCs/>
          <w:sz w:val="24"/>
        </w:rPr>
      </w:pPr>
    </w:p>
    <w:p>
      <w:pPr>
        <w:pStyle w:val="2"/>
        <w:spacing w:line="360" w:lineRule="auto"/>
        <w:rPr>
          <w:rFonts w:ascii="Times New Roman" w:hAnsi="Times New Roman"/>
          <w:b/>
          <w:bCs/>
          <w:sz w:val="24"/>
        </w:rPr>
      </w:pPr>
      <w:r>
        <w:rPr>
          <w:rFonts w:ascii="Times New Roman" w:hAnsi="Times New Roman"/>
          <w:b/>
          <w:bCs/>
          <w:sz w:val="24"/>
        </w:rPr>
        <w:t>（2）结构胶MSDS</w:t>
      </w:r>
    </w:p>
    <w:p>
      <w:pPr>
        <w:pStyle w:val="2"/>
      </w:pPr>
      <w:r>
        <w:drawing>
          <wp:inline distT="0" distB="0" distL="0" distR="0">
            <wp:extent cx="5753100" cy="8134350"/>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5753100" cy="8134350"/>
                    </a:xfrm>
                    <a:prstGeom prst="rect">
                      <a:avLst/>
                    </a:prstGeom>
                    <a:noFill/>
                    <a:ln>
                      <a:noFill/>
                    </a:ln>
                  </pic:spPr>
                </pic:pic>
              </a:graphicData>
            </a:graphic>
          </wp:inline>
        </w:drawing>
      </w:r>
      <w:r>
        <w:drawing>
          <wp:inline distT="0" distB="0" distL="0" distR="0">
            <wp:extent cx="5753100" cy="8134350"/>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5753100" cy="8134350"/>
                    </a:xfrm>
                    <a:prstGeom prst="rect">
                      <a:avLst/>
                    </a:prstGeom>
                    <a:noFill/>
                    <a:ln>
                      <a:noFill/>
                    </a:ln>
                  </pic:spPr>
                </pic:pic>
              </a:graphicData>
            </a:graphic>
          </wp:inline>
        </w:drawing>
      </w:r>
      <w:r>
        <w:drawing>
          <wp:inline distT="0" distB="0" distL="0" distR="0">
            <wp:extent cx="5753100" cy="8134350"/>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753100" cy="8134350"/>
                    </a:xfrm>
                    <a:prstGeom prst="rect">
                      <a:avLst/>
                    </a:prstGeom>
                    <a:noFill/>
                    <a:ln>
                      <a:noFill/>
                    </a:ln>
                  </pic:spPr>
                </pic:pic>
              </a:graphicData>
            </a:graphic>
          </wp:inline>
        </w:drawing>
      </w:r>
    </w:p>
    <w:p>
      <w:pPr>
        <w:pStyle w:val="2"/>
      </w:pPr>
    </w:p>
    <w:p>
      <w:pPr>
        <w:pStyle w:val="2"/>
        <w:spacing w:line="360" w:lineRule="auto"/>
        <w:rPr>
          <w:rFonts w:ascii="Times New Roman" w:hAnsi="Times New Roman"/>
          <w:b/>
          <w:bCs/>
          <w:sz w:val="24"/>
        </w:rPr>
      </w:pPr>
    </w:p>
    <w:p>
      <w:pPr>
        <w:pStyle w:val="2"/>
        <w:spacing w:line="360" w:lineRule="auto"/>
        <w:rPr>
          <w:rFonts w:ascii="Times New Roman" w:hAnsi="Times New Roman"/>
          <w:b/>
          <w:bCs/>
          <w:sz w:val="24"/>
        </w:rPr>
      </w:pPr>
    </w:p>
    <w:p>
      <w:pPr>
        <w:pStyle w:val="2"/>
        <w:spacing w:line="360" w:lineRule="auto"/>
        <w:rPr>
          <w:rFonts w:ascii="Times New Roman" w:hAnsi="Times New Roman"/>
          <w:b/>
          <w:bCs/>
          <w:sz w:val="24"/>
        </w:rPr>
      </w:pPr>
      <w:r>
        <w:rPr>
          <w:rFonts w:ascii="Times New Roman" w:hAnsi="Times New Roman"/>
          <w:b/>
          <w:bCs/>
          <w:sz w:val="24"/>
        </w:rPr>
        <w:t>（</w:t>
      </w:r>
      <w:r>
        <w:rPr>
          <w:rFonts w:hint="eastAsia" w:ascii="Times New Roman" w:hAnsi="Times New Roman"/>
          <w:b/>
          <w:bCs/>
          <w:sz w:val="24"/>
        </w:rPr>
        <w:t>3</w:t>
      </w:r>
      <w:r>
        <w:rPr>
          <w:rFonts w:ascii="Times New Roman" w:hAnsi="Times New Roman"/>
          <w:b/>
          <w:bCs/>
          <w:sz w:val="24"/>
        </w:rPr>
        <w:t>）</w:t>
      </w:r>
      <w:r>
        <w:rPr>
          <w:rFonts w:hint="eastAsia" w:ascii="Times New Roman" w:hAnsi="Times New Roman"/>
          <w:b/>
          <w:bCs/>
          <w:sz w:val="24"/>
        </w:rPr>
        <w:t>环保胶水</w:t>
      </w:r>
      <w:r>
        <w:rPr>
          <w:rFonts w:ascii="Times New Roman" w:hAnsi="Times New Roman"/>
          <w:b/>
          <w:bCs/>
          <w:sz w:val="24"/>
        </w:rPr>
        <w:t>MSDS</w:t>
      </w:r>
    </w:p>
    <w:p>
      <w:pPr>
        <w:jc w:val="center"/>
      </w:pPr>
      <w:r>
        <w:drawing>
          <wp:inline distT="0" distB="0" distL="0" distR="0">
            <wp:extent cx="5106035" cy="716343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7" cstate="print"/>
                    <a:stretch>
                      <a:fillRect/>
                    </a:stretch>
                  </pic:blipFill>
                  <pic:spPr>
                    <a:xfrm>
                      <a:off x="0" y="0"/>
                      <a:ext cx="5109022" cy="7167563"/>
                    </a:xfrm>
                    <a:prstGeom prst="rect">
                      <a:avLst/>
                    </a:prstGeom>
                  </pic:spPr>
                </pic:pic>
              </a:graphicData>
            </a:graphic>
          </wp:inline>
        </w:drawing>
      </w:r>
      <w:r>
        <w:drawing>
          <wp:inline distT="0" distB="0" distL="0" distR="0">
            <wp:extent cx="5368925" cy="737425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48" cstate="print"/>
                    <a:stretch>
                      <a:fillRect/>
                    </a:stretch>
                  </pic:blipFill>
                  <pic:spPr>
                    <a:xfrm>
                      <a:off x="0" y="0"/>
                      <a:ext cx="5373432" cy="7380506"/>
                    </a:xfrm>
                    <a:prstGeom prst="rect">
                      <a:avLst/>
                    </a:prstGeom>
                  </pic:spPr>
                </pic:pic>
              </a:graphicData>
            </a:graphic>
          </wp:inline>
        </w:drawing>
      </w:r>
      <w:r>
        <w:drawing>
          <wp:inline distT="0" distB="0" distL="0" distR="0">
            <wp:extent cx="5389880" cy="758825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49" cstate="print"/>
                    <a:stretch>
                      <a:fillRect/>
                    </a:stretch>
                  </pic:blipFill>
                  <pic:spPr>
                    <a:xfrm>
                      <a:off x="0" y="0"/>
                      <a:ext cx="5392200" cy="7590737"/>
                    </a:xfrm>
                    <a:prstGeom prst="rect">
                      <a:avLst/>
                    </a:prstGeom>
                  </pic:spPr>
                </pic:pic>
              </a:graphicData>
            </a:graphic>
          </wp:inline>
        </w:drawing>
      </w:r>
      <w:r>
        <w:drawing>
          <wp:inline distT="0" distB="0" distL="0" distR="0">
            <wp:extent cx="5426710" cy="767334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50" cstate="print"/>
                    <a:stretch>
                      <a:fillRect/>
                    </a:stretch>
                  </pic:blipFill>
                  <pic:spPr>
                    <a:xfrm>
                      <a:off x="0" y="0"/>
                      <a:ext cx="5427722" cy="7674798"/>
                    </a:xfrm>
                    <a:prstGeom prst="rect">
                      <a:avLst/>
                    </a:prstGeom>
                  </pic:spPr>
                </pic:pic>
              </a:graphicData>
            </a:graphic>
          </wp:inline>
        </w:drawing>
      </w:r>
      <w:r>
        <w:drawing>
          <wp:inline distT="0" distB="0" distL="0" distR="0">
            <wp:extent cx="5687695" cy="783526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51" cstate="print"/>
                    <a:stretch>
                      <a:fillRect/>
                    </a:stretch>
                  </pic:blipFill>
                  <pic:spPr>
                    <a:xfrm>
                      <a:off x="0" y="0"/>
                      <a:ext cx="5688811" cy="7836169"/>
                    </a:xfrm>
                    <a:prstGeom prst="rect">
                      <a:avLst/>
                    </a:prstGeom>
                  </pic:spPr>
                </pic:pic>
              </a:graphicData>
            </a:graphic>
          </wp:inline>
        </w:drawing>
      </w:r>
      <w:r>
        <w:drawing>
          <wp:inline distT="0" distB="0" distL="0" distR="0">
            <wp:extent cx="5584825" cy="793242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52" cstate="print"/>
                    <a:stretch>
                      <a:fillRect/>
                    </a:stretch>
                  </pic:blipFill>
                  <pic:spPr>
                    <a:xfrm>
                      <a:off x="0" y="0"/>
                      <a:ext cx="5586566" cy="7934704"/>
                    </a:xfrm>
                    <a:prstGeom prst="rect">
                      <a:avLst/>
                    </a:prstGeom>
                  </pic:spPr>
                </pic:pic>
              </a:graphicData>
            </a:graphic>
          </wp:inline>
        </w:drawing>
      </w:r>
      <w:r>
        <w:drawing>
          <wp:inline distT="0" distB="0" distL="0" distR="0">
            <wp:extent cx="5608955" cy="802767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53" cstate="print"/>
                    <a:stretch>
                      <a:fillRect/>
                    </a:stretch>
                  </pic:blipFill>
                  <pic:spPr>
                    <a:xfrm>
                      <a:off x="0" y="0"/>
                      <a:ext cx="5610242" cy="8029029"/>
                    </a:xfrm>
                    <a:prstGeom prst="rect">
                      <a:avLst/>
                    </a:prstGeom>
                  </pic:spPr>
                </pic:pic>
              </a:graphicData>
            </a:graphic>
          </wp:inline>
        </w:drawing>
      </w:r>
    </w:p>
    <w:p>
      <w:pPr>
        <w:pStyle w:val="3"/>
        <w:spacing w:before="100" w:after="100" w:line="360" w:lineRule="auto"/>
        <w:jc w:val="both"/>
        <w:rPr>
          <w:rFonts w:ascii="Times New Roman" w:hAnsi="Times New Roman"/>
        </w:rPr>
      </w:pPr>
      <w:r>
        <w:rPr>
          <w:rFonts w:ascii="Times New Roman" w:hAnsi="Times New Roman"/>
        </w:rPr>
        <w:t xml:space="preserve">附件4 </w:t>
      </w:r>
      <w:r>
        <w:rPr>
          <w:rFonts w:hint="eastAsia" w:ascii="Times New Roman" w:hAnsi="Times New Roman"/>
        </w:rPr>
        <w:t>冷却液</w:t>
      </w:r>
      <w:r>
        <w:rPr>
          <w:rFonts w:ascii="Times New Roman" w:hAnsi="Times New Roman"/>
        </w:rPr>
        <w:t>MSDS</w:t>
      </w:r>
    </w:p>
    <w:p>
      <w:r>
        <w:drawing>
          <wp:inline distT="0" distB="0" distL="0" distR="0">
            <wp:extent cx="5753735" cy="813816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5753735" cy="8138160"/>
                    </a:xfrm>
                    <a:prstGeom prst="rect">
                      <a:avLst/>
                    </a:prstGeom>
                    <a:noFill/>
                    <a:ln>
                      <a:noFill/>
                    </a:ln>
                  </pic:spPr>
                </pic:pic>
              </a:graphicData>
            </a:graphic>
          </wp:inline>
        </w:drawing>
      </w:r>
      <w:r>
        <w:rPr>
          <w:rFonts w:hint="eastAsia"/>
        </w:rPr>
        <w:drawing>
          <wp:inline distT="0" distB="0" distL="0" distR="0">
            <wp:extent cx="5753735" cy="813816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5753735" cy="8138160"/>
                    </a:xfrm>
                    <a:prstGeom prst="rect">
                      <a:avLst/>
                    </a:prstGeom>
                    <a:noFill/>
                    <a:ln>
                      <a:noFill/>
                    </a:ln>
                  </pic:spPr>
                </pic:pic>
              </a:graphicData>
            </a:graphic>
          </wp:inline>
        </w:drawing>
      </w:r>
      <w:r>
        <w:rPr>
          <w:rFonts w:hint="eastAsia"/>
        </w:rPr>
        <w:drawing>
          <wp:inline distT="0" distB="0" distL="0" distR="0">
            <wp:extent cx="5753735" cy="813816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753735" cy="8138160"/>
                    </a:xfrm>
                    <a:prstGeom prst="rect">
                      <a:avLst/>
                    </a:prstGeom>
                    <a:noFill/>
                    <a:ln>
                      <a:noFill/>
                    </a:ln>
                  </pic:spPr>
                </pic:pic>
              </a:graphicData>
            </a:graphic>
          </wp:inline>
        </w:drawing>
      </w:r>
    </w:p>
    <w:p>
      <w:pPr>
        <w:pStyle w:val="2"/>
        <w:sectPr>
          <w:pgSz w:w="11905" w:h="16838"/>
          <w:pgMar w:top="1418" w:right="1418" w:bottom="1418" w:left="1418" w:header="851" w:footer="992" w:gutter="0"/>
          <w:cols w:space="720" w:num="1"/>
          <w:docGrid w:linePitch="399" w:charSpace="1041"/>
        </w:sectPr>
      </w:pPr>
    </w:p>
    <w:p>
      <w:pPr>
        <w:pStyle w:val="3"/>
        <w:spacing w:before="100" w:after="100" w:line="360" w:lineRule="auto"/>
        <w:jc w:val="both"/>
        <w:rPr>
          <w:rFonts w:ascii="Times New Roman" w:hAnsi="Times New Roman"/>
        </w:rPr>
      </w:pPr>
      <w:r>
        <w:rPr>
          <w:rFonts w:ascii="Times New Roman" w:hAnsi="Times New Roman"/>
        </w:rPr>
        <w:t xml:space="preserve">附件5 </w:t>
      </w:r>
      <w:r>
        <w:rPr>
          <w:rFonts w:hint="eastAsia" w:ascii="Times New Roman" w:hAnsi="Times New Roman"/>
        </w:rPr>
        <w:t>不动产权证</w:t>
      </w:r>
    </w:p>
    <w:p>
      <w:pPr>
        <w:pStyle w:val="49"/>
        <w:spacing w:line="240" w:lineRule="auto"/>
        <w:jc w:val="center"/>
        <w:rPr>
          <w:rFonts w:hint="default" w:ascii="Times New Roman" w:hAnsi="Times New Roman"/>
          <w:color w:val="auto"/>
        </w:rPr>
      </w:pPr>
      <w:r>
        <w:drawing>
          <wp:inline distT="0" distB="0" distL="0" distR="0">
            <wp:extent cx="8468995" cy="5226050"/>
            <wp:effectExtent l="0" t="0" r="825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7" cstate="print"/>
                    <a:srcRect t="2443" b="2411"/>
                    <a:stretch>
                      <a:fillRect/>
                    </a:stretch>
                  </pic:blipFill>
                  <pic:spPr>
                    <a:xfrm>
                      <a:off x="0" y="0"/>
                      <a:ext cx="8473950" cy="5228974"/>
                    </a:xfrm>
                    <a:prstGeom prst="rect">
                      <a:avLst/>
                    </a:prstGeom>
                    <a:ln>
                      <a:noFill/>
                    </a:ln>
                  </pic:spPr>
                </pic:pic>
              </a:graphicData>
            </a:graphic>
          </wp:inline>
        </w:drawing>
      </w:r>
    </w:p>
    <w:p>
      <w:pPr>
        <w:jc w:val="center"/>
        <w:sectPr>
          <w:pgSz w:w="16838" w:h="11905" w:orient="landscape"/>
          <w:pgMar w:top="1418" w:right="1418" w:bottom="1418" w:left="1418" w:header="851" w:footer="992" w:gutter="0"/>
          <w:cols w:space="720" w:num="1"/>
          <w:docGrid w:linePitch="399" w:charSpace="1041"/>
        </w:sectPr>
      </w:pPr>
    </w:p>
    <w:p>
      <w:pPr>
        <w:pStyle w:val="49"/>
        <w:spacing w:line="240" w:lineRule="auto"/>
        <w:jc w:val="center"/>
        <w:rPr>
          <w:rFonts w:hint="default" w:ascii="Times New Roman" w:hAnsi="Times New Roman"/>
          <w:color w:val="auto"/>
        </w:rPr>
      </w:pPr>
      <w:r>
        <w:rPr>
          <w:rFonts w:hint="default" w:ascii="Times New Roman" w:hAnsi="Times New Roman"/>
        </w:rPr>
        <w:drawing>
          <wp:inline distT="0" distB="0" distL="0" distR="0">
            <wp:extent cx="8746490" cy="5354320"/>
            <wp:effectExtent l="19050" t="19050" r="16510" b="17780"/>
            <wp:docPr id="20" name="图片 20" descr="汕尾陆河比亚迪项目地理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汕尾陆河比亚迪项目地理位置图"/>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8773952" cy="5371472"/>
                    </a:xfrm>
                    <a:prstGeom prst="rect">
                      <a:avLst/>
                    </a:prstGeom>
                    <a:noFill/>
                    <a:ln w="6350" cmpd="sng">
                      <a:solidFill>
                        <a:srgbClr val="000000"/>
                      </a:solidFill>
                      <a:miter lim="800000"/>
                      <a:headEnd/>
                      <a:tailEnd/>
                    </a:ln>
                    <a:effectLst/>
                  </pic:spPr>
                </pic:pic>
              </a:graphicData>
            </a:graphic>
          </wp:inline>
        </w:drawing>
      </w:r>
    </w:p>
    <w:p>
      <w:pPr>
        <w:pStyle w:val="3"/>
        <w:spacing w:before="0" w:after="0" w:line="240" w:lineRule="auto"/>
        <w:rPr>
          <w:rFonts w:ascii="Times New Roman" w:hAnsi="Times New Roman"/>
        </w:rPr>
        <w:sectPr>
          <w:headerReference r:id="rId8" w:type="default"/>
          <w:pgSz w:w="16838" w:h="11905" w:orient="landscape"/>
          <w:pgMar w:top="1418" w:right="1418" w:bottom="1418" w:left="1418" w:header="850" w:footer="992" w:gutter="0"/>
          <w:cols w:space="720" w:num="1"/>
          <w:docGrid w:linePitch="399" w:charSpace="1024"/>
        </w:sectPr>
      </w:pPr>
      <w:r>
        <w:rPr>
          <w:rFonts w:ascii="Times New Roman" w:hAnsi="Times New Roman"/>
        </w:rPr>
        <w:t>附图1 项目地理位置图</w:t>
      </w:r>
    </w:p>
    <w:p>
      <w:pPr>
        <w:spacing w:line="240" w:lineRule="auto"/>
        <w:jc w:val="center"/>
      </w:pPr>
      <w:r>
        <w:pict>
          <v:shape id="文本框 61" o:spid="_x0000_s1061" o:spt="202" type="#_x0000_t202" style="position:absolute;left:0pt;margin-left:323.2pt;margin-top:338.6pt;height:21.35pt;width:156.75pt;z-index:251664384;mso-width-relative:margin;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">
            <v:path/>
            <v:fill on="f" focussize="0,0"/>
            <v:stroke on="f" weight="0.5pt" joinstyle="miter"/>
            <v:imagedata o:title=""/>
            <o:lock v:ext="edit"/>
            <v:textbox>
              <w:txbxContent>
                <w:p>
                  <w:pPr>
                    <w:spacing w:line="240" w:lineRule="auto"/>
                    <w:jc w:val="center"/>
                    <w:rPr>
                      <w:rFonts w:ascii="黑体" w:hAnsi="黑体" w:eastAsia="黑体" w:cs="黑体"/>
                      <w:b/>
                      <w:bCs/>
                      <w:color w:val="FF0000"/>
                      <w:sz w:val="21"/>
                      <w:szCs w:val="21"/>
                    </w:rPr>
                  </w:pPr>
                  <w:r>
                    <w:rPr>
                      <w:rFonts w:hint="eastAsia" w:eastAsia="新宋体"/>
                      <w:b/>
                      <w:color w:val="FF0000"/>
                      <w:sz w:val="21"/>
                      <w:szCs w:val="21"/>
                    </w:rPr>
                    <w:t>云丰村自建的回迁房</w:t>
                  </w:r>
                </w:p>
              </w:txbxContent>
            </v:textbox>
          </v:shape>
        </w:pict>
      </w:r>
      <w:r>
        <w:object>
          <v:shape id="_x0000_i1029" o:spt="75" type="#_x0000_t75" style="height:566.25pt;width:453.75pt;" o:ole="t" filled="f" o:preferrelative="t" stroked="f" coordsize="21600,21600">
            <v:path/>
            <v:fill on="f" focussize="0,0"/>
            <v:stroke on="f" joinstyle="miter"/>
            <v:imagedata r:id="rId60" o:title=""/>
            <o:lock v:ext="edit" aspectratio="t"/>
            <w10:wrap type="none"/>
            <w10:anchorlock/>
          </v:shape>
          <o:OLEObject Type="Embed" ProgID="Visio.Drawing.11" ShapeID="_x0000_i1029" DrawAspect="Content" ObjectID="_1468075729" r:id="rId59">
            <o:LockedField>false</o:LockedField>
          </o:OLEObject>
        </w:object>
      </w:r>
    </w:p>
    <w:p>
      <w:pPr>
        <w:pStyle w:val="3"/>
        <w:spacing w:before="0" w:after="0" w:line="240" w:lineRule="auto"/>
        <w:rPr>
          <w:rFonts w:ascii="Times New Roman" w:hAnsi="Times New Roman"/>
        </w:rPr>
      </w:pPr>
      <w:r>
        <w:rPr>
          <w:rFonts w:ascii="Times New Roman" w:hAnsi="Times New Roman"/>
        </w:rPr>
        <w:t>附图2 项目四至示意图及汕尾比亚迪汽车有限公司陆河生产园区平面布局图</w:t>
      </w:r>
    </w:p>
    <w:p/>
    <w:p>
      <w:pPr>
        <w:pStyle w:val="2"/>
        <w:rPr>
          <w:rFonts w:ascii="Times New Roman" w:hAnsi="Times New Roman"/>
        </w:rPr>
      </w:pPr>
    </w:p>
    <w:p>
      <w:pPr>
        <w:pStyle w:val="2"/>
        <w:rPr>
          <w:rFonts w:ascii="Times New Roman" w:hAnsi="Times New Roman"/>
        </w:rPr>
        <w:sectPr>
          <w:pgSz w:w="11905" w:h="16838"/>
          <w:pgMar w:top="1418" w:right="1418" w:bottom="1418" w:left="1418" w:header="851" w:footer="992" w:gutter="0"/>
          <w:cols w:space="720" w:num="1"/>
          <w:docGrid w:linePitch="399" w:charSpace="1024"/>
        </w:sectPr>
      </w:pPr>
    </w:p>
    <w:p>
      <w:pPr>
        <w:jc w:val="center"/>
      </w:pPr>
      <w:r>
        <w:object>
          <v:shape id="_x0000_i1030" o:spt="75" type="#_x0000_t75" style="height:356.25pt;width:960.75pt;" o:ole="t" filled="f" o:preferrelative="t" stroked="f" coordsize="21600,21600">
            <v:path/>
            <v:fill on="f" focussize="0,0"/>
            <v:stroke on="f" joinstyle="miter"/>
            <v:imagedata r:id="rId62" o:title=""/>
            <o:lock v:ext="edit" aspectratio="t"/>
            <w10:wrap type="none"/>
            <w10:anchorlock/>
          </v:shape>
          <o:OLEObject Type="Embed" ProgID="Visio.Drawing.11" ShapeID="_x0000_i1030" DrawAspect="Content" ObjectID="_1468075730" r:id="rId61">
            <o:LockedField>false</o:LockedField>
          </o:OLEObject>
        </w:object>
      </w:r>
    </w:p>
    <w:p>
      <w:pPr>
        <w:jc w:val="center"/>
        <w:outlineLvl w:val="0"/>
        <w:rPr>
          <w:b/>
          <w:bCs/>
        </w:rPr>
        <w:sectPr>
          <w:pgSz w:w="23757" w:h="16783" w:orient="landscape"/>
          <w:pgMar w:top="1418" w:right="1418" w:bottom="1418" w:left="1418" w:header="850" w:footer="992" w:gutter="0"/>
          <w:cols w:space="720" w:num="1"/>
          <w:docGrid w:linePitch="399" w:charSpace="1041"/>
        </w:sectPr>
      </w:pPr>
      <w:r>
        <w:rPr>
          <w:b/>
          <w:bCs/>
        </w:rPr>
        <w:t>附图3 项目车间平面布局图</w:t>
      </w:r>
    </w:p>
    <w:p>
      <w:pPr>
        <w:pStyle w:val="20"/>
        <w:adjustRightInd w:val="0"/>
        <w:snapToGrid w:val="0"/>
        <w:spacing w:after="0"/>
        <w:ind w:firstLine="0"/>
        <w:jc w:val="center"/>
      </w:pPr>
      <w:r>
        <w:drawing>
          <wp:inline distT="0" distB="0" distL="114300" distR="114300">
            <wp:extent cx="9354185" cy="11925935"/>
            <wp:effectExtent l="0" t="0" r="18415" b="18415"/>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pic:cNvPicPr>
                  </pic:nvPicPr>
                  <pic:blipFill>
                    <a:blip r:embed="rId63" cstate="print"/>
                    <a:stretch>
                      <a:fillRect/>
                    </a:stretch>
                  </pic:blipFill>
                  <pic:spPr>
                    <a:xfrm>
                      <a:off x="0" y="0"/>
                      <a:ext cx="9354185" cy="11925935"/>
                    </a:xfrm>
                    <a:prstGeom prst="rect">
                      <a:avLst/>
                    </a:prstGeom>
                    <a:noFill/>
                    <a:ln>
                      <a:noFill/>
                    </a:ln>
                  </pic:spPr>
                </pic:pic>
              </a:graphicData>
            </a:graphic>
          </wp:inline>
        </w:drawing>
      </w:r>
    </w:p>
    <w:p>
      <w:pPr>
        <w:spacing w:line="240" w:lineRule="auto"/>
        <w:jc w:val="center"/>
        <w:outlineLvl w:val="0"/>
        <w:rPr>
          <w:b/>
          <w:bCs/>
          <w:szCs w:val="28"/>
        </w:rPr>
      </w:pPr>
      <w:r>
        <w:rPr>
          <w:b/>
          <w:bCs/>
          <w:szCs w:val="28"/>
        </w:rPr>
        <w:t>附图4 陆河县土地利用规划图</w:t>
      </w:r>
    </w:p>
    <w:p>
      <w:pPr>
        <w:pStyle w:val="20"/>
        <w:sectPr>
          <w:pgSz w:w="16783" w:h="23757"/>
          <w:pgMar w:top="1418" w:right="1418" w:bottom="1418" w:left="1418" w:header="850" w:footer="992" w:gutter="0"/>
          <w:cols w:space="720" w:num="1"/>
          <w:docGrid w:linePitch="399" w:charSpace="1041"/>
        </w:sectPr>
      </w:pPr>
    </w:p>
    <w:p>
      <w:pPr>
        <w:spacing w:line="240" w:lineRule="auto"/>
        <w:jc w:val="center"/>
      </w:pPr>
      <w:r>
        <w:object>
          <v:shape id="_x0000_i1031" o:spt="75" type="#_x0000_t75" style="height:476.25pt;width:453.75pt;" o:ole="t" filled="f" o:preferrelative="t" stroked="f" coordsize="21600,21600">
            <v:path/>
            <v:fill on="f" focussize="0,0"/>
            <v:stroke on="f" joinstyle="miter"/>
            <v:imagedata r:id="rId65" o:title=""/>
            <o:lock v:ext="edit" aspectratio="t"/>
            <w10:wrap type="none"/>
            <w10:anchorlock/>
          </v:shape>
          <o:OLEObject Type="Embed" ProgID="Visio.Drawing.11" ShapeID="_x0000_i1031" DrawAspect="Content" ObjectID="_1468075731" r:id="rId64">
            <o:LockedField>false</o:LockedField>
          </o:OLEObject>
        </w:object>
      </w:r>
    </w:p>
    <w:p>
      <w:pPr>
        <w:pStyle w:val="2"/>
        <w:adjustRightInd w:val="0"/>
        <w:snapToGrid w:val="0"/>
        <w:jc w:val="center"/>
        <w:outlineLvl w:val="0"/>
        <w:rPr>
          <w:rFonts w:ascii="Times New Roman" w:hAnsi="Times New Roman"/>
          <w:sz w:val="28"/>
          <w:szCs w:val="28"/>
        </w:rPr>
        <w:sectPr>
          <w:pgSz w:w="11906" w:h="16838"/>
          <w:pgMar w:top="1418" w:right="1418" w:bottom="1418" w:left="1418" w:header="850" w:footer="992" w:gutter="0"/>
          <w:cols w:space="720" w:num="1"/>
          <w:docGrid w:linePitch="399" w:charSpace="1041"/>
        </w:sectPr>
      </w:pPr>
      <w:r>
        <w:rPr>
          <w:rFonts w:ascii="Times New Roman" w:hAnsi="Times New Roman"/>
          <w:b/>
          <w:bCs/>
          <w:sz w:val="28"/>
          <w:szCs w:val="28"/>
        </w:rPr>
        <w:t>附图5</w:t>
      </w:r>
      <w:r>
        <w:rPr>
          <w:rFonts w:hint="eastAsia" w:ascii="Times New Roman" w:hAnsi="Times New Roman"/>
          <w:b/>
          <w:bCs/>
          <w:sz w:val="28"/>
          <w:szCs w:val="28"/>
        </w:rPr>
        <w:t xml:space="preserve"> </w:t>
      </w:r>
      <w:r>
        <w:rPr>
          <w:rFonts w:ascii="Times New Roman" w:hAnsi="Times New Roman"/>
          <w:b/>
          <w:bCs/>
          <w:sz w:val="28"/>
          <w:szCs w:val="28"/>
        </w:rPr>
        <w:t>项目周边环境</w:t>
      </w:r>
      <w:r>
        <w:rPr>
          <w:rFonts w:hint="eastAsia" w:ascii="Times New Roman" w:hAnsi="Times New Roman"/>
          <w:b/>
          <w:bCs/>
          <w:sz w:val="28"/>
          <w:szCs w:val="28"/>
        </w:rPr>
        <w:t>保护目标</w:t>
      </w:r>
      <w:r>
        <w:rPr>
          <w:rFonts w:ascii="Times New Roman" w:hAnsi="Times New Roman"/>
          <w:b/>
          <w:bCs/>
          <w:sz w:val="28"/>
          <w:szCs w:val="28"/>
        </w:rPr>
        <w:t>分布图</w:t>
      </w:r>
    </w:p>
    <w:p>
      <w:pPr>
        <w:spacing w:line="240" w:lineRule="auto"/>
        <w:jc w:val="center"/>
      </w:pPr>
      <w:r>
        <w:drawing>
          <wp:inline distT="0" distB="0" distL="0" distR="0">
            <wp:extent cx="8883015" cy="5514975"/>
            <wp:effectExtent l="0" t="0" r="0"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8884328" cy="5516243"/>
                    </a:xfrm>
                    <a:prstGeom prst="rect">
                      <a:avLst/>
                    </a:prstGeom>
                    <a:noFill/>
                    <a:ln>
                      <a:noFill/>
                    </a:ln>
                  </pic:spPr>
                </pic:pic>
              </a:graphicData>
            </a:graphic>
          </wp:inline>
        </w:drawing>
      </w:r>
    </w:p>
    <w:p>
      <w:pPr>
        <w:spacing w:line="240" w:lineRule="auto"/>
        <w:jc w:val="center"/>
        <w:outlineLvl w:val="0"/>
        <w:rPr>
          <w:b/>
          <w:bCs/>
          <w:szCs w:val="28"/>
        </w:rPr>
      </w:pPr>
      <w:r>
        <w:rPr>
          <w:b/>
          <w:bCs/>
          <w:szCs w:val="28"/>
        </w:rPr>
        <w:t>附图6 项目周边水系及水环境监测点位图</w:t>
      </w:r>
    </w:p>
    <w:p>
      <w:pPr>
        <w:jc w:val="center"/>
        <w:sectPr>
          <w:pgSz w:w="16838" w:h="11905" w:orient="landscape"/>
          <w:pgMar w:top="1418" w:right="1418" w:bottom="1418" w:left="1418" w:header="850" w:footer="992" w:gutter="0"/>
          <w:cols w:space="720" w:num="1"/>
          <w:docGrid w:linePitch="399" w:charSpace="1041"/>
        </w:sectPr>
      </w:pPr>
    </w:p>
    <w:p>
      <w:pPr>
        <w:jc w:val="center"/>
      </w:pPr>
      <w:r>
        <w:object>
          <v:shape id="_x0000_i1032" o:spt="75" type="#_x0000_t75" style="height:566.25pt;width:452.25pt;" o:ole="t" filled="f" o:preferrelative="t" stroked="f" coordsize="21600,21600">
            <v:path/>
            <v:fill on="f" focussize="0,0"/>
            <v:stroke on="f" joinstyle="miter"/>
            <v:imagedata r:id="rId68" o:title=""/>
            <o:lock v:ext="edit" aspectratio="t"/>
            <w10:wrap type="none"/>
            <w10:anchorlock/>
          </v:shape>
          <o:OLEObject Type="Embed" ProgID="Visio.Drawing.11" ShapeID="_x0000_i1032" DrawAspect="Content" ObjectID="_1468075732" r:id="rId67">
            <o:LockedField>false</o:LockedField>
          </o:OLEObject>
        </w:object>
      </w:r>
    </w:p>
    <w:p>
      <w:pPr>
        <w:spacing w:line="240" w:lineRule="auto"/>
        <w:jc w:val="center"/>
        <w:outlineLvl w:val="0"/>
        <w:rPr>
          <w:b/>
          <w:bCs/>
          <w:szCs w:val="28"/>
        </w:rPr>
        <w:sectPr>
          <w:pgSz w:w="11905" w:h="16838"/>
          <w:pgMar w:top="1418" w:right="1418" w:bottom="1418" w:left="1418" w:header="851" w:footer="992" w:gutter="0"/>
          <w:cols w:space="720" w:num="1"/>
          <w:docGrid w:linePitch="399" w:charSpace="1041"/>
        </w:sectPr>
      </w:pPr>
      <w:r>
        <w:rPr>
          <w:b/>
          <w:bCs/>
          <w:szCs w:val="28"/>
        </w:rPr>
        <w:t>附图7 项目环境</w:t>
      </w:r>
      <w:r>
        <w:rPr>
          <w:rFonts w:hint="eastAsia"/>
          <w:b/>
          <w:bCs/>
          <w:szCs w:val="28"/>
        </w:rPr>
        <w:t>空气</w:t>
      </w:r>
      <w:r>
        <w:rPr>
          <w:b/>
          <w:bCs/>
          <w:szCs w:val="28"/>
        </w:rPr>
        <w:t>监测点位图</w:t>
      </w:r>
    </w:p>
    <w:p>
      <w:pPr>
        <w:spacing w:line="240" w:lineRule="auto"/>
        <w:jc w:val="center"/>
      </w:pPr>
      <w:r>
        <w:pict>
          <v:group id="组合 29" o:spid="_x0000_s1050" o:spt="203" style="position:absolute;left:0pt;margin-left:16.65pt;margin-top:387.7pt;height:25.7pt;width:47pt;z-index:251661312;mso-width-relative:page;mso-height-relative:margin;" coordorigin="118,8131" coordsize="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">
            <o:lock v:ext="edit"/>
            <v:group id="组合 27" o:spid="_x0000_s1052" o:spt="203" style="position:absolute;left:118;top:8135;height:2;width:9;" coordorigin="129,8140" coordsize="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o:lock v:ext="edit"/>
              <v:line id="直接连接符 2" o:spid="_x0000_s1055" o:spt="20" style="position:absolute;left:129;top:8141;flip:y;height:0;width:10;"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">
                <v:path arrowok="t"/>
                <v:fill focussize="0,0"/>
                <v:stroke weight="2.25pt" color="#000000"/>
                <v:imagedata o:title=""/>
                <o:lock v:ext="edit"/>
              </v:line>
              <v:line id="直接连接符 24" o:spid="_x0000_s1054" o:spt="20" style="position:absolute;left:138;top:8140;flip:y;height:1;width:0;"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">
                <v:path arrowok="t"/>
                <v:fill focussize="0,0"/>
                <v:stroke weight="2.25pt" color="#000000"/>
                <v:imagedata o:title=""/>
                <o:lock v:ext="edit"/>
              </v:line>
              <v:line id="直接连接符 25" o:spid="_x0000_s1053" o:spt="20" style="position:absolute;left:129;top:8140;flip:x y;height:1;width:0;"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">
                <v:path arrowok="t"/>
                <v:fill focussize="0,0"/>
                <v:stroke weight="2.25pt" color="#000000"/>
                <v:imagedata o:title=""/>
                <o:lock v:ext="edit"/>
              </v:line>
            </v:group>
            <v:shape id="文本框 28" o:spid="_x0000_s1051" o:spt="202" type="#_x0000_t202" style="position:absolute;left:118;top:8131;height:5;width:8;" filled="f" stroked="f"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">
              <v:path/>
              <v:fill on="f" focussize="0,0"/>
              <v:stroke on="f" weight="0.5pt" joinstyle="miter"/>
              <v:imagedata o:title=""/>
              <o:lock v:ext="edit"/>
              <v:textbox>
                <w:txbxContent>
                  <w:p>
                    <w:pPr>
                      <w:spacing w:line="240" w:lineRule="auto"/>
                      <w:jc w:val="center"/>
                      <w:rPr>
                        <w:b/>
                        <w:bCs/>
                        <w:sz w:val="24"/>
                      </w:rPr>
                    </w:pPr>
                    <w:r>
                      <w:rPr>
                        <w:rFonts w:hint="eastAsia"/>
                        <w:b/>
                        <w:bCs/>
                        <w:sz w:val="24"/>
                      </w:rPr>
                      <w:t>5km</w:t>
                    </w:r>
                  </w:p>
                </w:txbxContent>
              </v:textbox>
            </v:shape>
          </v:group>
        </w:pict>
      </w:r>
      <w:r>
        <w:drawing>
          <wp:inline distT="0" distB="0" distL="114300" distR="114300">
            <wp:extent cx="8844280" cy="5446395"/>
            <wp:effectExtent l="0" t="0" r="0" b="1905"/>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69" cstate="print"/>
                    <a:srcRect b="13763"/>
                    <a:stretch>
                      <a:fillRect/>
                    </a:stretch>
                  </pic:blipFill>
                  <pic:spPr>
                    <a:xfrm>
                      <a:off x="0" y="0"/>
                      <a:ext cx="8861303" cy="5456497"/>
                    </a:xfrm>
                    <a:prstGeom prst="rect">
                      <a:avLst/>
                    </a:prstGeom>
                    <a:noFill/>
                    <a:ln>
                      <a:noFill/>
                    </a:ln>
                  </pic:spPr>
                </pic:pic>
              </a:graphicData>
            </a:graphic>
          </wp:inline>
        </w:drawing>
      </w:r>
    </w:p>
    <w:p>
      <w:pPr>
        <w:pStyle w:val="49"/>
        <w:spacing w:line="240" w:lineRule="auto"/>
        <w:jc w:val="center"/>
        <w:outlineLvl w:val="0"/>
        <w:rPr>
          <w:rFonts w:hint="default" w:ascii="Times New Roman" w:hAnsi="Times New Roman"/>
          <w:b/>
          <w:bCs/>
          <w:color w:val="auto"/>
          <w:sz w:val="28"/>
          <w:szCs w:val="28"/>
        </w:rPr>
      </w:pPr>
      <w:r>
        <w:rPr>
          <w:rFonts w:hint="default" w:ascii="Times New Roman" w:hAnsi="Times New Roman"/>
          <w:b/>
          <w:bCs/>
          <w:color w:val="auto"/>
          <w:sz w:val="28"/>
          <w:szCs w:val="28"/>
        </w:rPr>
        <w:t>附图8  陆河县地表水环境功能区划图</w:t>
      </w:r>
    </w:p>
    <w:p>
      <w:pPr>
        <w:sectPr>
          <w:pgSz w:w="16838" w:h="11905" w:orient="landscape"/>
          <w:pgMar w:top="1418" w:right="1418" w:bottom="1418" w:left="1418" w:header="850" w:footer="992" w:gutter="0"/>
          <w:cols w:space="720" w:num="1"/>
          <w:docGrid w:linePitch="399" w:charSpace="1041"/>
        </w:sectPr>
      </w:pPr>
    </w:p>
    <w:p>
      <w:pPr>
        <w:pStyle w:val="49"/>
        <w:spacing w:line="240" w:lineRule="auto"/>
        <w:jc w:val="center"/>
        <w:rPr>
          <w:rFonts w:hint="default" w:ascii="Times New Roman" w:hAnsi="Times New Roman"/>
          <w:color w:val="auto"/>
        </w:rPr>
      </w:pPr>
      <w:r>
        <w:rPr>
          <w:rFonts w:hint="default" w:ascii="Times New Roman" w:hAnsi="Times New Roman"/>
          <w:sz w:val="28"/>
        </w:rPr>
        <w:pict>
          <v:group id="组合 30" o:spid="_x0000_s1044" o:spt="203" style="position:absolute;left:0pt;margin-left:24.05pt;margin-top:395.95pt;height:25.7pt;width:47pt;z-index:251662336;mso-width-relative:page;mso-height-relative:page;" coordorigin="118,8131" coordsize="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">
            <o:lock v:ext="edit"/>
            <v:group id="组合 27" o:spid="_x0000_s1046" o:spt="203" style="position:absolute;left:118;top:8135;height:2;width:9;" coordorigin="129,8140" coordsize="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o:lock v:ext="edit"/>
              <v:line id="直接连接符 2" o:spid="_x0000_s1049" o:spt="20" style="position:absolute;left:129;top:8141;flip:y;height:0;width:10;"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">
                <v:path arrowok="t"/>
                <v:fill focussize="0,0"/>
                <v:stroke weight="2.25pt" color="#000000"/>
                <v:imagedata o:title=""/>
                <o:lock v:ext="edit"/>
              </v:line>
              <v:line id="直接连接符 24" o:spid="_x0000_s1048" o:spt="20" style="position:absolute;left:138;top:8140;flip:y;height:1;width:0;"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">
                <v:path arrowok="t"/>
                <v:fill focussize="0,0"/>
                <v:stroke weight="2.25pt" color="#000000"/>
                <v:imagedata o:title=""/>
                <o:lock v:ext="edit"/>
              </v:line>
              <v:line id="直接连接符 25" o:spid="_x0000_s1047" o:spt="20" style="position:absolute;left:129;top:8140;flip:x y;height:1;width:0;"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">
                <v:path arrowok="t"/>
                <v:fill focussize="0,0"/>
                <v:stroke weight="2.25pt" color="#000000"/>
                <v:imagedata o:title=""/>
                <o:lock v:ext="edit"/>
              </v:line>
            </v:group>
            <v:shape id="文本框 28" o:spid="_x0000_s1045" o:spt="202" type="#_x0000_t202" style="position:absolute;left:118;top:8131;height:5;width:8;" filled="f" stroked="f"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sAxQAAANsAAAAPAAAAZHJzL2Rvd25yZXYueG1sRI9Ba8JA&#10;FITvBf/D8gRvdWNE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B/B3sAxQAAANsAAAAP&#10;AAAAAAAAAAAAAAAAAAcCAABkcnMvZG93bnJldi54bWxQSwUGAAAAAAMAAwC3AAAA+QIAAAAA&#10;">
              <v:path/>
              <v:fill on="f" focussize="0,0"/>
              <v:stroke on="f" weight="0.5pt" joinstyle="miter"/>
              <v:imagedata o:title=""/>
              <o:lock v:ext="edit"/>
              <v:textbox>
                <w:txbxContent>
                  <w:p>
                    <w:pPr>
                      <w:spacing w:line="240" w:lineRule="auto"/>
                      <w:jc w:val="center"/>
                      <w:rPr>
                        <w:b/>
                        <w:bCs/>
                        <w:sz w:val="24"/>
                      </w:rPr>
                    </w:pPr>
                    <w:r>
                      <w:rPr>
                        <w:rFonts w:hint="eastAsia"/>
                        <w:b/>
                        <w:bCs/>
                        <w:sz w:val="24"/>
                      </w:rPr>
                      <w:t>5km</w:t>
                    </w:r>
                  </w:p>
                </w:txbxContent>
              </v:textbox>
            </v:shape>
          </v:group>
        </w:pict>
      </w:r>
      <w:r>
        <w:rPr>
          <w:rFonts w:hint="default" w:ascii="Times New Roman" w:hAnsi="Times New Roman"/>
          <w:color w:val="auto"/>
        </w:rPr>
        <w:drawing>
          <wp:inline distT="0" distB="0" distL="114300" distR="114300">
            <wp:extent cx="8865235" cy="5509895"/>
            <wp:effectExtent l="0" t="0" r="0" b="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70" cstate="print"/>
                    <a:srcRect b="11388"/>
                    <a:stretch>
                      <a:fillRect/>
                    </a:stretch>
                  </pic:blipFill>
                  <pic:spPr>
                    <a:xfrm>
                      <a:off x="0" y="0"/>
                      <a:ext cx="8871678" cy="5513608"/>
                    </a:xfrm>
                    <a:prstGeom prst="rect">
                      <a:avLst/>
                    </a:prstGeom>
                    <a:noFill/>
                    <a:ln>
                      <a:noFill/>
                    </a:ln>
                  </pic:spPr>
                </pic:pic>
              </a:graphicData>
            </a:graphic>
          </wp:inline>
        </w:drawing>
      </w:r>
    </w:p>
    <w:p>
      <w:pPr>
        <w:pStyle w:val="49"/>
        <w:spacing w:line="240" w:lineRule="auto"/>
        <w:jc w:val="center"/>
        <w:outlineLvl w:val="0"/>
        <w:rPr>
          <w:rFonts w:hint="default" w:ascii="Times New Roman" w:hAnsi="Times New Roman"/>
          <w:b/>
          <w:bCs/>
          <w:color w:val="auto"/>
          <w:sz w:val="28"/>
          <w:szCs w:val="28"/>
        </w:rPr>
      </w:pPr>
      <w:r>
        <w:rPr>
          <w:rFonts w:hint="default" w:ascii="Times New Roman" w:hAnsi="Times New Roman"/>
          <w:b/>
          <w:bCs/>
          <w:color w:val="auto"/>
          <w:sz w:val="28"/>
          <w:szCs w:val="28"/>
        </w:rPr>
        <w:t>附图9 陆河县饮用水区划图</w:t>
      </w:r>
    </w:p>
    <w:p>
      <w:pPr>
        <w:pStyle w:val="49"/>
        <w:rPr>
          <w:rFonts w:hint="default" w:ascii="Times New Roman" w:hAnsi="Times New Roman"/>
          <w:color w:val="auto"/>
        </w:rPr>
        <w:sectPr>
          <w:pgSz w:w="16838" w:h="11905" w:orient="landscape"/>
          <w:pgMar w:top="1418" w:right="1418" w:bottom="1418" w:left="1418" w:header="850" w:footer="992" w:gutter="0"/>
          <w:cols w:space="720" w:num="1"/>
          <w:docGrid w:linePitch="399" w:charSpace="1041"/>
        </w:sectPr>
      </w:pPr>
    </w:p>
    <w:p>
      <w:pPr>
        <w:spacing w:line="240" w:lineRule="auto"/>
        <w:jc w:val="center"/>
      </w:pPr>
      <w:r>
        <w:pict>
          <v:group id="组合 37" o:spid="_x0000_s1038" o:spt="203" style="position:absolute;left:0pt;margin-left:19pt;margin-top:395.5pt;height:25.7pt;width:47pt;z-index:251662336;mso-width-relative:page;mso-height-relative:page;" coordorigin="118,8131" coordsize="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">
            <o:lock v:ext="edit"/>
            <v:group id="组合 27" o:spid="_x0000_s1040" o:spt="203" style="position:absolute;left:118;top:8135;height:2;width:9;" coordorigin="129,8140" coordsize="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o:lock v:ext="edit"/>
              <v:line id="直接连接符 2" o:spid="_x0000_s1043" o:spt="20" style="position:absolute;left:129;top:8141;flip:y;height:0;width:10;"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">
                <v:path arrowok="t"/>
                <v:fill focussize="0,0"/>
                <v:stroke weight="2.25pt" color="#000000"/>
                <v:imagedata o:title=""/>
                <o:lock v:ext="edit"/>
              </v:line>
              <v:line id="直接连接符 24" o:spid="_x0000_s1042" o:spt="20" style="position:absolute;left:138;top:8140;flip:y;height:1;width:0;"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">
                <v:path arrowok="t"/>
                <v:fill focussize="0,0"/>
                <v:stroke weight="2.25pt" color="#000000"/>
                <v:imagedata o:title=""/>
                <o:lock v:ext="edit"/>
              </v:line>
              <v:line id="直接连接符 25" o:spid="_x0000_s1041" o:spt="20" style="position:absolute;left:129;top:8140;flip:x y;height:1;width:0;"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">
                <v:path arrowok="t"/>
                <v:fill focussize="0,0"/>
                <v:stroke weight="2.25pt" color="#000000"/>
                <v:imagedata o:title=""/>
                <o:lock v:ext="edit"/>
              </v:line>
            </v:group>
            <v:shape id="文本框 28" o:spid="_x0000_s1039" o:spt="202" type="#_x0000_t202" style="position:absolute;left:118;top:8131;height:5;width:8;" filled="f" stroked="f"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v:path/>
              <v:fill on="f" focussize="0,0"/>
              <v:stroke on="f" weight="0.5pt" joinstyle="miter"/>
              <v:imagedata o:title=""/>
              <o:lock v:ext="edit"/>
              <v:textbox>
                <w:txbxContent>
                  <w:p>
                    <w:pPr>
                      <w:spacing w:line="240" w:lineRule="auto"/>
                      <w:jc w:val="center"/>
                      <w:rPr>
                        <w:b/>
                        <w:bCs/>
                        <w:sz w:val="24"/>
                      </w:rPr>
                    </w:pPr>
                    <w:r>
                      <w:rPr>
                        <w:rFonts w:hint="eastAsia"/>
                        <w:b/>
                        <w:bCs/>
                        <w:sz w:val="24"/>
                      </w:rPr>
                      <w:t>5km</w:t>
                    </w:r>
                  </w:p>
                </w:txbxContent>
              </v:textbox>
            </v:shape>
          </v:group>
        </w:pict>
      </w:r>
      <w:r>
        <w:drawing>
          <wp:inline distT="0" distB="0" distL="114300" distR="114300">
            <wp:extent cx="8754110" cy="5524500"/>
            <wp:effectExtent l="0" t="0" r="8890" b="0"/>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71" cstate="print"/>
                    <a:srcRect b="11213"/>
                    <a:stretch>
                      <a:fillRect/>
                    </a:stretch>
                  </pic:blipFill>
                  <pic:spPr>
                    <a:xfrm>
                      <a:off x="0" y="0"/>
                      <a:ext cx="8755929" cy="5525703"/>
                    </a:xfrm>
                    <a:prstGeom prst="rect">
                      <a:avLst/>
                    </a:prstGeom>
                    <a:noFill/>
                    <a:ln>
                      <a:noFill/>
                    </a:ln>
                  </pic:spPr>
                </pic:pic>
              </a:graphicData>
            </a:graphic>
          </wp:inline>
        </w:drawing>
      </w:r>
    </w:p>
    <w:p>
      <w:pPr>
        <w:pStyle w:val="3"/>
        <w:spacing w:before="0" w:after="0" w:line="240" w:lineRule="auto"/>
        <w:rPr>
          <w:rFonts w:ascii="Times New Roman" w:hAnsi="Times New Roman"/>
        </w:rPr>
        <w:sectPr>
          <w:pgSz w:w="16838" w:h="11905" w:orient="landscape"/>
          <w:pgMar w:top="1418" w:right="1418" w:bottom="1418" w:left="1418" w:header="850" w:footer="992" w:gutter="0"/>
          <w:cols w:space="720" w:num="1"/>
          <w:docGrid w:linePitch="399" w:charSpace="1041"/>
        </w:sectPr>
      </w:pPr>
      <w:r>
        <w:rPr>
          <w:rFonts w:ascii="Times New Roman" w:hAnsi="Times New Roman"/>
        </w:rPr>
        <w:t>附图10  陆河县环境空气功能区划</w:t>
      </w:r>
    </w:p>
    <w:p>
      <w:pPr>
        <w:spacing w:line="240" w:lineRule="auto"/>
        <w:jc w:val="center"/>
      </w:pPr>
      <w:r>
        <w:pict>
          <v:group id="组合 43" o:spid="_x0000_s1032" o:spt="203" style="position:absolute;left:0pt;margin-left:18.45pt;margin-top:388.95pt;height:25.7pt;width:37.7pt;z-index:251663360;mso-width-relative:page;mso-height-relative:page;" coordorigin="117,8131" coordsize="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">
            <o:lock v:ext="edit"/>
            <v:group id="组合 27" o:spid="_x0000_s1034" o:spt="203" style="position:absolute;left:118;top:8135;height:2;width:9;" coordorigin="129,8140" coordsize="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o:lock v:ext="edit"/>
              <v:line id="直接连接符 2" o:spid="_x0000_s1037" o:spt="20" style="position:absolute;left:129;top:8141;flip:y;height:0;width:10;"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">
                <v:path arrowok="t"/>
                <v:fill focussize="0,0"/>
                <v:stroke weight="2.25pt" color="#000000"/>
                <v:imagedata o:title=""/>
                <o:lock v:ext="edit"/>
              </v:line>
              <v:line id="直接连接符 24" o:spid="_x0000_s1036" o:spt="20" style="position:absolute;left:138;top:8140;flip:y;height:1;width:0;"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">
                <v:path arrowok="t"/>
                <v:fill focussize="0,0"/>
                <v:stroke weight="2.25pt" color="#000000"/>
                <v:imagedata o:title=""/>
                <o:lock v:ext="edit"/>
              </v:line>
              <v:line id="直接连接符 25" o:spid="_x0000_s1035" o:spt="20" style="position:absolute;left:129;top:8140;flip:x y;height:1;width:0;"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">
                <v:path arrowok="t"/>
                <v:fill focussize="0,0"/>
                <v:stroke weight="2.25pt" color="#000000"/>
                <v:imagedata o:title=""/>
                <o:lock v:ext="edit"/>
              </v:line>
            </v:group>
            <v:shape id="文本框 28" o:spid="_x0000_s1033" o:spt="202" type="#_x0000_t202" style="position:absolute;left:117;top:8131;height:5;width:11;" filled="f" stroked="f"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jmUwwAAANsAAAAPAAAAZHJzL2Rvd25yZXYueG1sRE/LasJA&#10;FN0X/IfhFrqrk0oV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OdI5lMMAAADbAAAADwAA&#10;AAAAAAAAAAAAAAAHAgAAZHJzL2Rvd25yZXYueG1sUEsFBgAAAAADAAMAtwAAAPcCAAAAAA==&#10;">
              <v:path/>
              <v:fill on="f" focussize="0,0"/>
              <v:stroke on="f" weight="0.5pt" joinstyle="miter"/>
              <v:imagedata o:title=""/>
              <o:lock v:ext="edit"/>
              <v:textbox>
                <w:txbxContent>
                  <w:p>
                    <w:pPr>
                      <w:spacing w:line="240" w:lineRule="auto"/>
                      <w:jc w:val="center"/>
                      <w:rPr>
                        <w:b/>
                        <w:bCs/>
                        <w:sz w:val="21"/>
                        <w:szCs w:val="21"/>
                      </w:rPr>
                    </w:pPr>
                    <w:r>
                      <w:rPr>
                        <w:rFonts w:hint="eastAsia"/>
                        <w:b/>
                        <w:bCs/>
                        <w:sz w:val="21"/>
                        <w:szCs w:val="21"/>
                      </w:rPr>
                      <w:t>5km</w:t>
                    </w:r>
                  </w:p>
                </w:txbxContent>
              </v:textbox>
            </v:shape>
          </v:group>
        </w:pict>
      </w:r>
      <w:r>
        <w:drawing>
          <wp:inline distT="0" distB="0" distL="114300" distR="114300">
            <wp:extent cx="8845550" cy="5446395"/>
            <wp:effectExtent l="0" t="0" r="0" b="1905"/>
            <wp:docPr id="1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9"/>
                    <pic:cNvPicPr>
                      <a:picLocks noChangeAspect="1"/>
                    </pic:cNvPicPr>
                  </pic:nvPicPr>
                  <pic:blipFill>
                    <a:blip r:embed="rId72" cstate="print"/>
                    <a:srcRect b="10952"/>
                    <a:stretch>
                      <a:fillRect/>
                    </a:stretch>
                  </pic:blipFill>
                  <pic:spPr>
                    <a:xfrm>
                      <a:off x="0" y="0"/>
                      <a:ext cx="8856131" cy="5453158"/>
                    </a:xfrm>
                    <a:prstGeom prst="rect">
                      <a:avLst/>
                    </a:prstGeom>
                    <a:noFill/>
                    <a:ln>
                      <a:noFill/>
                    </a:ln>
                  </pic:spPr>
                </pic:pic>
              </a:graphicData>
            </a:graphic>
          </wp:inline>
        </w:drawing>
      </w:r>
    </w:p>
    <w:p>
      <w:pPr>
        <w:pStyle w:val="3"/>
        <w:spacing w:before="0" w:after="0" w:line="240" w:lineRule="auto"/>
        <w:rPr>
          <w:rFonts w:ascii="Times New Roman" w:hAnsi="Times New Roman"/>
        </w:rPr>
        <w:sectPr>
          <w:pgSz w:w="16838" w:h="11905" w:orient="landscape"/>
          <w:pgMar w:top="1418" w:right="1418" w:bottom="1418" w:left="1418" w:header="850" w:footer="992" w:gutter="0"/>
          <w:cols w:space="720" w:num="1"/>
          <w:docGrid w:linePitch="399" w:charSpace="1041"/>
        </w:sectPr>
      </w:pPr>
      <w:r>
        <w:rPr>
          <w:rFonts w:ascii="Times New Roman" w:hAnsi="Times New Roman"/>
        </w:rPr>
        <w:t>附图11 汕尾市生态控制分区图</w:t>
      </w:r>
    </w:p>
    <w:p>
      <w:pPr>
        <w:pStyle w:val="49"/>
        <w:jc w:val="center"/>
        <w:rPr>
          <w:rFonts w:hint="default" w:ascii="Times New Roman" w:hAnsi="Times New Roman"/>
          <w:color w:val="auto"/>
        </w:rPr>
      </w:pPr>
      <w:r>
        <w:rPr>
          <w:rFonts w:hint="default" w:ascii="Times New Roman" w:hAnsi="Times New Roman"/>
          <w:color w:val="auto"/>
        </w:rPr>
        <w:drawing>
          <wp:inline distT="0" distB="0" distL="0" distR="0">
            <wp:extent cx="5590540" cy="6355715"/>
            <wp:effectExtent l="0" t="0" r="0" b="698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73" cstate="print">
                      <a:extLst>
                        <a:ext uri="{28A0092B-C50C-407E-A947-70E740481C1C}">
                          <a14:useLocalDpi xmlns:a14="http://schemas.microsoft.com/office/drawing/2010/main" val="0"/>
                        </a:ext>
                      </a:extLst>
                    </a:blip>
                    <a:srcRect l="1967" t="2391" r="859" b="4093"/>
                    <a:stretch>
                      <a:fillRect/>
                    </a:stretch>
                  </pic:blipFill>
                  <pic:spPr>
                    <a:xfrm>
                      <a:off x="0" y="0"/>
                      <a:ext cx="5592373" cy="6357496"/>
                    </a:xfrm>
                    <a:prstGeom prst="rect">
                      <a:avLst/>
                    </a:prstGeom>
                    <a:noFill/>
                    <a:ln>
                      <a:noFill/>
                    </a:ln>
                  </pic:spPr>
                </pic:pic>
              </a:graphicData>
            </a:graphic>
          </wp:inline>
        </w:drawing>
      </w:r>
      <w:r>
        <w:rPr>
          <w:rFonts w:hint="default" w:ascii="Times New Roman" w:hAnsi="Times New Roman"/>
          <w:color w:val="auto"/>
          <w:sz w:val="28"/>
        </w:rPr>
        <w:pict>
          <v:shape id="文本框 172" o:spid="_x0000_s1031" o:spt="202" type="#_x0000_t202" style="position:absolute;left:0pt;margin-left:10.1pt;margin-top:410.7pt;height:32.95pt;width:78.8pt;z-index:251660288;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">
            <v:path/>
            <v:fill on="f" focussize="0,0"/>
            <v:stroke on="f" weight="0.5pt" joinstyle="miter"/>
            <v:imagedata o:title=""/>
            <o:lock v:ext="edit"/>
            <v:textbox>
              <w:txbxContent>
                <w:p>
                  <w:pPr>
                    <w:rPr>
                      <w:b/>
                      <w:bCs/>
                      <w:color w:val="FFFFFF"/>
                      <w:sz w:val="24"/>
                    </w:rPr>
                  </w:pPr>
                  <w:r>
                    <w:rPr>
                      <w:rFonts w:hint="eastAsia"/>
                      <w:b/>
                      <w:bCs/>
                      <w:color w:val="FFFFFF"/>
                      <w:sz w:val="24"/>
                    </w:rPr>
                    <w:t xml:space="preserve"> 1000m</w:t>
                  </w:r>
                </w:p>
              </w:txbxContent>
            </v:textbox>
          </v:shape>
        </w:pict>
      </w:r>
      <w:r>
        <w:rPr>
          <w:rFonts w:hint="default" w:ascii="Times New Roman" w:hAnsi="Times New Roman"/>
          <w:color w:val="auto"/>
          <w:sz w:val="28"/>
        </w:rPr>
        <w:pict>
          <v:group id="组合 176" o:spid="_x0000_s1027" o:spt="203" style="position:absolute;left:0pt;margin-left:28.75pt;margin-top:430.95pt;height:7.5pt;width:25.5pt;z-index:251659264;mso-width-relative:page;mso-height-relative:page;" coordorigin="122,8467" coordsize="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">
            <o:lock v:ext="edit"/>
            <v:line id="直接连接符 173" o:spid="_x0000_s1030" o:spt="20" style="position:absolute;left:122;top:8469;height:0;width:5;"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">
              <v:path arrowok="t"/>
              <v:fill focussize="0,0"/>
              <v:stroke weight="1.25pt" color="#FFFFFF"/>
              <v:imagedata o:title=""/>
              <o:lock v:ext="edit"/>
            </v:line>
            <v:line id="直接连接符 174" o:spid="_x0000_s1029" o:spt="20" style="position:absolute;left:127;top:8467;flip:x y;height:2;width:0;"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">
              <v:path arrowok="t"/>
              <v:fill focussize="0,0"/>
              <v:stroke weight="1.25pt" color="#FFFFFF"/>
              <v:imagedata o:title=""/>
              <o:lock v:ext="edit"/>
            </v:line>
            <v:line id="直接连接符 175" o:spid="_x0000_s1028" o:spt="20" style="position:absolute;left:122;top:8467;flip:x y;height:2;width:0;"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">
              <v:path arrowok="t"/>
              <v:fill focussize="0,0"/>
              <v:stroke weight="1.25pt" color="#FFFFFF"/>
              <v:imagedata o:title=""/>
              <o:lock v:ext="edit"/>
            </v:line>
          </v:group>
        </w:pict>
      </w:r>
    </w:p>
    <w:p>
      <w:pPr>
        <w:pStyle w:val="49"/>
        <w:jc w:val="center"/>
        <w:outlineLvl w:val="0"/>
        <w:rPr>
          <w:rFonts w:hint="default"/>
        </w:rPr>
      </w:pPr>
      <w:r>
        <w:rPr>
          <w:rFonts w:hint="default" w:ascii="Times New Roman" w:hAnsi="Times New Roman"/>
          <w:b/>
          <w:bCs/>
          <w:color w:val="auto"/>
          <w:sz w:val="28"/>
          <w:szCs w:val="28"/>
        </w:rPr>
        <w:t>附图12 项目与广东陆河花鳗鲡省级自然保护区位置关系示意图</w:t>
      </w:r>
    </w:p>
    <w:p>
      <w:pPr>
        <w:sectPr>
          <w:pgSz w:w="11905" w:h="16838"/>
          <w:pgMar w:top="1418" w:right="1418" w:bottom="1418" w:left="1418" w:header="850" w:footer="992" w:gutter="0"/>
          <w:cols w:space="720" w:num="1"/>
          <w:docGrid w:linePitch="399" w:charSpace="1041"/>
        </w:sectPr>
      </w:pPr>
    </w:p>
    <w:p>
      <w:pPr>
        <w:jc w:val="center"/>
      </w:pPr>
      <w:r>
        <w:object>
          <v:shape id="_x0000_i1033" o:spt="75" type="#_x0000_t75" style="height:416.25pt;width:696pt;" o:ole="t" filled="f" o:preferrelative="t" stroked="f" coordsize="21600,21600">
            <v:path/>
            <v:fill on="f" focussize="0,0"/>
            <v:stroke on="f" joinstyle="miter"/>
            <v:imagedata r:id="rId75" o:title=""/>
            <o:lock v:ext="edit" aspectratio="t"/>
            <w10:wrap type="none"/>
            <w10:anchorlock/>
          </v:shape>
          <o:OLEObject Type="Embed" ProgID="Visio.Drawing.11" ShapeID="_x0000_i1033" DrawAspect="Content" ObjectID="_1468075733" r:id="rId74">
            <o:LockedField>false</o:LockedField>
          </o:OLEObject>
        </w:object>
      </w:r>
    </w:p>
    <w:p>
      <w:pPr>
        <w:pStyle w:val="49"/>
        <w:jc w:val="center"/>
        <w:outlineLvl w:val="0"/>
        <w:rPr>
          <w:rFonts w:hint="default" w:ascii="Times New Roman" w:hAnsi="Times New Roman"/>
          <w:b/>
          <w:bCs/>
          <w:color w:val="auto"/>
          <w:sz w:val="28"/>
          <w:szCs w:val="28"/>
        </w:rPr>
      </w:pPr>
      <w:r>
        <w:rPr>
          <w:rFonts w:hint="default" w:ascii="Times New Roman" w:hAnsi="Times New Roman"/>
          <w:b/>
          <w:bCs/>
          <w:color w:val="auto"/>
          <w:sz w:val="28"/>
          <w:szCs w:val="28"/>
        </w:rPr>
        <w:t xml:space="preserve">附图13 </w:t>
      </w:r>
      <w:r>
        <w:rPr>
          <w:rFonts w:ascii="Times New Roman" w:hAnsi="Times New Roman"/>
          <w:b/>
          <w:bCs/>
          <w:color w:val="auto"/>
          <w:sz w:val="28"/>
          <w:szCs w:val="28"/>
        </w:rPr>
        <w:t>汕尾市环境管控单元图</w:t>
      </w:r>
    </w:p>
    <w:sectPr>
      <w:pgSz w:w="16838" w:h="11905" w:orient="landscape"/>
      <w:pgMar w:top="1418" w:right="1418" w:bottom="1418" w:left="1418" w:header="851" w:footer="992" w:gutter="0"/>
      <w:cols w:space="720" w:num="1"/>
      <w:docGrid w:linePitch="399" w:charSpace="104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Arial Unicode MS">
    <w:altName w:val="宋体"/>
    <w:panose1 w:val="020B0604020202020204"/>
    <w:charset w:val="86"/>
    <w:family w:val="swiss"/>
    <w:pitch w:val="default"/>
    <w:sig w:usb0="00000000" w:usb1="00000000" w:usb2="0000003F" w:usb3="00000000" w:csb0="003F01F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MingLiU">
    <w:altName w:val="PMingLiU-ExtB"/>
    <w:panose1 w:val="02010609000101010101"/>
    <w:charset w:val="88"/>
    <w:family w:val="modern"/>
    <w:pitch w:val="default"/>
    <w:sig w:usb0="00000000" w:usb1="00000000" w:usb2="00000010" w:usb3="00000000" w:csb0="00100000" w:csb1="00000000"/>
  </w:font>
  <w:font w:name="PMingLiU-ExtB">
    <w:panose1 w:val="02020500000000000000"/>
    <w:charset w:val="88"/>
    <w:family w:val="auto"/>
    <w:pitch w:val="default"/>
    <w:sig w:usb0="8000002F" w:usb1="02000008" w:usb2="00000000" w:usb3="00000000" w:csb0="00100001" w:csb1="00000000"/>
  </w:font>
  <w:font w:name="仿宋体">
    <w:altName w:val="宋体"/>
    <w:panose1 w:val="00000000000000000000"/>
    <w:charset w:val="86"/>
    <w:family w:val="roman"/>
    <w:pitch w:val="default"/>
    <w:sig w:usb0="00000000" w:usb1="00000000" w:usb2="00000010" w:usb3="00000000" w:csb0="00040000"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方正小标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Wingdings 2">
    <w:panose1 w:val="05020102010507070707"/>
    <w:charset w:val="02"/>
    <w:family w:val="roman"/>
    <w:pitch w:val="default"/>
    <w:sig w:usb0="00000000" w:usb1="00000000" w:usb2="00000000" w:usb3="00000000" w:csb0="80000000" w:csb1="00000000"/>
  </w:font>
  <w:font w:name="新宋体">
    <w:panose1 w:val="02010609030101010101"/>
    <w:charset w:val="86"/>
    <w:family w:val="modern"/>
    <w:pitch w:val="default"/>
    <w:sig w:usb0="0000020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framePr w:wrap="around" w:vAnchor="text" w:hAnchor="margin" w:xAlign="center" w:y="1"/>
      <w:rPr>
        <w:rStyle w:val="44"/>
      </w:rPr>
    </w:pPr>
    <w:r>
      <w:fldChar w:fldCharType="begin"/>
    </w:r>
    <w:r>
      <w:rPr>
        <w:rStyle w:val="44"/>
      </w:rPr>
      <w:instrText xml:space="preserve">PAGE  </w:instrText>
    </w:r>
    <w:r>
      <w:fldChar w:fldCharType="end"/>
    </w:r>
  </w:p>
  <w:p>
    <w:pPr>
      <w:pStyle w:val="29"/>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62006457"/>
      <w:docPartObj>
        <w:docPartGallery w:val="AutoText"/>
      </w:docPartObj>
    </w:sdtPr>
    <w:sdtContent>
      <w:p>
        <w:pPr>
          <w:pStyle w:val="29"/>
          <w:jc w:val="center"/>
        </w:pPr>
        <w:r>
          <w:fldChar w:fldCharType="begin"/>
        </w:r>
        <w:r>
          <w:instrText xml:space="preserve">PAGE   \* MERGEFORMAT</w:instrText>
        </w:r>
        <w:r>
          <w:fldChar w:fldCharType="separate"/>
        </w:r>
        <w:r>
          <w:rPr>
            <w:lang w:val="zh-CN"/>
          </w:rPr>
          <w:t>80</w:t>
        </w:r>
        <w:r>
          <w:rPr>
            <w:lang w:val="zh-CN"/>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bottom w:val="none" w:color="auto" w:sz="0" w:space="1"/>
      </w:pBdr>
      <w:tabs>
        <w:tab w:val="left" w:pos="4462"/>
      </w:tabs>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11"/>
    <w:multiLevelType w:val="multilevel"/>
    <w:tmpl w:val="00000011"/>
    <w:lvl w:ilvl="0" w:tentative="0">
      <w:start w:val="1"/>
      <w:numFmt w:val="decimal"/>
      <w:lvlText w:val="%1"/>
      <w:lvlJc w:val="left"/>
      <w:pPr>
        <w:tabs>
          <w:tab w:val="left" w:pos="432"/>
        </w:tabs>
        <w:ind w:left="432" w:hanging="432"/>
      </w:pPr>
      <w:rPr>
        <w:rFonts w:hint="eastAsia"/>
      </w:rPr>
    </w:lvl>
    <w:lvl w:ilvl="1" w:tentative="0">
      <w:start w:val="1"/>
      <w:numFmt w:val="decimal"/>
      <w:lvlText w:val="%1.%2"/>
      <w:lvlJc w:val="left"/>
      <w:pPr>
        <w:tabs>
          <w:tab w:val="left" w:pos="576"/>
        </w:tabs>
        <w:ind w:left="576" w:hanging="576"/>
      </w:pPr>
      <w:rPr>
        <w:rFonts w:hint="eastAsia"/>
      </w:rPr>
    </w:lvl>
    <w:lvl w:ilvl="2" w:tentative="0">
      <w:start w:val="1"/>
      <w:numFmt w:val="decimal"/>
      <w:lvlText w:val="%1.%2.%3"/>
      <w:lvlJc w:val="left"/>
      <w:pPr>
        <w:tabs>
          <w:tab w:val="left" w:pos="720"/>
        </w:tabs>
        <w:ind w:left="720" w:hanging="720"/>
      </w:pPr>
      <w:rPr>
        <w:rFonts w:hint="eastAsia"/>
      </w:rPr>
    </w:lvl>
    <w:lvl w:ilvl="3" w:tentative="0">
      <w:start w:val="1"/>
      <w:numFmt w:val="decimal"/>
      <w:lvlText w:val="%1.%2.%3.%4"/>
      <w:lvlJc w:val="left"/>
      <w:pPr>
        <w:tabs>
          <w:tab w:val="left" w:pos="1440"/>
        </w:tabs>
        <w:ind w:left="864" w:hanging="864"/>
      </w:pPr>
      <w:rPr>
        <w:rFonts w:hint="eastAsia"/>
      </w:rPr>
    </w:lvl>
    <w:lvl w:ilvl="4" w:tentative="0">
      <w:start w:val="1"/>
      <w:numFmt w:val="decimal"/>
      <w:pStyle w:val="7"/>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
    <w:nsid w:val="10067418"/>
    <w:multiLevelType w:val="singleLevel"/>
    <w:tmpl w:val="10067418"/>
    <w:lvl w:ilvl="0" w:tentative="0">
      <w:start w:val="1"/>
      <w:numFmt w:val="decimal"/>
      <w:suff w:val="nothing"/>
      <w:lvlText w:val="%1"/>
      <w:lvlJc w:val="center"/>
      <w:pPr>
        <w:ind w:left="0" w:firstLine="0"/>
      </w:pPr>
      <w:rPr>
        <w:rFonts w:hint="default"/>
      </w:rPr>
    </w:lvl>
  </w:abstractNum>
  <w:abstractNum w:abstractNumId="2">
    <w:nsid w:val="32FBEB01"/>
    <w:multiLevelType w:val="singleLevel"/>
    <w:tmpl w:val="32FBEB01"/>
    <w:lvl w:ilvl="0" w:tentative="0">
      <w:start w:val="4"/>
      <w:numFmt w:val="chineseCounting"/>
      <w:suff w:val="nothing"/>
      <w:lvlText w:val="%1、"/>
      <w:lvlJc w:val="left"/>
      <w:rPr>
        <w:rFonts w:hint="eastAsia"/>
      </w:rPr>
    </w:lvl>
  </w:abstractNum>
  <w:abstractNum w:abstractNumId="3">
    <w:nsid w:val="647CCABA"/>
    <w:multiLevelType w:val="singleLevel"/>
    <w:tmpl w:val="647CCABA"/>
    <w:lvl w:ilvl="0" w:tentative="0">
      <w:start w:val="1"/>
      <w:numFmt w:val="bullet"/>
      <w:pStyle w:val="12"/>
      <w:lvlText w:val=""/>
      <w:lvlJc w:val="left"/>
      <w:pPr>
        <w:tabs>
          <w:tab w:val="left" w:pos="780"/>
        </w:tabs>
        <w:ind w:left="780" w:hanging="360"/>
      </w:pPr>
      <w:rPr>
        <w:rFonts w:hint="default" w:ascii="Wingdings" w:hAnsi="Wingdings"/>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SystemFonts/>
  <w:bordersDoNotSurroundHeader w:val="1"/>
  <w:bordersDoNotSurroundFooter w:val="1"/>
  <w:hideSpellingErrors/>
  <w:documentProtection w:enforcement="0"/>
  <w:defaultTabStop w:val="420"/>
  <w:drawingGridHorizontalSpacing w:val="143"/>
  <w:drawingGridVerticalSpacing w:val="200"/>
  <w:noPunctuationKerning w:val="1"/>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2"/>
  </w:compat>
  <w:docVars>
    <w:docVar w:name="commondata" w:val="eyJoZGlkIjoiYTAwYTc3MjM0YzRkNDY0MmYwNTBmNzgwMWJjZDg5ZTIifQ=="/>
  </w:docVars>
  <w:rsids>
    <w:rsidRoot w:val="00172A27"/>
    <w:rsid w:val="0000188D"/>
    <w:rsid w:val="0000246C"/>
    <w:rsid w:val="00004C5A"/>
    <w:rsid w:val="00004EE2"/>
    <w:rsid w:val="00005464"/>
    <w:rsid w:val="000055F4"/>
    <w:rsid w:val="00006240"/>
    <w:rsid w:val="000073A7"/>
    <w:rsid w:val="00011C33"/>
    <w:rsid w:val="00020FDD"/>
    <w:rsid w:val="00021119"/>
    <w:rsid w:val="000242D9"/>
    <w:rsid w:val="00026D9E"/>
    <w:rsid w:val="00027761"/>
    <w:rsid w:val="000304EE"/>
    <w:rsid w:val="00031850"/>
    <w:rsid w:val="0003195C"/>
    <w:rsid w:val="00032135"/>
    <w:rsid w:val="00032353"/>
    <w:rsid w:val="000325AB"/>
    <w:rsid w:val="000335DD"/>
    <w:rsid w:val="00036E3B"/>
    <w:rsid w:val="000375D6"/>
    <w:rsid w:val="0004363B"/>
    <w:rsid w:val="00043F70"/>
    <w:rsid w:val="00046588"/>
    <w:rsid w:val="00051652"/>
    <w:rsid w:val="00052F97"/>
    <w:rsid w:val="00053F97"/>
    <w:rsid w:val="00054D77"/>
    <w:rsid w:val="00054F16"/>
    <w:rsid w:val="00056E38"/>
    <w:rsid w:val="00063866"/>
    <w:rsid w:val="00064421"/>
    <w:rsid w:val="00070D68"/>
    <w:rsid w:val="00070E57"/>
    <w:rsid w:val="000714D8"/>
    <w:rsid w:val="00074E0B"/>
    <w:rsid w:val="000766B7"/>
    <w:rsid w:val="00076E96"/>
    <w:rsid w:val="00077E03"/>
    <w:rsid w:val="000804C2"/>
    <w:rsid w:val="0008100E"/>
    <w:rsid w:val="00083374"/>
    <w:rsid w:val="00083E43"/>
    <w:rsid w:val="00084663"/>
    <w:rsid w:val="000848F5"/>
    <w:rsid w:val="00086FC4"/>
    <w:rsid w:val="0008783F"/>
    <w:rsid w:val="00087D15"/>
    <w:rsid w:val="000900DC"/>
    <w:rsid w:val="000904FE"/>
    <w:rsid w:val="00090E86"/>
    <w:rsid w:val="00093FBA"/>
    <w:rsid w:val="00095982"/>
    <w:rsid w:val="00095EB4"/>
    <w:rsid w:val="0009707E"/>
    <w:rsid w:val="000A0419"/>
    <w:rsid w:val="000A18F1"/>
    <w:rsid w:val="000A317D"/>
    <w:rsid w:val="000A31BD"/>
    <w:rsid w:val="000A402D"/>
    <w:rsid w:val="000A658C"/>
    <w:rsid w:val="000B06E9"/>
    <w:rsid w:val="000B2325"/>
    <w:rsid w:val="000B38F1"/>
    <w:rsid w:val="000B3E28"/>
    <w:rsid w:val="000B3F72"/>
    <w:rsid w:val="000B62B8"/>
    <w:rsid w:val="000B7BC6"/>
    <w:rsid w:val="000C524A"/>
    <w:rsid w:val="000C66F4"/>
    <w:rsid w:val="000D013D"/>
    <w:rsid w:val="000D1D30"/>
    <w:rsid w:val="000D39FA"/>
    <w:rsid w:val="000D4A67"/>
    <w:rsid w:val="000E0311"/>
    <w:rsid w:val="000E10D4"/>
    <w:rsid w:val="000E10F5"/>
    <w:rsid w:val="000E1141"/>
    <w:rsid w:val="000E28B7"/>
    <w:rsid w:val="000E3512"/>
    <w:rsid w:val="000F197D"/>
    <w:rsid w:val="000F43F3"/>
    <w:rsid w:val="000F5540"/>
    <w:rsid w:val="000F5722"/>
    <w:rsid w:val="000F6221"/>
    <w:rsid w:val="000F65C4"/>
    <w:rsid w:val="000F6CFB"/>
    <w:rsid w:val="000F7F49"/>
    <w:rsid w:val="00101D29"/>
    <w:rsid w:val="00101F34"/>
    <w:rsid w:val="00102EB4"/>
    <w:rsid w:val="001036D1"/>
    <w:rsid w:val="0011019A"/>
    <w:rsid w:val="00113AA4"/>
    <w:rsid w:val="00113DEA"/>
    <w:rsid w:val="00116752"/>
    <w:rsid w:val="00117581"/>
    <w:rsid w:val="0012464E"/>
    <w:rsid w:val="0012613E"/>
    <w:rsid w:val="0012672D"/>
    <w:rsid w:val="0013143F"/>
    <w:rsid w:val="001324DE"/>
    <w:rsid w:val="001337BF"/>
    <w:rsid w:val="001340CA"/>
    <w:rsid w:val="001346F0"/>
    <w:rsid w:val="00141533"/>
    <w:rsid w:val="00141B95"/>
    <w:rsid w:val="00142542"/>
    <w:rsid w:val="001425D7"/>
    <w:rsid w:val="0014260D"/>
    <w:rsid w:val="00142CE0"/>
    <w:rsid w:val="00144783"/>
    <w:rsid w:val="001462C4"/>
    <w:rsid w:val="0014638A"/>
    <w:rsid w:val="001474D3"/>
    <w:rsid w:val="001507DF"/>
    <w:rsid w:val="00151CBF"/>
    <w:rsid w:val="00155D02"/>
    <w:rsid w:val="00157A5B"/>
    <w:rsid w:val="001600DB"/>
    <w:rsid w:val="00160A08"/>
    <w:rsid w:val="0016214D"/>
    <w:rsid w:val="00162E87"/>
    <w:rsid w:val="001634BF"/>
    <w:rsid w:val="001642FD"/>
    <w:rsid w:val="001644EA"/>
    <w:rsid w:val="00165633"/>
    <w:rsid w:val="001664AF"/>
    <w:rsid w:val="00170689"/>
    <w:rsid w:val="00172A27"/>
    <w:rsid w:val="001734CF"/>
    <w:rsid w:val="001743EC"/>
    <w:rsid w:val="00175E08"/>
    <w:rsid w:val="00176189"/>
    <w:rsid w:val="00176FE6"/>
    <w:rsid w:val="00180B12"/>
    <w:rsid w:val="0018155D"/>
    <w:rsid w:val="001829B5"/>
    <w:rsid w:val="0018417C"/>
    <w:rsid w:val="00184EE0"/>
    <w:rsid w:val="0018625B"/>
    <w:rsid w:val="00191CD2"/>
    <w:rsid w:val="00193015"/>
    <w:rsid w:val="001936B6"/>
    <w:rsid w:val="001948F5"/>
    <w:rsid w:val="0019615D"/>
    <w:rsid w:val="00196A2F"/>
    <w:rsid w:val="001A2E1A"/>
    <w:rsid w:val="001A49BB"/>
    <w:rsid w:val="001A5464"/>
    <w:rsid w:val="001A5747"/>
    <w:rsid w:val="001A6AC9"/>
    <w:rsid w:val="001A7009"/>
    <w:rsid w:val="001A7B84"/>
    <w:rsid w:val="001A7F54"/>
    <w:rsid w:val="001B02A8"/>
    <w:rsid w:val="001B05E0"/>
    <w:rsid w:val="001B0B4C"/>
    <w:rsid w:val="001B0D35"/>
    <w:rsid w:val="001B2202"/>
    <w:rsid w:val="001B35F0"/>
    <w:rsid w:val="001B5AE7"/>
    <w:rsid w:val="001B7D33"/>
    <w:rsid w:val="001C15C3"/>
    <w:rsid w:val="001C1873"/>
    <w:rsid w:val="001C2EC2"/>
    <w:rsid w:val="001C354A"/>
    <w:rsid w:val="001C61DB"/>
    <w:rsid w:val="001C6F61"/>
    <w:rsid w:val="001D150D"/>
    <w:rsid w:val="001D1F49"/>
    <w:rsid w:val="001D3997"/>
    <w:rsid w:val="001D3AB3"/>
    <w:rsid w:val="001D4840"/>
    <w:rsid w:val="001D5D2A"/>
    <w:rsid w:val="001D6249"/>
    <w:rsid w:val="001D6849"/>
    <w:rsid w:val="001D6E54"/>
    <w:rsid w:val="001E21FD"/>
    <w:rsid w:val="001F02D0"/>
    <w:rsid w:val="001F055F"/>
    <w:rsid w:val="001F077F"/>
    <w:rsid w:val="001F220F"/>
    <w:rsid w:val="001F2B2E"/>
    <w:rsid w:val="001F40CE"/>
    <w:rsid w:val="001F5E2B"/>
    <w:rsid w:val="001F7734"/>
    <w:rsid w:val="001F7EB6"/>
    <w:rsid w:val="001F7F7E"/>
    <w:rsid w:val="002008B6"/>
    <w:rsid w:val="002016C7"/>
    <w:rsid w:val="00204143"/>
    <w:rsid w:val="00204737"/>
    <w:rsid w:val="002049ED"/>
    <w:rsid w:val="00204B2A"/>
    <w:rsid w:val="00205BEA"/>
    <w:rsid w:val="002079FC"/>
    <w:rsid w:val="00207C48"/>
    <w:rsid w:val="00211DF1"/>
    <w:rsid w:val="002163D5"/>
    <w:rsid w:val="00224B9E"/>
    <w:rsid w:val="00225B46"/>
    <w:rsid w:val="002268F8"/>
    <w:rsid w:val="002271D9"/>
    <w:rsid w:val="00230CB2"/>
    <w:rsid w:val="002344A4"/>
    <w:rsid w:val="00234E87"/>
    <w:rsid w:val="00237153"/>
    <w:rsid w:val="002371A1"/>
    <w:rsid w:val="00240006"/>
    <w:rsid w:val="0024063F"/>
    <w:rsid w:val="00242242"/>
    <w:rsid w:val="002438F5"/>
    <w:rsid w:val="00244F07"/>
    <w:rsid w:val="00245F6C"/>
    <w:rsid w:val="002473F5"/>
    <w:rsid w:val="0025227A"/>
    <w:rsid w:val="00252FB3"/>
    <w:rsid w:val="00254889"/>
    <w:rsid w:val="002554A1"/>
    <w:rsid w:val="00257BFB"/>
    <w:rsid w:val="002602A6"/>
    <w:rsid w:val="00260415"/>
    <w:rsid w:val="00260D69"/>
    <w:rsid w:val="002612B8"/>
    <w:rsid w:val="00271B0B"/>
    <w:rsid w:val="00272C5D"/>
    <w:rsid w:val="00275F3F"/>
    <w:rsid w:val="00280386"/>
    <w:rsid w:val="00281C0F"/>
    <w:rsid w:val="00283C83"/>
    <w:rsid w:val="00283F99"/>
    <w:rsid w:val="00285598"/>
    <w:rsid w:val="00286C5C"/>
    <w:rsid w:val="00292A9E"/>
    <w:rsid w:val="0029439D"/>
    <w:rsid w:val="0029760F"/>
    <w:rsid w:val="002A2292"/>
    <w:rsid w:val="002A287A"/>
    <w:rsid w:val="002B0331"/>
    <w:rsid w:val="002B0BBB"/>
    <w:rsid w:val="002B102E"/>
    <w:rsid w:val="002B1BBF"/>
    <w:rsid w:val="002B24F0"/>
    <w:rsid w:val="002B3B86"/>
    <w:rsid w:val="002B482A"/>
    <w:rsid w:val="002B4993"/>
    <w:rsid w:val="002B50D6"/>
    <w:rsid w:val="002B6584"/>
    <w:rsid w:val="002B6939"/>
    <w:rsid w:val="002C1594"/>
    <w:rsid w:val="002C1D8A"/>
    <w:rsid w:val="002C2A8D"/>
    <w:rsid w:val="002C334E"/>
    <w:rsid w:val="002C50AB"/>
    <w:rsid w:val="002C5205"/>
    <w:rsid w:val="002C54AD"/>
    <w:rsid w:val="002C62BD"/>
    <w:rsid w:val="002D2704"/>
    <w:rsid w:val="002D365E"/>
    <w:rsid w:val="002D472A"/>
    <w:rsid w:val="002D59C0"/>
    <w:rsid w:val="002E1D2A"/>
    <w:rsid w:val="002E491F"/>
    <w:rsid w:val="002E4CBF"/>
    <w:rsid w:val="002E7876"/>
    <w:rsid w:val="002E7D03"/>
    <w:rsid w:val="002F4FA9"/>
    <w:rsid w:val="002F77FF"/>
    <w:rsid w:val="00300ECA"/>
    <w:rsid w:val="00301CC2"/>
    <w:rsid w:val="00301FF4"/>
    <w:rsid w:val="003038B1"/>
    <w:rsid w:val="00303DE5"/>
    <w:rsid w:val="00305F08"/>
    <w:rsid w:val="003060FB"/>
    <w:rsid w:val="00307381"/>
    <w:rsid w:val="00307D53"/>
    <w:rsid w:val="003101E9"/>
    <w:rsid w:val="00310ABE"/>
    <w:rsid w:val="00310F74"/>
    <w:rsid w:val="0031306F"/>
    <w:rsid w:val="00320778"/>
    <w:rsid w:val="00321D61"/>
    <w:rsid w:val="0032219B"/>
    <w:rsid w:val="003224F0"/>
    <w:rsid w:val="00323639"/>
    <w:rsid w:val="00324566"/>
    <w:rsid w:val="003253AE"/>
    <w:rsid w:val="00331342"/>
    <w:rsid w:val="00331D39"/>
    <w:rsid w:val="00331D76"/>
    <w:rsid w:val="00332D17"/>
    <w:rsid w:val="00332DD4"/>
    <w:rsid w:val="00334415"/>
    <w:rsid w:val="00341750"/>
    <w:rsid w:val="0034499E"/>
    <w:rsid w:val="0035316F"/>
    <w:rsid w:val="00357220"/>
    <w:rsid w:val="00357738"/>
    <w:rsid w:val="00357DA4"/>
    <w:rsid w:val="003600D9"/>
    <w:rsid w:val="003607C5"/>
    <w:rsid w:val="00360EF8"/>
    <w:rsid w:val="0036161A"/>
    <w:rsid w:val="00362B7A"/>
    <w:rsid w:val="00363688"/>
    <w:rsid w:val="00364C55"/>
    <w:rsid w:val="003650D2"/>
    <w:rsid w:val="00365CAC"/>
    <w:rsid w:val="00370CD1"/>
    <w:rsid w:val="00371150"/>
    <w:rsid w:val="00373637"/>
    <w:rsid w:val="00374563"/>
    <w:rsid w:val="00374691"/>
    <w:rsid w:val="00375105"/>
    <w:rsid w:val="00375E49"/>
    <w:rsid w:val="003830FC"/>
    <w:rsid w:val="00383E29"/>
    <w:rsid w:val="003878C4"/>
    <w:rsid w:val="00392683"/>
    <w:rsid w:val="0039292E"/>
    <w:rsid w:val="00393438"/>
    <w:rsid w:val="0039509A"/>
    <w:rsid w:val="003969D8"/>
    <w:rsid w:val="003A2983"/>
    <w:rsid w:val="003A309B"/>
    <w:rsid w:val="003A3EED"/>
    <w:rsid w:val="003A41E0"/>
    <w:rsid w:val="003A71EE"/>
    <w:rsid w:val="003B2BB8"/>
    <w:rsid w:val="003B69F6"/>
    <w:rsid w:val="003B773A"/>
    <w:rsid w:val="003C0598"/>
    <w:rsid w:val="003C23EA"/>
    <w:rsid w:val="003C4F99"/>
    <w:rsid w:val="003C59BD"/>
    <w:rsid w:val="003C74E0"/>
    <w:rsid w:val="003D132E"/>
    <w:rsid w:val="003D1CA7"/>
    <w:rsid w:val="003D3CB2"/>
    <w:rsid w:val="003D5C42"/>
    <w:rsid w:val="003E2CAC"/>
    <w:rsid w:val="003E606A"/>
    <w:rsid w:val="003E709C"/>
    <w:rsid w:val="003F33B3"/>
    <w:rsid w:val="003F491A"/>
    <w:rsid w:val="003F5238"/>
    <w:rsid w:val="003F569E"/>
    <w:rsid w:val="003F6A2F"/>
    <w:rsid w:val="003F6D74"/>
    <w:rsid w:val="003F6D85"/>
    <w:rsid w:val="003F737F"/>
    <w:rsid w:val="003F77B0"/>
    <w:rsid w:val="0040686E"/>
    <w:rsid w:val="00406B8B"/>
    <w:rsid w:val="004127A6"/>
    <w:rsid w:val="004150DF"/>
    <w:rsid w:val="00416D9D"/>
    <w:rsid w:val="00417301"/>
    <w:rsid w:val="004178FE"/>
    <w:rsid w:val="00417A98"/>
    <w:rsid w:val="00417FB8"/>
    <w:rsid w:val="00421C4D"/>
    <w:rsid w:val="00421D4A"/>
    <w:rsid w:val="00422933"/>
    <w:rsid w:val="00431A10"/>
    <w:rsid w:val="004331C5"/>
    <w:rsid w:val="00434974"/>
    <w:rsid w:val="00434A5F"/>
    <w:rsid w:val="004371B1"/>
    <w:rsid w:val="004373BA"/>
    <w:rsid w:val="00437546"/>
    <w:rsid w:val="00440D15"/>
    <w:rsid w:val="004415A4"/>
    <w:rsid w:val="00446755"/>
    <w:rsid w:val="00447502"/>
    <w:rsid w:val="00447ACD"/>
    <w:rsid w:val="00450A7E"/>
    <w:rsid w:val="00450D49"/>
    <w:rsid w:val="00451F15"/>
    <w:rsid w:val="0045433B"/>
    <w:rsid w:val="00457A6D"/>
    <w:rsid w:val="00460013"/>
    <w:rsid w:val="00463226"/>
    <w:rsid w:val="00463F33"/>
    <w:rsid w:val="00465AFE"/>
    <w:rsid w:val="004664CC"/>
    <w:rsid w:val="00470ABB"/>
    <w:rsid w:val="0047108E"/>
    <w:rsid w:val="004724CB"/>
    <w:rsid w:val="004732E1"/>
    <w:rsid w:val="004736AD"/>
    <w:rsid w:val="00474868"/>
    <w:rsid w:val="004755B9"/>
    <w:rsid w:val="004755E1"/>
    <w:rsid w:val="00476FDE"/>
    <w:rsid w:val="00480D5E"/>
    <w:rsid w:val="00481857"/>
    <w:rsid w:val="00483A87"/>
    <w:rsid w:val="00485488"/>
    <w:rsid w:val="00486367"/>
    <w:rsid w:val="0049081F"/>
    <w:rsid w:val="004A2B32"/>
    <w:rsid w:val="004A36FA"/>
    <w:rsid w:val="004A443C"/>
    <w:rsid w:val="004A5AED"/>
    <w:rsid w:val="004A622A"/>
    <w:rsid w:val="004B4B68"/>
    <w:rsid w:val="004B7EE7"/>
    <w:rsid w:val="004C1827"/>
    <w:rsid w:val="004C1B9A"/>
    <w:rsid w:val="004C6826"/>
    <w:rsid w:val="004C7BF5"/>
    <w:rsid w:val="004D39B4"/>
    <w:rsid w:val="004D50EE"/>
    <w:rsid w:val="004E0887"/>
    <w:rsid w:val="004E272D"/>
    <w:rsid w:val="004E3FD2"/>
    <w:rsid w:val="004E4438"/>
    <w:rsid w:val="004E463D"/>
    <w:rsid w:val="004E6024"/>
    <w:rsid w:val="004E6612"/>
    <w:rsid w:val="004E6D1D"/>
    <w:rsid w:val="004F4214"/>
    <w:rsid w:val="005025A0"/>
    <w:rsid w:val="005029DF"/>
    <w:rsid w:val="00506A4C"/>
    <w:rsid w:val="0051035B"/>
    <w:rsid w:val="00510501"/>
    <w:rsid w:val="00510BD0"/>
    <w:rsid w:val="005126AC"/>
    <w:rsid w:val="00515E36"/>
    <w:rsid w:val="0052414E"/>
    <w:rsid w:val="0052692F"/>
    <w:rsid w:val="00527F41"/>
    <w:rsid w:val="00534947"/>
    <w:rsid w:val="00540D5C"/>
    <w:rsid w:val="005418F3"/>
    <w:rsid w:val="0054400F"/>
    <w:rsid w:val="005448D5"/>
    <w:rsid w:val="00544926"/>
    <w:rsid w:val="0054518B"/>
    <w:rsid w:val="005457CF"/>
    <w:rsid w:val="00551A1A"/>
    <w:rsid w:val="005525C9"/>
    <w:rsid w:val="00554E18"/>
    <w:rsid w:val="00555C0B"/>
    <w:rsid w:val="00557E45"/>
    <w:rsid w:val="00557F72"/>
    <w:rsid w:val="005649B9"/>
    <w:rsid w:val="00565518"/>
    <w:rsid w:val="00567F76"/>
    <w:rsid w:val="00571B86"/>
    <w:rsid w:val="00572B11"/>
    <w:rsid w:val="00575CE2"/>
    <w:rsid w:val="005778E2"/>
    <w:rsid w:val="00582E11"/>
    <w:rsid w:val="00583364"/>
    <w:rsid w:val="00585444"/>
    <w:rsid w:val="005901D0"/>
    <w:rsid w:val="00593144"/>
    <w:rsid w:val="005953D8"/>
    <w:rsid w:val="005966DA"/>
    <w:rsid w:val="00596C9E"/>
    <w:rsid w:val="005971ED"/>
    <w:rsid w:val="005A0896"/>
    <w:rsid w:val="005A1368"/>
    <w:rsid w:val="005A1651"/>
    <w:rsid w:val="005A23CE"/>
    <w:rsid w:val="005A26EB"/>
    <w:rsid w:val="005A2DCD"/>
    <w:rsid w:val="005A3848"/>
    <w:rsid w:val="005A39E7"/>
    <w:rsid w:val="005A720F"/>
    <w:rsid w:val="005B1810"/>
    <w:rsid w:val="005B5047"/>
    <w:rsid w:val="005B5D47"/>
    <w:rsid w:val="005C26AF"/>
    <w:rsid w:val="005C2B0F"/>
    <w:rsid w:val="005C2F35"/>
    <w:rsid w:val="005C37CE"/>
    <w:rsid w:val="005D08CB"/>
    <w:rsid w:val="005D1921"/>
    <w:rsid w:val="005D1EC2"/>
    <w:rsid w:val="005D41F8"/>
    <w:rsid w:val="005D49D3"/>
    <w:rsid w:val="005D5247"/>
    <w:rsid w:val="005D5794"/>
    <w:rsid w:val="005D6818"/>
    <w:rsid w:val="005D726F"/>
    <w:rsid w:val="005E2C46"/>
    <w:rsid w:val="005E4044"/>
    <w:rsid w:val="005E4F89"/>
    <w:rsid w:val="005E5CCB"/>
    <w:rsid w:val="005E6C78"/>
    <w:rsid w:val="005E7425"/>
    <w:rsid w:val="005E79B0"/>
    <w:rsid w:val="005F0A1E"/>
    <w:rsid w:val="005F1FAA"/>
    <w:rsid w:val="005F2DFD"/>
    <w:rsid w:val="005F48D6"/>
    <w:rsid w:val="005F4DF9"/>
    <w:rsid w:val="005F67DC"/>
    <w:rsid w:val="0060004A"/>
    <w:rsid w:val="0060005C"/>
    <w:rsid w:val="0061009C"/>
    <w:rsid w:val="00611F30"/>
    <w:rsid w:val="006138E2"/>
    <w:rsid w:val="0061433A"/>
    <w:rsid w:val="006150B5"/>
    <w:rsid w:val="0061771D"/>
    <w:rsid w:val="00617D78"/>
    <w:rsid w:val="00620400"/>
    <w:rsid w:val="006227EF"/>
    <w:rsid w:val="00622901"/>
    <w:rsid w:val="00626A44"/>
    <w:rsid w:val="00626D16"/>
    <w:rsid w:val="0063017F"/>
    <w:rsid w:val="00631139"/>
    <w:rsid w:val="00632D84"/>
    <w:rsid w:val="00633DB2"/>
    <w:rsid w:val="00642024"/>
    <w:rsid w:val="00642316"/>
    <w:rsid w:val="00643B1E"/>
    <w:rsid w:val="006514C9"/>
    <w:rsid w:val="0065340C"/>
    <w:rsid w:val="00660301"/>
    <w:rsid w:val="00660471"/>
    <w:rsid w:val="006624E7"/>
    <w:rsid w:val="00663559"/>
    <w:rsid w:val="00663ED3"/>
    <w:rsid w:val="00665E99"/>
    <w:rsid w:val="00666183"/>
    <w:rsid w:val="00666597"/>
    <w:rsid w:val="006677AD"/>
    <w:rsid w:val="0067151B"/>
    <w:rsid w:val="0067303A"/>
    <w:rsid w:val="00681DD7"/>
    <w:rsid w:val="00682A53"/>
    <w:rsid w:val="00683441"/>
    <w:rsid w:val="006837BB"/>
    <w:rsid w:val="006842B6"/>
    <w:rsid w:val="00684915"/>
    <w:rsid w:val="00684B91"/>
    <w:rsid w:val="00685931"/>
    <w:rsid w:val="00686D40"/>
    <w:rsid w:val="0069164C"/>
    <w:rsid w:val="0069193F"/>
    <w:rsid w:val="0069255D"/>
    <w:rsid w:val="0069280D"/>
    <w:rsid w:val="00693510"/>
    <w:rsid w:val="00694363"/>
    <w:rsid w:val="00694498"/>
    <w:rsid w:val="00697962"/>
    <w:rsid w:val="006A06EA"/>
    <w:rsid w:val="006A5A0C"/>
    <w:rsid w:val="006A6775"/>
    <w:rsid w:val="006B03AA"/>
    <w:rsid w:val="006B128D"/>
    <w:rsid w:val="006B74C7"/>
    <w:rsid w:val="006C264B"/>
    <w:rsid w:val="006C26C3"/>
    <w:rsid w:val="006C3EB1"/>
    <w:rsid w:val="006C4725"/>
    <w:rsid w:val="006C484F"/>
    <w:rsid w:val="006C5BFA"/>
    <w:rsid w:val="006D2647"/>
    <w:rsid w:val="006D4904"/>
    <w:rsid w:val="006D52A6"/>
    <w:rsid w:val="006E5BD7"/>
    <w:rsid w:val="006E632C"/>
    <w:rsid w:val="006F0644"/>
    <w:rsid w:val="006F16A7"/>
    <w:rsid w:val="006F51AF"/>
    <w:rsid w:val="006F6F72"/>
    <w:rsid w:val="00702761"/>
    <w:rsid w:val="007054F7"/>
    <w:rsid w:val="007059B9"/>
    <w:rsid w:val="00714ECB"/>
    <w:rsid w:val="00716918"/>
    <w:rsid w:val="00717C99"/>
    <w:rsid w:val="00724291"/>
    <w:rsid w:val="007250A0"/>
    <w:rsid w:val="00726984"/>
    <w:rsid w:val="007336F1"/>
    <w:rsid w:val="00735E71"/>
    <w:rsid w:val="007366C5"/>
    <w:rsid w:val="00737AAB"/>
    <w:rsid w:val="00741242"/>
    <w:rsid w:val="0074197E"/>
    <w:rsid w:val="00741A56"/>
    <w:rsid w:val="00745E1A"/>
    <w:rsid w:val="00746645"/>
    <w:rsid w:val="007479E8"/>
    <w:rsid w:val="00750951"/>
    <w:rsid w:val="0075161A"/>
    <w:rsid w:val="00752D5E"/>
    <w:rsid w:val="0075538E"/>
    <w:rsid w:val="007570A9"/>
    <w:rsid w:val="00757497"/>
    <w:rsid w:val="007604C7"/>
    <w:rsid w:val="00762ABA"/>
    <w:rsid w:val="00763320"/>
    <w:rsid w:val="00764364"/>
    <w:rsid w:val="0076648C"/>
    <w:rsid w:val="00766B4B"/>
    <w:rsid w:val="007716E1"/>
    <w:rsid w:val="00771CAE"/>
    <w:rsid w:val="007731EA"/>
    <w:rsid w:val="00773A4F"/>
    <w:rsid w:val="0077401A"/>
    <w:rsid w:val="0077431B"/>
    <w:rsid w:val="00776420"/>
    <w:rsid w:val="00777116"/>
    <w:rsid w:val="007777E9"/>
    <w:rsid w:val="00777C85"/>
    <w:rsid w:val="00777FEC"/>
    <w:rsid w:val="00781454"/>
    <w:rsid w:val="00781653"/>
    <w:rsid w:val="00782A0D"/>
    <w:rsid w:val="007834F3"/>
    <w:rsid w:val="00786F4B"/>
    <w:rsid w:val="007916A8"/>
    <w:rsid w:val="00793E25"/>
    <w:rsid w:val="007948EC"/>
    <w:rsid w:val="007C2FDC"/>
    <w:rsid w:val="007C34F4"/>
    <w:rsid w:val="007C5A7D"/>
    <w:rsid w:val="007D154D"/>
    <w:rsid w:val="007D1A2A"/>
    <w:rsid w:val="007D39F9"/>
    <w:rsid w:val="007D4BF9"/>
    <w:rsid w:val="007D53D7"/>
    <w:rsid w:val="007D661F"/>
    <w:rsid w:val="007E1D5D"/>
    <w:rsid w:val="007E3A7A"/>
    <w:rsid w:val="007E3B39"/>
    <w:rsid w:val="007E3D7B"/>
    <w:rsid w:val="007E40C7"/>
    <w:rsid w:val="007E4346"/>
    <w:rsid w:val="007E49D9"/>
    <w:rsid w:val="007E4A7C"/>
    <w:rsid w:val="007E60BB"/>
    <w:rsid w:val="007F0DEC"/>
    <w:rsid w:val="007F24DC"/>
    <w:rsid w:val="007F34A5"/>
    <w:rsid w:val="007F3EB6"/>
    <w:rsid w:val="00800AF5"/>
    <w:rsid w:val="008010C9"/>
    <w:rsid w:val="00803304"/>
    <w:rsid w:val="0080395F"/>
    <w:rsid w:val="008045D9"/>
    <w:rsid w:val="00805A0E"/>
    <w:rsid w:val="00806662"/>
    <w:rsid w:val="0080698A"/>
    <w:rsid w:val="0081260F"/>
    <w:rsid w:val="008150E7"/>
    <w:rsid w:val="00816715"/>
    <w:rsid w:val="00820D63"/>
    <w:rsid w:val="00821C8B"/>
    <w:rsid w:val="00822739"/>
    <w:rsid w:val="0083034A"/>
    <w:rsid w:val="00833D0D"/>
    <w:rsid w:val="00833E19"/>
    <w:rsid w:val="0083414C"/>
    <w:rsid w:val="0083594F"/>
    <w:rsid w:val="00835C8F"/>
    <w:rsid w:val="008371D8"/>
    <w:rsid w:val="0084007B"/>
    <w:rsid w:val="00842D4C"/>
    <w:rsid w:val="008436D0"/>
    <w:rsid w:val="00844873"/>
    <w:rsid w:val="0084653A"/>
    <w:rsid w:val="0085602D"/>
    <w:rsid w:val="008562E5"/>
    <w:rsid w:val="0085663B"/>
    <w:rsid w:val="008572EE"/>
    <w:rsid w:val="00857719"/>
    <w:rsid w:val="00861AA4"/>
    <w:rsid w:val="00863C17"/>
    <w:rsid w:val="0086416D"/>
    <w:rsid w:val="00864DDB"/>
    <w:rsid w:val="008650A2"/>
    <w:rsid w:val="00873F22"/>
    <w:rsid w:val="0087658C"/>
    <w:rsid w:val="00876C6C"/>
    <w:rsid w:val="00877BB6"/>
    <w:rsid w:val="0088376B"/>
    <w:rsid w:val="008854F2"/>
    <w:rsid w:val="00886483"/>
    <w:rsid w:val="00887409"/>
    <w:rsid w:val="00890C45"/>
    <w:rsid w:val="00890E62"/>
    <w:rsid w:val="00893FB0"/>
    <w:rsid w:val="0089525C"/>
    <w:rsid w:val="008968C5"/>
    <w:rsid w:val="00897C60"/>
    <w:rsid w:val="008A14E7"/>
    <w:rsid w:val="008A2359"/>
    <w:rsid w:val="008A280C"/>
    <w:rsid w:val="008A415E"/>
    <w:rsid w:val="008A4993"/>
    <w:rsid w:val="008A65AE"/>
    <w:rsid w:val="008A7A71"/>
    <w:rsid w:val="008B17D8"/>
    <w:rsid w:val="008B1C7E"/>
    <w:rsid w:val="008B540A"/>
    <w:rsid w:val="008B5F21"/>
    <w:rsid w:val="008B752E"/>
    <w:rsid w:val="008C0C2E"/>
    <w:rsid w:val="008C1137"/>
    <w:rsid w:val="008C4C90"/>
    <w:rsid w:val="008D0DB4"/>
    <w:rsid w:val="008D0EB4"/>
    <w:rsid w:val="008D225C"/>
    <w:rsid w:val="008D2558"/>
    <w:rsid w:val="008D4A1F"/>
    <w:rsid w:val="008D5198"/>
    <w:rsid w:val="008D5245"/>
    <w:rsid w:val="008D5871"/>
    <w:rsid w:val="008D6734"/>
    <w:rsid w:val="008D75FA"/>
    <w:rsid w:val="008E01B2"/>
    <w:rsid w:val="008E3BF5"/>
    <w:rsid w:val="008F0F6F"/>
    <w:rsid w:val="008F1E3E"/>
    <w:rsid w:val="008F295A"/>
    <w:rsid w:val="008F37E4"/>
    <w:rsid w:val="008F401E"/>
    <w:rsid w:val="008F703D"/>
    <w:rsid w:val="008F769C"/>
    <w:rsid w:val="00901387"/>
    <w:rsid w:val="00907DB4"/>
    <w:rsid w:val="00910A3D"/>
    <w:rsid w:val="00911A47"/>
    <w:rsid w:val="00911F76"/>
    <w:rsid w:val="00912878"/>
    <w:rsid w:val="0091509D"/>
    <w:rsid w:val="009171EC"/>
    <w:rsid w:val="00921AF0"/>
    <w:rsid w:val="0092416E"/>
    <w:rsid w:val="00927488"/>
    <w:rsid w:val="00927752"/>
    <w:rsid w:val="00927F83"/>
    <w:rsid w:val="00932AAC"/>
    <w:rsid w:val="00932E10"/>
    <w:rsid w:val="009336D6"/>
    <w:rsid w:val="009340ED"/>
    <w:rsid w:val="009350A1"/>
    <w:rsid w:val="00935FFE"/>
    <w:rsid w:val="00936456"/>
    <w:rsid w:val="009378E1"/>
    <w:rsid w:val="009403D7"/>
    <w:rsid w:val="009411D3"/>
    <w:rsid w:val="00942484"/>
    <w:rsid w:val="00943B1C"/>
    <w:rsid w:val="00944514"/>
    <w:rsid w:val="00944FB4"/>
    <w:rsid w:val="0094770E"/>
    <w:rsid w:val="00951F31"/>
    <w:rsid w:val="00955309"/>
    <w:rsid w:val="00957A23"/>
    <w:rsid w:val="00960C8E"/>
    <w:rsid w:val="009615ED"/>
    <w:rsid w:val="0096399C"/>
    <w:rsid w:val="009664D3"/>
    <w:rsid w:val="00974506"/>
    <w:rsid w:val="0097630C"/>
    <w:rsid w:val="0098026B"/>
    <w:rsid w:val="00983627"/>
    <w:rsid w:val="0098718E"/>
    <w:rsid w:val="0098724D"/>
    <w:rsid w:val="009923B7"/>
    <w:rsid w:val="0099284F"/>
    <w:rsid w:val="0099389A"/>
    <w:rsid w:val="009950B9"/>
    <w:rsid w:val="009A388D"/>
    <w:rsid w:val="009A3A8D"/>
    <w:rsid w:val="009A3D80"/>
    <w:rsid w:val="009A4D65"/>
    <w:rsid w:val="009B00B9"/>
    <w:rsid w:val="009B0ACD"/>
    <w:rsid w:val="009B2025"/>
    <w:rsid w:val="009B31A3"/>
    <w:rsid w:val="009B39F4"/>
    <w:rsid w:val="009B3B30"/>
    <w:rsid w:val="009C3039"/>
    <w:rsid w:val="009C398F"/>
    <w:rsid w:val="009C4DA5"/>
    <w:rsid w:val="009C5F58"/>
    <w:rsid w:val="009C7FBC"/>
    <w:rsid w:val="009D0C15"/>
    <w:rsid w:val="009D1CB1"/>
    <w:rsid w:val="009D4600"/>
    <w:rsid w:val="009D5172"/>
    <w:rsid w:val="009D64B4"/>
    <w:rsid w:val="009D72BD"/>
    <w:rsid w:val="009E193E"/>
    <w:rsid w:val="009E318D"/>
    <w:rsid w:val="009E46F7"/>
    <w:rsid w:val="009E765A"/>
    <w:rsid w:val="009F0695"/>
    <w:rsid w:val="009F12B2"/>
    <w:rsid w:val="009F184D"/>
    <w:rsid w:val="009F2582"/>
    <w:rsid w:val="009F4B2F"/>
    <w:rsid w:val="009F4E56"/>
    <w:rsid w:val="009F624E"/>
    <w:rsid w:val="009F62AE"/>
    <w:rsid w:val="009F63AB"/>
    <w:rsid w:val="009F6428"/>
    <w:rsid w:val="009F6648"/>
    <w:rsid w:val="00A00683"/>
    <w:rsid w:val="00A0125C"/>
    <w:rsid w:val="00A04DB2"/>
    <w:rsid w:val="00A12B31"/>
    <w:rsid w:val="00A12DB6"/>
    <w:rsid w:val="00A14677"/>
    <w:rsid w:val="00A14951"/>
    <w:rsid w:val="00A15866"/>
    <w:rsid w:val="00A3076D"/>
    <w:rsid w:val="00A33D5D"/>
    <w:rsid w:val="00A3756F"/>
    <w:rsid w:val="00A404F8"/>
    <w:rsid w:val="00A44126"/>
    <w:rsid w:val="00A4484A"/>
    <w:rsid w:val="00A4520E"/>
    <w:rsid w:val="00A46AF1"/>
    <w:rsid w:val="00A53231"/>
    <w:rsid w:val="00A542DF"/>
    <w:rsid w:val="00A60671"/>
    <w:rsid w:val="00A6172E"/>
    <w:rsid w:val="00A66468"/>
    <w:rsid w:val="00A67936"/>
    <w:rsid w:val="00A72131"/>
    <w:rsid w:val="00A73DAD"/>
    <w:rsid w:val="00A73E1A"/>
    <w:rsid w:val="00A80FAB"/>
    <w:rsid w:val="00A81114"/>
    <w:rsid w:val="00A829CF"/>
    <w:rsid w:val="00A82E24"/>
    <w:rsid w:val="00A83D8E"/>
    <w:rsid w:val="00A90BAE"/>
    <w:rsid w:val="00A9273A"/>
    <w:rsid w:val="00A93467"/>
    <w:rsid w:val="00A93829"/>
    <w:rsid w:val="00A942E3"/>
    <w:rsid w:val="00A942F2"/>
    <w:rsid w:val="00A97D1B"/>
    <w:rsid w:val="00AA60A1"/>
    <w:rsid w:val="00AA69B7"/>
    <w:rsid w:val="00AA7B0F"/>
    <w:rsid w:val="00AB4F76"/>
    <w:rsid w:val="00AB5046"/>
    <w:rsid w:val="00AB7207"/>
    <w:rsid w:val="00AB7A4F"/>
    <w:rsid w:val="00AC1BBC"/>
    <w:rsid w:val="00AC3046"/>
    <w:rsid w:val="00AC39E6"/>
    <w:rsid w:val="00AC4B4C"/>
    <w:rsid w:val="00AC660A"/>
    <w:rsid w:val="00AC6DB0"/>
    <w:rsid w:val="00AD3E84"/>
    <w:rsid w:val="00AD4BEF"/>
    <w:rsid w:val="00AE0900"/>
    <w:rsid w:val="00AE43D5"/>
    <w:rsid w:val="00AE52B5"/>
    <w:rsid w:val="00AE58CE"/>
    <w:rsid w:val="00AF3EB2"/>
    <w:rsid w:val="00B00413"/>
    <w:rsid w:val="00B02D61"/>
    <w:rsid w:val="00B059CD"/>
    <w:rsid w:val="00B06EDC"/>
    <w:rsid w:val="00B07505"/>
    <w:rsid w:val="00B101E9"/>
    <w:rsid w:val="00B11813"/>
    <w:rsid w:val="00B15395"/>
    <w:rsid w:val="00B177BE"/>
    <w:rsid w:val="00B203B8"/>
    <w:rsid w:val="00B23CC8"/>
    <w:rsid w:val="00B25A2F"/>
    <w:rsid w:val="00B25B22"/>
    <w:rsid w:val="00B30566"/>
    <w:rsid w:val="00B31B59"/>
    <w:rsid w:val="00B331B4"/>
    <w:rsid w:val="00B368CB"/>
    <w:rsid w:val="00B36D36"/>
    <w:rsid w:val="00B37D5E"/>
    <w:rsid w:val="00B37EFF"/>
    <w:rsid w:val="00B41F0E"/>
    <w:rsid w:val="00B42BC5"/>
    <w:rsid w:val="00B454BA"/>
    <w:rsid w:val="00B50DE7"/>
    <w:rsid w:val="00B5406D"/>
    <w:rsid w:val="00B55D10"/>
    <w:rsid w:val="00B62AC1"/>
    <w:rsid w:val="00B6304A"/>
    <w:rsid w:val="00B64571"/>
    <w:rsid w:val="00B659FA"/>
    <w:rsid w:val="00B66888"/>
    <w:rsid w:val="00B66FD8"/>
    <w:rsid w:val="00B713E4"/>
    <w:rsid w:val="00B7372F"/>
    <w:rsid w:val="00B74545"/>
    <w:rsid w:val="00B75013"/>
    <w:rsid w:val="00B76DA0"/>
    <w:rsid w:val="00B7779C"/>
    <w:rsid w:val="00B8469B"/>
    <w:rsid w:val="00B85500"/>
    <w:rsid w:val="00B86B98"/>
    <w:rsid w:val="00B92505"/>
    <w:rsid w:val="00B92EFD"/>
    <w:rsid w:val="00B93A76"/>
    <w:rsid w:val="00B94D73"/>
    <w:rsid w:val="00B9566E"/>
    <w:rsid w:val="00B95E20"/>
    <w:rsid w:val="00B97498"/>
    <w:rsid w:val="00B97E8C"/>
    <w:rsid w:val="00BA175E"/>
    <w:rsid w:val="00BA17F1"/>
    <w:rsid w:val="00BA299F"/>
    <w:rsid w:val="00BA3D5C"/>
    <w:rsid w:val="00BA5223"/>
    <w:rsid w:val="00BA7F8D"/>
    <w:rsid w:val="00BB3B80"/>
    <w:rsid w:val="00BB4503"/>
    <w:rsid w:val="00BB6D85"/>
    <w:rsid w:val="00BC0D33"/>
    <w:rsid w:val="00BD1508"/>
    <w:rsid w:val="00BD16F8"/>
    <w:rsid w:val="00BD417D"/>
    <w:rsid w:val="00BE59FC"/>
    <w:rsid w:val="00BE5A5B"/>
    <w:rsid w:val="00BE6D5B"/>
    <w:rsid w:val="00BE7063"/>
    <w:rsid w:val="00BF0E40"/>
    <w:rsid w:val="00BF1317"/>
    <w:rsid w:val="00BF1489"/>
    <w:rsid w:val="00BF22EA"/>
    <w:rsid w:val="00BF4868"/>
    <w:rsid w:val="00BF53C5"/>
    <w:rsid w:val="00C00E1A"/>
    <w:rsid w:val="00C042CB"/>
    <w:rsid w:val="00C05952"/>
    <w:rsid w:val="00C062A4"/>
    <w:rsid w:val="00C07311"/>
    <w:rsid w:val="00C07B63"/>
    <w:rsid w:val="00C118A1"/>
    <w:rsid w:val="00C136C5"/>
    <w:rsid w:val="00C159D2"/>
    <w:rsid w:val="00C172C3"/>
    <w:rsid w:val="00C20236"/>
    <w:rsid w:val="00C214A7"/>
    <w:rsid w:val="00C21EEB"/>
    <w:rsid w:val="00C245C0"/>
    <w:rsid w:val="00C26613"/>
    <w:rsid w:val="00C26C9D"/>
    <w:rsid w:val="00C31CBC"/>
    <w:rsid w:val="00C3279A"/>
    <w:rsid w:val="00C32BD5"/>
    <w:rsid w:val="00C36914"/>
    <w:rsid w:val="00C46240"/>
    <w:rsid w:val="00C513DA"/>
    <w:rsid w:val="00C5347B"/>
    <w:rsid w:val="00C548FA"/>
    <w:rsid w:val="00C611B7"/>
    <w:rsid w:val="00C65628"/>
    <w:rsid w:val="00C6579D"/>
    <w:rsid w:val="00C666AC"/>
    <w:rsid w:val="00C71713"/>
    <w:rsid w:val="00C72A5A"/>
    <w:rsid w:val="00C73EE1"/>
    <w:rsid w:val="00C74C9A"/>
    <w:rsid w:val="00C775FA"/>
    <w:rsid w:val="00C77BF7"/>
    <w:rsid w:val="00C80383"/>
    <w:rsid w:val="00C80A0F"/>
    <w:rsid w:val="00C8315E"/>
    <w:rsid w:val="00C83BBC"/>
    <w:rsid w:val="00C87F5C"/>
    <w:rsid w:val="00C90536"/>
    <w:rsid w:val="00C90F2E"/>
    <w:rsid w:val="00C912B4"/>
    <w:rsid w:val="00C91B69"/>
    <w:rsid w:val="00C92CC5"/>
    <w:rsid w:val="00C9537F"/>
    <w:rsid w:val="00C9772F"/>
    <w:rsid w:val="00C97A1E"/>
    <w:rsid w:val="00CA3CC1"/>
    <w:rsid w:val="00CA7B1D"/>
    <w:rsid w:val="00CB2D1B"/>
    <w:rsid w:val="00CB394A"/>
    <w:rsid w:val="00CB5D12"/>
    <w:rsid w:val="00CB64CD"/>
    <w:rsid w:val="00CB6E4D"/>
    <w:rsid w:val="00CC0BC3"/>
    <w:rsid w:val="00CC217C"/>
    <w:rsid w:val="00CC6952"/>
    <w:rsid w:val="00CD17DB"/>
    <w:rsid w:val="00CD2C23"/>
    <w:rsid w:val="00CD2F9D"/>
    <w:rsid w:val="00CD4187"/>
    <w:rsid w:val="00CD7385"/>
    <w:rsid w:val="00CD74A7"/>
    <w:rsid w:val="00CE081B"/>
    <w:rsid w:val="00CE0CEF"/>
    <w:rsid w:val="00CE1673"/>
    <w:rsid w:val="00CE1953"/>
    <w:rsid w:val="00CE37FA"/>
    <w:rsid w:val="00CE530F"/>
    <w:rsid w:val="00CE5359"/>
    <w:rsid w:val="00CE79EB"/>
    <w:rsid w:val="00CF254B"/>
    <w:rsid w:val="00CF3417"/>
    <w:rsid w:val="00CF5489"/>
    <w:rsid w:val="00CF5647"/>
    <w:rsid w:val="00CF63A0"/>
    <w:rsid w:val="00CF766C"/>
    <w:rsid w:val="00CF7F44"/>
    <w:rsid w:val="00D005CE"/>
    <w:rsid w:val="00D01449"/>
    <w:rsid w:val="00D04337"/>
    <w:rsid w:val="00D04F32"/>
    <w:rsid w:val="00D11071"/>
    <w:rsid w:val="00D13A77"/>
    <w:rsid w:val="00D219E5"/>
    <w:rsid w:val="00D219FB"/>
    <w:rsid w:val="00D24FAB"/>
    <w:rsid w:val="00D262A9"/>
    <w:rsid w:val="00D30704"/>
    <w:rsid w:val="00D30886"/>
    <w:rsid w:val="00D31003"/>
    <w:rsid w:val="00D3137E"/>
    <w:rsid w:val="00D3254B"/>
    <w:rsid w:val="00D32682"/>
    <w:rsid w:val="00D33847"/>
    <w:rsid w:val="00D33B57"/>
    <w:rsid w:val="00D3684A"/>
    <w:rsid w:val="00D37B4F"/>
    <w:rsid w:val="00D408F3"/>
    <w:rsid w:val="00D41BC0"/>
    <w:rsid w:val="00D422B5"/>
    <w:rsid w:val="00D426F1"/>
    <w:rsid w:val="00D429F8"/>
    <w:rsid w:val="00D441D8"/>
    <w:rsid w:val="00D45A77"/>
    <w:rsid w:val="00D45C9A"/>
    <w:rsid w:val="00D50ECC"/>
    <w:rsid w:val="00D53818"/>
    <w:rsid w:val="00D543B7"/>
    <w:rsid w:val="00D54C2A"/>
    <w:rsid w:val="00D5532B"/>
    <w:rsid w:val="00D5682D"/>
    <w:rsid w:val="00D56A57"/>
    <w:rsid w:val="00D6202F"/>
    <w:rsid w:val="00D623F0"/>
    <w:rsid w:val="00D63059"/>
    <w:rsid w:val="00D6448E"/>
    <w:rsid w:val="00D65C0B"/>
    <w:rsid w:val="00D669FD"/>
    <w:rsid w:val="00D678E6"/>
    <w:rsid w:val="00D70FEF"/>
    <w:rsid w:val="00D716B7"/>
    <w:rsid w:val="00D73330"/>
    <w:rsid w:val="00D7369C"/>
    <w:rsid w:val="00D74CC9"/>
    <w:rsid w:val="00D756E4"/>
    <w:rsid w:val="00D75786"/>
    <w:rsid w:val="00D7757A"/>
    <w:rsid w:val="00D82EBA"/>
    <w:rsid w:val="00D8547E"/>
    <w:rsid w:val="00D8551E"/>
    <w:rsid w:val="00D85EE9"/>
    <w:rsid w:val="00D85F54"/>
    <w:rsid w:val="00D913A0"/>
    <w:rsid w:val="00D926E2"/>
    <w:rsid w:val="00D92C2A"/>
    <w:rsid w:val="00D960C3"/>
    <w:rsid w:val="00DA056B"/>
    <w:rsid w:val="00DA0E7A"/>
    <w:rsid w:val="00DA11C0"/>
    <w:rsid w:val="00DA28E4"/>
    <w:rsid w:val="00DA2A02"/>
    <w:rsid w:val="00DA3BC4"/>
    <w:rsid w:val="00DA41E6"/>
    <w:rsid w:val="00DA4DD2"/>
    <w:rsid w:val="00DA5C4A"/>
    <w:rsid w:val="00DA613A"/>
    <w:rsid w:val="00DB2EFE"/>
    <w:rsid w:val="00DB4D4D"/>
    <w:rsid w:val="00DB7CA8"/>
    <w:rsid w:val="00DB7F01"/>
    <w:rsid w:val="00DC467A"/>
    <w:rsid w:val="00DC4D39"/>
    <w:rsid w:val="00DC5B90"/>
    <w:rsid w:val="00DD0937"/>
    <w:rsid w:val="00DD131E"/>
    <w:rsid w:val="00DD63D1"/>
    <w:rsid w:val="00DE0EDB"/>
    <w:rsid w:val="00DE10C2"/>
    <w:rsid w:val="00DE1549"/>
    <w:rsid w:val="00DE1CF2"/>
    <w:rsid w:val="00DE2043"/>
    <w:rsid w:val="00DE2AB4"/>
    <w:rsid w:val="00DE5365"/>
    <w:rsid w:val="00DE71A7"/>
    <w:rsid w:val="00DE7670"/>
    <w:rsid w:val="00DF2798"/>
    <w:rsid w:val="00DF27DA"/>
    <w:rsid w:val="00DF7A82"/>
    <w:rsid w:val="00E00E8F"/>
    <w:rsid w:val="00E00F94"/>
    <w:rsid w:val="00E01F29"/>
    <w:rsid w:val="00E02472"/>
    <w:rsid w:val="00E03748"/>
    <w:rsid w:val="00E05391"/>
    <w:rsid w:val="00E05AC3"/>
    <w:rsid w:val="00E0600F"/>
    <w:rsid w:val="00E129C7"/>
    <w:rsid w:val="00E14D7C"/>
    <w:rsid w:val="00E152B9"/>
    <w:rsid w:val="00E20B82"/>
    <w:rsid w:val="00E222C2"/>
    <w:rsid w:val="00E22D84"/>
    <w:rsid w:val="00E25C46"/>
    <w:rsid w:val="00E25E7E"/>
    <w:rsid w:val="00E308F2"/>
    <w:rsid w:val="00E31FDA"/>
    <w:rsid w:val="00E36984"/>
    <w:rsid w:val="00E40188"/>
    <w:rsid w:val="00E4089D"/>
    <w:rsid w:val="00E40CFD"/>
    <w:rsid w:val="00E42865"/>
    <w:rsid w:val="00E43E6F"/>
    <w:rsid w:val="00E44BBF"/>
    <w:rsid w:val="00E5382B"/>
    <w:rsid w:val="00E54115"/>
    <w:rsid w:val="00E62562"/>
    <w:rsid w:val="00E6371C"/>
    <w:rsid w:val="00E6405E"/>
    <w:rsid w:val="00E70B62"/>
    <w:rsid w:val="00E712E8"/>
    <w:rsid w:val="00E715EA"/>
    <w:rsid w:val="00E74F8B"/>
    <w:rsid w:val="00E779C2"/>
    <w:rsid w:val="00E81842"/>
    <w:rsid w:val="00E82A8C"/>
    <w:rsid w:val="00E8785A"/>
    <w:rsid w:val="00E87A2D"/>
    <w:rsid w:val="00E907B4"/>
    <w:rsid w:val="00E9290C"/>
    <w:rsid w:val="00E94F1A"/>
    <w:rsid w:val="00E96366"/>
    <w:rsid w:val="00E9645B"/>
    <w:rsid w:val="00E97AB5"/>
    <w:rsid w:val="00EA1C05"/>
    <w:rsid w:val="00EA2C8A"/>
    <w:rsid w:val="00EA4599"/>
    <w:rsid w:val="00EA627B"/>
    <w:rsid w:val="00EB1D0F"/>
    <w:rsid w:val="00EB2218"/>
    <w:rsid w:val="00EB310A"/>
    <w:rsid w:val="00EB3352"/>
    <w:rsid w:val="00EB50E1"/>
    <w:rsid w:val="00EB53F2"/>
    <w:rsid w:val="00EB6DCF"/>
    <w:rsid w:val="00EC3AED"/>
    <w:rsid w:val="00EC6171"/>
    <w:rsid w:val="00EC648D"/>
    <w:rsid w:val="00EC7961"/>
    <w:rsid w:val="00ED041F"/>
    <w:rsid w:val="00ED1454"/>
    <w:rsid w:val="00ED239B"/>
    <w:rsid w:val="00ED28AB"/>
    <w:rsid w:val="00ED3469"/>
    <w:rsid w:val="00ED43E8"/>
    <w:rsid w:val="00ED4F76"/>
    <w:rsid w:val="00ED755B"/>
    <w:rsid w:val="00ED7763"/>
    <w:rsid w:val="00ED7F97"/>
    <w:rsid w:val="00EE6C82"/>
    <w:rsid w:val="00EF04AC"/>
    <w:rsid w:val="00EF0B1F"/>
    <w:rsid w:val="00EF1135"/>
    <w:rsid w:val="00EF187A"/>
    <w:rsid w:val="00F02035"/>
    <w:rsid w:val="00F02F3B"/>
    <w:rsid w:val="00F110A0"/>
    <w:rsid w:val="00F11C76"/>
    <w:rsid w:val="00F12E4C"/>
    <w:rsid w:val="00F13ABB"/>
    <w:rsid w:val="00F149A0"/>
    <w:rsid w:val="00F1656F"/>
    <w:rsid w:val="00F23356"/>
    <w:rsid w:val="00F2595D"/>
    <w:rsid w:val="00F27CAF"/>
    <w:rsid w:val="00F32161"/>
    <w:rsid w:val="00F34245"/>
    <w:rsid w:val="00F349A5"/>
    <w:rsid w:val="00F40B70"/>
    <w:rsid w:val="00F44AEB"/>
    <w:rsid w:val="00F45CE7"/>
    <w:rsid w:val="00F46558"/>
    <w:rsid w:val="00F46588"/>
    <w:rsid w:val="00F47AB1"/>
    <w:rsid w:val="00F51839"/>
    <w:rsid w:val="00F52681"/>
    <w:rsid w:val="00F55008"/>
    <w:rsid w:val="00F608B0"/>
    <w:rsid w:val="00F62567"/>
    <w:rsid w:val="00F634FD"/>
    <w:rsid w:val="00F63C83"/>
    <w:rsid w:val="00F64011"/>
    <w:rsid w:val="00F643E3"/>
    <w:rsid w:val="00F64470"/>
    <w:rsid w:val="00F64732"/>
    <w:rsid w:val="00F6691F"/>
    <w:rsid w:val="00F7028C"/>
    <w:rsid w:val="00F70620"/>
    <w:rsid w:val="00F75ADA"/>
    <w:rsid w:val="00F80A7F"/>
    <w:rsid w:val="00F8106E"/>
    <w:rsid w:val="00F82E32"/>
    <w:rsid w:val="00F84B17"/>
    <w:rsid w:val="00F8690E"/>
    <w:rsid w:val="00F9042A"/>
    <w:rsid w:val="00F92ECB"/>
    <w:rsid w:val="00F9312A"/>
    <w:rsid w:val="00F94565"/>
    <w:rsid w:val="00F9731F"/>
    <w:rsid w:val="00F97406"/>
    <w:rsid w:val="00FA6ED6"/>
    <w:rsid w:val="00FB1067"/>
    <w:rsid w:val="00FB1DCE"/>
    <w:rsid w:val="00FB3391"/>
    <w:rsid w:val="00FB75A1"/>
    <w:rsid w:val="00FC3936"/>
    <w:rsid w:val="00FC3D04"/>
    <w:rsid w:val="00FC3F61"/>
    <w:rsid w:val="00FC7836"/>
    <w:rsid w:val="00FD0A34"/>
    <w:rsid w:val="00FD0C7B"/>
    <w:rsid w:val="00FD3B04"/>
    <w:rsid w:val="00FD3F0F"/>
    <w:rsid w:val="00FD506A"/>
    <w:rsid w:val="00FD6D37"/>
    <w:rsid w:val="00FE0467"/>
    <w:rsid w:val="00FE07CD"/>
    <w:rsid w:val="00FE1494"/>
    <w:rsid w:val="00FE2646"/>
    <w:rsid w:val="00FE7355"/>
    <w:rsid w:val="00FF035E"/>
    <w:rsid w:val="00FF2FCC"/>
    <w:rsid w:val="00FF4180"/>
    <w:rsid w:val="00FF4E3D"/>
    <w:rsid w:val="00FF6A4F"/>
    <w:rsid w:val="00FF711C"/>
    <w:rsid w:val="01040291"/>
    <w:rsid w:val="011419C1"/>
    <w:rsid w:val="01170111"/>
    <w:rsid w:val="011B3D4D"/>
    <w:rsid w:val="01280AA8"/>
    <w:rsid w:val="0131073F"/>
    <w:rsid w:val="01324DB6"/>
    <w:rsid w:val="01485EDA"/>
    <w:rsid w:val="014E4831"/>
    <w:rsid w:val="015611CA"/>
    <w:rsid w:val="016169D4"/>
    <w:rsid w:val="01650D39"/>
    <w:rsid w:val="01831B66"/>
    <w:rsid w:val="01875249"/>
    <w:rsid w:val="01994244"/>
    <w:rsid w:val="019D2898"/>
    <w:rsid w:val="019E54BD"/>
    <w:rsid w:val="01D57EB1"/>
    <w:rsid w:val="01E65CA9"/>
    <w:rsid w:val="02015618"/>
    <w:rsid w:val="020211DB"/>
    <w:rsid w:val="02072A08"/>
    <w:rsid w:val="020E1E7A"/>
    <w:rsid w:val="021B5255"/>
    <w:rsid w:val="02300558"/>
    <w:rsid w:val="02340062"/>
    <w:rsid w:val="025030E7"/>
    <w:rsid w:val="025221B1"/>
    <w:rsid w:val="025514B7"/>
    <w:rsid w:val="02623D43"/>
    <w:rsid w:val="02685FE5"/>
    <w:rsid w:val="02730E9B"/>
    <w:rsid w:val="02732ED5"/>
    <w:rsid w:val="027D2598"/>
    <w:rsid w:val="028929F8"/>
    <w:rsid w:val="029735E3"/>
    <w:rsid w:val="02A57630"/>
    <w:rsid w:val="02A91B21"/>
    <w:rsid w:val="02AE2619"/>
    <w:rsid w:val="02AE7AAA"/>
    <w:rsid w:val="02BE5C13"/>
    <w:rsid w:val="02D307B4"/>
    <w:rsid w:val="02D41BA0"/>
    <w:rsid w:val="02DD4E39"/>
    <w:rsid w:val="02E007A9"/>
    <w:rsid w:val="02E25688"/>
    <w:rsid w:val="02E3725E"/>
    <w:rsid w:val="02E41EF2"/>
    <w:rsid w:val="02E8098C"/>
    <w:rsid w:val="02F06734"/>
    <w:rsid w:val="02FF221B"/>
    <w:rsid w:val="030327B4"/>
    <w:rsid w:val="03084C30"/>
    <w:rsid w:val="030B3144"/>
    <w:rsid w:val="030D43AE"/>
    <w:rsid w:val="03154B93"/>
    <w:rsid w:val="032B2DF7"/>
    <w:rsid w:val="033D5A6C"/>
    <w:rsid w:val="034B5771"/>
    <w:rsid w:val="03547F0D"/>
    <w:rsid w:val="035F6BEF"/>
    <w:rsid w:val="0361681B"/>
    <w:rsid w:val="036E1D5B"/>
    <w:rsid w:val="03772BBD"/>
    <w:rsid w:val="037E1057"/>
    <w:rsid w:val="037E2594"/>
    <w:rsid w:val="038031CD"/>
    <w:rsid w:val="03857534"/>
    <w:rsid w:val="03865755"/>
    <w:rsid w:val="038F109C"/>
    <w:rsid w:val="039942E5"/>
    <w:rsid w:val="03A13E6A"/>
    <w:rsid w:val="03B24A91"/>
    <w:rsid w:val="03B77229"/>
    <w:rsid w:val="03C66DFC"/>
    <w:rsid w:val="03CE26DF"/>
    <w:rsid w:val="03D01EBA"/>
    <w:rsid w:val="03E3260C"/>
    <w:rsid w:val="03F40422"/>
    <w:rsid w:val="03F6733F"/>
    <w:rsid w:val="040162E4"/>
    <w:rsid w:val="040E49C0"/>
    <w:rsid w:val="04100891"/>
    <w:rsid w:val="04102B88"/>
    <w:rsid w:val="04102D93"/>
    <w:rsid w:val="041C0171"/>
    <w:rsid w:val="041E2CB6"/>
    <w:rsid w:val="042A065A"/>
    <w:rsid w:val="04355720"/>
    <w:rsid w:val="043B6F52"/>
    <w:rsid w:val="0440130D"/>
    <w:rsid w:val="04472937"/>
    <w:rsid w:val="04521BD2"/>
    <w:rsid w:val="04592E01"/>
    <w:rsid w:val="045A6A33"/>
    <w:rsid w:val="04651876"/>
    <w:rsid w:val="047A7AC3"/>
    <w:rsid w:val="04A146A5"/>
    <w:rsid w:val="04A52321"/>
    <w:rsid w:val="04A756A1"/>
    <w:rsid w:val="04AE7AB6"/>
    <w:rsid w:val="04BD5452"/>
    <w:rsid w:val="04C33B3A"/>
    <w:rsid w:val="04C40B15"/>
    <w:rsid w:val="04D12C18"/>
    <w:rsid w:val="04D253F8"/>
    <w:rsid w:val="04E238FB"/>
    <w:rsid w:val="05096DA8"/>
    <w:rsid w:val="050E1A9F"/>
    <w:rsid w:val="05123DA7"/>
    <w:rsid w:val="05226B30"/>
    <w:rsid w:val="05253A6C"/>
    <w:rsid w:val="052C6594"/>
    <w:rsid w:val="058C4618"/>
    <w:rsid w:val="0590328D"/>
    <w:rsid w:val="05964DE0"/>
    <w:rsid w:val="05A1206D"/>
    <w:rsid w:val="05A21076"/>
    <w:rsid w:val="05A30E18"/>
    <w:rsid w:val="05CF7834"/>
    <w:rsid w:val="05D43ADD"/>
    <w:rsid w:val="05DD3A28"/>
    <w:rsid w:val="05E11AC1"/>
    <w:rsid w:val="05E42969"/>
    <w:rsid w:val="05E62A3D"/>
    <w:rsid w:val="05E86511"/>
    <w:rsid w:val="05ED4DAD"/>
    <w:rsid w:val="05FD6C51"/>
    <w:rsid w:val="06090BF4"/>
    <w:rsid w:val="061E6D48"/>
    <w:rsid w:val="061F39A3"/>
    <w:rsid w:val="06241EFD"/>
    <w:rsid w:val="062A650D"/>
    <w:rsid w:val="063528A9"/>
    <w:rsid w:val="06474B78"/>
    <w:rsid w:val="064A5470"/>
    <w:rsid w:val="064B35BD"/>
    <w:rsid w:val="066420BD"/>
    <w:rsid w:val="066839E2"/>
    <w:rsid w:val="066A32C2"/>
    <w:rsid w:val="066D3E1A"/>
    <w:rsid w:val="06742899"/>
    <w:rsid w:val="06854DE1"/>
    <w:rsid w:val="068C7214"/>
    <w:rsid w:val="069226BC"/>
    <w:rsid w:val="06996D66"/>
    <w:rsid w:val="06C11830"/>
    <w:rsid w:val="06C301A6"/>
    <w:rsid w:val="06CC140D"/>
    <w:rsid w:val="06D07452"/>
    <w:rsid w:val="06D558A1"/>
    <w:rsid w:val="06D63AC4"/>
    <w:rsid w:val="06D7549F"/>
    <w:rsid w:val="06DA3104"/>
    <w:rsid w:val="06EB755A"/>
    <w:rsid w:val="070935B0"/>
    <w:rsid w:val="070C44B8"/>
    <w:rsid w:val="07152859"/>
    <w:rsid w:val="071A62E7"/>
    <w:rsid w:val="071C16B4"/>
    <w:rsid w:val="073130E2"/>
    <w:rsid w:val="073A2071"/>
    <w:rsid w:val="073A5916"/>
    <w:rsid w:val="074D4342"/>
    <w:rsid w:val="07506A5C"/>
    <w:rsid w:val="07551657"/>
    <w:rsid w:val="0775383F"/>
    <w:rsid w:val="077E0859"/>
    <w:rsid w:val="077E49AD"/>
    <w:rsid w:val="078047C1"/>
    <w:rsid w:val="07827B7C"/>
    <w:rsid w:val="079E068A"/>
    <w:rsid w:val="07A471BE"/>
    <w:rsid w:val="07AA4BA0"/>
    <w:rsid w:val="07DC60BC"/>
    <w:rsid w:val="07E80637"/>
    <w:rsid w:val="07F6399B"/>
    <w:rsid w:val="07FE4AD6"/>
    <w:rsid w:val="08017468"/>
    <w:rsid w:val="08135E36"/>
    <w:rsid w:val="081525D6"/>
    <w:rsid w:val="082775EF"/>
    <w:rsid w:val="082E54A7"/>
    <w:rsid w:val="083A069E"/>
    <w:rsid w:val="084A6A27"/>
    <w:rsid w:val="0853352F"/>
    <w:rsid w:val="08546044"/>
    <w:rsid w:val="08571440"/>
    <w:rsid w:val="08681766"/>
    <w:rsid w:val="0888513D"/>
    <w:rsid w:val="088E477A"/>
    <w:rsid w:val="089C6911"/>
    <w:rsid w:val="089E24CC"/>
    <w:rsid w:val="08A2347E"/>
    <w:rsid w:val="08A9030E"/>
    <w:rsid w:val="08A948E6"/>
    <w:rsid w:val="08A968F3"/>
    <w:rsid w:val="08AA54DB"/>
    <w:rsid w:val="08AA66B9"/>
    <w:rsid w:val="08AC6509"/>
    <w:rsid w:val="08B4490A"/>
    <w:rsid w:val="08C95506"/>
    <w:rsid w:val="08DC30FB"/>
    <w:rsid w:val="08F36DB5"/>
    <w:rsid w:val="09044D77"/>
    <w:rsid w:val="09067488"/>
    <w:rsid w:val="090A1A8C"/>
    <w:rsid w:val="090F34B0"/>
    <w:rsid w:val="09120967"/>
    <w:rsid w:val="09273395"/>
    <w:rsid w:val="09317E9F"/>
    <w:rsid w:val="09346CA8"/>
    <w:rsid w:val="09394122"/>
    <w:rsid w:val="0941431E"/>
    <w:rsid w:val="094F5BE9"/>
    <w:rsid w:val="095F3974"/>
    <w:rsid w:val="095F414C"/>
    <w:rsid w:val="095F6CFD"/>
    <w:rsid w:val="09633FAB"/>
    <w:rsid w:val="097220DA"/>
    <w:rsid w:val="097A09DC"/>
    <w:rsid w:val="09887151"/>
    <w:rsid w:val="098C474C"/>
    <w:rsid w:val="099D0853"/>
    <w:rsid w:val="09AF61EF"/>
    <w:rsid w:val="09CA1720"/>
    <w:rsid w:val="09DE12BD"/>
    <w:rsid w:val="09E16F0C"/>
    <w:rsid w:val="0A043C95"/>
    <w:rsid w:val="0A0908B5"/>
    <w:rsid w:val="0A11692E"/>
    <w:rsid w:val="0A2E6E6A"/>
    <w:rsid w:val="0A3B3315"/>
    <w:rsid w:val="0A4A2498"/>
    <w:rsid w:val="0A4A7578"/>
    <w:rsid w:val="0A577381"/>
    <w:rsid w:val="0A59664F"/>
    <w:rsid w:val="0A5F6220"/>
    <w:rsid w:val="0A671F05"/>
    <w:rsid w:val="0A6C6907"/>
    <w:rsid w:val="0A936FFB"/>
    <w:rsid w:val="0A9B7F31"/>
    <w:rsid w:val="0AA36494"/>
    <w:rsid w:val="0AAE2A87"/>
    <w:rsid w:val="0AAE7DAE"/>
    <w:rsid w:val="0AB5265D"/>
    <w:rsid w:val="0AC729FC"/>
    <w:rsid w:val="0ACC6429"/>
    <w:rsid w:val="0AF8308E"/>
    <w:rsid w:val="0B014178"/>
    <w:rsid w:val="0B0D33CB"/>
    <w:rsid w:val="0B0F0423"/>
    <w:rsid w:val="0B1C157E"/>
    <w:rsid w:val="0B1D5814"/>
    <w:rsid w:val="0B2740FC"/>
    <w:rsid w:val="0B2C2B72"/>
    <w:rsid w:val="0B585AFE"/>
    <w:rsid w:val="0B6B1555"/>
    <w:rsid w:val="0B6D3A73"/>
    <w:rsid w:val="0B756EC3"/>
    <w:rsid w:val="0B773C1E"/>
    <w:rsid w:val="0B953C71"/>
    <w:rsid w:val="0B9D3204"/>
    <w:rsid w:val="0BAE19D3"/>
    <w:rsid w:val="0BC379B8"/>
    <w:rsid w:val="0BCF7287"/>
    <w:rsid w:val="0BDD1E7C"/>
    <w:rsid w:val="0BDF4B36"/>
    <w:rsid w:val="0BE4764D"/>
    <w:rsid w:val="0BE52888"/>
    <w:rsid w:val="0BEA29FB"/>
    <w:rsid w:val="0BED1C0D"/>
    <w:rsid w:val="0BF85B9C"/>
    <w:rsid w:val="0BFF1AB3"/>
    <w:rsid w:val="0C024F41"/>
    <w:rsid w:val="0C043261"/>
    <w:rsid w:val="0C0E0327"/>
    <w:rsid w:val="0C125DF3"/>
    <w:rsid w:val="0C192C0C"/>
    <w:rsid w:val="0C1B2845"/>
    <w:rsid w:val="0C2900F0"/>
    <w:rsid w:val="0C2E0698"/>
    <w:rsid w:val="0C352415"/>
    <w:rsid w:val="0C3F6ADD"/>
    <w:rsid w:val="0C4279A7"/>
    <w:rsid w:val="0C536859"/>
    <w:rsid w:val="0C55059A"/>
    <w:rsid w:val="0C59399F"/>
    <w:rsid w:val="0C5C3FE6"/>
    <w:rsid w:val="0C5C4E51"/>
    <w:rsid w:val="0C600AF0"/>
    <w:rsid w:val="0C603356"/>
    <w:rsid w:val="0C6579FB"/>
    <w:rsid w:val="0C691C6B"/>
    <w:rsid w:val="0C76095B"/>
    <w:rsid w:val="0C7E24F0"/>
    <w:rsid w:val="0C89471E"/>
    <w:rsid w:val="0C8D0CFA"/>
    <w:rsid w:val="0C900899"/>
    <w:rsid w:val="0CAA655D"/>
    <w:rsid w:val="0CAB0BDF"/>
    <w:rsid w:val="0CAE5159"/>
    <w:rsid w:val="0CC51505"/>
    <w:rsid w:val="0CC678D6"/>
    <w:rsid w:val="0CCC05D7"/>
    <w:rsid w:val="0CD31EB3"/>
    <w:rsid w:val="0CE37415"/>
    <w:rsid w:val="0CE6178E"/>
    <w:rsid w:val="0CE9519A"/>
    <w:rsid w:val="0CE97BA1"/>
    <w:rsid w:val="0CF550D2"/>
    <w:rsid w:val="0D094B6B"/>
    <w:rsid w:val="0D0B22DA"/>
    <w:rsid w:val="0D1C13D2"/>
    <w:rsid w:val="0D1D4B47"/>
    <w:rsid w:val="0D2040BA"/>
    <w:rsid w:val="0D3E5C94"/>
    <w:rsid w:val="0D43575F"/>
    <w:rsid w:val="0D4E6F1C"/>
    <w:rsid w:val="0D544F51"/>
    <w:rsid w:val="0D6602B1"/>
    <w:rsid w:val="0D6A0953"/>
    <w:rsid w:val="0D7028CB"/>
    <w:rsid w:val="0D7A508B"/>
    <w:rsid w:val="0D841F48"/>
    <w:rsid w:val="0D897E5F"/>
    <w:rsid w:val="0D9C6440"/>
    <w:rsid w:val="0D9C7AEF"/>
    <w:rsid w:val="0DA044F4"/>
    <w:rsid w:val="0DA35C91"/>
    <w:rsid w:val="0DAB2C23"/>
    <w:rsid w:val="0DAF13DF"/>
    <w:rsid w:val="0DBD136D"/>
    <w:rsid w:val="0DC4195A"/>
    <w:rsid w:val="0DC5009A"/>
    <w:rsid w:val="0DC564AF"/>
    <w:rsid w:val="0DE11A2A"/>
    <w:rsid w:val="0DE97D10"/>
    <w:rsid w:val="0DF21DBB"/>
    <w:rsid w:val="0DFB2BE3"/>
    <w:rsid w:val="0DFF44AE"/>
    <w:rsid w:val="0E120EC7"/>
    <w:rsid w:val="0E4F69B3"/>
    <w:rsid w:val="0E597E54"/>
    <w:rsid w:val="0E5E4A28"/>
    <w:rsid w:val="0E8A52F8"/>
    <w:rsid w:val="0E8A7EBD"/>
    <w:rsid w:val="0EA93F77"/>
    <w:rsid w:val="0EE57078"/>
    <w:rsid w:val="0EE764CF"/>
    <w:rsid w:val="0EF527C3"/>
    <w:rsid w:val="0EF6029E"/>
    <w:rsid w:val="0EF87E22"/>
    <w:rsid w:val="0EFA2620"/>
    <w:rsid w:val="0F1365C4"/>
    <w:rsid w:val="0F1401E9"/>
    <w:rsid w:val="0F335AD5"/>
    <w:rsid w:val="0F4D31C5"/>
    <w:rsid w:val="0F6C7A07"/>
    <w:rsid w:val="0F821E7D"/>
    <w:rsid w:val="0F8262A0"/>
    <w:rsid w:val="0F831903"/>
    <w:rsid w:val="0F9012CA"/>
    <w:rsid w:val="0F971E23"/>
    <w:rsid w:val="0F983F84"/>
    <w:rsid w:val="0FAA37FC"/>
    <w:rsid w:val="0FB659D9"/>
    <w:rsid w:val="0FC112D1"/>
    <w:rsid w:val="0FD24FE8"/>
    <w:rsid w:val="0FD74BA9"/>
    <w:rsid w:val="0FE86D41"/>
    <w:rsid w:val="0FEB41F1"/>
    <w:rsid w:val="0FEF0D36"/>
    <w:rsid w:val="0FF07C37"/>
    <w:rsid w:val="0FF5289F"/>
    <w:rsid w:val="0FF66527"/>
    <w:rsid w:val="0FFE6BAF"/>
    <w:rsid w:val="103F3CBC"/>
    <w:rsid w:val="10403DE7"/>
    <w:rsid w:val="104A7649"/>
    <w:rsid w:val="10576C3B"/>
    <w:rsid w:val="105C40AB"/>
    <w:rsid w:val="106C4C12"/>
    <w:rsid w:val="106E753A"/>
    <w:rsid w:val="107837D6"/>
    <w:rsid w:val="107D2F92"/>
    <w:rsid w:val="10800170"/>
    <w:rsid w:val="10862830"/>
    <w:rsid w:val="109329F6"/>
    <w:rsid w:val="10A82ED6"/>
    <w:rsid w:val="10AB6F3D"/>
    <w:rsid w:val="10B95E73"/>
    <w:rsid w:val="10C80A45"/>
    <w:rsid w:val="10C81E6D"/>
    <w:rsid w:val="10C9168A"/>
    <w:rsid w:val="10D1776B"/>
    <w:rsid w:val="10D95AE0"/>
    <w:rsid w:val="10E03C44"/>
    <w:rsid w:val="10F76622"/>
    <w:rsid w:val="10FC154E"/>
    <w:rsid w:val="11174DB1"/>
    <w:rsid w:val="11292D0D"/>
    <w:rsid w:val="114E0FF3"/>
    <w:rsid w:val="115F0E58"/>
    <w:rsid w:val="11641E11"/>
    <w:rsid w:val="11693B0D"/>
    <w:rsid w:val="116C5F97"/>
    <w:rsid w:val="117350A3"/>
    <w:rsid w:val="117B16EB"/>
    <w:rsid w:val="119736AC"/>
    <w:rsid w:val="119D542C"/>
    <w:rsid w:val="11A53C9E"/>
    <w:rsid w:val="11A81500"/>
    <w:rsid w:val="11AA356C"/>
    <w:rsid w:val="11AA5325"/>
    <w:rsid w:val="11AB0530"/>
    <w:rsid w:val="11B77760"/>
    <w:rsid w:val="11BC75E5"/>
    <w:rsid w:val="11BE1D7A"/>
    <w:rsid w:val="11CF53AB"/>
    <w:rsid w:val="11D867A9"/>
    <w:rsid w:val="11DF156C"/>
    <w:rsid w:val="11E73E9A"/>
    <w:rsid w:val="11F26D07"/>
    <w:rsid w:val="11FF3EB3"/>
    <w:rsid w:val="120C39AD"/>
    <w:rsid w:val="121041ED"/>
    <w:rsid w:val="121C7029"/>
    <w:rsid w:val="12285E67"/>
    <w:rsid w:val="122B3102"/>
    <w:rsid w:val="124173C4"/>
    <w:rsid w:val="12424E34"/>
    <w:rsid w:val="125C7407"/>
    <w:rsid w:val="12692ED8"/>
    <w:rsid w:val="127923EC"/>
    <w:rsid w:val="127A56AA"/>
    <w:rsid w:val="127C3D05"/>
    <w:rsid w:val="1281313F"/>
    <w:rsid w:val="128B4FB7"/>
    <w:rsid w:val="12902F82"/>
    <w:rsid w:val="129517C5"/>
    <w:rsid w:val="12A17C79"/>
    <w:rsid w:val="12A4426E"/>
    <w:rsid w:val="12B57B91"/>
    <w:rsid w:val="12D24A01"/>
    <w:rsid w:val="12D94B98"/>
    <w:rsid w:val="12DE3A02"/>
    <w:rsid w:val="12EA6F7C"/>
    <w:rsid w:val="12F444F1"/>
    <w:rsid w:val="12F52ED8"/>
    <w:rsid w:val="12FF665C"/>
    <w:rsid w:val="131353BD"/>
    <w:rsid w:val="131C7166"/>
    <w:rsid w:val="13270D7A"/>
    <w:rsid w:val="13276226"/>
    <w:rsid w:val="13332B5D"/>
    <w:rsid w:val="13361D67"/>
    <w:rsid w:val="13380F7F"/>
    <w:rsid w:val="134279D8"/>
    <w:rsid w:val="134C33B3"/>
    <w:rsid w:val="135A1F0B"/>
    <w:rsid w:val="135C36AF"/>
    <w:rsid w:val="1365115A"/>
    <w:rsid w:val="137B2718"/>
    <w:rsid w:val="1386214F"/>
    <w:rsid w:val="139B44DA"/>
    <w:rsid w:val="13A15E6A"/>
    <w:rsid w:val="13AC0E81"/>
    <w:rsid w:val="13C0642A"/>
    <w:rsid w:val="13C375AC"/>
    <w:rsid w:val="13C42884"/>
    <w:rsid w:val="13D03D1F"/>
    <w:rsid w:val="13E425F5"/>
    <w:rsid w:val="13E9554A"/>
    <w:rsid w:val="13FD3BF0"/>
    <w:rsid w:val="1404331C"/>
    <w:rsid w:val="140631E6"/>
    <w:rsid w:val="14066215"/>
    <w:rsid w:val="1409012D"/>
    <w:rsid w:val="14090ED3"/>
    <w:rsid w:val="140D14F0"/>
    <w:rsid w:val="141637E6"/>
    <w:rsid w:val="141640EE"/>
    <w:rsid w:val="141A6089"/>
    <w:rsid w:val="14200F92"/>
    <w:rsid w:val="14214815"/>
    <w:rsid w:val="14363257"/>
    <w:rsid w:val="14376DDD"/>
    <w:rsid w:val="1441587A"/>
    <w:rsid w:val="146343A9"/>
    <w:rsid w:val="14653252"/>
    <w:rsid w:val="14655FEF"/>
    <w:rsid w:val="146A1BBD"/>
    <w:rsid w:val="1471700C"/>
    <w:rsid w:val="14742F77"/>
    <w:rsid w:val="14913284"/>
    <w:rsid w:val="149A274F"/>
    <w:rsid w:val="14AE4079"/>
    <w:rsid w:val="14BB35FB"/>
    <w:rsid w:val="14BC294C"/>
    <w:rsid w:val="14E379B3"/>
    <w:rsid w:val="14FF62D2"/>
    <w:rsid w:val="150437AF"/>
    <w:rsid w:val="150D6FAF"/>
    <w:rsid w:val="151253B8"/>
    <w:rsid w:val="151A4A2D"/>
    <w:rsid w:val="151C4066"/>
    <w:rsid w:val="152C12C4"/>
    <w:rsid w:val="154D4C24"/>
    <w:rsid w:val="155E508B"/>
    <w:rsid w:val="15640DFE"/>
    <w:rsid w:val="156A19EB"/>
    <w:rsid w:val="156B128B"/>
    <w:rsid w:val="156C1FA1"/>
    <w:rsid w:val="156C333F"/>
    <w:rsid w:val="15720469"/>
    <w:rsid w:val="157630F8"/>
    <w:rsid w:val="157C52FE"/>
    <w:rsid w:val="15835DD5"/>
    <w:rsid w:val="15965ABE"/>
    <w:rsid w:val="15A22C68"/>
    <w:rsid w:val="15A77B14"/>
    <w:rsid w:val="15BE1C23"/>
    <w:rsid w:val="15E82934"/>
    <w:rsid w:val="16020752"/>
    <w:rsid w:val="160766E1"/>
    <w:rsid w:val="16090E54"/>
    <w:rsid w:val="160F5CF5"/>
    <w:rsid w:val="161B6DA0"/>
    <w:rsid w:val="162A4AAA"/>
    <w:rsid w:val="163308D7"/>
    <w:rsid w:val="1636077A"/>
    <w:rsid w:val="164836BE"/>
    <w:rsid w:val="16506140"/>
    <w:rsid w:val="166A5654"/>
    <w:rsid w:val="16704845"/>
    <w:rsid w:val="167A0E57"/>
    <w:rsid w:val="16875F00"/>
    <w:rsid w:val="16B16DCC"/>
    <w:rsid w:val="16C05663"/>
    <w:rsid w:val="16C45973"/>
    <w:rsid w:val="16D906CC"/>
    <w:rsid w:val="16D91FAB"/>
    <w:rsid w:val="170078FF"/>
    <w:rsid w:val="1708100C"/>
    <w:rsid w:val="17090057"/>
    <w:rsid w:val="170E6D59"/>
    <w:rsid w:val="170E7B3B"/>
    <w:rsid w:val="17157B7C"/>
    <w:rsid w:val="17573DEE"/>
    <w:rsid w:val="176236E8"/>
    <w:rsid w:val="17627CE7"/>
    <w:rsid w:val="176906E9"/>
    <w:rsid w:val="176D17E7"/>
    <w:rsid w:val="17735C5C"/>
    <w:rsid w:val="1779312A"/>
    <w:rsid w:val="177D6C9D"/>
    <w:rsid w:val="178527E7"/>
    <w:rsid w:val="1786557C"/>
    <w:rsid w:val="17867A6C"/>
    <w:rsid w:val="1790087C"/>
    <w:rsid w:val="179A3585"/>
    <w:rsid w:val="17B65188"/>
    <w:rsid w:val="17B94E63"/>
    <w:rsid w:val="17C2270C"/>
    <w:rsid w:val="17C3170C"/>
    <w:rsid w:val="17C75AF8"/>
    <w:rsid w:val="17D12BDF"/>
    <w:rsid w:val="17D462F8"/>
    <w:rsid w:val="18032463"/>
    <w:rsid w:val="180F59AD"/>
    <w:rsid w:val="181733D2"/>
    <w:rsid w:val="18275515"/>
    <w:rsid w:val="18352EC4"/>
    <w:rsid w:val="183D4E7F"/>
    <w:rsid w:val="184955DF"/>
    <w:rsid w:val="18592A48"/>
    <w:rsid w:val="18660CC4"/>
    <w:rsid w:val="187348BD"/>
    <w:rsid w:val="18960B00"/>
    <w:rsid w:val="189C3FBD"/>
    <w:rsid w:val="189E1EBC"/>
    <w:rsid w:val="18A85A97"/>
    <w:rsid w:val="18B607C0"/>
    <w:rsid w:val="18BD6D8F"/>
    <w:rsid w:val="18C625FB"/>
    <w:rsid w:val="18C91536"/>
    <w:rsid w:val="18D5341C"/>
    <w:rsid w:val="18D859D2"/>
    <w:rsid w:val="18E6686E"/>
    <w:rsid w:val="18EB6055"/>
    <w:rsid w:val="18F72A3C"/>
    <w:rsid w:val="190254F7"/>
    <w:rsid w:val="190D2C57"/>
    <w:rsid w:val="191B2128"/>
    <w:rsid w:val="19297C6A"/>
    <w:rsid w:val="192B02D4"/>
    <w:rsid w:val="192E327F"/>
    <w:rsid w:val="193132FC"/>
    <w:rsid w:val="193152A0"/>
    <w:rsid w:val="19452DA6"/>
    <w:rsid w:val="194E008A"/>
    <w:rsid w:val="195A06D5"/>
    <w:rsid w:val="195E1928"/>
    <w:rsid w:val="196A617C"/>
    <w:rsid w:val="1971064A"/>
    <w:rsid w:val="19823F7A"/>
    <w:rsid w:val="19861899"/>
    <w:rsid w:val="198A7C6E"/>
    <w:rsid w:val="198B65CA"/>
    <w:rsid w:val="19B22F65"/>
    <w:rsid w:val="19B304F3"/>
    <w:rsid w:val="19B53C2C"/>
    <w:rsid w:val="19BB2B36"/>
    <w:rsid w:val="19C27C9F"/>
    <w:rsid w:val="19CD08E4"/>
    <w:rsid w:val="19D35B4D"/>
    <w:rsid w:val="19E45D5B"/>
    <w:rsid w:val="19EC4E08"/>
    <w:rsid w:val="19ED4B3C"/>
    <w:rsid w:val="19ED6EB4"/>
    <w:rsid w:val="19FB3BB2"/>
    <w:rsid w:val="19FE4B0A"/>
    <w:rsid w:val="1A1B1178"/>
    <w:rsid w:val="1A4232EB"/>
    <w:rsid w:val="1A511F20"/>
    <w:rsid w:val="1A5712A3"/>
    <w:rsid w:val="1A5C6AA8"/>
    <w:rsid w:val="1A625602"/>
    <w:rsid w:val="1A634EAD"/>
    <w:rsid w:val="1A6748B5"/>
    <w:rsid w:val="1A6D75CE"/>
    <w:rsid w:val="1A797D70"/>
    <w:rsid w:val="1A7B7F65"/>
    <w:rsid w:val="1A7F3072"/>
    <w:rsid w:val="1A8C6127"/>
    <w:rsid w:val="1A931C7D"/>
    <w:rsid w:val="1A980FF5"/>
    <w:rsid w:val="1ABA579C"/>
    <w:rsid w:val="1AD04F4E"/>
    <w:rsid w:val="1ADC2C7F"/>
    <w:rsid w:val="1ADC3215"/>
    <w:rsid w:val="1AE075AD"/>
    <w:rsid w:val="1AE22436"/>
    <w:rsid w:val="1AE557A1"/>
    <w:rsid w:val="1AED3A55"/>
    <w:rsid w:val="1AF9629E"/>
    <w:rsid w:val="1AFA7E4F"/>
    <w:rsid w:val="1AFF442C"/>
    <w:rsid w:val="1AFF6A0E"/>
    <w:rsid w:val="1B287E70"/>
    <w:rsid w:val="1B3F45E2"/>
    <w:rsid w:val="1B4A1072"/>
    <w:rsid w:val="1B4B06D5"/>
    <w:rsid w:val="1B5E512C"/>
    <w:rsid w:val="1B624548"/>
    <w:rsid w:val="1B7C441A"/>
    <w:rsid w:val="1B7D534E"/>
    <w:rsid w:val="1B815E66"/>
    <w:rsid w:val="1B824301"/>
    <w:rsid w:val="1B845B71"/>
    <w:rsid w:val="1B872277"/>
    <w:rsid w:val="1B8E52D3"/>
    <w:rsid w:val="1B95140B"/>
    <w:rsid w:val="1B9972B0"/>
    <w:rsid w:val="1B9C5C81"/>
    <w:rsid w:val="1B9D67F2"/>
    <w:rsid w:val="1BA61EE6"/>
    <w:rsid w:val="1BB021DA"/>
    <w:rsid w:val="1BB30568"/>
    <w:rsid w:val="1BB618C3"/>
    <w:rsid w:val="1BBA26ED"/>
    <w:rsid w:val="1BD82F20"/>
    <w:rsid w:val="1BE103BB"/>
    <w:rsid w:val="1BE606FA"/>
    <w:rsid w:val="1BEA74D0"/>
    <w:rsid w:val="1BEB753C"/>
    <w:rsid w:val="1BF27340"/>
    <w:rsid w:val="1BF84EC0"/>
    <w:rsid w:val="1C0F4CB6"/>
    <w:rsid w:val="1C1E6AF1"/>
    <w:rsid w:val="1C21643D"/>
    <w:rsid w:val="1C3A0DF4"/>
    <w:rsid w:val="1C3F5B24"/>
    <w:rsid w:val="1C46481E"/>
    <w:rsid w:val="1C4A638F"/>
    <w:rsid w:val="1C565F62"/>
    <w:rsid w:val="1C581CDC"/>
    <w:rsid w:val="1C597ADE"/>
    <w:rsid w:val="1C622CC9"/>
    <w:rsid w:val="1C65094E"/>
    <w:rsid w:val="1C7747EE"/>
    <w:rsid w:val="1C7F503E"/>
    <w:rsid w:val="1C904091"/>
    <w:rsid w:val="1CA56BC7"/>
    <w:rsid w:val="1CA845A9"/>
    <w:rsid w:val="1CA96F50"/>
    <w:rsid w:val="1CB61C76"/>
    <w:rsid w:val="1CBC2D00"/>
    <w:rsid w:val="1CCE7739"/>
    <w:rsid w:val="1CD232B2"/>
    <w:rsid w:val="1CDA2254"/>
    <w:rsid w:val="1CEB02EE"/>
    <w:rsid w:val="1CEC1187"/>
    <w:rsid w:val="1CEE649D"/>
    <w:rsid w:val="1CF81EF3"/>
    <w:rsid w:val="1CFC7675"/>
    <w:rsid w:val="1CFD391F"/>
    <w:rsid w:val="1D0224CB"/>
    <w:rsid w:val="1D10141F"/>
    <w:rsid w:val="1D1F0369"/>
    <w:rsid w:val="1D3A3E2B"/>
    <w:rsid w:val="1D3E7699"/>
    <w:rsid w:val="1D42252B"/>
    <w:rsid w:val="1D454318"/>
    <w:rsid w:val="1D492719"/>
    <w:rsid w:val="1D527E77"/>
    <w:rsid w:val="1D627F8B"/>
    <w:rsid w:val="1D6E1994"/>
    <w:rsid w:val="1D723640"/>
    <w:rsid w:val="1D843163"/>
    <w:rsid w:val="1D991A99"/>
    <w:rsid w:val="1DAB1F30"/>
    <w:rsid w:val="1DAE4330"/>
    <w:rsid w:val="1DC82103"/>
    <w:rsid w:val="1DD02DD6"/>
    <w:rsid w:val="1DD45511"/>
    <w:rsid w:val="1DF72AD1"/>
    <w:rsid w:val="1E1C79AF"/>
    <w:rsid w:val="1E21758A"/>
    <w:rsid w:val="1E266C92"/>
    <w:rsid w:val="1E2A73C8"/>
    <w:rsid w:val="1E4213FB"/>
    <w:rsid w:val="1E587188"/>
    <w:rsid w:val="1E5A057E"/>
    <w:rsid w:val="1E773433"/>
    <w:rsid w:val="1E7759F2"/>
    <w:rsid w:val="1E790C01"/>
    <w:rsid w:val="1E8562F6"/>
    <w:rsid w:val="1E8F4FAF"/>
    <w:rsid w:val="1E933BEE"/>
    <w:rsid w:val="1EB765AC"/>
    <w:rsid w:val="1EB8112B"/>
    <w:rsid w:val="1EBC3A20"/>
    <w:rsid w:val="1EC624AB"/>
    <w:rsid w:val="1EC668B2"/>
    <w:rsid w:val="1ECC1839"/>
    <w:rsid w:val="1ECC2A66"/>
    <w:rsid w:val="1EE2696D"/>
    <w:rsid w:val="1EED2C5F"/>
    <w:rsid w:val="1F111544"/>
    <w:rsid w:val="1F2D0A2F"/>
    <w:rsid w:val="1F312885"/>
    <w:rsid w:val="1F4931EA"/>
    <w:rsid w:val="1F5C4703"/>
    <w:rsid w:val="1F5C7B38"/>
    <w:rsid w:val="1F613E3A"/>
    <w:rsid w:val="1F640682"/>
    <w:rsid w:val="1F7013B8"/>
    <w:rsid w:val="1F71522F"/>
    <w:rsid w:val="1F783B6F"/>
    <w:rsid w:val="1F7B1C65"/>
    <w:rsid w:val="1F7E26B9"/>
    <w:rsid w:val="1F7E5A29"/>
    <w:rsid w:val="1F8E3B54"/>
    <w:rsid w:val="1F8F1B62"/>
    <w:rsid w:val="1FA41E62"/>
    <w:rsid w:val="1FD0106E"/>
    <w:rsid w:val="1FDF1459"/>
    <w:rsid w:val="1FEA77EA"/>
    <w:rsid w:val="1FF21A00"/>
    <w:rsid w:val="200B57A0"/>
    <w:rsid w:val="201F7ECC"/>
    <w:rsid w:val="203E663A"/>
    <w:rsid w:val="203F0137"/>
    <w:rsid w:val="204B6589"/>
    <w:rsid w:val="208F4F41"/>
    <w:rsid w:val="209B2BC5"/>
    <w:rsid w:val="20A017AA"/>
    <w:rsid w:val="20B37C40"/>
    <w:rsid w:val="20BB0B13"/>
    <w:rsid w:val="20DE74ED"/>
    <w:rsid w:val="20E753D8"/>
    <w:rsid w:val="20FB675B"/>
    <w:rsid w:val="20FD5F0C"/>
    <w:rsid w:val="20FF2EF0"/>
    <w:rsid w:val="20FF7CA2"/>
    <w:rsid w:val="21013996"/>
    <w:rsid w:val="210177CF"/>
    <w:rsid w:val="210645B3"/>
    <w:rsid w:val="21150D22"/>
    <w:rsid w:val="212245E1"/>
    <w:rsid w:val="212B3AFB"/>
    <w:rsid w:val="21304527"/>
    <w:rsid w:val="21334278"/>
    <w:rsid w:val="213E2357"/>
    <w:rsid w:val="214009E8"/>
    <w:rsid w:val="214E7BAB"/>
    <w:rsid w:val="21510035"/>
    <w:rsid w:val="2153569A"/>
    <w:rsid w:val="21570A44"/>
    <w:rsid w:val="21631175"/>
    <w:rsid w:val="217A5BDB"/>
    <w:rsid w:val="217E33B7"/>
    <w:rsid w:val="218D02E4"/>
    <w:rsid w:val="218D51D5"/>
    <w:rsid w:val="21AE5675"/>
    <w:rsid w:val="21B26DD5"/>
    <w:rsid w:val="21B729B4"/>
    <w:rsid w:val="21B90A95"/>
    <w:rsid w:val="21B96E2F"/>
    <w:rsid w:val="21C1727E"/>
    <w:rsid w:val="21C26748"/>
    <w:rsid w:val="21CD33F8"/>
    <w:rsid w:val="21DB513D"/>
    <w:rsid w:val="21F54F08"/>
    <w:rsid w:val="21FC1AB1"/>
    <w:rsid w:val="22001FBC"/>
    <w:rsid w:val="220141C9"/>
    <w:rsid w:val="22020F2A"/>
    <w:rsid w:val="22027052"/>
    <w:rsid w:val="22061D13"/>
    <w:rsid w:val="221B3091"/>
    <w:rsid w:val="221E3F06"/>
    <w:rsid w:val="222E585B"/>
    <w:rsid w:val="224E2EB7"/>
    <w:rsid w:val="224F6FA1"/>
    <w:rsid w:val="22597212"/>
    <w:rsid w:val="225F01F3"/>
    <w:rsid w:val="22680E0C"/>
    <w:rsid w:val="226B79BC"/>
    <w:rsid w:val="226C10DB"/>
    <w:rsid w:val="227F6529"/>
    <w:rsid w:val="228C453A"/>
    <w:rsid w:val="228D4D6D"/>
    <w:rsid w:val="22921271"/>
    <w:rsid w:val="22934B61"/>
    <w:rsid w:val="229B1DD0"/>
    <w:rsid w:val="22A95C20"/>
    <w:rsid w:val="22AB6FED"/>
    <w:rsid w:val="22B25ED1"/>
    <w:rsid w:val="22B6535F"/>
    <w:rsid w:val="22BF7361"/>
    <w:rsid w:val="22C138F5"/>
    <w:rsid w:val="22CC382D"/>
    <w:rsid w:val="22D67EF0"/>
    <w:rsid w:val="22EA1F5D"/>
    <w:rsid w:val="22FE0356"/>
    <w:rsid w:val="23043A62"/>
    <w:rsid w:val="2304661E"/>
    <w:rsid w:val="23073371"/>
    <w:rsid w:val="230B52BA"/>
    <w:rsid w:val="231B2D27"/>
    <w:rsid w:val="231D7AE9"/>
    <w:rsid w:val="231F57ED"/>
    <w:rsid w:val="232F71A8"/>
    <w:rsid w:val="234036E6"/>
    <w:rsid w:val="23443CE8"/>
    <w:rsid w:val="23623CB1"/>
    <w:rsid w:val="23730717"/>
    <w:rsid w:val="23757828"/>
    <w:rsid w:val="2379259D"/>
    <w:rsid w:val="23816CA2"/>
    <w:rsid w:val="239218E7"/>
    <w:rsid w:val="23BA1EF7"/>
    <w:rsid w:val="23BA2A2E"/>
    <w:rsid w:val="23BF2280"/>
    <w:rsid w:val="23E1621B"/>
    <w:rsid w:val="23E94E25"/>
    <w:rsid w:val="23EF36B7"/>
    <w:rsid w:val="23F43282"/>
    <w:rsid w:val="24134C54"/>
    <w:rsid w:val="24190DB8"/>
    <w:rsid w:val="241F795C"/>
    <w:rsid w:val="24385CE1"/>
    <w:rsid w:val="244C0FEA"/>
    <w:rsid w:val="244C65D2"/>
    <w:rsid w:val="24533EA6"/>
    <w:rsid w:val="24553982"/>
    <w:rsid w:val="24662325"/>
    <w:rsid w:val="24686D5C"/>
    <w:rsid w:val="246A3CE5"/>
    <w:rsid w:val="24892D93"/>
    <w:rsid w:val="248C7FC9"/>
    <w:rsid w:val="249036CB"/>
    <w:rsid w:val="2494490F"/>
    <w:rsid w:val="249533CB"/>
    <w:rsid w:val="24966DE3"/>
    <w:rsid w:val="24996CCC"/>
    <w:rsid w:val="249C2765"/>
    <w:rsid w:val="24A24DAD"/>
    <w:rsid w:val="24A81E4F"/>
    <w:rsid w:val="24B00553"/>
    <w:rsid w:val="24B85C66"/>
    <w:rsid w:val="24BD0B7F"/>
    <w:rsid w:val="24C520EF"/>
    <w:rsid w:val="24C84469"/>
    <w:rsid w:val="24D577C8"/>
    <w:rsid w:val="24D6356B"/>
    <w:rsid w:val="24E2268A"/>
    <w:rsid w:val="24EB0BA1"/>
    <w:rsid w:val="24ED388C"/>
    <w:rsid w:val="24F000E0"/>
    <w:rsid w:val="24F1514D"/>
    <w:rsid w:val="25045A53"/>
    <w:rsid w:val="25095C10"/>
    <w:rsid w:val="250F7B0C"/>
    <w:rsid w:val="25106966"/>
    <w:rsid w:val="251552C9"/>
    <w:rsid w:val="25174D89"/>
    <w:rsid w:val="252359E6"/>
    <w:rsid w:val="252E5E45"/>
    <w:rsid w:val="254729BE"/>
    <w:rsid w:val="25540F71"/>
    <w:rsid w:val="256D0C76"/>
    <w:rsid w:val="256D3AC8"/>
    <w:rsid w:val="256F4892"/>
    <w:rsid w:val="256F7A4E"/>
    <w:rsid w:val="257D2CA6"/>
    <w:rsid w:val="2587696C"/>
    <w:rsid w:val="25A06002"/>
    <w:rsid w:val="25B91E26"/>
    <w:rsid w:val="25BE4A74"/>
    <w:rsid w:val="25DE3308"/>
    <w:rsid w:val="25E132E8"/>
    <w:rsid w:val="25E45247"/>
    <w:rsid w:val="25EB46AE"/>
    <w:rsid w:val="26041E86"/>
    <w:rsid w:val="261F083C"/>
    <w:rsid w:val="263E2C11"/>
    <w:rsid w:val="264F06A4"/>
    <w:rsid w:val="26512FC4"/>
    <w:rsid w:val="265A3D81"/>
    <w:rsid w:val="265D6F03"/>
    <w:rsid w:val="266353AF"/>
    <w:rsid w:val="26736FE6"/>
    <w:rsid w:val="268651FA"/>
    <w:rsid w:val="269F7726"/>
    <w:rsid w:val="26AB3ACC"/>
    <w:rsid w:val="26BE78D6"/>
    <w:rsid w:val="26CA4C92"/>
    <w:rsid w:val="26CB49D8"/>
    <w:rsid w:val="26CB639F"/>
    <w:rsid w:val="26CF2233"/>
    <w:rsid w:val="26D40346"/>
    <w:rsid w:val="26E654EC"/>
    <w:rsid w:val="26E77235"/>
    <w:rsid w:val="26F452AA"/>
    <w:rsid w:val="26F6326F"/>
    <w:rsid w:val="26F96D75"/>
    <w:rsid w:val="270C1117"/>
    <w:rsid w:val="270D11A0"/>
    <w:rsid w:val="271603DF"/>
    <w:rsid w:val="27200735"/>
    <w:rsid w:val="272C2F91"/>
    <w:rsid w:val="273419E0"/>
    <w:rsid w:val="273F13FF"/>
    <w:rsid w:val="27434FD5"/>
    <w:rsid w:val="27560754"/>
    <w:rsid w:val="276745EB"/>
    <w:rsid w:val="276C03E2"/>
    <w:rsid w:val="276E4DF3"/>
    <w:rsid w:val="277149EC"/>
    <w:rsid w:val="27783030"/>
    <w:rsid w:val="277B7C7A"/>
    <w:rsid w:val="279049DC"/>
    <w:rsid w:val="27906165"/>
    <w:rsid w:val="27950725"/>
    <w:rsid w:val="2796603A"/>
    <w:rsid w:val="27A27DC0"/>
    <w:rsid w:val="27AD03A5"/>
    <w:rsid w:val="27AE0D03"/>
    <w:rsid w:val="27B62132"/>
    <w:rsid w:val="27B63509"/>
    <w:rsid w:val="27CC5AA4"/>
    <w:rsid w:val="27CD66DB"/>
    <w:rsid w:val="27D274CF"/>
    <w:rsid w:val="27DB00EC"/>
    <w:rsid w:val="27F57129"/>
    <w:rsid w:val="28022A45"/>
    <w:rsid w:val="280559E1"/>
    <w:rsid w:val="280C0529"/>
    <w:rsid w:val="281352F8"/>
    <w:rsid w:val="281717A6"/>
    <w:rsid w:val="28231404"/>
    <w:rsid w:val="28242E1D"/>
    <w:rsid w:val="2834707D"/>
    <w:rsid w:val="284246BE"/>
    <w:rsid w:val="28461090"/>
    <w:rsid w:val="285728FC"/>
    <w:rsid w:val="28576007"/>
    <w:rsid w:val="285A4FA4"/>
    <w:rsid w:val="286F5EE4"/>
    <w:rsid w:val="28720F0B"/>
    <w:rsid w:val="287A0DF4"/>
    <w:rsid w:val="287D70C6"/>
    <w:rsid w:val="28882904"/>
    <w:rsid w:val="288C2BBD"/>
    <w:rsid w:val="28B6166A"/>
    <w:rsid w:val="28B825B9"/>
    <w:rsid w:val="28D24ACC"/>
    <w:rsid w:val="28DD21FC"/>
    <w:rsid w:val="28E42401"/>
    <w:rsid w:val="28E86ABD"/>
    <w:rsid w:val="29040504"/>
    <w:rsid w:val="2905094A"/>
    <w:rsid w:val="29051DA8"/>
    <w:rsid w:val="291A7B4E"/>
    <w:rsid w:val="29225CEB"/>
    <w:rsid w:val="29240112"/>
    <w:rsid w:val="2939588B"/>
    <w:rsid w:val="293F344D"/>
    <w:rsid w:val="29415344"/>
    <w:rsid w:val="294E1BBB"/>
    <w:rsid w:val="29551F53"/>
    <w:rsid w:val="29566855"/>
    <w:rsid w:val="29577693"/>
    <w:rsid w:val="296D2106"/>
    <w:rsid w:val="297D1D81"/>
    <w:rsid w:val="29827456"/>
    <w:rsid w:val="298537EC"/>
    <w:rsid w:val="299076E4"/>
    <w:rsid w:val="29914BAD"/>
    <w:rsid w:val="299302AF"/>
    <w:rsid w:val="29A56FB0"/>
    <w:rsid w:val="29A76C51"/>
    <w:rsid w:val="29D83566"/>
    <w:rsid w:val="29DD780F"/>
    <w:rsid w:val="29DE4040"/>
    <w:rsid w:val="29DE58A6"/>
    <w:rsid w:val="29DE6454"/>
    <w:rsid w:val="29F760E8"/>
    <w:rsid w:val="29FE5008"/>
    <w:rsid w:val="2A025F5D"/>
    <w:rsid w:val="2A060F01"/>
    <w:rsid w:val="2A0906CB"/>
    <w:rsid w:val="2A215A42"/>
    <w:rsid w:val="2A3D21E2"/>
    <w:rsid w:val="2A41410B"/>
    <w:rsid w:val="2A453C66"/>
    <w:rsid w:val="2A551967"/>
    <w:rsid w:val="2A552967"/>
    <w:rsid w:val="2A6603A1"/>
    <w:rsid w:val="2A836472"/>
    <w:rsid w:val="2A960716"/>
    <w:rsid w:val="2A9C6B36"/>
    <w:rsid w:val="2AA94421"/>
    <w:rsid w:val="2AAC275F"/>
    <w:rsid w:val="2AAE021C"/>
    <w:rsid w:val="2AB1390C"/>
    <w:rsid w:val="2AB444A3"/>
    <w:rsid w:val="2ABE5775"/>
    <w:rsid w:val="2ABE5B66"/>
    <w:rsid w:val="2ABE6418"/>
    <w:rsid w:val="2AC22DD2"/>
    <w:rsid w:val="2AD50B95"/>
    <w:rsid w:val="2AF56676"/>
    <w:rsid w:val="2B000480"/>
    <w:rsid w:val="2B054C24"/>
    <w:rsid w:val="2B134C18"/>
    <w:rsid w:val="2B1620F6"/>
    <w:rsid w:val="2B16582F"/>
    <w:rsid w:val="2B2D7564"/>
    <w:rsid w:val="2B3E4818"/>
    <w:rsid w:val="2B3F416A"/>
    <w:rsid w:val="2B486475"/>
    <w:rsid w:val="2B486648"/>
    <w:rsid w:val="2B590D8A"/>
    <w:rsid w:val="2B5948A0"/>
    <w:rsid w:val="2B604141"/>
    <w:rsid w:val="2B6357E9"/>
    <w:rsid w:val="2B636259"/>
    <w:rsid w:val="2B910018"/>
    <w:rsid w:val="2B9B433D"/>
    <w:rsid w:val="2BA86A44"/>
    <w:rsid w:val="2BBF4052"/>
    <w:rsid w:val="2BC6115B"/>
    <w:rsid w:val="2BD40774"/>
    <w:rsid w:val="2BEE0911"/>
    <w:rsid w:val="2BEE2F3D"/>
    <w:rsid w:val="2BF266B1"/>
    <w:rsid w:val="2C0129EF"/>
    <w:rsid w:val="2C1121D3"/>
    <w:rsid w:val="2C35412C"/>
    <w:rsid w:val="2C3835D9"/>
    <w:rsid w:val="2C444342"/>
    <w:rsid w:val="2C472061"/>
    <w:rsid w:val="2C4C4435"/>
    <w:rsid w:val="2C4E6244"/>
    <w:rsid w:val="2C593F00"/>
    <w:rsid w:val="2C5C64F4"/>
    <w:rsid w:val="2C673753"/>
    <w:rsid w:val="2C6C7B2F"/>
    <w:rsid w:val="2C710683"/>
    <w:rsid w:val="2C794081"/>
    <w:rsid w:val="2C7B038B"/>
    <w:rsid w:val="2CA53EBA"/>
    <w:rsid w:val="2CAE152F"/>
    <w:rsid w:val="2CB167AF"/>
    <w:rsid w:val="2CB31A90"/>
    <w:rsid w:val="2CB53A15"/>
    <w:rsid w:val="2CC235D9"/>
    <w:rsid w:val="2CD12ED3"/>
    <w:rsid w:val="2CD825A0"/>
    <w:rsid w:val="2CD843B6"/>
    <w:rsid w:val="2CDE6A4B"/>
    <w:rsid w:val="2CDF398C"/>
    <w:rsid w:val="2CE86C7A"/>
    <w:rsid w:val="2CFE25E7"/>
    <w:rsid w:val="2D056A2D"/>
    <w:rsid w:val="2D0F7C40"/>
    <w:rsid w:val="2D106C06"/>
    <w:rsid w:val="2D1C1103"/>
    <w:rsid w:val="2D230EE1"/>
    <w:rsid w:val="2D2B3EEC"/>
    <w:rsid w:val="2D3B55A0"/>
    <w:rsid w:val="2D3E2A35"/>
    <w:rsid w:val="2D450AE0"/>
    <w:rsid w:val="2D764492"/>
    <w:rsid w:val="2D830211"/>
    <w:rsid w:val="2D8E49E7"/>
    <w:rsid w:val="2D9120C5"/>
    <w:rsid w:val="2DAA0D28"/>
    <w:rsid w:val="2DB43EE8"/>
    <w:rsid w:val="2DBD6096"/>
    <w:rsid w:val="2DBE1781"/>
    <w:rsid w:val="2DDB0937"/>
    <w:rsid w:val="2DEF30E5"/>
    <w:rsid w:val="2DF809F3"/>
    <w:rsid w:val="2E003543"/>
    <w:rsid w:val="2E037B49"/>
    <w:rsid w:val="2E05139B"/>
    <w:rsid w:val="2E0903C6"/>
    <w:rsid w:val="2E090714"/>
    <w:rsid w:val="2E0B1103"/>
    <w:rsid w:val="2E1E4E36"/>
    <w:rsid w:val="2E301EC7"/>
    <w:rsid w:val="2E442719"/>
    <w:rsid w:val="2E4B39EB"/>
    <w:rsid w:val="2E4E269F"/>
    <w:rsid w:val="2E513F83"/>
    <w:rsid w:val="2E5E6EC1"/>
    <w:rsid w:val="2E80130C"/>
    <w:rsid w:val="2E86440D"/>
    <w:rsid w:val="2E903959"/>
    <w:rsid w:val="2E9071E2"/>
    <w:rsid w:val="2E9620EB"/>
    <w:rsid w:val="2EA11B8C"/>
    <w:rsid w:val="2EB97F63"/>
    <w:rsid w:val="2EBF0376"/>
    <w:rsid w:val="2EC42E69"/>
    <w:rsid w:val="2ECC1AD7"/>
    <w:rsid w:val="2ED25A23"/>
    <w:rsid w:val="2ED645E4"/>
    <w:rsid w:val="2ED67E68"/>
    <w:rsid w:val="2EDA34A2"/>
    <w:rsid w:val="2EE52C8C"/>
    <w:rsid w:val="2EE862FC"/>
    <w:rsid w:val="2EF55270"/>
    <w:rsid w:val="2EFB0975"/>
    <w:rsid w:val="2F02343E"/>
    <w:rsid w:val="2F074FC2"/>
    <w:rsid w:val="2F0B54DE"/>
    <w:rsid w:val="2F0D6CBD"/>
    <w:rsid w:val="2F103284"/>
    <w:rsid w:val="2F116579"/>
    <w:rsid w:val="2F1A703E"/>
    <w:rsid w:val="2F232818"/>
    <w:rsid w:val="2F261AA3"/>
    <w:rsid w:val="2F2A3765"/>
    <w:rsid w:val="2F310B8B"/>
    <w:rsid w:val="2F372FF7"/>
    <w:rsid w:val="2F531B35"/>
    <w:rsid w:val="2F5543DA"/>
    <w:rsid w:val="2F65385F"/>
    <w:rsid w:val="2F653CCE"/>
    <w:rsid w:val="2F6B2BA0"/>
    <w:rsid w:val="2F7D6D2B"/>
    <w:rsid w:val="2F807A80"/>
    <w:rsid w:val="2F822EB5"/>
    <w:rsid w:val="2F984B26"/>
    <w:rsid w:val="2F9E47F6"/>
    <w:rsid w:val="2FA800EE"/>
    <w:rsid w:val="2FC27DB5"/>
    <w:rsid w:val="2FC677BA"/>
    <w:rsid w:val="2FCB3467"/>
    <w:rsid w:val="2FEB6F7A"/>
    <w:rsid w:val="2FF955A9"/>
    <w:rsid w:val="301469F3"/>
    <w:rsid w:val="30165EA2"/>
    <w:rsid w:val="30263F22"/>
    <w:rsid w:val="30291D1E"/>
    <w:rsid w:val="303162AF"/>
    <w:rsid w:val="30316E1F"/>
    <w:rsid w:val="303332AF"/>
    <w:rsid w:val="303B1651"/>
    <w:rsid w:val="303F4034"/>
    <w:rsid w:val="30442947"/>
    <w:rsid w:val="30446BD5"/>
    <w:rsid w:val="30446DE1"/>
    <w:rsid w:val="3048269C"/>
    <w:rsid w:val="304A52B2"/>
    <w:rsid w:val="30522710"/>
    <w:rsid w:val="306E7BBF"/>
    <w:rsid w:val="30792EE5"/>
    <w:rsid w:val="307E1E75"/>
    <w:rsid w:val="30812049"/>
    <w:rsid w:val="308E795D"/>
    <w:rsid w:val="3094396D"/>
    <w:rsid w:val="309B0928"/>
    <w:rsid w:val="30A36E13"/>
    <w:rsid w:val="30B74189"/>
    <w:rsid w:val="30CE3CCD"/>
    <w:rsid w:val="30D84095"/>
    <w:rsid w:val="30DC5030"/>
    <w:rsid w:val="30E00F06"/>
    <w:rsid w:val="30EC745D"/>
    <w:rsid w:val="30F66D1F"/>
    <w:rsid w:val="310C323B"/>
    <w:rsid w:val="31195C53"/>
    <w:rsid w:val="31225F28"/>
    <w:rsid w:val="3132526C"/>
    <w:rsid w:val="315741F6"/>
    <w:rsid w:val="315D5795"/>
    <w:rsid w:val="316A4598"/>
    <w:rsid w:val="316B6DA2"/>
    <w:rsid w:val="316C7C41"/>
    <w:rsid w:val="3179321D"/>
    <w:rsid w:val="31812A39"/>
    <w:rsid w:val="318E74D6"/>
    <w:rsid w:val="319F3F1C"/>
    <w:rsid w:val="31AD11D0"/>
    <w:rsid w:val="31BA2424"/>
    <w:rsid w:val="31C70989"/>
    <w:rsid w:val="31DE09EC"/>
    <w:rsid w:val="31E75ED2"/>
    <w:rsid w:val="31EC63AB"/>
    <w:rsid w:val="32025DF2"/>
    <w:rsid w:val="320F63B0"/>
    <w:rsid w:val="320F756F"/>
    <w:rsid w:val="321B43C1"/>
    <w:rsid w:val="322B7E73"/>
    <w:rsid w:val="322E74C7"/>
    <w:rsid w:val="32433D03"/>
    <w:rsid w:val="32480231"/>
    <w:rsid w:val="32497302"/>
    <w:rsid w:val="32586C73"/>
    <w:rsid w:val="327632BC"/>
    <w:rsid w:val="327872D6"/>
    <w:rsid w:val="32812E6C"/>
    <w:rsid w:val="32894300"/>
    <w:rsid w:val="328F24FA"/>
    <w:rsid w:val="3290242F"/>
    <w:rsid w:val="32A63161"/>
    <w:rsid w:val="32B43EC3"/>
    <w:rsid w:val="32B46D26"/>
    <w:rsid w:val="32C75B5F"/>
    <w:rsid w:val="32DA039A"/>
    <w:rsid w:val="32EB51C2"/>
    <w:rsid w:val="32F2450F"/>
    <w:rsid w:val="32F87AC9"/>
    <w:rsid w:val="33013FF2"/>
    <w:rsid w:val="3312540A"/>
    <w:rsid w:val="33143FC1"/>
    <w:rsid w:val="33270711"/>
    <w:rsid w:val="332D3436"/>
    <w:rsid w:val="33373B81"/>
    <w:rsid w:val="33405EEC"/>
    <w:rsid w:val="33455D4F"/>
    <w:rsid w:val="334C55EF"/>
    <w:rsid w:val="336166DC"/>
    <w:rsid w:val="33670034"/>
    <w:rsid w:val="33791667"/>
    <w:rsid w:val="338047A3"/>
    <w:rsid w:val="338C1F4B"/>
    <w:rsid w:val="33A578BE"/>
    <w:rsid w:val="33A6181D"/>
    <w:rsid w:val="33B20B52"/>
    <w:rsid w:val="33BA733A"/>
    <w:rsid w:val="33C753FA"/>
    <w:rsid w:val="33CC1818"/>
    <w:rsid w:val="33CC73FE"/>
    <w:rsid w:val="33E061F1"/>
    <w:rsid w:val="33E64D38"/>
    <w:rsid w:val="33E85DBB"/>
    <w:rsid w:val="33F60C28"/>
    <w:rsid w:val="33FE012D"/>
    <w:rsid w:val="34051315"/>
    <w:rsid w:val="34170E96"/>
    <w:rsid w:val="34196246"/>
    <w:rsid w:val="3424001A"/>
    <w:rsid w:val="3439473C"/>
    <w:rsid w:val="343C2E65"/>
    <w:rsid w:val="344371CC"/>
    <w:rsid w:val="344C3B8C"/>
    <w:rsid w:val="344D69F1"/>
    <w:rsid w:val="34622BDB"/>
    <w:rsid w:val="346E2ABC"/>
    <w:rsid w:val="347C03D1"/>
    <w:rsid w:val="347F0104"/>
    <w:rsid w:val="34804170"/>
    <w:rsid w:val="3484471D"/>
    <w:rsid w:val="348A1E3C"/>
    <w:rsid w:val="34907CEE"/>
    <w:rsid w:val="349445B3"/>
    <w:rsid w:val="349B7123"/>
    <w:rsid w:val="34A83A00"/>
    <w:rsid w:val="34BC1492"/>
    <w:rsid w:val="34C27110"/>
    <w:rsid w:val="34C849BF"/>
    <w:rsid w:val="34DB3F45"/>
    <w:rsid w:val="34DC45CB"/>
    <w:rsid w:val="34E606D6"/>
    <w:rsid w:val="34FB0C37"/>
    <w:rsid w:val="34FC4B76"/>
    <w:rsid w:val="35021DEB"/>
    <w:rsid w:val="350304CD"/>
    <w:rsid w:val="350C3786"/>
    <w:rsid w:val="35204D11"/>
    <w:rsid w:val="35343575"/>
    <w:rsid w:val="3535381B"/>
    <w:rsid w:val="353F15E7"/>
    <w:rsid w:val="35474E48"/>
    <w:rsid w:val="35494579"/>
    <w:rsid w:val="355033E3"/>
    <w:rsid w:val="355C0C54"/>
    <w:rsid w:val="355F79C8"/>
    <w:rsid w:val="356C189F"/>
    <w:rsid w:val="357426E9"/>
    <w:rsid w:val="3576264B"/>
    <w:rsid w:val="35792DB3"/>
    <w:rsid w:val="357B3A55"/>
    <w:rsid w:val="357F7F7B"/>
    <w:rsid w:val="35B745BF"/>
    <w:rsid w:val="35C8088A"/>
    <w:rsid w:val="35D5430A"/>
    <w:rsid w:val="35EE6205"/>
    <w:rsid w:val="36013D27"/>
    <w:rsid w:val="360422B7"/>
    <w:rsid w:val="360B5D59"/>
    <w:rsid w:val="360F60AA"/>
    <w:rsid w:val="36160449"/>
    <w:rsid w:val="36161689"/>
    <w:rsid w:val="36173826"/>
    <w:rsid w:val="362857C9"/>
    <w:rsid w:val="362C64F0"/>
    <w:rsid w:val="36381ED6"/>
    <w:rsid w:val="3648672F"/>
    <w:rsid w:val="364B39C1"/>
    <w:rsid w:val="36682A44"/>
    <w:rsid w:val="366871FB"/>
    <w:rsid w:val="366D0E58"/>
    <w:rsid w:val="36701BB2"/>
    <w:rsid w:val="367B320A"/>
    <w:rsid w:val="36814573"/>
    <w:rsid w:val="369B609C"/>
    <w:rsid w:val="36C45667"/>
    <w:rsid w:val="36D83111"/>
    <w:rsid w:val="36E102B1"/>
    <w:rsid w:val="36E344FC"/>
    <w:rsid w:val="36EB3305"/>
    <w:rsid w:val="36F44502"/>
    <w:rsid w:val="36F70F09"/>
    <w:rsid w:val="36FB77C2"/>
    <w:rsid w:val="3706409C"/>
    <w:rsid w:val="370A58E9"/>
    <w:rsid w:val="370F2FA8"/>
    <w:rsid w:val="371B3653"/>
    <w:rsid w:val="3730221B"/>
    <w:rsid w:val="373757FA"/>
    <w:rsid w:val="373B060C"/>
    <w:rsid w:val="37404CD1"/>
    <w:rsid w:val="375022B7"/>
    <w:rsid w:val="3751494E"/>
    <w:rsid w:val="37531003"/>
    <w:rsid w:val="375E5FAF"/>
    <w:rsid w:val="375F0BC8"/>
    <w:rsid w:val="376E6AC5"/>
    <w:rsid w:val="37714D7E"/>
    <w:rsid w:val="37745788"/>
    <w:rsid w:val="377A1067"/>
    <w:rsid w:val="37882766"/>
    <w:rsid w:val="379A19CE"/>
    <w:rsid w:val="37C52D3F"/>
    <w:rsid w:val="37CA3313"/>
    <w:rsid w:val="37D763E6"/>
    <w:rsid w:val="37E02E11"/>
    <w:rsid w:val="37E21855"/>
    <w:rsid w:val="37EA1649"/>
    <w:rsid w:val="37F07E92"/>
    <w:rsid w:val="37FF15EF"/>
    <w:rsid w:val="381B078C"/>
    <w:rsid w:val="38242728"/>
    <w:rsid w:val="38294AEA"/>
    <w:rsid w:val="382F5B6C"/>
    <w:rsid w:val="38416ABF"/>
    <w:rsid w:val="3845370E"/>
    <w:rsid w:val="384739A9"/>
    <w:rsid w:val="384B4F87"/>
    <w:rsid w:val="385977C7"/>
    <w:rsid w:val="387C43DB"/>
    <w:rsid w:val="38A70ABA"/>
    <w:rsid w:val="38B772B3"/>
    <w:rsid w:val="38BA3F74"/>
    <w:rsid w:val="38BC527C"/>
    <w:rsid w:val="38BF32F3"/>
    <w:rsid w:val="38C23F18"/>
    <w:rsid w:val="38C76CB1"/>
    <w:rsid w:val="38CF1B27"/>
    <w:rsid w:val="38DC0C7E"/>
    <w:rsid w:val="38E64ABC"/>
    <w:rsid w:val="38E9479F"/>
    <w:rsid w:val="38F46A76"/>
    <w:rsid w:val="38F71DFC"/>
    <w:rsid w:val="39114C08"/>
    <w:rsid w:val="39175752"/>
    <w:rsid w:val="394C445B"/>
    <w:rsid w:val="394E2A19"/>
    <w:rsid w:val="395275AF"/>
    <w:rsid w:val="39595534"/>
    <w:rsid w:val="395B1777"/>
    <w:rsid w:val="395F4FC2"/>
    <w:rsid w:val="396835B9"/>
    <w:rsid w:val="397A0100"/>
    <w:rsid w:val="397E3064"/>
    <w:rsid w:val="39852CF1"/>
    <w:rsid w:val="39886977"/>
    <w:rsid w:val="398E26C8"/>
    <w:rsid w:val="3994188F"/>
    <w:rsid w:val="399A4EFC"/>
    <w:rsid w:val="399A6A2D"/>
    <w:rsid w:val="399A78F8"/>
    <w:rsid w:val="39A046DB"/>
    <w:rsid w:val="39A10355"/>
    <w:rsid w:val="39A51C68"/>
    <w:rsid w:val="39AF6E94"/>
    <w:rsid w:val="39C935C6"/>
    <w:rsid w:val="39D01BB9"/>
    <w:rsid w:val="39DB0DD4"/>
    <w:rsid w:val="39DE660A"/>
    <w:rsid w:val="39FE3CFD"/>
    <w:rsid w:val="3A045E47"/>
    <w:rsid w:val="3A0D495A"/>
    <w:rsid w:val="3A0F5DA0"/>
    <w:rsid w:val="3A12673A"/>
    <w:rsid w:val="3A1763DB"/>
    <w:rsid w:val="3A1A232F"/>
    <w:rsid w:val="3A1F3807"/>
    <w:rsid w:val="3A252BF9"/>
    <w:rsid w:val="3A26231D"/>
    <w:rsid w:val="3A287E01"/>
    <w:rsid w:val="3A3522DA"/>
    <w:rsid w:val="3A377508"/>
    <w:rsid w:val="3A3A2877"/>
    <w:rsid w:val="3A3D1A3D"/>
    <w:rsid w:val="3A407D73"/>
    <w:rsid w:val="3A422B77"/>
    <w:rsid w:val="3A4912C9"/>
    <w:rsid w:val="3A494F23"/>
    <w:rsid w:val="3A5B06E6"/>
    <w:rsid w:val="3A654C3A"/>
    <w:rsid w:val="3A675BF5"/>
    <w:rsid w:val="3A795F50"/>
    <w:rsid w:val="3A9D6582"/>
    <w:rsid w:val="3AA50E24"/>
    <w:rsid w:val="3AA87F26"/>
    <w:rsid w:val="3AB376BE"/>
    <w:rsid w:val="3AD0515B"/>
    <w:rsid w:val="3AD16527"/>
    <w:rsid w:val="3AE15F7B"/>
    <w:rsid w:val="3AE73184"/>
    <w:rsid w:val="3AF80D3F"/>
    <w:rsid w:val="3B123162"/>
    <w:rsid w:val="3B1257A7"/>
    <w:rsid w:val="3B146535"/>
    <w:rsid w:val="3B15076B"/>
    <w:rsid w:val="3B1B41CF"/>
    <w:rsid w:val="3B1E5170"/>
    <w:rsid w:val="3B237B87"/>
    <w:rsid w:val="3B2E5D11"/>
    <w:rsid w:val="3B322B3F"/>
    <w:rsid w:val="3B344AF4"/>
    <w:rsid w:val="3B3F623F"/>
    <w:rsid w:val="3B3F6F97"/>
    <w:rsid w:val="3B4B46E9"/>
    <w:rsid w:val="3B4C5C02"/>
    <w:rsid w:val="3B591978"/>
    <w:rsid w:val="3B727103"/>
    <w:rsid w:val="3B734B72"/>
    <w:rsid w:val="3B7A1402"/>
    <w:rsid w:val="3B8D608F"/>
    <w:rsid w:val="3B94648C"/>
    <w:rsid w:val="3B97510F"/>
    <w:rsid w:val="3B9B4B1F"/>
    <w:rsid w:val="3BA91E98"/>
    <w:rsid w:val="3BB30945"/>
    <w:rsid w:val="3BB40AFE"/>
    <w:rsid w:val="3BC51FF6"/>
    <w:rsid w:val="3BC65142"/>
    <w:rsid w:val="3BD54E19"/>
    <w:rsid w:val="3BDB2F29"/>
    <w:rsid w:val="3BE52007"/>
    <w:rsid w:val="3BEE2394"/>
    <w:rsid w:val="3BEF3A69"/>
    <w:rsid w:val="3BF076F7"/>
    <w:rsid w:val="3BF15339"/>
    <w:rsid w:val="3BF475CA"/>
    <w:rsid w:val="3BF514D0"/>
    <w:rsid w:val="3BF928C9"/>
    <w:rsid w:val="3C003DB5"/>
    <w:rsid w:val="3C0373CB"/>
    <w:rsid w:val="3C0A5D0A"/>
    <w:rsid w:val="3C112F9A"/>
    <w:rsid w:val="3C1C3ED7"/>
    <w:rsid w:val="3C1E519B"/>
    <w:rsid w:val="3C1F26E1"/>
    <w:rsid w:val="3C1F3552"/>
    <w:rsid w:val="3C284F96"/>
    <w:rsid w:val="3C2C7C80"/>
    <w:rsid w:val="3C323440"/>
    <w:rsid w:val="3C374B49"/>
    <w:rsid w:val="3C3926B4"/>
    <w:rsid w:val="3C3F551A"/>
    <w:rsid w:val="3C530AC3"/>
    <w:rsid w:val="3C586360"/>
    <w:rsid w:val="3C5B678A"/>
    <w:rsid w:val="3C651B34"/>
    <w:rsid w:val="3C6C2DC9"/>
    <w:rsid w:val="3C850EBE"/>
    <w:rsid w:val="3C910EA1"/>
    <w:rsid w:val="3C976481"/>
    <w:rsid w:val="3C9B4EC3"/>
    <w:rsid w:val="3CB76A79"/>
    <w:rsid w:val="3CBA4D97"/>
    <w:rsid w:val="3CBE5E32"/>
    <w:rsid w:val="3CC05866"/>
    <w:rsid w:val="3CC06FC3"/>
    <w:rsid w:val="3CC77DCE"/>
    <w:rsid w:val="3CD059CC"/>
    <w:rsid w:val="3CD23D99"/>
    <w:rsid w:val="3CDF4F6B"/>
    <w:rsid w:val="3CE03B52"/>
    <w:rsid w:val="3CE51B7C"/>
    <w:rsid w:val="3D0926E1"/>
    <w:rsid w:val="3D0D159B"/>
    <w:rsid w:val="3D2201AC"/>
    <w:rsid w:val="3D346CC8"/>
    <w:rsid w:val="3D393598"/>
    <w:rsid w:val="3D43763E"/>
    <w:rsid w:val="3D51343B"/>
    <w:rsid w:val="3D6C7FF3"/>
    <w:rsid w:val="3D6E79D4"/>
    <w:rsid w:val="3D6F050C"/>
    <w:rsid w:val="3D786F60"/>
    <w:rsid w:val="3D7C26D7"/>
    <w:rsid w:val="3D88090D"/>
    <w:rsid w:val="3D8C7993"/>
    <w:rsid w:val="3D933897"/>
    <w:rsid w:val="3D9F5DE0"/>
    <w:rsid w:val="3DA45CC1"/>
    <w:rsid w:val="3DA809F8"/>
    <w:rsid w:val="3DB06834"/>
    <w:rsid w:val="3DB61D40"/>
    <w:rsid w:val="3DC40B76"/>
    <w:rsid w:val="3DC43859"/>
    <w:rsid w:val="3DCD52AD"/>
    <w:rsid w:val="3DCF015A"/>
    <w:rsid w:val="3DCF2E5F"/>
    <w:rsid w:val="3DD209E5"/>
    <w:rsid w:val="3DD53A05"/>
    <w:rsid w:val="3DDD6B21"/>
    <w:rsid w:val="3E0C722A"/>
    <w:rsid w:val="3E113660"/>
    <w:rsid w:val="3E1834D7"/>
    <w:rsid w:val="3E2268F2"/>
    <w:rsid w:val="3E270313"/>
    <w:rsid w:val="3E2E1AA1"/>
    <w:rsid w:val="3E2E2C7B"/>
    <w:rsid w:val="3E3E03E8"/>
    <w:rsid w:val="3E597F39"/>
    <w:rsid w:val="3E5E2A4A"/>
    <w:rsid w:val="3E6A3A65"/>
    <w:rsid w:val="3E6A7411"/>
    <w:rsid w:val="3E6D2DE3"/>
    <w:rsid w:val="3E770753"/>
    <w:rsid w:val="3E89102D"/>
    <w:rsid w:val="3E897045"/>
    <w:rsid w:val="3EBA0CFA"/>
    <w:rsid w:val="3ECD2CB9"/>
    <w:rsid w:val="3EDA58B3"/>
    <w:rsid w:val="3EDB7538"/>
    <w:rsid w:val="3EF452AE"/>
    <w:rsid w:val="3EF677E6"/>
    <w:rsid w:val="3F0627E3"/>
    <w:rsid w:val="3F0749DB"/>
    <w:rsid w:val="3F0F5E54"/>
    <w:rsid w:val="3F196A43"/>
    <w:rsid w:val="3F1E5763"/>
    <w:rsid w:val="3F260F48"/>
    <w:rsid w:val="3F3F00F3"/>
    <w:rsid w:val="3F4E1048"/>
    <w:rsid w:val="3F522D55"/>
    <w:rsid w:val="3F5A3A0D"/>
    <w:rsid w:val="3F5E0384"/>
    <w:rsid w:val="3F692A4C"/>
    <w:rsid w:val="3F6D2105"/>
    <w:rsid w:val="3F7532AC"/>
    <w:rsid w:val="3F834E79"/>
    <w:rsid w:val="3F8469A1"/>
    <w:rsid w:val="3F9034B7"/>
    <w:rsid w:val="3F9535E3"/>
    <w:rsid w:val="3FA92AAC"/>
    <w:rsid w:val="3FB4471F"/>
    <w:rsid w:val="3FC00BA1"/>
    <w:rsid w:val="3FCF4957"/>
    <w:rsid w:val="3FD15B3B"/>
    <w:rsid w:val="3FD47BE9"/>
    <w:rsid w:val="3FD80B2D"/>
    <w:rsid w:val="3FDD45B9"/>
    <w:rsid w:val="3FE13129"/>
    <w:rsid w:val="3FE744CD"/>
    <w:rsid w:val="3FF167AD"/>
    <w:rsid w:val="3FF45026"/>
    <w:rsid w:val="3FF4675B"/>
    <w:rsid w:val="3FF70870"/>
    <w:rsid w:val="40031861"/>
    <w:rsid w:val="400334FF"/>
    <w:rsid w:val="400A7149"/>
    <w:rsid w:val="401466EB"/>
    <w:rsid w:val="402E54A2"/>
    <w:rsid w:val="40424828"/>
    <w:rsid w:val="404945E1"/>
    <w:rsid w:val="406A0F9A"/>
    <w:rsid w:val="406B0815"/>
    <w:rsid w:val="406C3B72"/>
    <w:rsid w:val="406D4AB7"/>
    <w:rsid w:val="407D2875"/>
    <w:rsid w:val="409237B1"/>
    <w:rsid w:val="409947D5"/>
    <w:rsid w:val="40A3280D"/>
    <w:rsid w:val="40A92B16"/>
    <w:rsid w:val="40CA46CF"/>
    <w:rsid w:val="40D5770A"/>
    <w:rsid w:val="40E059BB"/>
    <w:rsid w:val="40E50E38"/>
    <w:rsid w:val="40E8406F"/>
    <w:rsid w:val="40F41E1F"/>
    <w:rsid w:val="40FB2860"/>
    <w:rsid w:val="410A14EA"/>
    <w:rsid w:val="410D2DD2"/>
    <w:rsid w:val="41187758"/>
    <w:rsid w:val="411B3F4F"/>
    <w:rsid w:val="412C38D5"/>
    <w:rsid w:val="412F4876"/>
    <w:rsid w:val="414E7D6F"/>
    <w:rsid w:val="41500CE0"/>
    <w:rsid w:val="4183771E"/>
    <w:rsid w:val="41920DAD"/>
    <w:rsid w:val="41933296"/>
    <w:rsid w:val="41A15383"/>
    <w:rsid w:val="41A31370"/>
    <w:rsid w:val="41B07C62"/>
    <w:rsid w:val="41B5378E"/>
    <w:rsid w:val="41B54145"/>
    <w:rsid w:val="41C56D97"/>
    <w:rsid w:val="41C85A27"/>
    <w:rsid w:val="41CB7D83"/>
    <w:rsid w:val="41DB6D17"/>
    <w:rsid w:val="41E05731"/>
    <w:rsid w:val="41E73D28"/>
    <w:rsid w:val="41ED7A3F"/>
    <w:rsid w:val="41F23C3B"/>
    <w:rsid w:val="41F804EE"/>
    <w:rsid w:val="420423D3"/>
    <w:rsid w:val="420B6BC0"/>
    <w:rsid w:val="420E7F2F"/>
    <w:rsid w:val="421D76C0"/>
    <w:rsid w:val="4221770A"/>
    <w:rsid w:val="422720E1"/>
    <w:rsid w:val="42511D95"/>
    <w:rsid w:val="42674961"/>
    <w:rsid w:val="426D1D88"/>
    <w:rsid w:val="427354C1"/>
    <w:rsid w:val="429610D1"/>
    <w:rsid w:val="4298644F"/>
    <w:rsid w:val="42B235AD"/>
    <w:rsid w:val="42BB200C"/>
    <w:rsid w:val="42C015A0"/>
    <w:rsid w:val="42C21821"/>
    <w:rsid w:val="42C332A8"/>
    <w:rsid w:val="42DA2586"/>
    <w:rsid w:val="42DD5FB5"/>
    <w:rsid w:val="42E54E8B"/>
    <w:rsid w:val="42E85717"/>
    <w:rsid w:val="42ED1E75"/>
    <w:rsid w:val="43101AA1"/>
    <w:rsid w:val="431A788B"/>
    <w:rsid w:val="431E59F4"/>
    <w:rsid w:val="43251536"/>
    <w:rsid w:val="432C5FBA"/>
    <w:rsid w:val="43334476"/>
    <w:rsid w:val="435265F7"/>
    <w:rsid w:val="43680AB6"/>
    <w:rsid w:val="43682134"/>
    <w:rsid w:val="43713BB4"/>
    <w:rsid w:val="43747137"/>
    <w:rsid w:val="437944ED"/>
    <w:rsid w:val="437D7F8D"/>
    <w:rsid w:val="437E419F"/>
    <w:rsid w:val="438C1597"/>
    <w:rsid w:val="43941A14"/>
    <w:rsid w:val="439A59CD"/>
    <w:rsid w:val="439E7EF8"/>
    <w:rsid w:val="43AD2DC8"/>
    <w:rsid w:val="43AE5EEC"/>
    <w:rsid w:val="43B262D0"/>
    <w:rsid w:val="43C44333"/>
    <w:rsid w:val="43C9444F"/>
    <w:rsid w:val="43D73BFB"/>
    <w:rsid w:val="43DE2622"/>
    <w:rsid w:val="43DE3889"/>
    <w:rsid w:val="43DE7665"/>
    <w:rsid w:val="43E423DF"/>
    <w:rsid w:val="43E66792"/>
    <w:rsid w:val="43E9525E"/>
    <w:rsid w:val="43EF7F91"/>
    <w:rsid w:val="43F93A8F"/>
    <w:rsid w:val="44025715"/>
    <w:rsid w:val="440710FA"/>
    <w:rsid w:val="442948CD"/>
    <w:rsid w:val="442F44E1"/>
    <w:rsid w:val="446C45D7"/>
    <w:rsid w:val="44703745"/>
    <w:rsid w:val="44752AD5"/>
    <w:rsid w:val="447C2DB2"/>
    <w:rsid w:val="44966BFE"/>
    <w:rsid w:val="449B4866"/>
    <w:rsid w:val="44A00CA9"/>
    <w:rsid w:val="44A634B7"/>
    <w:rsid w:val="44DC73F1"/>
    <w:rsid w:val="44DE5BEC"/>
    <w:rsid w:val="44E114EF"/>
    <w:rsid w:val="44EA408B"/>
    <w:rsid w:val="44ED2AFB"/>
    <w:rsid w:val="44EF13F6"/>
    <w:rsid w:val="44F0562F"/>
    <w:rsid w:val="45020A47"/>
    <w:rsid w:val="451939CC"/>
    <w:rsid w:val="45195000"/>
    <w:rsid w:val="45275422"/>
    <w:rsid w:val="453D20B1"/>
    <w:rsid w:val="45491212"/>
    <w:rsid w:val="454937BA"/>
    <w:rsid w:val="454D43F0"/>
    <w:rsid w:val="4558160E"/>
    <w:rsid w:val="45680C98"/>
    <w:rsid w:val="457234D9"/>
    <w:rsid w:val="45803A6E"/>
    <w:rsid w:val="45834899"/>
    <w:rsid w:val="45867FAF"/>
    <w:rsid w:val="459F4ABF"/>
    <w:rsid w:val="45B32533"/>
    <w:rsid w:val="45B40061"/>
    <w:rsid w:val="45E200C3"/>
    <w:rsid w:val="45E23361"/>
    <w:rsid w:val="45E42552"/>
    <w:rsid w:val="45F4512E"/>
    <w:rsid w:val="45F86AFE"/>
    <w:rsid w:val="460479CD"/>
    <w:rsid w:val="460D5908"/>
    <w:rsid w:val="460E038E"/>
    <w:rsid w:val="461B361B"/>
    <w:rsid w:val="462A695F"/>
    <w:rsid w:val="462F795D"/>
    <w:rsid w:val="46315328"/>
    <w:rsid w:val="46385CCA"/>
    <w:rsid w:val="46417865"/>
    <w:rsid w:val="465107B9"/>
    <w:rsid w:val="46515532"/>
    <w:rsid w:val="4670312E"/>
    <w:rsid w:val="467E08C9"/>
    <w:rsid w:val="468B191A"/>
    <w:rsid w:val="46A16393"/>
    <w:rsid w:val="46AA20FD"/>
    <w:rsid w:val="46B60F54"/>
    <w:rsid w:val="46BA474E"/>
    <w:rsid w:val="46BC76FC"/>
    <w:rsid w:val="46BE2C9D"/>
    <w:rsid w:val="46C53C3F"/>
    <w:rsid w:val="46D14D8B"/>
    <w:rsid w:val="46D54A32"/>
    <w:rsid w:val="46DF0A35"/>
    <w:rsid w:val="46EA7BAC"/>
    <w:rsid w:val="46EC47CA"/>
    <w:rsid w:val="46F331C3"/>
    <w:rsid w:val="47100DEF"/>
    <w:rsid w:val="4711633D"/>
    <w:rsid w:val="4712137B"/>
    <w:rsid w:val="471B0427"/>
    <w:rsid w:val="4726703B"/>
    <w:rsid w:val="47562BBF"/>
    <w:rsid w:val="47563B10"/>
    <w:rsid w:val="47582CFA"/>
    <w:rsid w:val="476B0353"/>
    <w:rsid w:val="47812B75"/>
    <w:rsid w:val="478417C1"/>
    <w:rsid w:val="478D0B9B"/>
    <w:rsid w:val="47A22A75"/>
    <w:rsid w:val="47B023F5"/>
    <w:rsid w:val="47C7480C"/>
    <w:rsid w:val="47C76907"/>
    <w:rsid w:val="47D34EFD"/>
    <w:rsid w:val="47E8459E"/>
    <w:rsid w:val="47EE2C9E"/>
    <w:rsid w:val="48024457"/>
    <w:rsid w:val="48065D59"/>
    <w:rsid w:val="480D3D9C"/>
    <w:rsid w:val="48101065"/>
    <w:rsid w:val="48191A7E"/>
    <w:rsid w:val="481B2F16"/>
    <w:rsid w:val="48254988"/>
    <w:rsid w:val="4830446B"/>
    <w:rsid w:val="48310C7F"/>
    <w:rsid w:val="4831482B"/>
    <w:rsid w:val="483B60D3"/>
    <w:rsid w:val="483E0894"/>
    <w:rsid w:val="48407FD0"/>
    <w:rsid w:val="484653A1"/>
    <w:rsid w:val="4847409F"/>
    <w:rsid w:val="4848239C"/>
    <w:rsid w:val="48623BAF"/>
    <w:rsid w:val="486504C6"/>
    <w:rsid w:val="48724C08"/>
    <w:rsid w:val="488A5A05"/>
    <w:rsid w:val="48A57C38"/>
    <w:rsid w:val="48B32EB6"/>
    <w:rsid w:val="48B57D46"/>
    <w:rsid w:val="48B858B9"/>
    <w:rsid w:val="48BB2A03"/>
    <w:rsid w:val="48C1054A"/>
    <w:rsid w:val="48D8199D"/>
    <w:rsid w:val="48E61DC5"/>
    <w:rsid w:val="48FD1DFF"/>
    <w:rsid w:val="490561F9"/>
    <w:rsid w:val="4920465A"/>
    <w:rsid w:val="49355BCD"/>
    <w:rsid w:val="494350AD"/>
    <w:rsid w:val="495242F3"/>
    <w:rsid w:val="496B2770"/>
    <w:rsid w:val="49772189"/>
    <w:rsid w:val="49807E1E"/>
    <w:rsid w:val="49842456"/>
    <w:rsid w:val="498E1694"/>
    <w:rsid w:val="498E333D"/>
    <w:rsid w:val="49AC139C"/>
    <w:rsid w:val="49AD5BED"/>
    <w:rsid w:val="49BE1AAB"/>
    <w:rsid w:val="49C82670"/>
    <w:rsid w:val="49D83F52"/>
    <w:rsid w:val="49E07F79"/>
    <w:rsid w:val="49FB3891"/>
    <w:rsid w:val="49FF0785"/>
    <w:rsid w:val="4A064890"/>
    <w:rsid w:val="4A082BE8"/>
    <w:rsid w:val="4A0A7DF1"/>
    <w:rsid w:val="4A120F94"/>
    <w:rsid w:val="4A1D603B"/>
    <w:rsid w:val="4A234D2E"/>
    <w:rsid w:val="4A24002F"/>
    <w:rsid w:val="4A32351E"/>
    <w:rsid w:val="4A547FC3"/>
    <w:rsid w:val="4A600798"/>
    <w:rsid w:val="4A6C3BDC"/>
    <w:rsid w:val="4A757D62"/>
    <w:rsid w:val="4A84191A"/>
    <w:rsid w:val="4A8E0133"/>
    <w:rsid w:val="4A9957C9"/>
    <w:rsid w:val="4AA149D7"/>
    <w:rsid w:val="4AA655F8"/>
    <w:rsid w:val="4AB4656A"/>
    <w:rsid w:val="4ACC5938"/>
    <w:rsid w:val="4AD90F2E"/>
    <w:rsid w:val="4AE36B5D"/>
    <w:rsid w:val="4AF057A8"/>
    <w:rsid w:val="4AF30483"/>
    <w:rsid w:val="4AF5495F"/>
    <w:rsid w:val="4AF647EE"/>
    <w:rsid w:val="4AF92206"/>
    <w:rsid w:val="4AF945DE"/>
    <w:rsid w:val="4AFE15DF"/>
    <w:rsid w:val="4AFE5E59"/>
    <w:rsid w:val="4B035AE1"/>
    <w:rsid w:val="4B07644C"/>
    <w:rsid w:val="4B0D50F7"/>
    <w:rsid w:val="4B2000A6"/>
    <w:rsid w:val="4B2B1C14"/>
    <w:rsid w:val="4B582AD4"/>
    <w:rsid w:val="4B6062E3"/>
    <w:rsid w:val="4B631125"/>
    <w:rsid w:val="4B6A5471"/>
    <w:rsid w:val="4B76688D"/>
    <w:rsid w:val="4B922A77"/>
    <w:rsid w:val="4BB0790E"/>
    <w:rsid w:val="4BB10C21"/>
    <w:rsid w:val="4BB74FCF"/>
    <w:rsid w:val="4BC54721"/>
    <w:rsid w:val="4BDD72B5"/>
    <w:rsid w:val="4BE35127"/>
    <w:rsid w:val="4BE45C7D"/>
    <w:rsid w:val="4BED1CF7"/>
    <w:rsid w:val="4C156B67"/>
    <w:rsid w:val="4C18031B"/>
    <w:rsid w:val="4C202290"/>
    <w:rsid w:val="4C202A87"/>
    <w:rsid w:val="4C211F2A"/>
    <w:rsid w:val="4C2371B5"/>
    <w:rsid w:val="4C2534E1"/>
    <w:rsid w:val="4C312E69"/>
    <w:rsid w:val="4C352351"/>
    <w:rsid w:val="4C375C30"/>
    <w:rsid w:val="4C3A7B0A"/>
    <w:rsid w:val="4C4C5F43"/>
    <w:rsid w:val="4C5A31DB"/>
    <w:rsid w:val="4C6B70BA"/>
    <w:rsid w:val="4C8541D8"/>
    <w:rsid w:val="4C952DC8"/>
    <w:rsid w:val="4CA536CC"/>
    <w:rsid w:val="4CA90EC9"/>
    <w:rsid w:val="4CBA41F6"/>
    <w:rsid w:val="4CC103A8"/>
    <w:rsid w:val="4CC44446"/>
    <w:rsid w:val="4CCD09B1"/>
    <w:rsid w:val="4CD50937"/>
    <w:rsid w:val="4CD63A26"/>
    <w:rsid w:val="4CEA3084"/>
    <w:rsid w:val="4CF1423F"/>
    <w:rsid w:val="4D020408"/>
    <w:rsid w:val="4D0648FE"/>
    <w:rsid w:val="4D0F512E"/>
    <w:rsid w:val="4D240F92"/>
    <w:rsid w:val="4D2571CC"/>
    <w:rsid w:val="4D263A5A"/>
    <w:rsid w:val="4D366534"/>
    <w:rsid w:val="4D3D547D"/>
    <w:rsid w:val="4D49342D"/>
    <w:rsid w:val="4D4C3F7F"/>
    <w:rsid w:val="4D500E44"/>
    <w:rsid w:val="4D5151BE"/>
    <w:rsid w:val="4D522E64"/>
    <w:rsid w:val="4D5C0A3C"/>
    <w:rsid w:val="4D5C2059"/>
    <w:rsid w:val="4D5F465A"/>
    <w:rsid w:val="4D773ECF"/>
    <w:rsid w:val="4D7F2BA6"/>
    <w:rsid w:val="4D9C0627"/>
    <w:rsid w:val="4DA3351B"/>
    <w:rsid w:val="4DB23583"/>
    <w:rsid w:val="4DBE7C8E"/>
    <w:rsid w:val="4DC8066E"/>
    <w:rsid w:val="4DD3398D"/>
    <w:rsid w:val="4DD922DA"/>
    <w:rsid w:val="4DE44058"/>
    <w:rsid w:val="4DF232D6"/>
    <w:rsid w:val="4E0F1D80"/>
    <w:rsid w:val="4E1A7C7B"/>
    <w:rsid w:val="4E325C38"/>
    <w:rsid w:val="4E35514B"/>
    <w:rsid w:val="4E3605DF"/>
    <w:rsid w:val="4E3E554C"/>
    <w:rsid w:val="4E556892"/>
    <w:rsid w:val="4E5D4F85"/>
    <w:rsid w:val="4E5F6FBD"/>
    <w:rsid w:val="4E734EE0"/>
    <w:rsid w:val="4E842061"/>
    <w:rsid w:val="4E885F03"/>
    <w:rsid w:val="4E934FB3"/>
    <w:rsid w:val="4EA51ED3"/>
    <w:rsid w:val="4EA82235"/>
    <w:rsid w:val="4EB968B9"/>
    <w:rsid w:val="4ECD4E14"/>
    <w:rsid w:val="4ED32B4C"/>
    <w:rsid w:val="4ED4357E"/>
    <w:rsid w:val="4ED97DE9"/>
    <w:rsid w:val="4EEA2299"/>
    <w:rsid w:val="4EF9611F"/>
    <w:rsid w:val="4F036359"/>
    <w:rsid w:val="4F0363FB"/>
    <w:rsid w:val="4F0A2E6A"/>
    <w:rsid w:val="4F0B0CD2"/>
    <w:rsid w:val="4F1E292E"/>
    <w:rsid w:val="4F246C5A"/>
    <w:rsid w:val="4F2830BB"/>
    <w:rsid w:val="4F45079D"/>
    <w:rsid w:val="4F455FB8"/>
    <w:rsid w:val="4F4716AE"/>
    <w:rsid w:val="4F482B91"/>
    <w:rsid w:val="4F4940A7"/>
    <w:rsid w:val="4F4C3479"/>
    <w:rsid w:val="4F5F2279"/>
    <w:rsid w:val="4F695E61"/>
    <w:rsid w:val="4F704539"/>
    <w:rsid w:val="4F71443C"/>
    <w:rsid w:val="4F76429A"/>
    <w:rsid w:val="4F7E1091"/>
    <w:rsid w:val="4F874A89"/>
    <w:rsid w:val="4F8E253C"/>
    <w:rsid w:val="4F8E72F3"/>
    <w:rsid w:val="4F9451F3"/>
    <w:rsid w:val="4F960A6B"/>
    <w:rsid w:val="4F9E520B"/>
    <w:rsid w:val="4FA81A5B"/>
    <w:rsid w:val="4FAE1086"/>
    <w:rsid w:val="4FAE5422"/>
    <w:rsid w:val="4FB03AEF"/>
    <w:rsid w:val="4FB4256C"/>
    <w:rsid w:val="4FC04196"/>
    <w:rsid w:val="4FE85EF2"/>
    <w:rsid w:val="4FF300C0"/>
    <w:rsid w:val="50076F2C"/>
    <w:rsid w:val="50087A6D"/>
    <w:rsid w:val="501C7D09"/>
    <w:rsid w:val="502814A7"/>
    <w:rsid w:val="50683D56"/>
    <w:rsid w:val="506D3656"/>
    <w:rsid w:val="507A110B"/>
    <w:rsid w:val="507D40AD"/>
    <w:rsid w:val="509438F8"/>
    <w:rsid w:val="50952474"/>
    <w:rsid w:val="509E2EDC"/>
    <w:rsid w:val="50AA4775"/>
    <w:rsid w:val="50B062D3"/>
    <w:rsid w:val="50B34A3B"/>
    <w:rsid w:val="50BC5616"/>
    <w:rsid w:val="50BC5D3A"/>
    <w:rsid w:val="50C2570B"/>
    <w:rsid w:val="50D709C7"/>
    <w:rsid w:val="50F5500B"/>
    <w:rsid w:val="5101702C"/>
    <w:rsid w:val="51024E59"/>
    <w:rsid w:val="510A18D5"/>
    <w:rsid w:val="510D7A4D"/>
    <w:rsid w:val="512E10D1"/>
    <w:rsid w:val="5133302B"/>
    <w:rsid w:val="51383636"/>
    <w:rsid w:val="51395CD1"/>
    <w:rsid w:val="513E522B"/>
    <w:rsid w:val="51422717"/>
    <w:rsid w:val="514F07F2"/>
    <w:rsid w:val="51574370"/>
    <w:rsid w:val="516704CB"/>
    <w:rsid w:val="51674BAE"/>
    <w:rsid w:val="51684304"/>
    <w:rsid w:val="516D049E"/>
    <w:rsid w:val="51721F21"/>
    <w:rsid w:val="517840A2"/>
    <w:rsid w:val="517A4EB9"/>
    <w:rsid w:val="51864F55"/>
    <w:rsid w:val="518C5787"/>
    <w:rsid w:val="519C136D"/>
    <w:rsid w:val="519D6FCE"/>
    <w:rsid w:val="51A072F7"/>
    <w:rsid w:val="51AD0CB8"/>
    <w:rsid w:val="51AE50CC"/>
    <w:rsid w:val="51BF41FB"/>
    <w:rsid w:val="51BF5A05"/>
    <w:rsid w:val="51C834FA"/>
    <w:rsid w:val="51C85F28"/>
    <w:rsid w:val="51C90780"/>
    <w:rsid w:val="51C93334"/>
    <w:rsid w:val="51D53731"/>
    <w:rsid w:val="51E65C57"/>
    <w:rsid w:val="51FB74A8"/>
    <w:rsid w:val="52077FA0"/>
    <w:rsid w:val="522030AA"/>
    <w:rsid w:val="523E5EFC"/>
    <w:rsid w:val="524750C7"/>
    <w:rsid w:val="524F27CC"/>
    <w:rsid w:val="5252594C"/>
    <w:rsid w:val="52727C02"/>
    <w:rsid w:val="527725B4"/>
    <w:rsid w:val="52785343"/>
    <w:rsid w:val="528F114E"/>
    <w:rsid w:val="52A46E2B"/>
    <w:rsid w:val="52A62470"/>
    <w:rsid w:val="52AE6867"/>
    <w:rsid w:val="52B52FDD"/>
    <w:rsid w:val="52C36E3D"/>
    <w:rsid w:val="52CA4AB6"/>
    <w:rsid w:val="52CC4BCA"/>
    <w:rsid w:val="52E46878"/>
    <w:rsid w:val="52EC0AD9"/>
    <w:rsid w:val="52F775D7"/>
    <w:rsid w:val="52FB7E7B"/>
    <w:rsid w:val="530477E5"/>
    <w:rsid w:val="530F002E"/>
    <w:rsid w:val="5314637D"/>
    <w:rsid w:val="53184DA2"/>
    <w:rsid w:val="532F07A2"/>
    <w:rsid w:val="53376114"/>
    <w:rsid w:val="53422767"/>
    <w:rsid w:val="53483A79"/>
    <w:rsid w:val="534D658A"/>
    <w:rsid w:val="534F3398"/>
    <w:rsid w:val="53567B2E"/>
    <w:rsid w:val="535A250D"/>
    <w:rsid w:val="536D4FBA"/>
    <w:rsid w:val="53765EAB"/>
    <w:rsid w:val="537D43B8"/>
    <w:rsid w:val="53802290"/>
    <w:rsid w:val="53820AC6"/>
    <w:rsid w:val="5383567F"/>
    <w:rsid w:val="53887A61"/>
    <w:rsid w:val="538E05E0"/>
    <w:rsid w:val="5396136F"/>
    <w:rsid w:val="539C223F"/>
    <w:rsid w:val="53AC4ADA"/>
    <w:rsid w:val="53B26B73"/>
    <w:rsid w:val="53B753AC"/>
    <w:rsid w:val="53C36A8F"/>
    <w:rsid w:val="53D06D4C"/>
    <w:rsid w:val="53DA1FCE"/>
    <w:rsid w:val="53DD4687"/>
    <w:rsid w:val="53E72C5A"/>
    <w:rsid w:val="53F12A46"/>
    <w:rsid w:val="53F3592C"/>
    <w:rsid w:val="53F96F95"/>
    <w:rsid w:val="53FA74D7"/>
    <w:rsid w:val="540549CF"/>
    <w:rsid w:val="54152A0A"/>
    <w:rsid w:val="542712E9"/>
    <w:rsid w:val="54283A55"/>
    <w:rsid w:val="542C2F04"/>
    <w:rsid w:val="543862F2"/>
    <w:rsid w:val="54403526"/>
    <w:rsid w:val="5446116A"/>
    <w:rsid w:val="544C0AE2"/>
    <w:rsid w:val="544C5AA7"/>
    <w:rsid w:val="544D576E"/>
    <w:rsid w:val="54881E90"/>
    <w:rsid w:val="548E1534"/>
    <w:rsid w:val="549338B7"/>
    <w:rsid w:val="549B5B2C"/>
    <w:rsid w:val="549E3311"/>
    <w:rsid w:val="54AB612C"/>
    <w:rsid w:val="54B87BEE"/>
    <w:rsid w:val="54B92AC9"/>
    <w:rsid w:val="54D264B5"/>
    <w:rsid w:val="54D96F21"/>
    <w:rsid w:val="54D97E78"/>
    <w:rsid w:val="54E42603"/>
    <w:rsid w:val="54F86E52"/>
    <w:rsid w:val="54FF7DF4"/>
    <w:rsid w:val="550C5910"/>
    <w:rsid w:val="551678E9"/>
    <w:rsid w:val="551D77A1"/>
    <w:rsid w:val="55262262"/>
    <w:rsid w:val="554305EF"/>
    <w:rsid w:val="554436F6"/>
    <w:rsid w:val="5546345F"/>
    <w:rsid w:val="5555648E"/>
    <w:rsid w:val="555E7D48"/>
    <w:rsid w:val="556518FB"/>
    <w:rsid w:val="556A54F7"/>
    <w:rsid w:val="556B26F8"/>
    <w:rsid w:val="556D519E"/>
    <w:rsid w:val="557402DD"/>
    <w:rsid w:val="557A4F4E"/>
    <w:rsid w:val="5582586C"/>
    <w:rsid w:val="55935140"/>
    <w:rsid w:val="559F1082"/>
    <w:rsid w:val="55A037C7"/>
    <w:rsid w:val="55A760C7"/>
    <w:rsid w:val="55AC0A14"/>
    <w:rsid w:val="55B07660"/>
    <w:rsid w:val="55B934B8"/>
    <w:rsid w:val="55BA0FB4"/>
    <w:rsid w:val="55BA1888"/>
    <w:rsid w:val="55BB22A3"/>
    <w:rsid w:val="55DE39A9"/>
    <w:rsid w:val="55DF35FD"/>
    <w:rsid w:val="55EB4C5D"/>
    <w:rsid w:val="5606016A"/>
    <w:rsid w:val="56125468"/>
    <w:rsid w:val="5613504D"/>
    <w:rsid w:val="56146188"/>
    <w:rsid w:val="5615779B"/>
    <w:rsid w:val="56233487"/>
    <w:rsid w:val="562411C6"/>
    <w:rsid w:val="56245C09"/>
    <w:rsid w:val="56627F1F"/>
    <w:rsid w:val="56692506"/>
    <w:rsid w:val="567D2BD6"/>
    <w:rsid w:val="568B334B"/>
    <w:rsid w:val="56996F87"/>
    <w:rsid w:val="569B3933"/>
    <w:rsid w:val="569F2D01"/>
    <w:rsid w:val="56A057FF"/>
    <w:rsid w:val="56B00CC9"/>
    <w:rsid w:val="56B7091D"/>
    <w:rsid w:val="56C0492F"/>
    <w:rsid w:val="56C45270"/>
    <w:rsid w:val="56C90D20"/>
    <w:rsid w:val="56D5780E"/>
    <w:rsid w:val="56D61AE7"/>
    <w:rsid w:val="56D81332"/>
    <w:rsid w:val="56EC3705"/>
    <w:rsid w:val="56F14D58"/>
    <w:rsid w:val="56F25270"/>
    <w:rsid w:val="57054BE0"/>
    <w:rsid w:val="570B334D"/>
    <w:rsid w:val="571656CB"/>
    <w:rsid w:val="571F25EA"/>
    <w:rsid w:val="57241C80"/>
    <w:rsid w:val="572556D0"/>
    <w:rsid w:val="57256C78"/>
    <w:rsid w:val="57415555"/>
    <w:rsid w:val="574719D0"/>
    <w:rsid w:val="574C1601"/>
    <w:rsid w:val="57505665"/>
    <w:rsid w:val="5756548E"/>
    <w:rsid w:val="575C1CDC"/>
    <w:rsid w:val="5768295A"/>
    <w:rsid w:val="576C086F"/>
    <w:rsid w:val="577D721D"/>
    <w:rsid w:val="578863A2"/>
    <w:rsid w:val="579368A2"/>
    <w:rsid w:val="57960148"/>
    <w:rsid w:val="5796443F"/>
    <w:rsid w:val="579D2F88"/>
    <w:rsid w:val="57A97AC6"/>
    <w:rsid w:val="57B23D4D"/>
    <w:rsid w:val="57B75655"/>
    <w:rsid w:val="57B839AD"/>
    <w:rsid w:val="57B86E28"/>
    <w:rsid w:val="57BB4706"/>
    <w:rsid w:val="57C13B94"/>
    <w:rsid w:val="57D027A3"/>
    <w:rsid w:val="57E044D2"/>
    <w:rsid w:val="57EE3BA5"/>
    <w:rsid w:val="57FA6701"/>
    <w:rsid w:val="580F2DA3"/>
    <w:rsid w:val="58113602"/>
    <w:rsid w:val="58127576"/>
    <w:rsid w:val="58265ABB"/>
    <w:rsid w:val="58421000"/>
    <w:rsid w:val="58422E7F"/>
    <w:rsid w:val="584517F0"/>
    <w:rsid w:val="58463AE7"/>
    <w:rsid w:val="58494337"/>
    <w:rsid w:val="584E289B"/>
    <w:rsid w:val="58592037"/>
    <w:rsid w:val="586534E6"/>
    <w:rsid w:val="586D6D93"/>
    <w:rsid w:val="586E1F24"/>
    <w:rsid w:val="586F2C6F"/>
    <w:rsid w:val="58743F4E"/>
    <w:rsid w:val="58743FA3"/>
    <w:rsid w:val="588657E6"/>
    <w:rsid w:val="58942BCD"/>
    <w:rsid w:val="589A4276"/>
    <w:rsid w:val="58A51224"/>
    <w:rsid w:val="58AC002C"/>
    <w:rsid w:val="58B4043E"/>
    <w:rsid w:val="58B82EEC"/>
    <w:rsid w:val="58B87C93"/>
    <w:rsid w:val="58B93BD7"/>
    <w:rsid w:val="58D22FC9"/>
    <w:rsid w:val="58D4638D"/>
    <w:rsid w:val="58D91EE4"/>
    <w:rsid w:val="58E43337"/>
    <w:rsid w:val="58EB1503"/>
    <w:rsid w:val="58F25A99"/>
    <w:rsid w:val="58FD226B"/>
    <w:rsid w:val="58FE150C"/>
    <w:rsid w:val="590D1D6B"/>
    <w:rsid w:val="590F24E1"/>
    <w:rsid w:val="59114FB0"/>
    <w:rsid w:val="5920097E"/>
    <w:rsid w:val="592305CC"/>
    <w:rsid w:val="59440967"/>
    <w:rsid w:val="59445ABD"/>
    <w:rsid w:val="59466787"/>
    <w:rsid w:val="59473E05"/>
    <w:rsid w:val="59544175"/>
    <w:rsid w:val="595B32F2"/>
    <w:rsid w:val="595E0A52"/>
    <w:rsid w:val="595E5F84"/>
    <w:rsid w:val="595E7D72"/>
    <w:rsid w:val="59715B0D"/>
    <w:rsid w:val="597A3C14"/>
    <w:rsid w:val="5985653D"/>
    <w:rsid w:val="59863263"/>
    <w:rsid w:val="5994777A"/>
    <w:rsid w:val="59A43316"/>
    <w:rsid w:val="59A63F7C"/>
    <w:rsid w:val="59A81111"/>
    <w:rsid w:val="59AA108F"/>
    <w:rsid w:val="59B66360"/>
    <w:rsid w:val="59CD55FC"/>
    <w:rsid w:val="59D069F2"/>
    <w:rsid w:val="59D15BA0"/>
    <w:rsid w:val="59D47ABE"/>
    <w:rsid w:val="59D81286"/>
    <w:rsid w:val="59E638BE"/>
    <w:rsid w:val="59E9720B"/>
    <w:rsid w:val="59EF7CE4"/>
    <w:rsid w:val="59F76A6C"/>
    <w:rsid w:val="59FF35B4"/>
    <w:rsid w:val="59FF7763"/>
    <w:rsid w:val="5A21156A"/>
    <w:rsid w:val="5A36783F"/>
    <w:rsid w:val="5A393B95"/>
    <w:rsid w:val="5A3A1BDD"/>
    <w:rsid w:val="5A435522"/>
    <w:rsid w:val="5A4A1B0F"/>
    <w:rsid w:val="5A6058E2"/>
    <w:rsid w:val="5A626DF5"/>
    <w:rsid w:val="5A672DD2"/>
    <w:rsid w:val="5A8B6CEE"/>
    <w:rsid w:val="5A970DCE"/>
    <w:rsid w:val="5A9A6EA5"/>
    <w:rsid w:val="5A9C3300"/>
    <w:rsid w:val="5AAD49D1"/>
    <w:rsid w:val="5AB865E5"/>
    <w:rsid w:val="5AD20E0C"/>
    <w:rsid w:val="5AE2411C"/>
    <w:rsid w:val="5AEC3949"/>
    <w:rsid w:val="5AFA19C2"/>
    <w:rsid w:val="5B0921D4"/>
    <w:rsid w:val="5B0F6FF4"/>
    <w:rsid w:val="5B1034A0"/>
    <w:rsid w:val="5B120F47"/>
    <w:rsid w:val="5B226F80"/>
    <w:rsid w:val="5B2343FA"/>
    <w:rsid w:val="5B2A06F9"/>
    <w:rsid w:val="5B4F553A"/>
    <w:rsid w:val="5B681DF4"/>
    <w:rsid w:val="5B7A68CF"/>
    <w:rsid w:val="5B7F4037"/>
    <w:rsid w:val="5B8641FD"/>
    <w:rsid w:val="5B8A6DB7"/>
    <w:rsid w:val="5B8E3F01"/>
    <w:rsid w:val="5B913D4A"/>
    <w:rsid w:val="5B9A5BF5"/>
    <w:rsid w:val="5BA4569D"/>
    <w:rsid w:val="5BA77D8A"/>
    <w:rsid w:val="5BAB240D"/>
    <w:rsid w:val="5BBB7A87"/>
    <w:rsid w:val="5BBD3580"/>
    <w:rsid w:val="5BBF74D1"/>
    <w:rsid w:val="5BC36BB1"/>
    <w:rsid w:val="5BC6145E"/>
    <w:rsid w:val="5BCF1987"/>
    <w:rsid w:val="5BE64F32"/>
    <w:rsid w:val="5BEE13A9"/>
    <w:rsid w:val="5BF832A2"/>
    <w:rsid w:val="5BFE0E6C"/>
    <w:rsid w:val="5C221674"/>
    <w:rsid w:val="5C2722E5"/>
    <w:rsid w:val="5C3301CC"/>
    <w:rsid w:val="5C430895"/>
    <w:rsid w:val="5C4804AD"/>
    <w:rsid w:val="5C492D1D"/>
    <w:rsid w:val="5C497E50"/>
    <w:rsid w:val="5C542A38"/>
    <w:rsid w:val="5C6B563D"/>
    <w:rsid w:val="5C6C1DB1"/>
    <w:rsid w:val="5C7402CC"/>
    <w:rsid w:val="5C762C69"/>
    <w:rsid w:val="5C805BD1"/>
    <w:rsid w:val="5C876354"/>
    <w:rsid w:val="5C8B3F62"/>
    <w:rsid w:val="5C950469"/>
    <w:rsid w:val="5C9522F3"/>
    <w:rsid w:val="5C987016"/>
    <w:rsid w:val="5CA14855"/>
    <w:rsid w:val="5CA20F44"/>
    <w:rsid w:val="5CA72E65"/>
    <w:rsid w:val="5CAC2EDF"/>
    <w:rsid w:val="5CAC5EF4"/>
    <w:rsid w:val="5CCC3EB5"/>
    <w:rsid w:val="5CCD183B"/>
    <w:rsid w:val="5CD37E8B"/>
    <w:rsid w:val="5CD840B3"/>
    <w:rsid w:val="5CDB7BD5"/>
    <w:rsid w:val="5CE53BE7"/>
    <w:rsid w:val="5CF41DE8"/>
    <w:rsid w:val="5D0376C6"/>
    <w:rsid w:val="5D183ABE"/>
    <w:rsid w:val="5D192A44"/>
    <w:rsid w:val="5D2F221F"/>
    <w:rsid w:val="5D2F5B2A"/>
    <w:rsid w:val="5D3D65ED"/>
    <w:rsid w:val="5D6924AE"/>
    <w:rsid w:val="5D7076D0"/>
    <w:rsid w:val="5D8953E0"/>
    <w:rsid w:val="5D942D78"/>
    <w:rsid w:val="5D9A400F"/>
    <w:rsid w:val="5DA55FE3"/>
    <w:rsid w:val="5DB277ED"/>
    <w:rsid w:val="5DBA7D22"/>
    <w:rsid w:val="5DBB57CC"/>
    <w:rsid w:val="5DBF646F"/>
    <w:rsid w:val="5DE311D2"/>
    <w:rsid w:val="5DEF656A"/>
    <w:rsid w:val="5DF06803"/>
    <w:rsid w:val="5DF573F2"/>
    <w:rsid w:val="5DF70EFF"/>
    <w:rsid w:val="5DF73C2F"/>
    <w:rsid w:val="5E0240AF"/>
    <w:rsid w:val="5E0E3048"/>
    <w:rsid w:val="5E1211C8"/>
    <w:rsid w:val="5E1A7D22"/>
    <w:rsid w:val="5E247B97"/>
    <w:rsid w:val="5E4424DE"/>
    <w:rsid w:val="5E4D02D5"/>
    <w:rsid w:val="5E9D235F"/>
    <w:rsid w:val="5EAD73E6"/>
    <w:rsid w:val="5EB3253A"/>
    <w:rsid w:val="5EB45E5B"/>
    <w:rsid w:val="5EBF2B15"/>
    <w:rsid w:val="5EC43845"/>
    <w:rsid w:val="5EC63396"/>
    <w:rsid w:val="5ECA0225"/>
    <w:rsid w:val="5ECA23FE"/>
    <w:rsid w:val="5ECA2749"/>
    <w:rsid w:val="5EEB49C6"/>
    <w:rsid w:val="5EF92BFB"/>
    <w:rsid w:val="5F0471EF"/>
    <w:rsid w:val="5F194527"/>
    <w:rsid w:val="5F2B5242"/>
    <w:rsid w:val="5F2B59FA"/>
    <w:rsid w:val="5F3323BA"/>
    <w:rsid w:val="5F3E1E22"/>
    <w:rsid w:val="5F502D8A"/>
    <w:rsid w:val="5F52131F"/>
    <w:rsid w:val="5F5836C0"/>
    <w:rsid w:val="5F6039B5"/>
    <w:rsid w:val="5F6A1309"/>
    <w:rsid w:val="5F6A25CF"/>
    <w:rsid w:val="5F6E3603"/>
    <w:rsid w:val="5F723542"/>
    <w:rsid w:val="5F7442DE"/>
    <w:rsid w:val="5F751129"/>
    <w:rsid w:val="5F793CEF"/>
    <w:rsid w:val="5F9556D1"/>
    <w:rsid w:val="5F97405F"/>
    <w:rsid w:val="5F99343D"/>
    <w:rsid w:val="5F9968FA"/>
    <w:rsid w:val="5FA77DB8"/>
    <w:rsid w:val="5FB5689A"/>
    <w:rsid w:val="5FB56D57"/>
    <w:rsid w:val="5FB656C1"/>
    <w:rsid w:val="5FC048DB"/>
    <w:rsid w:val="5FC065D9"/>
    <w:rsid w:val="5FC324AB"/>
    <w:rsid w:val="5FC67E80"/>
    <w:rsid w:val="5FD70C26"/>
    <w:rsid w:val="5FE86E88"/>
    <w:rsid w:val="6004228D"/>
    <w:rsid w:val="600615F0"/>
    <w:rsid w:val="60083AF0"/>
    <w:rsid w:val="60091656"/>
    <w:rsid w:val="600B272C"/>
    <w:rsid w:val="601353B5"/>
    <w:rsid w:val="602F4436"/>
    <w:rsid w:val="603712B1"/>
    <w:rsid w:val="60390D10"/>
    <w:rsid w:val="603D32F9"/>
    <w:rsid w:val="60405145"/>
    <w:rsid w:val="604A772F"/>
    <w:rsid w:val="60531F2C"/>
    <w:rsid w:val="605420EC"/>
    <w:rsid w:val="6056237A"/>
    <w:rsid w:val="607606DB"/>
    <w:rsid w:val="60814E73"/>
    <w:rsid w:val="6093181E"/>
    <w:rsid w:val="609F3645"/>
    <w:rsid w:val="60A64803"/>
    <w:rsid w:val="60BB6FA9"/>
    <w:rsid w:val="60C832F4"/>
    <w:rsid w:val="60CE149E"/>
    <w:rsid w:val="60DF46A7"/>
    <w:rsid w:val="60E30F17"/>
    <w:rsid w:val="60E56921"/>
    <w:rsid w:val="60E82D38"/>
    <w:rsid w:val="60FC7E72"/>
    <w:rsid w:val="60FF089C"/>
    <w:rsid w:val="61027A1E"/>
    <w:rsid w:val="610823F3"/>
    <w:rsid w:val="610A11F2"/>
    <w:rsid w:val="611B135A"/>
    <w:rsid w:val="61211850"/>
    <w:rsid w:val="61351088"/>
    <w:rsid w:val="617A2FCB"/>
    <w:rsid w:val="61846F5F"/>
    <w:rsid w:val="61856B05"/>
    <w:rsid w:val="61883143"/>
    <w:rsid w:val="618D6249"/>
    <w:rsid w:val="61AD1B4A"/>
    <w:rsid w:val="61AF2D70"/>
    <w:rsid w:val="61C17309"/>
    <w:rsid w:val="61C24627"/>
    <w:rsid w:val="61CF02BA"/>
    <w:rsid w:val="61EC0295"/>
    <w:rsid w:val="61ED0836"/>
    <w:rsid w:val="61F26DDF"/>
    <w:rsid w:val="61F8503D"/>
    <w:rsid w:val="61F95D8F"/>
    <w:rsid w:val="62046E14"/>
    <w:rsid w:val="621926F4"/>
    <w:rsid w:val="622127D1"/>
    <w:rsid w:val="62271DB2"/>
    <w:rsid w:val="622E6413"/>
    <w:rsid w:val="623C68C0"/>
    <w:rsid w:val="623F7729"/>
    <w:rsid w:val="62424574"/>
    <w:rsid w:val="62437745"/>
    <w:rsid w:val="62441245"/>
    <w:rsid w:val="62506432"/>
    <w:rsid w:val="62581DCA"/>
    <w:rsid w:val="625C4AFB"/>
    <w:rsid w:val="625F7C03"/>
    <w:rsid w:val="6264690D"/>
    <w:rsid w:val="62663C86"/>
    <w:rsid w:val="62877471"/>
    <w:rsid w:val="62945685"/>
    <w:rsid w:val="629B2128"/>
    <w:rsid w:val="629E3F39"/>
    <w:rsid w:val="62A93B07"/>
    <w:rsid w:val="62B46BC9"/>
    <w:rsid w:val="62B91427"/>
    <w:rsid w:val="62BC7C0A"/>
    <w:rsid w:val="62BD310A"/>
    <w:rsid w:val="62CB6A3D"/>
    <w:rsid w:val="62D958C7"/>
    <w:rsid w:val="62E742D1"/>
    <w:rsid w:val="62E83CFF"/>
    <w:rsid w:val="62FC302C"/>
    <w:rsid w:val="63084B8C"/>
    <w:rsid w:val="63344024"/>
    <w:rsid w:val="6339003F"/>
    <w:rsid w:val="63395772"/>
    <w:rsid w:val="633C4A7F"/>
    <w:rsid w:val="63462EB3"/>
    <w:rsid w:val="6355187F"/>
    <w:rsid w:val="635F66A5"/>
    <w:rsid w:val="63743A68"/>
    <w:rsid w:val="63766688"/>
    <w:rsid w:val="637731C7"/>
    <w:rsid w:val="637C4918"/>
    <w:rsid w:val="638C42A8"/>
    <w:rsid w:val="638D048C"/>
    <w:rsid w:val="63950BD2"/>
    <w:rsid w:val="63981607"/>
    <w:rsid w:val="63A02B08"/>
    <w:rsid w:val="63A5057E"/>
    <w:rsid w:val="63AD0B42"/>
    <w:rsid w:val="63BB7C6E"/>
    <w:rsid w:val="63CD00AA"/>
    <w:rsid w:val="63E009FC"/>
    <w:rsid w:val="63E255BA"/>
    <w:rsid w:val="63E93FF2"/>
    <w:rsid w:val="644B01CD"/>
    <w:rsid w:val="644D04FC"/>
    <w:rsid w:val="644F185D"/>
    <w:rsid w:val="64606071"/>
    <w:rsid w:val="64611E40"/>
    <w:rsid w:val="646D1D1D"/>
    <w:rsid w:val="646D366A"/>
    <w:rsid w:val="647D22D5"/>
    <w:rsid w:val="64A0296B"/>
    <w:rsid w:val="64B21A29"/>
    <w:rsid w:val="64C71F9B"/>
    <w:rsid w:val="64D04FBA"/>
    <w:rsid w:val="64DD56D8"/>
    <w:rsid w:val="64E45EED"/>
    <w:rsid w:val="64E91C91"/>
    <w:rsid w:val="64EF15FE"/>
    <w:rsid w:val="64FA2938"/>
    <w:rsid w:val="650049A5"/>
    <w:rsid w:val="651C4271"/>
    <w:rsid w:val="651C5149"/>
    <w:rsid w:val="651E1D3D"/>
    <w:rsid w:val="652C1AEC"/>
    <w:rsid w:val="652C56AA"/>
    <w:rsid w:val="65310993"/>
    <w:rsid w:val="653B590D"/>
    <w:rsid w:val="653D69A4"/>
    <w:rsid w:val="65443397"/>
    <w:rsid w:val="654948A0"/>
    <w:rsid w:val="655C2952"/>
    <w:rsid w:val="65640A8F"/>
    <w:rsid w:val="65742EBD"/>
    <w:rsid w:val="65796AED"/>
    <w:rsid w:val="65853AC0"/>
    <w:rsid w:val="659A33AA"/>
    <w:rsid w:val="659D5604"/>
    <w:rsid w:val="65B905C9"/>
    <w:rsid w:val="65C515AF"/>
    <w:rsid w:val="65C772E2"/>
    <w:rsid w:val="65CB6BC0"/>
    <w:rsid w:val="65CD6AD8"/>
    <w:rsid w:val="65DA55CF"/>
    <w:rsid w:val="65E01C1E"/>
    <w:rsid w:val="65E65358"/>
    <w:rsid w:val="65EA2946"/>
    <w:rsid w:val="65EB3952"/>
    <w:rsid w:val="65EF0BB8"/>
    <w:rsid w:val="65F34E2C"/>
    <w:rsid w:val="65F57F07"/>
    <w:rsid w:val="66114575"/>
    <w:rsid w:val="66126976"/>
    <w:rsid w:val="66147E39"/>
    <w:rsid w:val="661920BE"/>
    <w:rsid w:val="66194682"/>
    <w:rsid w:val="661F78C7"/>
    <w:rsid w:val="662455CE"/>
    <w:rsid w:val="66412D5A"/>
    <w:rsid w:val="66455E4D"/>
    <w:rsid w:val="66512762"/>
    <w:rsid w:val="666A153D"/>
    <w:rsid w:val="666C0B47"/>
    <w:rsid w:val="6687407E"/>
    <w:rsid w:val="668C2B7C"/>
    <w:rsid w:val="6690033D"/>
    <w:rsid w:val="66B0349C"/>
    <w:rsid w:val="66B831B5"/>
    <w:rsid w:val="66BE5081"/>
    <w:rsid w:val="66CE5F2D"/>
    <w:rsid w:val="66D3153D"/>
    <w:rsid w:val="66E656D1"/>
    <w:rsid w:val="66F2186E"/>
    <w:rsid w:val="66F56B9A"/>
    <w:rsid w:val="67244646"/>
    <w:rsid w:val="672F1B3C"/>
    <w:rsid w:val="67300D5C"/>
    <w:rsid w:val="67414FA7"/>
    <w:rsid w:val="674D4BA4"/>
    <w:rsid w:val="67553B06"/>
    <w:rsid w:val="675E078F"/>
    <w:rsid w:val="676727B1"/>
    <w:rsid w:val="676A4A7B"/>
    <w:rsid w:val="676D359A"/>
    <w:rsid w:val="677A7A30"/>
    <w:rsid w:val="678D5407"/>
    <w:rsid w:val="678D7334"/>
    <w:rsid w:val="67A600F8"/>
    <w:rsid w:val="67BD08B3"/>
    <w:rsid w:val="67C32A9A"/>
    <w:rsid w:val="67C84F37"/>
    <w:rsid w:val="67C96E26"/>
    <w:rsid w:val="67CE602C"/>
    <w:rsid w:val="67D3415F"/>
    <w:rsid w:val="67EA0B9C"/>
    <w:rsid w:val="67EE002E"/>
    <w:rsid w:val="67F74A16"/>
    <w:rsid w:val="67F82BF7"/>
    <w:rsid w:val="67FB4148"/>
    <w:rsid w:val="680F3165"/>
    <w:rsid w:val="6814614D"/>
    <w:rsid w:val="6827205E"/>
    <w:rsid w:val="682F4F1B"/>
    <w:rsid w:val="684252DF"/>
    <w:rsid w:val="68426C4F"/>
    <w:rsid w:val="6843005A"/>
    <w:rsid w:val="68501048"/>
    <w:rsid w:val="685710E6"/>
    <w:rsid w:val="687A76CA"/>
    <w:rsid w:val="688A47C2"/>
    <w:rsid w:val="68953223"/>
    <w:rsid w:val="68970B4F"/>
    <w:rsid w:val="68973FD0"/>
    <w:rsid w:val="689A0726"/>
    <w:rsid w:val="689D1717"/>
    <w:rsid w:val="689F4C87"/>
    <w:rsid w:val="68B64970"/>
    <w:rsid w:val="68BC194E"/>
    <w:rsid w:val="68BE2461"/>
    <w:rsid w:val="68C55F2F"/>
    <w:rsid w:val="68D16355"/>
    <w:rsid w:val="68EB1DAA"/>
    <w:rsid w:val="68ED2CA8"/>
    <w:rsid w:val="68F961BF"/>
    <w:rsid w:val="69214F93"/>
    <w:rsid w:val="6929362B"/>
    <w:rsid w:val="69327AE5"/>
    <w:rsid w:val="694E1ECD"/>
    <w:rsid w:val="695B36FE"/>
    <w:rsid w:val="6980131C"/>
    <w:rsid w:val="698407E9"/>
    <w:rsid w:val="698D1944"/>
    <w:rsid w:val="69A63060"/>
    <w:rsid w:val="69C1649B"/>
    <w:rsid w:val="69D676F5"/>
    <w:rsid w:val="69E433BD"/>
    <w:rsid w:val="69E86190"/>
    <w:rsid w:val="69F2199E"/>
    <w:rsid w:val="6A133973"/>
    <w:rsid w:val="6A175677"/>
    <w:rsid w:val="6A1B4230"/>
    <w:rsid w:val="6A2705F8"/>
    <w:rsid w:val="6A272830"/>
    <w:rsid w:val="6A2D7CDC"/>
    <w:rsid w:val="6A3A21D2"/>
    <w:rsid w:val="6A5C75E3"/>
    <w:rsid w:val="6A601188"/>
    <w:rsid w:val="6A663741"/>
    <w:rsid w:val="6A6A7ADB"/>
    <w:rsid w:val="6A72124B"/>
    <w:rsid w:val="6A7E0B45"/>
    <w:rsid w:val="6A91231D"/>
    <w:rsid w:val="6A9917C8"/>
    <w:rsid w:val="6AA03A87"/>
    <w:rsid w:val="6AA85233"/>
    <w:rsid w:val="6AAC0156"/>
    <w:rsid w:val="6ABB299A"/>
    <w:rsid w:val="6AC06BC6"/>
    <w:rsid w:val="6AC5716B"/>
    <w:rsid w:val="6ACC118B"/>
    <w:rsid w:val="6ADD31A7"/>
    <w:rsid w:val="6AE8181D"/>
    <w:rsid w:val="6AF7294F"/>
    <w:rsid w:val="6AFA1C73"/>
    <w:rsid w:val="6B194818"/>
    <w:rsid w:val="6B1E163D"/>
    <w:rsid w:val="6B1E4C66"/>
    <w:rsid w:val="6B236D11"/>
    <w:rsid w:val="6B26354D"/>
    <w:rsid w:val="6B270205"/>
    <w:rsid w:val="6B2738DB"/>
    <w:rsid w:val="6B3A2512"/>
    <w:rsid w:val="6B3C4246"/>
    <w:rsid w:val="6B4237CE"/>
    <w:rsid w:val="6B4806A1"/>
    <w:rsid w:val="6B4A4B61"/>
    <w:rsid w:val="6B614D13"/>
    <w:rsid w:val="6B730C2A"/>
    <w:rsid w:val="6B7A1438"/>
    <w:rsid w:val="6B866347"/>
    <w:rsid w:val="6B867CAD"/>
    <w:rsid w:val="6B8A2143"/>
    <w:rsid w:val="6B8A2B87"/>
    <w:rsid w:val="6B8A7CC1"/>
    <w:rsid w:val="6B9B53CF"/>
    <w:rsid w:val="6BA7230E"/>
    <w:rsid w:val="6BA92F3B"/>
    <w:rsid w:val="6BB13454"/>
    <w:rsid w:val="6BB44A32"/>
    <w:rsid w:val="6BBB355F"/>
    <w:rsid w:val="6BC559ED"/>
    <w:rsid w:val="6BC71F19"/>
    <w:rsid w:val="6BE038BF"/>
    <w:rsid w:val="6BEB3659"/>
    <w:rsid w:val="6BF07126"/>
    <w:rsid w:val="6BF71575"/>
    <w:rsid w:val="6BFD7A42"/>
    <w:rsid w:val="6C0127E9"/>
    <w:rsid w:val="6C0F6DA7"/>
    <w:rsid w:val="6C171070"/>
    <w:rsid w:val="6C2929B6"/>
    <w:rsid w:val="6C2E0B3A"/>
    <w:rsid w:val="6C446FCF"/>
    <w:rsid w:val="6C550901"/>
    <w:rsid w:val="6C5A5A0B"/>
    <w:rsid w:val="6C7C646E"/>
    <w:rsid w:val="6C7F0EF5"/>
    <w:rsid w:val="6C86059C"/>
    <w:rsid w:val="6C8B5A36"/>
    <w:rsid w:val="6C8D23FF"/>
    <w:rsid w:val="6C9D0B3F"/>
    <w:rsid w:val="6CA47C3E"/>
    <w:rsid w:val="6CAB7626"/>
    <w:rsid w:val="6CB2469A"/>
    <w:rsid w:val="6CB72F71"/>
    <w:rsid w:val="6CB83332"/>
    <w:rsid w:val="6CB9785B"/>
    <w:rsid w:val="6CBD6E76"/>
    <w:rsid w:val="6CD20CE6"/>
    <w:rsid w:val="6CD8753F"/>
    <w:rsid w:val="6CE0675F"/>
    <w:rsid w:val="6CF8598C"/>
    <w:rsid w:val="6D0350A6"/>
    <w:rsid w:val="6D062F99"/>
    <w:rsid w:val="6D090D5A"/>
    <w:rsid w:val="6D097427"/>
    <w:rsid w:val="6D134944"/>
    <w:rsid w:val="6D2A238B"/>
    <w:rsid w:val="6D2D59D0"/>
    <w:rsid w:val="6D2F3D35"/>
    <w:rsid w:val="6D3351A2"/>
    <w:rsid w:val="6D340359"/>
    <w:rsid w:val="6D351FB7"/>
    <w:rsid w:val="6D3F1C8C"/>
    <w:rsid w:val="6D3F5E6C"/>
    <w:rsid w:val="6D4F6A70"/>
    <w:rsid w:val="6D5E129A"/>
    <w:rsid w:val="6D632329"/>
    <w:rsid w:val="6D677246"/>
    <w:rsid w:val="6D6A4A10"/>
    <w:rsid w:val="6D6F31E4"/>
    <w:rsid w:val="6D723047"/>
    <w:rsid w:val="6D761E5B"/>
    <w:rsid w:val="6D8219BE"/>
    <w:rsid w:val="6D876D9F"/>
    <w:rsid w:val="6D9301FA"/>
    <w:rsid w:val="6D941A51"/>
    <w:rsid w:val="6D987DF4"/>
    <w:rsid w:val="6DA01B6E"/>
    <w:rsid w:val="6DB242BB"/>
    <w:rsid w:val="6DD43950"/>
    <w:rsid w:val="6DD83D35"/>
    <w:rsid w:val="6DDD53E6"/>
    <w:rsid w:val="6DE06447"/>
    <w:rsid w:val="6DED6590"/>
    <w:rsid w:val="6DFC60EC"/>
    <w:rsid w:val="6DFE2FD6"/>
    <w:rsid w:val="6E004593"/>
    <w:rsid w:val="6E043F59"/>
    <w:rsid w:val="6E1F3034"/>
    <w:rsid w:val="6E223203"/>
    <w:rsid w:val="6E513565"/>
    <w:rsid w:val="6E67252E"/>
    <w:rsid w:val="6E710C84"/>
    <w:rsid w:val="6E7D5BDA"/>
    <w:rsid w:val="6E976B26"/>
    <w:rsid w:val="6EAB53FF"/>
    <w:rsid w:val="6EC97187"/>
    <w:rsid w:val="6ED422D0"/>
    <w:rsid w:val="6EE21F6A"/>
    <w:rsid w:val="6EF56DDD"/>
    <w:rsid w:val="6F260176"/>
    <w:rsid w:val="6F293C2B"/>
    <w:rsid w:val="6F2A0C2A"/>
    <w:rsid w:val="6F342260"/>
    <w:rsid w:val="6F366AF8"/>
    <w:rsid w:val="6F3876FF"/>
    <w:rsid w:val="6F433267"/>
    <w:rsid w:val="6F4D78B2"/>
    <w:rsid w:val="6F553A67"/>
    <w:rsid w:val="6F557D70"/>
    <w:rsid w:val="6F5738C7"/>
    <w:rsid w:val="6F5876BE"/>
    <w:rsid w:val="6F613F4D"/>
    <w:rsid w:val="6F6E701F"/>
    <w:rsid w:val="6F8308C6"/>
    <w:rsid w:val="6F9D5B92"/>
    <w:rsid w:val="6FA27D4B"/>
    <w:rsid w:val="6FA91ACC"/>
    <w:rsid w:val="6FB348B2"/>
    <w:rsid w:val="6FC60EDE"/>
    <w:rsid w:val="6FC83435"/>
    <w:rsid w:val="6FCB1D24"/>
    <w:rsid w:val="6FDA60FC"/>
    <w:rsid w:val="6FE44B95"/>
    <w:rsid w:val="6FE97335"/>
    <w:rsid w:val="70180A43"/>
    <w:rsid w:val="70186EA2"/>
    <w:rsid w:val="7021695A"/>
    <w:rsid w:val="702B010F"/>
    <w:rsid w:val="702F4B8A"/>
    <w:rsid w:val="703F736B"/>
    <w:rsid w:val="704E09FB"/>
    <w:rsid w:val="70573C51"/>
    <w:rsid w:val="705B50CA"/>
    <w:rsid w:val="705F0CF3"/>
    <w:rsid w:val="706A43AD"/>
    <w:rsid w:val="70782944"/>
    <w:rsid w:val="707D54B4"/>
    <w:rsid w:val="709778AD"/>
    <w:rsid w:val="70AD527F"/>
    <w:rsid w:val="70BD24E6"/>
    <w:rsid w:val="70BE78CE"/>
    <w:rsid w:val="70C26852"/>
    <w:rsid w:val="70C95B59"/>
    <w:rsid w:val="70CB2376"/>
    <w:rsid w:val="70CB47FB"/>
    <w:rsid w:val="70D51218"/>
    <w:rsid w:val="70DA0EB4"/>
    <w:rsid w:val="70DB66D0"/>
    <w:rsid w:val="70EF501C"/>
    <w:rsid w:val="71155625"/>
    <w:rsid w:val="71172682"/>
    <w:rsid w:val="711845EA"/>
    <w:rsid w:val="71186919"/>
    <w:rsid w:val="712A5E0B"/>
    <w:rsid w:val="71441EC9"/>
    <w:rsid w:val="71447824"/>
    <w:rsid w:val="71463B9B"/>
    <w:rsid w:val="71586D29"/>
    <w:rsid w:val="716075EA"/>
    <w:rsid w:val="71610AFE"/>
    <w:rsid w:val="71620FB8"/>
    <w:rsid w:val="716466DD"/>
    <w:rsid w:val="716A10A8"/>
    <w:rsid w:val="71882ED6"/>
    <w:rsid w:val="718D137A"/>
    <w:rsid w:val="7196683E"/>
    <w:rsid w:val="719A0AB8"/>
    <w:rsid w:val="71A025E5"/>
    <w:rsid w:val="71A940CF"/>
    <w:rsid w:val="71AC59C0"/>
    <w:rsid w:val="71AF26B3"/>
    <w:rsid w:val="71B46E19"/>
    <w:rsid w:val="71C023E6"/>
    <w:rsid w:val="71CC16C7"/>
    <w:rsid w:val="71D83305"/>
    <w:rsid w:val="71DD231D"/>
    <w:rsid w:val="71EE1765"/>
    <w:rsid w:val="71EF43A2"/>
    <w:rsid w:val="71F32D4E"/>
    <w:rsid w:val="71F46879"/>
    <w:rsid w:val="72023C55"/>
    <w:rsid w:val="7210711D"/>
    <w:rsid w:val="72271E43"/>
    <w:rsid w:val="7234222E"/>
    <w:rsid w:val="723F552D"/>
    <w:rsid w:val="72400434"/>
    <w:rsid w:val="72441EF0"/>
    <w:rsid w:val="724C254E"/>
    <w:rsid w:val="725B2B35"/>
    <w:rsid w:val="725D3D34"/>
    <w:rsid w:val="72650800"/>
    <w:rsid w:val="726A1E59"/>
    <w:rsid w:val="726C0E93"/>
    <w:rsid w:val="72731856"/>
    <w:rsid w:val="727375DE"/>
    <w:rsid w:val="72813600"/>
    <w:rsid w:val="728277D5"/>
    <w:rsid w:val="7293109F"/>
    <w:rsid w:val="7296248F"/>
    <w:rsid w:val="72A16A20"/>
    <w:rsid w:val="72B64C68"/>
    <w:rsid w:val="72C65857"/>
    <w:rsid w:val="72C772B0"/>
    <w:rsid w:val="72D94FAF"/>
    <w:rsid w:val="72DB06A8"/>
    <w:rsid w:val="72E705CE"/>
    <w:rsid w:val="72F108C2"/>
    <w:rsid w:val="72FB5BBD"/>
    <w:rsid w:val="730831E7"/>
    <w:rsid w:val="73164D3C"/>
    <w:rsid w:val="732739AF"/>
    <w:rsid w:val="73360E06"/>
    <w:rsid w:val="73367A55"/>
    <w:rsid w:val="73372FA9"/>
    <w:rsid w:val="733E5783"/>
    <w:rsid w:val="73565761"/>
    <w:rsid w:val="735A0DAD"/>
    <w:rsid w:val="735A43E6"/>
    <w:rsid w:val="735F125A"/>
    <w:rsid w:val="736037AE"/>
    <w:rsid w:val="73693E52"/>
    <w:rsid w:val="73707BF4"/>
    <w:rsid w:val="739C135D"/>
    <w:rsid w:val="739C6F7D"/>
    <w:rsid w:val="73A32388"/>
    <w:rsid w:val="73AA0EA3"/>
    <w:rsid w:val="73C03B2E"/>
    <w:rsid w:val="73C95E77"/>
    <w:rsid w:val="73CC3299"/>
    <w:rsid w:val="73E15D41"/>
    <w:rsid w:val="73E33042"/>
    <w:rsid w:val="73E67205"/>
    <w:rsid w:val="74017C06"/>
    <w:rsid w:val="74021D72"/>
    <w:rsid w:val="74067D0F"/>
    <w:rsid w:val="740A0020"/>
    <w:rsid w:val="742978D2"/>
    <w:rsid w:val="743A48FD"/>
    <w:rsid w:val="74482852"/>
    <w:rsid w:val="745125A5"/>
    <w:rsid w:val="745A1A15"/>
    <w:rsid w:val="74746BDA"/>
    <w:rsid w:val="747C7714"/>
    <w:rsid w:val="74866B7B"/>
    <w:rsid w:val="748D76B9"/>
    <w:rsid w:val="749334E7"/>
    <w:rsid w:val="749F79FF"/>
    <w:rsid w:val="74AB064E"/>
    <w:rsid w:val="74B16367"/>
    <w:rsid w:val="74B23DC0"/>
    <w:rsid w:val="74C32566"/>
    <w:rsid w:val="74FD7DB4"/>
    <w:rsid w:val="74FE580B"/>
    <w:rsid w:val="750079B8"/>
    <w:rsid w:val="751C3F7C"/>
    <w:rsid w:val="75214562"/>
    <w:rsid w:val="7523723A"/>
    <w:rsid w:val="75296563"/>
    <w:rsid w:val="752D1723"/>
    <w:rsid w:val="75303E67"/>
    <w:rsid w:val="753871DF"/>
    <w:rsid w:val="75474E27"/>
    <w:rsid w:val="7549118B"/>
    <w:rsid w:val="757A2552"/>
    <w:rsid w:val="7584457C"/>
    <w:rsid w:val="75A75E16"/>
    <w:rsid w:val="75C00C88"/>
    <w:rsid w:val="75C25446"/>
    <w:rsid w:val="75D653DA"/>
    <w:rsid w:val="75DC55EF"/>
    <w:rsid w:val="75DE39B7"/>
    <w:rsid w:val="75E07110"/>
    <w:rsid w:val="75E2314C"/>
    <w:rsid w:val="75E76C73"/>
    <w:rsid w:val="75F57A96"/>
    <w:rsid w:val="75F71913"/>
    <w:rsid w:val="76116C2C"/>
    <w:rsid w:val="76181068"/>
    <w:rsid w:val="76287234"/>
    <w:rsid w:val="762C2515"/>
    <w:rsid w:val="763E5118"/>
    <w:rsid w:val="763F5A7A"/>
    <w:rsid w:val="76400ABE"/>
    <w:rsid w:val="764749B7"/>
    <w:rsid w:val="76622FDD"/>
    <w:rsid w:val="766F7B0B"/>
    <w:rsid w:val="76713B35"/>
    <w:rsid w:val="76730D8F"/>
    <w:rsid w:val="767E1799"/>
    <w:rsid w:val="76834725"/>
    <w:rsid w:val="76883BA5"/>
    <w:rsid w:val="768F1F7D"/>
    <w:rsid w:val="769030EA"/>
    <w:rsid w:val="76A01633"/>
    <w:rsid w:val="76AC3914"/>
    <w:rsid w:val="76B32521"/>
    <w:rsid w:val="76B36419"/>
    <w:rsid w:val="76B46573"/>
    <w:rsid w:val="76C3013D"/>
    <w:rsid w:val="76D93B72"/>
    <w:rsid w:val="76DA2C24"/>
    <w:rsid w:val="76DC101F"/>
    <w:rsid w:val="76F70DB5"/>
    <w:rsid w:val="76F877E6"/>
    <w:rsid w:val="76FA227B"/>
    <w:rsid w:val="771A76E3"/>
    <w:rsid w:val="772D1191"/>
    <w:rsid w:val="77321B4F"/>
    <w:rsid w:val="773A39A6"/>
    <w:rsid w:val="775066C1"/>
    <w:rsid w:val="775623DB"/>
    <w:rsid w:val="776E56F9"/>
    <w:rsid w:val="7777147D"/>
    <w:rsid w:val="778A05CD"/>
    <w:rsid w:val="778A559A"/>
    <w:rsid w:val="7794193C"/>
    <w:rsid w:val="77977FC3"/>
    <w:rsid w:val="7799313D"/>
    <w:rsid w:val="77B83012"/>
    <w:rsid w:val="77B96E35"/>
    <w:rsid w:val="77BA3F85"/>
    <w:rsid w:val="77C26EF7"/>
    <w:rsid w:val="77C871BB"/>
    <w:rsid w:val="77E127C5"/>
    <w:rsid w:val="77E479D6"/>
    <w:rsid w:val="77EB31B3"/>
    <w:rsid w:val="77F53D15"/>
    <w:rsid w:val="77F56E13"/>
    <w:rsid w:val="77FA5686"/>
    <w:rsid w:val="780626A9"/>
    <w:rsid w:val="781E5814"/>
    <w:rsid w:val="782964F4"/>
    <w:rsid w:val="782A2E54"/>
    <w:rsid w:val="78336597"/>
    <w:rsid w:val="783849C3"/>
    <w:rsid w:val="783E66B0"/>
    <w:rsid w:val="784036F1"/>
    <w:rsid w:val="785573DB"/>
    <w:rsid w:val="78675700"/>
    <w:rsid w:val="786A26B2"/>
    <w:rsid w:val="786F4784"/>
    <w:rsid w:val="787A7252"/>
    <w:rsid w:val="787F4EAC"/>
    <w:rsid w:val="7880085A"/>
    <w:rsid w:val="78870894"/>
    <w:rsid w:val="788C2710"/>
    <w:rsid w:val="789372E3"/>
    <w:rsid w:val="78A55649"/>
    <w:rsid w:val="78A95B23"/>
    <w:rsid w:val="78B80A40"/>
    <w:rsid w:val="78CA205D"/>
    <w:rsid w:val="78D90E4B"/>
    <w:rsid w:val="78D96782"/>
    <w:rsid w:val="78E05135"/>
    <w:rsid w:val="78EB74DA"/>
    <w:rsid w:val="78EF64C2"/>
    <w:rsid w:val="78FF080F"/>
    <w:rsid w:val="79006E4E"/>
    <w:rsid w:val="790A68FD"/>
    <w:rsid w:val="79244421"/>
    <w:rsid w:val="79282AB9"/>
    <w:rsid w:val="793B1AE5"/>
    <w:rsid w:val="79481C85"/>
    <w:rsid w:val="79507A50"/>
    <w:rsid w:val="795D2601"/>
    <w:rsid w:val="7965091F"/>
    <w:rsid w:val="79763DDA"/>
    <w:rsid w:val="797650D9"/>
    <w:rsid w:val="798D504A"/>
    <w:rsid w:val="7992552D"/>
    <w:rsid w:val="799E2B6C"/>
    <w:rsid w:val="79AD0968"/>
    <w:rsid w:val="79BA3662"/>
    <w:rsid w:val="79DF39A4"/>
    <w:rsid w:val="79E277E4"/>
    <w:rsid w:val="79F40048"/>
    <w:rsid w:val="7A0044E4"/>
    <w:rsid w:val="7A01502E"/>
    <w:rsid w:val="7A0C5091"/>
    <w:rsid w:val="7A0E3CC2"/>
    <w:rsid w:val="7A186D5D"/>
    <w:rsid w:val="7A216682"/>
    <w:rsid w:val="7A352D5F"/>
    <w:rsid w:val="7A363299"/>
    <w:rsid w:val="7A3B4C0D"/>
    <w:rsid w:val="7A3F41B5"/>
    <w:rsid w:val="7A520B12"/>
    <w:rsid w:val="7A584A84"/>
    <w:rsid w:val="7A5A304A"/>
    <w:rsid w:val="7A5C0429"/>
    <w:rsid w:val="7A6453F7"/>
    <w:rsid w:val="7A6E33D8"/>
    <w:rsid w:val="7A6E5D21"/>
    <w:rsid w:val="7A712175"/>
    <w:rsid w:val="7A98210A"/>
    <w:rsid w:val="7A9846C3"/>
    <w:rsid w:val="7A9D081E"/>
    <w:rsid w:val="7AB3616A"/>
    <w:rsid w:val="7AB54A59"/>
    <w:rsid w:val="7AC01C89"/>
    <w:rsid w:val="7ACF4734"/>
    <w:rsid w:val="7ACF5281"/>
    <w:rsid w:val="7AE264B5"/>
    <w:rsid w:val="7AF14585"/>
    <w:rsid w:val="7AF218CF"/>
    <w:rsid w:val="7AFD3BFC"/>
    <w:rsid w:val="7B16196F"/>
    <w:rsid w:val="7B1E52D0"/>
    <w:rsid w:val="7B2549EA"/>
    <w:rsid w:val="7B33565C"/>
    <w:rsid w:val="7B3D0369"/>
    <w:rsid w:val="7B3E6B40"/>
    <w:rsid w:val="7B48295D"/>
    <w:rsid w:val="7B4D2300"/>
    <w:rsid w:val="7B5166F9"/>
    <w:rsid w:val="7B542978"/>
    <w:rsid w:val="7B5D15F3"/>
    <w:rsid w:val="7B5E4E76"/>
    <w:rsid w:val="7B624E0E"/>
    <w:rsid w:val="7B655E4D"/>
    <w:rsid w:val="7B691F26"/>
    <w:rsid w:val="7B7C7496"/>
    <w:rsid w:val="7B8B7B6F"/>
    <w:rsid w:val="7B8F596D"/>
    <w:rsid w:val="7B8F7514"/>
    <w:rsid w:val="7B930E68"/>
    <w:rsid w:val="7B9669DD"/>
    <w:rsid w:val="7BB824BF"/>
    <w:rsid w:val="7BC51E54"/>
    <w:rsid w:val="7BCA1907"/>
    <w:rsid w:val="7BCA2C65"/>
    <w:rsid w:val="7BD1314F"/>
    <w:rsid w:val="7BD15CBE"/>
    <w:rsid w:val="7BD30DDB"/>
    <w:rsid w:val="7BD76073"/>
    <w:rsid w:val="7BF01A74"/>
    <w:rsid w:val="7BF5389F"/>
    <w:rsid w:val="7BF62A6B"/>
    <w:rsid w:val="7BF747FA"/>
    <w:rsid w:val="7BF96CB5"/>
    <w:rsid w:val="7C014652"/>
    <w:rsid w:val="7C0D77C9"/>
    <w:rsid w:val="7C106E98"/>
    <w:rsid w:val="7C172854"/>
    <w:rsid w:val="7C1F23BC"/>
    <w:rsid w:val="7C295516"/>
    <w:rsid w:val="7C303FA3"/>
    <w:rsid w:val="7C3415DD"/>
    <w:rsid w:val="7C36322F"/>
    <w:rsid w:val="7C38201E"/>
    <w:rsid w:val="7C4B1BC9"/>
    <w:rsid w:val="7C4C0C68"/>
    <w:rsid w:val="7C713D25"/>
    <w:rsid w:val="7C72583B"/>
    <w:rsid w:val="7C7452F3"/>
    <w:rsid w:val="7C8118DD"/>
    <w:rsid w:val="7C8517CE"/>
    <w:rsid w:val="7C8B5360"/>
    <w:rsid w:val="7C8F1BDC"/>
    <w:rsid w:val="7C8F558C"/>
    <w:rsid w:val="7C9220C6"/>
    <w:rsid w:val="7C924621"/>
    <w:rsid w:val="7CA350C3"/>
    <w:rsid w:val="7CA80804"/>
    <w:rsid w:val="7CAD0B36"/>
    <w:rsid w:val="7CAD1ED6"/>
    <w:rsid w:val="7CB80923"/>
    <w:rsid w:val="7CC37D56"/>
    <w:rsid w:val="7CC40906"/>
    <w:rsid w:val="7CD52B1A"/>
    <w:rsid w:val="7CD61046"/>
    <w:rsid w:val="7CD84AB7"/>
    <w:rsid w:val="7D1D3D20"/>
    <w:rsid w:val="7D266021"/>
    <w:rsid w:val="7D284C05"/>
    <w:rsid w:val="7D295649"/>
    <w:rsid w:val="7D3F2639"/>
    <w:rsid w:val="7D5F5D7B"/>
    <w:rsid w:val="7D66559A"/>
    <w:rsid w:val="7D6B60A1"/>
    <w:rsid w:val="7D6F2C39"/>
    <w:rsid w:val="7D8907BA"/>
    <w:rsid w:val="7D9335A7"/>
    <w:rsid w:val="7D971F3A"/>
    <w:rsid w:val="7D9962BA"/>
    <w:rsid w:val="7DA12CD3"/>
    <w:rsid w:val="7DA44932"/>
    <w:rsid w:val="7DA819AB"/>
    <w:rsid w:val="7DAB026F"/>
    <w:rsid w:val="7DAC00BC"/>
    <w:rsid w:val="7DC06A51"/>
    <w:rsid w:val="7DC23F44"/>
    <w:rsid w:val="7DC42E3F"/>
    <w:rsid w:val="7DC638DF"/>
    <w:rsid w:val="7DC82A79"/>
    <w:rsid w:val="7DE02754"/>
    <w:rsid w:val="7DE03228"/>
    <w:rsid w:val="7DE43F35"/>
    <w:rsid w:val="7DEF7B3B"/>
    <w:rsid w:val="7DF6754F"/>
    <w:rsid w:val="7E016B5E"/>
    <w:rsid w:val="7E1562E9"/>
    <w:rsid w:val="7E17475A"/>
    <w:rsid w:val="7E1909EF"/>
    <w:rsid w:val="7E2312DD"/>
    <w:rsid w:val="7E444769"/>
    <w:rsid w:val="7E583BB4"/>
    <w:rsid w:val="7E996197"/>
    <w:rsid w:val="7EA6479E"/>
    <w:rsid w:val="7EA83E89"/>
    <w:rsid w:val="7EA844E1"/>
    <w:rsid w:val="7EAD17B2"/>
    <w:rsid w:val="7EBB7F4E"/>
    <w:rsid w:val="7EC95D33"/>
    <w:rsid w:val="7ED775E3"/>
    <w:rsid w:val="7EE3599A"/>
    <w:rsid w:val="7EE43D44"/>
    <w:rsid w:val="7EE463DB"/>
    <w:rsid w:val="7EE51AD4"/>
    <w:rsid w:val="7EF26CB5"/>
    <w:rsid w:val="7F08228E"/>
    <w:rsid w:val="7F0E4BA2"/>
    <w:rsid w:val="7F1528A6"/>
    <w:rsid w:val="7F1D1AE2"/>
    <w:rsid w:val="7F210FD6"/>
    <w:rsid w:val="7F3C7699"/>
    <w:rsid w:val="7F3D4654"/>
    <w:rsid w:val="7F4D61A2"/>
    <w:rsid w:val="7F590EFE"/>
    <w:rsid w:val="7F6B740A"/>
    <w:rsid w:val="7F6F28AE"/>
    <w:rsid w:val="7F77380E"/>
    <w:rsid w:val="7F81260B"/>
    <w:rsid w:val="7F8C17F0"/>
    <w:rsid w:val="7F913256"/>
    <w:rsid w:val="7FAC43FE"/>
    <w:rsid w:val="7FB04DCC"/>
    <w:rsid w:val="7FB33100"/>
    <w:rsid w:val="7FB8362F"/>
    <w:rsid w:val="7FC107A4"/>
    <w:rsid w:val="7FC96A91"/>
    <w:rsid w:val="7FCC4EC6"/>
    <w:rsid w:val="7FEF588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weight="1.5pt" color="#FFFF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0" w:name="toc 1"/>
    <w:lsdException w:qFormat="1" w:unhideWhenUsed="0" w:uiPriority="0" w:semiHidden="0" w:name="toc 2"/>
    <w:lsdException w:qFormat="1" w:unhideWhenUsed="0" w:uiPriority="0" w:semiHidden="0" w:name="toc 3"/>
    <w:lsdException w:uiPriority="0" w:name="toc 4"/>
    <w:lsdException w:uiPriority="0" w:name="toc 5"/>
    <w:lsdException w:qFormat="1" w:unhideWhenUsed="0"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iPriority="0" w:name="index heading"/>
    <w:lsdException w:qFormat="1" w:unhideWhenUsed="0" w:uiPriority="35" w:semiHidden="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qFormat="1" w:unhideWhenUsed="0" w:uiPriority="0" w:semiHidden="0" w:name="List"/>
    <w:lsdException w:unhideWhenUsed="0" w:uiPriority="0" w:semiHidden="0" w:name="List Bullet"/>
    <w:lsdException w:uiPriority="0" w:name="List Number"/>
    <w:lsdException w:uiPriority="0" w:name="List 2"/>
    <w:lsdException w:qFormat="1" w:unhideWhenUsed="0" w:uiPriority="0" w:semiHidden="0" w:name="List 3"/>
    <w:lsdException w:uiPriority="0" w:name="List 4"/>
    <w:lsdException w:uiPriority="0" w:name="List 5"/>
    <w:lsdException w:qFormat="1" w:unhideWhenUsed="0" w:uiPriority="0" w:semiHidden="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qFormat="1" w:unhideWhenUsed="0" w:uiPriority="0"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99" w:semiHidden="0" w:name="Subtitle"/>
    <w:lsdException w:uiPriority="0" w:name="Salutation"/>
    <w:lsdException w:uiPriority="0" w:name="Date"/>
    <w:lsdException w:qFormat="1" w:unhideWhenUsed="0" w:uiPriority="0" w:semiHidden="0" w:name="Body Text First Indent"/>
    <w:lsdException w:qFormat="1" w:unhideWhenUsed="0" w:uiPriority="0" w:semiHidden="0" w:name="Body Text First Indent 2"/>
    <w:lsdException w:uiPriority="0" w:name="Note Heading"/>
    <w:lsdException w:qFormat="1" w:unhideWhenUsed="0" w:uiPriority="0" w:semiHidden="0" w:name="Body Text 2"/>
    <w:lsdException w:uiPriority="0" w:name="Body Text 3"/>
    <w:lsdException w:qFormat="1" w:unhideWhenUsed="0" w:uiPriority="0" w:semiHidden="0" w:name="Body Text Indent 2"/>
    <w:lsdException w:qFormat="1" w:unhideWhenUsed="0" w:uiPriority="0" w:semiHidden="0" w:name="Body Text Indent 3"/>
    <w:lsdException w:uiPriority="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0" w:semiHidden="0" w:name="Plain Text"/>
    <w:lsdException w:qFormat="1" w:uiPriority="0" w:semiHidden="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nhideWhenUsed="0" w:uiPriority="0" w:semiHidden="0" w:name="HTML Preformatted"/>
    <w:lsdException w:uiPriority="0" w:name="HTML Sample"/>
    <w:lsdException w:uiPriority="0" w:name="HTML Typewriter"/>
    <w:lsdException w:qFormat="1"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djustRightInd w:val="0"/>
      <w:snapToGrid w:val="0"/>
      <w:spacing w:line="360" w:lineRule="auto"/>
      <w:jc w:val="both"/>
    </w:pPr>
    <w:rPr>
      <w:rFonts w:ascii="Times New Roman" w:hAnsi="Times New Roman" w:eastAsia="宋体" w:cs="Times New Roman"/>
      <w:kern w:val="2"/>
      <w:sz w:val="28"/>
      <w:szCs w:val="24"/>
      <w:lang w:val="en-US" w:eastAsia="zh-CN" w:bidi="ar-SA"/>
    </w:rPr>
  </w:style>
  <w:style w:type="paragraph" w:styleId="3">
    <w:name w:val="heading 1"/>
    <w:basedOn w:val="1"/>
    <w:next w:val="1"/>
    <w:qFormat/>
    <w:uiPriority w:val="0"/>
    <w:pPr>
      <w:keepNext/>
      <w:keepLines/>
      <w:spacing w:before="340" w:after="330" w:line="576" w:lineRule="auto"/>
      <w:jc w:val="center"/>
      <w:outlineLvl w:val="0"/>
    </w:pPr>
    <w:rPr>
      <w:rFonts w:ascii="Calibri" w:hAnsi="Calibri"/>
      <w:b/>
      <w:kern w:val="44"/>
    </w:rPr>
  </w:style>
  <w:style w:type="paragraph" w:styleId="4">
    <w:name w:val="heading 2"/>
    <w:basedOn w:val="1"/>
    <w:next w:val="1"/>
    <w:qFormat/>
    <w:uiPriority w:val="0"/>
    <w:pPr>
      <w:keepNext/>
      <w:keepLines/>
      <w:adjustRightInd/>
      <w:snapToGrid/>
      <w:spacing w:before="260" w:after="260" w:line="413" w:lineRule="auto"/>
      <w:outlineLvl w:val="1"/>
    </w:pPr>
    <w:rPr>
      <w:rFonts w:ascii="Arial" w:hAnsi="Arial" w:eastAsia="黑体"/>
      <w:b/>
      <w:bCs/>
      <w:sz w:val="32"/>
      <w:szCs w:val="32"/>
      <w:lang w:val="de-DE"/>
    </w:rPr>
  </w:style>
  <w:style w:type="paragraph" w:styleId="5">
    <w:name w:val="heading 3"/>
    <w:basedOn w:val="1"/>
    <w:next w:val="1"/>
    <w:link w:val="79"/>
    <w:qFormat/>
    <w:uiPriority w:val="0"/>
    <w:pPr>
      <w:keepNext/>
      <w:keepLines/>
      <w:spacing w:before="260" w:after="260" w:line="416" w:lineRule="auto"/>
      <w:outlineLvl w:val="2"/>
    </w:pPr>
    <w:rPr>
      <w:b/>
      <w:bCs/>
      <w:kern w:val="0"/>
      <w:sz w:val="32"/>
      <w:szCs w:val="32"/>
    </w:rPr>
  </w:style>
  <w:style w:type="paragraph" w:styleId="6">
    <w:name w:val="heading 4"/>
    <w:basedOn w:val="1"/>
    <w:next w:val="1"/>
    <w:qFormat/>
    <w:uiPriority w:val="0"/>
    <w:pPr>
      <w:keepNext/>
      <w:keepLines/>
      <w:spacing w:before="280" w:after="290" w:line="372" w:lineRule="auto"/>
      <w:outlineLvl w:val="3"/>
    </w:pPr>
    <w:rPr>
      <w:rFonts w:ascii="Arial" w:hAnsi="Arial" w:eastAsia="黑体"/>
      <w:b/>
    </w:rPr>
  </w:style>
  <w:style w:type="paragraph" w:styleId="7">
    <w:name w:val="heading 5"/>
    <w:basedOn w:val="1"/>
    <w:next w:val="1"/>
    <w:qFormat/>
    <w:uiPriority w:val="0"/>
    <w:pPr>
      <w:keepNext/>
      <w:keepLines/>
      <w:numPr>
        <w:ilvl w:val="4"/>
        <w:numId w:val="1"/>
      </w:numPr>
      <w:tabs>
        <w:tab w:val="left" w:pos="700"/>
        <w:tab w:val="clear" w:pos="1008"/>
      </w:tabs>
      <w:autoSpaceDE w:val="0"/>
      <w:autoSpaceDN w:val="0"/>
      <w:spacing w:before="280" w:after="290" w:line="376" w:lineRule="auto"/>
      <w:outlineLvl w:val="4"/>
    </w:pPr>
    <w:rPr>
      <w:rFonts w:ascii="宋体"/>
      <w:b/>
      <w:color w:val="000000"/>
      <w:w w:val="90"/>
      <w:kern w:val="0"/>
      <w:szCs w:val="20"/>
    </w:rPr>
  </w:style>
  <w:style w:type="character" w:default="1" w:styleId="42">
    <w:name w:val="Default Paragraph Font"/>
    <w:semiHidden/>
    <w:unhideWhenUsed/>
    <w:uiPriority w:val="1"/>
  </w:style>
  <w:style w:type="table" w:default="1" w:styleId="40">
    <w:name w:val="Normal Table"/>
    <w:semiHidden/>
    <w:unhideWhenUsed/>
    <w:qFormat/>
    <w:uiPriority w:val="99"/>
    <w:tblPr>
      <w:tblCellMar>
        <w:top w:w="0" w:type="dxa"/>
        <w:left w:w="108" w:type="dxa"/>
        <w:bottom w:w="0" w:type="dxa"/>
        <w:right w:w="108" w:type="dxa"/>
      </w:tblCellMar>
    </w:tblPr>
  </w:style>
  <w:style w:type="paragraph" w:styleId="2">
    <w:name w:val="Plain Text"/>
    <w:basedOn w:val="1"/>
    <w:link w:val="78"/>
    <w:qFormat/>
    <w:uiPriority w:val="0"/>
    <w:pPr>
      <w:adjustRightInd/>
      <w:snapToGrid/>
      <w:spacing w:line="240" w:lineRule="auto"/>
    </w:pPr>
    <w:rPr>
      <w:rFonts w:ascii="宋体" w:hAnsi="Courier New"/>
      <w:sz w:val="21"/>
    </w:rPr>
  </w:style>
  <w:style w:type="paragraph" w:styleId="8">
    <w:name w:val="List 3"/>
    <w:basedOn w:val="1"/>
    <w:next w:val="1"/>
    <w:qFormat/>
    <w:uiPriority w:val="0"/>
    <w:pPr>
      <w:adjustRightInd/>
      <w:snapToGrid/>
      <w:spacing w:line="240" w:lineRule="auto"/>
      <w:ind w:left="100" w:leftChars="400" w:hanging="200" w:hangingChars="200"/>
    </w:pPr>
    <w:rPr>
      <w:sz w:val="21"/>
    </w:rPr>
  </w:style>
  <w:style w:type="paragraph" w:styleId="9">
    <w:name w:val="E-mail Signature"/>
    <w:basedOn w:val="1"/>
    <w:next w:val="10"/>
    <w:unhideWhenUsed/>
    <w:qFormat/>
    <w:uiPriority w:val="0"/>
    <w:rPr>
      <w:lang w:val="zh-CN"/>
    </w:rPr>
  </w:style>
  <w:style w:type="paragraph" w:customStyle="1" w:styleId="10">
    <w:name w:val="文章"/>
    <w:basedOn w:val="1"/>
    <w:next w:val="11"/>
    <w:qFormat/>
    <w:uiPriority w:val="0"/>
    <w:pPr>
      <w:spacing w:line="300" w:lineRule="auto"/>
      <w:ind w:firstLine="200" w:firstLineChars="200"/>
    </w:pPr>
  </w:style>
  <w:style w:type="paragraph" w:styleId="11">
    <w:name w:val="List"/>
    <w:basedOn w:val="1"/>
    <w:next w:val="12"/>
    <w:qFormat/>
    <w:uiPriority w:val="0"/>
    <w:pPr>
      <w:ind w:left="200" w:hanging="200" w:hangingChars="200"/>
    </w:pPr>
  </w:style>
  <w:style w:type="paragraph" w:styleId="12">
    <w:name w:val="List Bullet 2"/>
    <w:basedOn w:val="1"/>
    <w:next w:val="13"/>
    <w:qFormat/>
    <w:uiPriority w:val="0"/>
    <w:pPr>
      <w:numPr>
        <w:ilvl w:val="0"/>
        <w:numId w:val="2"/>
      </w:numPr>
    </w:pPr>
  </w:style>
  <w:style w:type="paragraph" w:customStyle="1" w:styleId="13">
    <w:name w:val="xl70"/>
    <w:basedOn w:val="1"/>
    <w:next w:val="14"/>
    <w:qFormat/>
    <w:uiPriority w:val="0"/>
    <w:pPr>
      <w:widowControl/>
      <w:spacing w:before="280" w:after="280" w:line="240" w:lineRule="auto"/>
    </w:pPr>
    <w:rPr>
      <w:rFonts w:ascii="宋体"/>
    </w:rPr>
  </w:style>
  <w:style w:type="paragraph" w:customStyle="1" w:styleId="14">
    <w:name w:val="正文缩进1"/>
    <w:basedOn w:val="1"/>
    <w:next w:val="15"/>
    <w:qFormat/>
    <w:uiPriority w:val="0"/>
    <w:pPr>
      <w:ind w:firstLine="420"/>
    </w:pPr>
    <w:rPr>
      <w:rFonts w:ascii="宋体"/>
    </w:rPr>
  </w:style>
  <w:style w:type="paragraph" w:customStyle="1" w:styleId="15">
    <w:name w:val="td1"/>
    <w:basedOn w:val="1"/>
    <w:next w:val="1"/>
    <w:qFormat/>
    <w:uiPriority w:val="0"/>
    <w:pPr>
      <w:widowControl/>
      <w:spacing w:before="280" w:after="280" w:line="300" w:lineRule="atLeast"/>
      <w:ind w:firstLine="200"/>
    </w:pPr>
    <w:rPr>
      <w:color w:val="000000"/>
      <w:sz w:val="18"/>
    </w:rPr>
  </w:style>
  <w:style w:type="paragraph" w:styleId="16">
    <w:name w:val="Normal Indent"/>
    <w:basedOn w:val="1"/>
    <w:next w:val="1"/>
    <w:link w:val="66"/>
    <w:qFormat/>
    <w:uiPriority w:val="0"/>
    <w:pPr>
      <w:adjustRightInd/>
      <w:snapToGrid/>
      <w:ind w:firstLine="420"/>
    </w:pPr>
    <w:rPr>
      <w:sz w:val="24"/>
      <w:szCs w:val="20"/>
    </w:rPr>
  </w:style>
  <w:style w:type="paragraph" w:styleId="17">
    <w:name w:val="caption"/>
    <w:basedOn w:val="1"/>
    <w:next w:val="1"/>
    <w:qFormat/>
    <w:uiPriority w:val="35"/>
    <w:pPr>
      <w:adjustRightInd/>
      <w:snapToGrid/>
      <w:spacing w:before="152" w:after="160" w:line="240" w:lineRule="auto"/>
    </w:pPr>
    <w:rPr>
      <w:rFonts w:ascii="Arial" w:hAnsi="Arial" w:eastAsia="黑体" w:cs="Arial"/>
      <w:sz w:val="20"/>
      <w:szCs w:val="20"/>
    </w:rPr>
  </w:style>
  <w:style w:type="paragraph" w:styleId="18">
    <w:name w:val="Document Map"/>
    <w:basedOn w:val="1"/>
    <w:semiHidden/>
    <w:qFormat/>
    <w:uiPriority w:val="0"/>
    <w:pPr>
      <w:shd w:val="clear" w:color="auto" w:fill="000080"/>
    </w:pPr>
  </w:style>
  <w:style w:type="paragraph" w:styleId="19">
    <w:name w:val="annotation text"/>
    <w:basedOn w:val="1"/>
    <w:link w:val="174"/>
    <w:qFormat/>
    <w:uiPriority w:val="0"/>
    <w:pPr>
      <w:adjustRightInd/>
      <w:snapToGrid/>
      <w:spacing w:line="240" w:lineRule="auto"/>
      <w:ind w:firstLine="510"/>
      <w:jc w:val="left"/>
    </w:pPr>
    <w:rPr>
      <w:szCs w:val="20"/>
    </w:rPr>
  </w:style>
  <w:style w:type="paragraph" w:styleId="20">
    <w:name w:val="Body Text"/>
    <w:basedOn w:val="1"/>
    <w:next w:val="1"/>
    <w:qFormat/>
    <w:uiPriority w:val="0"/>
    <w:pPr>
      <w:adjustRightInd/>
      <w:snapToGrid/>
      <w:spacing w:after="120" w:line="240" w:lineRule="auto"/>
      <w:ind w:firstLine="510"/>
    </w:pPr>
    <w:rPr>
      <w:szCs w:val="20"/>
    </w:rPr>
  </w:style>
  <w:style w:type="paragraph" w:styleId="21">
    <w:name w:val="Body Text Indent"/>
    <w:basedOn w:val="1"/>
    <w:next w:val="22"/>
    <w:qFormat/>
    <w:uiPriority w:val="0"/>
    <w:pPr>
      <w:spacing w:after="120"/>
      <w:ind w:left="420" w:leftChars="200"/>
    </w:pPr>
  </w:style>
  <w:style w:type="paragraph" w:styleId="22">
    <w:name w:val="header"/>
    <w:basedOn w:val="1"/>
    <w:next w:val="23"/>
    <w:qFormat/>
    <w:uiPriority w:val="0"/>
    <w:pPr>
      <w:pBdr>
        <w:bottom w:val="single" w:color="auto" w:sz="6" w:space="1"/>
      </w:pBdr>
      <w:tabs>
        <w:tab w:val="center" w:pos="4153"/>
        <w:tab w:val="right" w:pos="8306"/>
      </w:tabs>
      <w:spacing w:line="240" w:lineRule="auto"/>
      <w:jc w:val="center"/>
    </w:pPr>
    <w:rPr>
      <w:sz w:val="18"/>
      <w:szCs w:val="18"/>
    </w:rPr>
  </w:style>
  <w:style w:type="paragraph" w:customStyle="1" w:styleId="23">
    <w:name w:val="样式5"/>
    <w:basedOn w:val="24"/>
    <w:next w:val="1"/>
    <w:qFormat/>
    <w:uiPriority w:val="0"/>
    <w:pPr>
      <w:tabs>
        <w:tab w:val="left" w:pos="0"/>
        <w:tab w:val="left" w:pos="360"/>
        <w:tab w:val="left" w:pos="567"/>
      </w:tabs>
      <w:ind w:hanging="567" w:firstLineChars="0"/>
    </w:pPr>
  </w:style>
  <w:style w:type="paragraph" w:customStyle="1" w:styleId="24">
    <w:name w:val="样式12"/>
    <w:basedOn w:val="25"/>
    <w:qFormat/>
    <w:uiPriority w:val="0"/>
    <w:pPr>
      <w:tabs>
        <w:tab w:val="left" w:pos="0"/>
        <w:tab w:val="left" w:pos="360"/>
      </w:tabs>
      <w:spacing w:before="156" w:afterLines="50"/>
      <w:ind w:left="567" w:hanging="992" w:firstLineChars="200"/>
      <w:outlineLvl w:val="1"/>
    </w:pPr>
    <w:rPr>
      <w:szCs w:val="28"/>
    </w:rPr>
  </w:style>
  <w:style w:type="paragraph" w:customStyle="1" w:styleId="25">
    <w:name w:val="样式17"/>
    <w:basedOn w:val="1"/>
    <w:qFormat/>
    <w:uiPriority w:val="0"/>
    <w:pPr>
      <w:keepNext/>
      <w:keepLines/>
      <w:tabs>
        <w:tab w:val="left" w:pos="0"/>
      </w:tabs>
      <w:spacing w:beforeLines="50"/>
      <w:outlineLvl w:val="0"/>
    </w:pPr>
    <w:rPr>
      <w:rFonts w:ascii="黑体" w:hAnsi="黑体" w:eastAsia="黑体"/>
      <w:kern w:val="44"/>
      <w:sz w:val="30"/>
      <w:szCs w:val="44"/>
      <w:lang w:val="zh-CN"/>
    </w:rPr>
  </w:style>
  <w:style w:type="paragraph" w:styleId="26">
    <w:name w:val="toc 3"/>
    <w:basedOn w:val="1"/>
    <w:next w:val="1"/>
    <w:qFormat/>
    <w:uiPriority w:val="0"/>
    <w:pPr>
      <w:adjustRightInd/>
      <w:snapToGrid/>
      <w:spacing w:line="240" w:lineRule="auto"/>
      <w:jc w:val="center"/>
    </w:pPr>
    <w:rPr>
      <w:rFonts w:hAnsi="宋体"/>
      <w:sz w:val="24"/>
    </w:rPr>
  </w:style>
  <w:style w:type="paragraph" w:styleId="27">
    <w:name w:val="Body Text Indent 2"/>
    <w:basedOn w:val="1"/>
    <w:next w:val="1"/>
    <w:qFormat/>
    <w:uiPriority w:val="0"/>
    <w:pPr>
      <w:adjustRightInd/>
      <w:snapToGrid/>
      <w:spacing w:after="120" w:line="480" w:lineRule="auto"/>
      <w:ind w:left="420" w:leftChars="200" w:firstLine="510"/>
    </w:pPr>
    <w:rPr>
      <w:szCs w:val="20"/>
    </w:rPr>
  </w:style>
  <w:style w:type="paragraph" w:styleId="28">
    <w:name w:val="Balloon Text"/>
    <w:basedOn w:val="1"/>
    <w:semiHidden/>
    <w:qFormat/>
    <w:uiPriority w:val="0"/>
    <w:rPr>
      <w:sz w:val="18"/>
      <w:szCs w:val="18"/>
    </w:rPr>
  </w:style>
  <w:style w:type="paragraph" w:styleId="29">
    <w:name w:val="footer"/>
    <w:basedOn w:val="1"/>
    <w:link w:val="55"/>
    <w:qFormat/>
    <w:uiPriority w:val="99"/>
    <w:pPr>
      <w:tabs>
        <w:tab w:val="center" w:pos="4153"/>
        <w:tab w:val="right" w:pos="8306"/>
      </w:tabs>
      <w:spacing w:line="240" w:lineRule="auto"/>
      <w:jc w:val="left"/>
    </w:pPr>
    <w:rPr>
      <w:sz w:val="18"/>
      <w:szCs w:val="18"/>
    </w:rPr>
  </w:style>
  <w:style w:type="paragraph" w:styleId="30">
    <w:name w:val="Subtitle"/>
    <w:basedOn w:val="1"/>
    <w:next w:val="1"/>
    <w:qFormat/>
    <w:uiPriority w:val="99"/>
    <w:pPr>
      <w:jc w:val="center"/>
    </w:pPr>
    <w:rPr>
      <w:b/>
    </w:rPr>
  </w:style>
  <w:style w:type="paragraph" w:styleId="31">
    <w:name w:val="toc 6"/>
    <w:basedOn w:val="1"/>
    <w:next w:val="1"/>
    <w:semiHidden/>
    <w:qFormat/>
    <w:uiPriority w:val="0"/>
    <w:pPr>
      <w:ind w:left="2100" w:leftChars="1000"/>
    </w:pPr>
  </w:style>
  <w:style w:type="paragraph" w:styleId="32">
    <w:name w:val="Body Text Indent 3"/>
    <w:basedOn w:val="1"/>
    <w:qFormat/>
    <w:uiPriority w:val="0"/>
    <w:pPr>
      <w:spacing w:after="120"/>
      <w:ind w:left="420" w:leftChars="200"/>
    </w:pPr>
    <w:rPr>
      <w:sz w:val="16"/>
      <w:szCs w:val="16"/>
    </w:rPr>
  </w:style>
  <w:style w:type="paragraph" w:styleId="33">
    <w:name w:val="toc 2"/>
    <w:basedOn w:val="1"/>
    <w:next w:val="1"/>
    <w:qFormat/>
    <w:uiPriority w:val="0"/>
    <w:pPr>
      <w:tabs>
        <w:tab w:val="left" w:pos="850"/>
        <w:tab w:val="right" w:leader="dot" w:pos="8296"/>
      </w:tabs>
      <w:ind w:left="560" w:leftChars="200"/>
    </w:pPr>
  </w:style>
  <w:style w:type="paragraph" w:styleId="34">
    <w:name w:val="Body Text 2"/>
    <w:basedOn w:val="1"/>
    <w:qFormat/>
    <w:uiPriority w:val="0"/>
    <w:pPr>
      <w:adjustRightInd/>
      <w:snapToGrid/>
      <w:spacing w:after="120" w:line="480" w:lineRule="auto"/>
      <w:ind w:firstLine="510"/>
    </w:pPr>
    <w:rPr>
      <w:szCs w:val="20"/>
    </w:rPr>
  </w:style>
  <w:style w:type="paragraph" w:styleId="35">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kern w:val="0"/>
      <w:sz w:val="24"/>
    </w:rPr>
  </w:style>
  <w:style w:type="paragraph" w:styleId="36">
    <w:name w:val="Normal (Web)"/>
    <w:basedOn w:val="1"/>
    <w:qFormat/>
    <w:uiPriority w:val="0"/>
    <w:pPr>
      <w:widowControl/>
      <w:adjustRightInd/>
      <w:snapToGrid/>
      <w:spacing w:before="100" w:beforeAutospacing="1" w:after="100" w:afterAutospacing="1" w:line="240" w:lineRule="auto"/>
      <w:jc w:val="left"/>
    </w:pPr>
    <w:rPr>
      <w:rFonts w:ascii="宋体" w:hAnsi="宋体" w:cs="宋体"/>
      <w:kern w:val="0"/>
      <w:sz w:val="24"/>
    </w:rPr>
  </w:style>
  <w:style w:type="paragraph" w:styleId="37">
    <w:name w:val="annotation subject"/>
    <w:basedOn w:val="19"/>
    <w:next w:val="19"/>
    <w:qFormat/>
    <w:uiPriority w:val="0"/>
    <w:pPr>
      <w:ind w:firstLine="0"/>
    </w:pPr>
    <w:rPr>
      <w:b/>
      <w:bCs/>
      <w:sz w:val="21"/>
      <w:szCs w:val="24"/>
    </w:rPr>
  </w:style>
  <w:style w:type="paragraph" w:styleId="38">
    <w:name w:val="Body Text First Indent"/>
    <w:basedOn w:val="20"/>
    <w:link w:val="59"/>
    <w:qFormat/>
    <w:uiPriority w:val="0"/>
    <w:pPr>
      <w:ind w:firstLine="420" w:firstLineChars="100"/>
    </w:pPr>
  </w:style>
  <w:style w:type="paragraph" w:styleId="39">
    <w:name w:val="Body Text First Indent 2"/>
    <w:basedOn w:val="21"/>
    <w:qFormat/>
    <w:uiPriority w:val="0"/>
    <w:pPr>
      <w:ind w:firstLine="420" w:firstLineChars="200"/>
    </w:pPr>
  </w:style>
  <w:style w:type="table" w:styleId="41">
    <w:name w:val="Table Grid"/>
    <w:basedOn w:val="40"/>
    <w:qFormat/>
    <w:uiPriority w:val="0"/>
    <w:pPr>
      <w:widowControl w:val="0"/>
      <w:adjustRightInd w:val="0"/>
      <w:snapToGrid w:val="0"/>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43">
    <w:name w:val="Strong"/>
    <w:qFormat/>
    <w:uiPriority w:val="0"/>
    <w:rPr>
      <w:b/>
      <w:bCs/>
    </w:rPr>
  </w:style>
  <w:style w:type="character" w:styleId="44">
    <w:name w:val="page number"/>
    <w:basedOn w:val="42"/>
    <w:qFormat/>
    <w:uiPriority w:val="0"/>
  </w:style>
  <w:style w:type="character" w:styleId="45">
    <w:name w:val="FollowedHyperlink"/>
    <w:qFormat/>
    <w:uiPriority w:val="0"/>
    <w:rPr>
      <w:color w:val="333333"/>
      <w:u w:val="none"/>
    </w:rPr>
  </w:style>
  <w:style w:type="character" w:styleId="46">
    <w:name w:val="HTML Variable"/>
    <w:qFormat/>
    <w:uiPriority w:val="0"/>
  </w:style>
  <w:style w:type="character" w:styleId="47">
    <w:name w:val="Hyperlink"/>
    <w:qFormat/>
    <w:uiPriority w:val="0"/>
    <w:rPr>
      <w:color w:val="136EC2"/>
      <w:u w:val="single"/>
    </w:rPr>
  </w:style>
  <w:style w:type="character" w:styleId="48">
    <w:name w:val="annotation reference"/>
    <w:basedOn w:val="42"/>
    <w:qFormat/>
    <w:uiPriority w:val="0"/>
    <w:rPr>
      <w:sz w:val="21"/>
      <w:szCs w:val="21"/>
    </w:rPr>
  </w:style>
  <w:style w:type="paragraph" w:customStyle="1" w:styleId="49">
    <w:name w:val="Default"/>
    <w:basedOn w:val="50"/>
    <w:next w:val="8"/>
    <w:link w:val="171"/>
    <w:unhideWhenUsed/>
    <w:qFormat/>
    <w:uiPriority w:val="0"/>
    <w:pPr>
      <w:autoSpaceDE w:val="0"/>
      <w:autoSpaceDN w:val="0"/>
    </w:pPr>
    <w:rPr>
      <w:rFonts w:hint="eastAsia" w:hAnsi="宋体"/>
      <w:color w:val="000000"/>
      <w:sz w:val="24"/>
    </w:rPr>
  </w:style>
  <w:style w:type="paragraph" w:customStyle="1" w:styleId="50">
    <w:name w:val="纯文本1"/>
    <w:basedOn w:val="1"/>
    <w:qFormat/>
    <w:uiPriority w:val="0"/>
    <w:rPr>
      <w:rFonts w:ascii="宋体" w:hAnsi="Courier New"/>
      <w:szCs w:val="20"/>
    </w:rPr>
  </w:style>
  <w:style w:type="paragraph" w:customStyle="1" w:styleId="51">
    <w:name w:val="样式35"/>
    <w:basedOn w:val="52"/>
    <w:next w:val="54"/>
    <w:qFormat/>
    <w:uiPriority w:val="0"/>
    <w:pPr>
      <w:tabs>
        <w:tab w:val="left" w:pos="0"/>
        <w:tab w:val="left" w:pos="360"/>
        <w:tab w:val="left" w:pos="540"/>
        <w:tab w:val="left" w:pos="567"/>
      </w:tabs>
      <w:spacing w:line="312" w:lineRule="auto"/>
      <w:ind w:firstLine="567"/>
    </w:pPr>
    <w:rPr>
      <w:rFonts w:ascii="宋体" w:hAnsi="Calibri" w:eastAsia="宋体"/>
      <w:kern w:val="2"/>
      <w:sz w:val="21"/>
      <w:szCs w:val="22"/>
    </w:rPr>
  </w:style>
  <w:style w:type="paragraph" w:customStyle="1" w:styleId="52">
    <w:name w:val="样式26"/>
    <w:basedOn w:val="53"/>
    <w:qFormat/>
    <w:uiPriority w:val="0"/>
    <w:pPr>
      <w:tabs>
        <w:tab w:val="left" w:pos="0"/>
        <w:tab w:val="left" w:pos="360"/>
        <w:tab w:val="left" w:pos="540"/>
        <w:tab w:val="left" w:pos="567"/>
      </w:tabs>
    </w:pPr>
  </w:style>
  <w:style w:type="paragraph" w:customStyle="1" w:styleId="53">
    <w:name w:val="样式21"/>
    <w:basedOn w:val="23"/>
    <w:qFormat/>
    <w:uiPriority w:val="0"/>
    <w:pPr>
      <w:spacing w:beforeLines="0" w:afterLines="0"/>
      <w:ind w:hanging="992"/>
    </w:pPr>
    <w:rPr>
      <w:kern w:val="0"/>
    </w:rPr>
  </w:style>
  <w:style w:type="paragraph" w:customStyle="1" w:styleId="54">
    <w:name w:val="font6"/>
    <w:next w:val="33"/>
    <w:qFormat/>
    <w:uiPriority w:val="0"/>
    <w:pPr>
      <w:spacing w:before="280" w:after="280"/>
      <w:jc w:val="both"/>
    </w:pPr>
    <w:rPr>
      <w:rFonts w:ascii="Calibri" w:hAnsi="Calibri" w:eastAsia="宋体" w:cs="Times New Roman"/>
      <w:kern w:val="2"/>
      <w:sz w:val="21"/>
      <w:szCs w:val="22"/>
      <w:lang w:val="en-US" w:eastAsia="zh-CN" w:bidi="ar-SA"/>
    </w:rPr>
  </w:style>
  <w:style w:type="character" w:customStyle="1" w:styleId="55">
    <w:name w:val="页脚 Char"/>
    <w:link w:val="29"/>
    <w:qFormat/>
    <w:uiPriority w:val="99"/>
    <w:rPr>
      <w:kern w:val="2"/>
      <w:sz w:val="18"/>
      <w:szCs w:val="18"/>
    </w:rPr>
  </w:style>
  <w:style w:type="character" w:customStyle="1" w:styleId="56">
    <w:name w:val="表格文字 Char Char"/>
    <w:link w:val="57"/>
    <w:qFormat/>
    <w:uiPriority w:val="0"/>
    <w:rPr>
      <w:rFonts w:ascii="宋体" w:hAnsi="宋体" w:eastAsia="宋体"/>
      <w:snapToGrid w:val="0"/>
      <w:color w:val="000000"/>
      <w:kern w:val="2"/>
      <w:sz w:val="18"/>
      <w:szCs w:val="21"/>
      <w:lang w:val="en-US" w:eastAsia="zh-CN" w:bidi="ar-SA"/>
    </w:rPr>
  </w:style>
  <w:style w:type="paragraph" w:customStyle="1" w:styleId="57">
    <w:name w:val="表格文字"/>
    <w:basedOn w:val="2"/>
    <w:link w:val="56"/>
    <w:qFormat/>
    <w:uiPriority w:val="0"/>
    <w:pPr>
      <w:spacing w:line="300" w:lineRule="auto"/>
      <w:jc w:val="center"/>
    </w:pPr>
    <w:rPr>
      <w:rFonts w:hAnsi="宋体"/>
      <w:snapToGrid w:val="0"/>
      <w:color w:val="000000"/>
      <w:sz w:val="18"/>
      <w:szCs w:val="21"/>
    </w:rPr>
  </w:style>
  <w:style w:type="character" w:customStyle="1" w:styleId="58">
    <w:name w:val="Body text + Arial Unicode MS"/>
    <w:qFormat/>
    <w:uiPriority w:val="0"/>
    <w:rPr>
      <w:rFonts w:ascii="Arial Unicode MS" w:hAnsi="Arial Unicode MS" w:eastAsia="Arial Unicode MS" w:cs="Arial Unicode MS"/>
      <w:color w:val="000000"/>
      <w:spacing w:val="10"/>
      <w:w w:val="100"/>
      <w:position w:val="0"/>
      <w:sz w:val="19"/>
      <w:szCs w:val="19"/>
      <w:shd w:val="clear" w:color="auto" w:fill="FFFFFF"/>
      <w:lang w:val="en-US"/>
    </w:rPr>
  </w:style>
  <w:style w:type="character" w:customStyle="1" w:styleId="59">
    <w:name w:val="正文首行缩进 Char"/>
    <w:link w:val="38"/>
    <w:qFormat/>
    <w:uiPriority w:val="0"/>
    <w:rPr>
      <w:kern w:val="2"/>
      <w:sz w:val="28"/>
    </w:rPr>
  </w:style>
  <w:style w:type="character" w:customStyle="1" w:styleId="60">
    <w:name w:val="fontstyle01"/>
    <w:qFormat/>
    <w:uiPriority w:val="0"/>
    <w:rPr>
      <w:rFonts w:hint="eastAsia" w:ascii="宋体" w:hAnsi="宋体" w:eastAsia="宋体"/>
      <w:color w:val="000000"/>
      <w:sz w:val="24"/>
      <w:szCs w:val="24"/>
    </w:rPr>
  </w:style>
  <w:style w:type="character" w:customStyle="1" w:styleId="61">
    <w:name w:val="表格 32 Char Char"/>
    <w:qFormat/>
    <w:uiPriority w:val="0"/>
    <w:rPr>
      <w:rFonts w:eastAsia="楷体_GB2312"/>
      <w:sz w:val="24"/>
      <w:lang w:val="en-US" w:eastAsia="zh-CN" w:bidi="ar-SA"/>
    </w:rPr>
  </w:style>
  <w:style w:type="character" w:customStyle="1" w:styleId="62">
    <w:name w:val="正文文本2"/>
    <w:qFormat/>
    <w:uiPriority w:val="0"/>
    <w:rPr>
      <w:rFonts w:ascii="MingLiU" w:hAnsi="MingLiU" w:eastAsia="MingLiU" w:cs="MingLiU"/>
      <w:color w:val="000000"/>
      <w:spacing w:val="0"/>
      <w:w w:val="100"/>
      <w:position w:val="0"/>
      <w:sz w:val="19"/>
      <w:szCs w:val="19"/>
      <w:u w:val="none"/>
      <w:shd w:val="clear" w:color="auto" w:fill="FFFFFF"/>
      <w:lang w:val="zh-TW"/>
    </w:rPr>
  </w:style>
  <w:style w:type="character" w:customStyle="1" w:styleId="63">
    <w:name w:val="表格 Char"/>
    <w:link w:val="64"/>
    <w:qFormat/>
    <w:uiPriority w:val="0"/>
    <w:rPr>
      <w:rFonts w:ascii="宋体" w:hAnsi="宋体" w:eastAsia="宋体"/>
      <w:snapToGrid w:val="0"/>
      <w:sz w:val="21"/>
      <w:szCs w:val="24"/>
      <w:lang w:val="en-US" w:eastAsia="zh-CN" w:bidi="ar-SA"/>
    </w:rPr>
  </w:style>
  <w:style w:type="paragraph" w:customStyle="1" w:styleId="64">
    <w:name w:val="表格"/>
    <w:basedOn w:val="11"/>
    <w:next w:val="1"/>
    <w:link w:val="63"/>
    <w:qFormat/>
    <w:uiPriority w:val="0"/>
    <w:pPr>
      <w:tabs>
        <w:tab w:val="right" w:pos="0"/>
      </w:tabs>
      <w:spacing w:line="300" w:lineRule="auto"/>
      <w:jc w:val="center"/>
    </w:pPr>
    <w:rPr>
      <w:rFonts w:ascii="宋体" w:hAnsi="宋体"/>
      <w:snapToGrid w:val="0"/>
      <w:kern w:val="0"/>
      <w:sz w:val="21"/>
    </w:rPr>
  </w:style>
  <w:style w:type="character" w:customStyle="1" w:styleId="65">
    <w:name w:val="text1"/>
    <w:qFormat/>
    <w:uiPriority w:val="0"/>
    <w:rPr>
      <w:sz w:val="18"/>
      <w:szCs w:val="18"/>
    </w:rPr>
  </w:style>
  <w:style w:type="character" w:customStyle="1" w:styleId="66">
    <w:name w:val="正文缩进 Char"/>
    <w:link w:val="16"/>
    <w:qFormat/>
    <w:uiPriority w:val="0"/>
    <w:rPr>
      <w:rFonts w:eastAsia="宋体"/>
      <w:kern w:val="2"/>
      <w:sz w:val="24"/>
      <w:lang w:val="en-US" w:eastAsia="zh-CN" w:bidi="ar-SA"/>
    </w:rPr>
  </w:style>
  <w:style w:type="character" w:customStyle="1" w:styleId="67">
    <w:name w:val="Char Char Char Char Char Char Char"/>
    <w:link w:val="68"/>
    <w:qFormat/>
    <w:uiPriority w:val="0"/>
    <w:rPr>
      <w:rFonts w:eastAsia="宋体"/>
      <w:kern w:val="2"/>
      <w:sz w:val="24"/>
      <w:szCs w:val="24"/>
      <w:lang w:val="en-US" w:eastAsia="zh-CN" w:bidi="ar-SA"/>
    </w:rPr>
  </w:style>
  <w:style w:type="paragraph" w:customStyle="1" w:styleId="68">
    <w:name w:val="Char Char Char Char Char Char"/>
    <w:basedOn w:val="1"/>
    <w:link w:val="67"/>
    <w:qFormat/>
    <w:uiPriority w:val="0"/>
    <w:pPr>
      <w:adjustRightInd/>
      <w:snapToGrid/>
      <w:spacing w:line="240" w:lineRule="auto"/>
    </w:pPr>
    <w:rPr>
      <w:sz w:val="24"/>
    </w:rPr>
  </w:style>
  <w:style w:type="character" w:customStyle="1" w:styleId="69">
    <w:name w:val="表字 Char"/>
    <w:link w:val="70"/>
    <w:qFormat/>
    <w:locked/>
    <w:uiPriority w:val="0"/>
    <w:rPr>
      <w:sz w:val="21"/>
      <w:szCs w:val="21"/>
      <w:lang w:val="en-US" w:eastAsia="zh-CN" w:bidi="ar-SA"/>
    </w:rPr>
  </w:style>
  <w:style w:type="paragraph" w:customStyle="1" w:styleId="70">
    <w:name w:val="表字"/>
    <w:next w:val="1"/>
    <w:link w:val="69"/>
    <w:qFormat/>
    <w:uiPriority w:val="0"/>
    <w:pPr>
      <w:adjustRightInd w:val="0"/>
      <w:snapToGrid w:val="0"/>
      <w:jc w:val="center"/>
    </w:pPr>
    <w:rPr>
      <w:rFonts w:ascii="Times New Roman" w:hAnsi="Times New Roman" w:eastAsia="宋体" w:cs="Times New Roman"/>
      <w:sz w:val="21"/>
      <w:szCs w:val="21"/>
      <w:lang w:val="en-US" w:eastAsia="zh-CN" w:bidi="ar-SA"/>
    </w:rPr>
  </w:style>
  <w:style w:type="character" w:customStyle="1" w:styleId="71">
    <w:name w:val="正文文本1"/>
    <w:qFormat/>
    <w:uiPriority w:val="0"/>
    <w:rPr>
      <w:rFonts w:ascii="MingLiU" w:hAnsi="MingLiU" w:eastAsia="MingLiU" w:cs="MingLiU"/>
      <w:color w:val="000000"/>
      <w:spacing w:val="0"/>
      <w:w w:val="100"/>
      <w:position w:val="0"/>
      <w:sz w:val="19"/>
      <w:szCs w:val="19"/>
      <w:shd w:val="clear" w:color="auto" w:fill="FFFFFF"/>
      <w:lang w:val="zh-TW"/>
    </w:rPr>
  </w:style>
  <w:style w:type="character" w:customStyle="1" w:styleId="72">
    <w:name w:val="报告表 段 Char"/>
    <w:link w:val="73"/>
    <w:qFormat/>
    <w:uiPriority w:val="0"/>
    <w:rPr>
      <w:rFonts w:ascii="宋体" w:hAnsi="宋体" w:eastAsia="宋体"/>
      <w:bCs/>
      <w:kern w:val="2"/>
      <w:sz w:val="24"/>
      <w:szCs w:val="24"/>
      <w:lang w:val="en-US" w:eastAsia="zh-CN" w:bidi="ar-SA"/>
    </w:rPr>
  </w:style>
  <w:style w:type="paragraph" w:customStyle="1" w:styleId="73">
    <w:name w:val="报告表 段"/>
    <w:basedOn w:val="1"/>
    <w:link w:val="72"/>
    <w:qFormat/>
    <w:uiPriority w:val="0"/>
    <w:pPr>
      <w:adjustRightInd/>
      <w:snapToGrid/>
      <w:ind w:firstLine="470" w:firstLineChars="196"/>
    </w:pPr>
    <w:rPr>
      <w:rFonts w:ascii="宋体" w:hAnsi="宋体"/>
      <w:bCs/>
      <w:sz w:val="24"/>
    </w:rPr>
  </w:style>
  <w:style w:type="character" w:customStyle="1" w:styleId="74">
    <w:name w:val="表格 32 Char"/>
    <w:link w:val="75"/>
    <w:qFormat/>
    <w:uiPriority w:val="0"/>
    <w:rPr>
      <w:rFonts w:eastAsia="楷体_GB2312"/>
      <w:sz w:val="24"/>
      <w:lang w:val="en-US" w:eastAsia="zh-CN" w:bidi="ar-SA"/>
    </w:rPr>
  </w:style>
  <w:style w:type="paragraph" w:customStyle="1" w:styleId="75">
    <w:name w:val="表格 32"/>
    <w:basedOn w:val="1"/>
    <w:link w:val="74"/>
    <w:qFormat/>
    <w:uiPriority w:val="0"/>
    <w:pPr>
      <w:autoSpaceDE w:val="0"/>
      <w:autoSpaceDN w:val="0"/>
      <w:snapToGrid/>
      <w:spacing w:line="240" w:lineRule="auto"/>
      <w:jc w:val="center"/>
      <w:textAlignment w:val="baseline"/>
    </w:pPr>
    <w:rPr>
      <w:rFonts w:eastAsia="楷体_GB2312"/>
      <w:kern w:val="0"/>
      <w:sz w:val="24"/>
      <w:szCs w:val="20"/>
    </w:rPr>
  </w:style>
  <w:style w:type="character" w:customStyle="1" w:styleId="76">
    <w:name w:val="报告表  段 Char"/>
    <w:link w:val="77"/>
    <w:qFormat/>
    <w:uiPriority w:val="0"/>
    <w:rPr>
      <w:rFonts w:ascii="宋体" w:eastAsia="宋体"/>
      <w:sz w:val="24"/>
      <w:lang w:val="en-US" w:eastAsia="zh-CN" w:bidi="ar-SA"/>
    </w:rPr>
  </w:style>
  <w:style w:type="paragraph" w:customStyle="1" w:styleId="77">
    <w:name w:val="报告表  段"/>
    <w:basedOn w:val="1"/>
    <w:link w:val="76"/>
    <w:qFormat/>
    <w:uiPriority w:val="0"/>
    <w:pPr>
      <w:snapToGrid/>
      <w:ind w:firstLine="505"/>
      <w:textAlignment w:val="baseline"/>
    </w:pPr>
    <w:rPr>
      <w:rFonts w:ascii="宋体"/>
      <w:kern w:val="0"/>
      <w:sz w:val="24"/>
      <w:szCs w:val="20"/>
    </w:rPr>
  </w:style>
  <w:style w:type="character" w:customStyle="1" w:styleId="78">
    <w:name w:val="纯文本 Char"/>
    <w:link w:val="2"/>
    <w:qFormat/>
    <w:uiPriority w:val="0"/>
    <w:rPr>
      <w:rFonts w:ascii="宋体" w:hAnsi="Courier New" w:eastAsia="宋体"/>
      <w:kern w:val="2"/>
      <w:sz w:val="21"/>
      <w:szCs w:val="24"/>
      <w:lang w:val="en-US" w:eastAsia="zh-CN" w:bidi="ar-SA"/>
    </w:rPr>
  </w:style>
  <w:style w:type="character" w:customStyle="1" w:styleId="79">
    <w:name w:val="标题 3 Char"/>
    <w:link w:val="5"/>
    <w:qFormat/>
    <w:uiPriority w:val="0"/>
    <w:rPr>
      <w:b/>
      <w:bCs/>
      <w:sz w:val="32"/>
      <w:szCs w:val="32"/>
    </w:rPr>
  </w:style>
  <w:style w:type="paragraph" w:customStyle="1" w:styleId="80">
    <w:name w:val="CM14"/>
    <w:basedOn w:val="49"/>
    <w:next w:val="49"/>
    <w:unhideWhenUsed/>
    <w:qFormat/>
    <w:uiPriority w:val="99"/>
    <w:pPr>
      <w:spacing w:line="468" w:lineRule="atLeast"/>
    </w:pPr>
    <w:rPr>
      <w:rFonts w:hint="default"/>
    </w:rPr>
  </w:style>
  <w:style w:type="paragraph" w:customStyle="1" w:styleId="81">
    <w:name w:val="Table caption"/>
    <w:basedOn w:val="1"/>
    <w:qFormat/>
    <w:uiPriority w:val="0"/>
    <w:pPr>
      <w:shd w:val="clear" w:color="auto" w:fill="FFFFFF"/>
      <w:adjustRightInd/>
      <w:snapToGrid/>
      <w:spacing w:line="0" w:lineRule="atLeast"/>
      <w:jc w:val="left"/>
    </w:pPr>
    <w:rPr>
      <w:rFonts w:ascii="MingLiU" w:hAnsi="MingLiU" w:eastAsia="MingLiU" w:cs="MingLiU"/>
      <w:kern w:val="0"/>
      <w:sz w:val="19"/>
      <w:szCs w:val="19"/>
    </w:rPr>
  </w:style>
  <w:style w:type="paragraph" w:customStyle="1" w:styleId="82">
    <w:name w:val="Lux 正文"/>
    <w:basedOn w:val="1"/>
    <w:qFormat/>
    <w:uiPriority w:val="0"/>
    <w:pPr>
      <w:adjustRightInd/>
      <w:snapToGrid/>
      <w:spacing w:before="80" w:after="80" w:line="500" w:lineRule="exact"/>
      <w:ind w:firstLine="200" w:firstLineChars="200"/>
    </w:pPr>
    <w:rPr>
      <w:kern w:val="0"/>
      <w:sz w:val="24"/>
      <w:szCs w:val="20"/>
    </w:rPr>
  </w:style>
  <w:style w:type="paragraph" w:customStyle="1" w:styleId="83">
    <w:name w:val="表内容"/>
    <w:basedOn w:val="1"/>
    <w:next w:val="84"/>
    <w:qFormat/>
    <w:uiPriority w:val="0"/>
    <w:pPr>
      <w:spacing w:line="240" w:lineRule="auto"/>
      <w:jc w:val="center"/>
    </w:pPr>
    <w:rPr>
      <w:kern w:val="0"/>
      <w:sz w:val="21"/>
      <w:szCs w:val="20"/>
    </w:rPr>
  </w:style>
  <w:style w:type="paragraph" w:customStyle="1" w:styleId="84">
    <w:name w:val="正文内容"/>
    <w:basedOn w:val="1"/>
    <w:qFormat/>
    <w:uiPriority w:val="0"/>
    <w:pPr>
      <w:ind w:firstLine="200" w:firstLineChars="200"/>
    </w:pPr>
    <w:rPr>
      <w:kern w:val="0"/>
      <w:sz w:val="24"/>
    </w:rPr>
  </w:style>
  <w:style w:type="paragraph" w:customStyle="1" w:styleId="85">
    <w:name w:val="a正文"/>
    <w:basedOn w:val="1"/>
    <w:qFormat/>
    <w:uiPriority w:val="0"/>
    <w:pPr>
      <w:widowControl/>
      <w:adjustRightInd/>
      <w:snapToGrid/>
      <w:ind w:firstLine="200" w:firstLineChars="200"/>
      <w:jc w:val="left"/>
    </w:pPr>
    <w:rPr>
      <w:kern w:val="0"/>
      <w:sz w:val="24"/>
    </w:rPr>
  </w:style>
  <w:style w:type="paragraph" w:customStyle="1" w:styleId="86">
    <w:name w:val="前言"/>
    <w:basedOn w:val="1"/>
    <w:qFormat/>
    <w:uiPriority w:val="0"/>
    <w:pPr>
      <w:pageBreakBefore/>
      <w:autoSpaceDE w:val="0"/>
      <w:autoSpaceDN w:val="0"/>
      <w:snapToGrid/>
      <w:spacing w:line="288" w:lineRule="auto"/>
      <w:ind w:firstLine="454"/>
      <w:jc w:val="center"/>
      <w:textAlignment w:val="baseline"/>
    </w:pPr>
    <w:rPr>
      <w:rFonts w:ascii="黑体" w:eastAsia="黑体"/>
      <w:kern w:val="0"/>
      <w:sz w:val="32"/>
      <w:szCs w:val="20"/>
    </w:rPr>
  </w:style>
  <w:style w:type="paragraph" w:customStyle="1" w:styleId="87">
    <w:name w:val="正文 32"/>
    <w:basedOn w:val="1"/>
    <w:qFormat/>
    <w:uiPriority w:val="0"/>
    <w:pPr>
      <w:autoSpaceDE w:val="0"/>
      <w:autoSpaceDN w:val="0"/>
      <w:spacing w:line="300" w:lineRule="auto"/>
      <w:ind w:firstLine="567"/>
      <w:textAlignment w:val="baseline"/>
    </w:pPr>
    <w:rPr>
      <w:rFonts w:eastAsia="楷体_GB2312"/>
      <w:kern w:val="0"/>
      <w:sz w:val="24"/>
      <w:szCs w:val="20"/>
    </w:rPr>
  </w:style>
  <w:style w:type="paragraph" w:customStyle="1" w:styleId="88">
    <w:name w:val="正文文本5"/>
    <w:basedOn w:val="1"/>
    <w:qFormat/>
    <w:uiPriority w:val="0"/>
    <w:pPr>
      <w:shd w:val="clear" w:color="auto" w:fill="FFFFFF"/>
      <w:adjustRightInd/>
      <w:snapToGrid/>
      <w:spacing w:after="960" w:line="0" w:lineRule="atLeast"/>
      <w:jc w:val="center"/>
    </w:pPr>
    <w:rPr>
      <w:rFonts w:ascii="MingLiU" w:hAnsi="MingLiU" w:eastAsia="MingLiU" w:cs="MingLiU"/>
      <w:kern w:val="0"/>
      <w:sz w:val="19"/>
      <w:szCs w:val="19"/>
    </w:rPr>
  </w:style>
  <w:style w:type="paragraph" w:customStyle="1" w:styleId="89">
    <w:name w:val="表格2"/>
    <w:basedOn w:val="1"/>
    <w:next w:val="1"/>
    <w:qFormat/>
    <w:uiPriority w:val="0"/>
    <w:pPr>
      <w:keepNext/>
      <w:topLinePunct/>
      <w:autoSpaceDE w:val="0"/>
      <w:autoSpaceDN w:val="0"/>
      <w:snapToGrid/>
      <w:spacing w:line="240" w:lineRule="auto"/>
      <w:jc w:val="center"/>
      <w:textAlignment w:val="baseline"/>
    </w:pPr>
    <w:rPr>
      <w:rFonts w:ascii="宋体"/>
      <w:kern w:val="0"/>
      <w:position w:val="-28"/>
      <w:sz w:val="21"/>
      <w:szCs w:val="20"/>
    </w:rPr>
  </w:style>
  <w:style w:type="paragraph" w:customStyle="1" w:styleId="90">
    <w:name w:val="IDC A-Head (2nd Line)"/>
    <w:basedOn w:val="1"/>
    <w:next w:val="1"/>
    <w:qFormat/>
    <w:uiPriority w:val="0"/>
    <w:pPr>
      <w:widowControl/>
      <w:adjustRightInd/>
      <w:snapToGrid/>
      <w:spacing w:line="240" w:lineRule="auto"/>
      <w:jc w:val="center"/>
    </w:pPr>
    <w:rPr>
      <w:caps/>
      <w:kern w:val="0"/>
      <w:sz w:val="24"/>
      <w:szCs w:val="20"/>
    </w:rPr>
  </w:style>
  <w:style w:type="paragraph" w:customStyle="1" w:styleId="91">
    <w:name w:val="表1表2"/>
    <w:basedOn w:val="1"/>
    <w:qFormat/>
    <w:uiPriority w:val="0"/>
    <w:pPr>
      <w:autoSpaceDE w:val="0"/>
      <w:autoSpaceDN w:val="0"/>
      <w:snapToGrid/>
      <w:spacing w:line="240" w:lineRule="auto"/>
      <w:jc w:val="center"/>
      <w:textAlignment w:val="center"/>
    </w:pPr>
    <w:rPr>
      <w:rFonts w:eastAsia="仿宋体"/>
      <w:kern w:val="0"/>
      <w:sz w:val="24"/>
      <w:szCs w:val="20"/>
    </w:rPr>
  </w:style>
  <w:style w:type="paragraph" w:customStyle="1" w:styleId="92">
    <w:name w:val="表格内容"/>
    <w:basedOn w:val="1"/>
    <w:qFormat/>
    <w:uiPriority w:val="0"/>
    <w:pPr>
      <w:spacing w:before="50" w:after="50"/>
      <w:ind w:firstLine="360" w:firstLineChars="200"/>
    </w:pPr>
    <w:rPr>
      <w:sz w:val="18"/>
      <w:szCs w:val="18"/>
    </w:rPr>
  </w:style>
  <w:style w:type="paragraph" w:customStyle="1" w:styleId="93">
    <w:name w:val="表格文字2"/>
    <w:basedOn w:val="1"/>
    <w:qFormat/>
    <w:uiPriority w:val="0"/>
    <w:pPr>
      <w:spacing w:before="60"/>
      <w:jc w:val="center"/>
      <w:textAlignment w:val="baseline"/>
    </w:pPr>
    <w:rPr>
      <w:rFonts w:ascii="宋体"/>
      <w:kern w:val="0"/>
      <w:sz w:val="24"/>
      <w:szCs w:val="20"/>
    </w:rPr>
  </w:style>
  <w:style w:type="paragraph" w:customStyle="1" w:styleId="94">
    <w:name w:val="正 文"/>
    <w:qFormat/>
    <w:uiPriority w:val="0"/>
    <w:pPr>
      <w:widowControl w:val="0"/>
      <w:spacing w:line="480" w:lineRule="exact"/>
      <w:ind w:firstLine="471"/>
      <w:jc w:val="both"/>
    </w:pPr>
    <w:rPr>
      <w:rFonts w:ascii="Times New Roman" w:hAnsi="Times New Roman" w:eastAsia="宋体" w:cs="Times New Roman"/>
      <w:kern w:val="2"/>
      <w:sz w:val="24"/>
      <w:szCs w:val="22"/>
      <w:lang w:val="en-US" w:eastAsia="zh-CN" w:bidi="ar-SA"/>
    </w:rPr>
  </w:style>
  <w:style w:type="paragraph" w:customStyle="1" w:styleId="95">
    <w:name w:val="报告表格内中"/>
    <w:basedOn w:val="1"/>
    <w:qFormat/>
    <w:uiPriority w:val="0"/>
    <w:pPr>
      <w:adjustRightInd/>
      <w:snapToGrid/>
      <w:spacing w:before="100" w:beforeAutospacing="1" w:line="240" w:lineRule="auto"/>
      <w:jc w:val="center"/>
    </w:pPr>
    <w:rPr>
      <w:bCs/>
      <w:sz w:val="24"/>
    </w:rPr>
  </w:style>
  <w:style w:type="paragraph" w:customStyle="1" w:styleId="96">
    <w:name w:val="表格字体"/>
    <w:basedOn w:val="1"/>
    <w:next w:val="1"/>
    <w:qFormat/>
    <w:uiPriority w:val="0"/>
    <w:pPr>
      <w:jc w:val="center"/>
    </w:pPr>
    <w:rPr>
      <w:rFonts w:cs="宋体"/>
      <w:szCs w:val="22"/>
    </w:rPr>
  </w:style>
  <w:style w:type="paragraph" w:customStyle="1" w:styleId="97">
    <w:name w:val="CM13"/>
    <w:basedOn w:val="49"/>
    <w:next w:val="49"/>
    <w:unhideWhenUsed/>
    <w:qFormat/>
    <w:uiPriority w:val="99"/>
    <w:pPr>
      <w:spacing w:line="466" w:lineRule="atLeast"/>
    </w:pPr>
    <w:rPr>
      <w:rFonts w:hint="default"/>
    </w:rPr>
  </w:style>
  <w:style w:type="paragraph" w:customStyle="1" w:styleId="98">
    <w:name w:val="Char"/>
    <w:basedOn w:val="1"/>
    <w:qFormat/>
    <w:uiPriority w:val="0"/>
    <w:pPr>
      <w:widowControl/>
      <w:adjustRightInd/>
      <w:snapToGrid/>
      <w:spacing w:after="160" w:line="240" w:lineRule="exact"/>
      <w:jc w:val="left"/>
    </w:pPr>
  </w:style>
  <w:style w:type="paragraph" w:customStyle="1" w:styleId="99">
    <w:name w:val="TT表格标题"/>
    <w:basedOn w:val="1"/>
    <w:qFormat/>
    <w:uiPriority w:val="0"/>
    <w:pPr>
      <w:jc w:val="center"/>
    </w:pPr>
    <w:rPr>
      <w:rFonts w:cs="宋体"/>
      <w:b/>
      <w:bCs/>
      <w:color w:val="000000"/>
      <w:sz w:val="24"/>
      <w:szCs w:val="20"/>
    </w:rPr>
  </w:style>
  <w:style w:type="paragraph" w:customStyle="1" w:styleId="100">
    <w:name w:val="表格 21"/>
    <w:qFormat/>
    <w:uiPriority w:val="0"/>
    <w:pPr>
      <w:widowControl w:val="0"/>
      <w:autoSpaceDE w:val="0"/>
      <w:autoSpaceDN w:val="0"/>
      <w:adjustRightInd w:val="0"/>
      <w:jc w:val="center"/>
      <w:textAlignment w:val="baseline"/>
    </w:pPr>
    <w:rPr>
      <w:rFonts w:ascii="Times New Roman" w:hAnsi="Times New Roman" w:eastAsia="仿宋体" w:cs="Times New Roman"/>
      <w:sz w:val="28"/>
      <w:lang w:val="en-US" w:eastAsia="zh-CN" w:bidi="ar-SA"/>
    </w:rPr>
  </w:style>
  <w:style w:type="paragraph" w:customStyle="1" w:styleId="101">
    <w:name w:val="样式 表格 32 + 首行缩进:  2 字符"/>
    <w:basedOn w:val="1"/>
    <w:qFormat/>
    <w:uiPriority w:val="0"/>
    <w:pPr>
      <w:autoSpaceDE w:val="0"/>
      <w:autoSpaceDN w:val="0"/>
      <w:snapToGrid/>
      <w:spacing w:line="0" w:lineRule="atLeast"/>
      <w:jc w:val="center"/>
    </w:pPr>
    <w:rPr>
      <w:rFonts w:cs="宋体"/>
      <w:kern w:val="0"/>
      <w:sz w:val="21"/>
      <w:szCs w:val="21"/>
    </w:rPr>
  </w:style>
  <w:style w:type="paragraph" w:customStyle="1" w:styleId="102">
    <w:name w:val="宝正文"/>
    <w:basedOn w:val="1"/>
    <w:qFormat/>
    <w:uiPriority w:val="0"/>
    <w:pPr>
      <w:ind w:firstLine="480" w:firstLineChars="200"/>
    </w:pPr>
    <w:rPr>
      <w:rFonts w:ascii="黑体" w:hAnsi="黑体"/>
      <w:color w:val="000000"/>
      <w:sz w:val="24"/>
      <w:szCs w:val="36"/>
    </w:rPr>
  </w:style>
  <w:style w:type="paragraph" w:customStyle="1" w:styleId="103">
    <w:name w:val="修订1"/>
    <w:unhideWhenUsed/>
    <w:qFormat/>
    <w:uiPriority w:val="99"/>
    <w:rPr>
      <w:rFonts w:ascii="Times New Roman" w:hAnsi="Times New Roman" w:eastAsia="宋体" w:cs="Times New Roman"/>
      <w:kern w:val="2"/>
      <w:sz w:val="28"/>
      <w:szCs w:val="24"/>
      <w:lang w:val="en-US" w:eastAsia="zh-CN" w:bidi="ar-SA"/>
    </w:rPr>
  </w:style>
  <w:style w:type="paragraph" w:customStyle="1" w:styleId="104">
    <w:name w:val="CM15"/>
    <w:basedOn w:val="49"/>
    <w:next w:val="49"/>
    <w:unhideWhenUsed/>
    <w:qFormat/>
    <w:uiPriority w:val="99"/>
    <w:pPr>
      <w:spacing w:line="453" w:lineRule="atLeast"/>
    </w:pPr>
    <w:rPr>
      <w:rFonts w:hint="default"/>
    </w:rPr>
  </w:style>
  <w:style w:type="paragraph" w:customStyle="1" w:styleId="105">
    <w:name w:val="body"/>
    <w:basedOn w:val="1"/>
    <w:qFormat/>
    <w:uiPriority w:val="0"/>
    <w:pPr>
      <w:adjustRightInd/>
      <w:snapToGrid/>
      <w:ind w:firstLine="480" w:firstLineChars="200"/>
    </w:pPr>
    <w:rPr>
      <w:rFonts w:ascii="宋体" w:hAnsi="宋体"/>
      <w:sz w:val="24"/>
      <w:szCs w:val="20"/>
    </w:rPr>
  </w:style>
  <w:style w:type="paragraph" w:styleId="106">
    <w:name w:val="No Spacing"/>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07">
    <w:name w:val="图表标题"/>
    <w:basedOn w:val="1"/>
    <w:next w:val="1"/>
    <w:qFormat/>
    <w:uiPriority w:val="0"/>
    <w:pPr>
      <w:jc w:val="center"/>
    </w:pPr>
    <w:rPr>
      <w:rFonts w:eastAsia="黑体"/>
      <w:szCs w:val="22"/>
    </w:rPr>
  </w:style>
  <w:style w:type="paragraph" w:customStyle="1" w:styleId="108">
    <w:name w:val="样式10"/>
    <w:basedOn w:val="1"/>
    <w:qFormat/>
    <w:uiPriority w:val="0"/>
    <w:pPr>
      <w:ind w:firstLine="480" w:firstLineChars="200"/>
    </w:pPr>
    <w:rPr>
      <w:rFonts w:ascii="宋体"/>
      <w:sz w:val="24"/>
    </w:rPr>
  </w:style>
  <w:style w:type="paragraph" w:customStyle="1" w:styleId="109">
    <w:name w:val="Char Char3 Char Char Char Char"/>
    <w:basedOn w:val="18"/>
    <w:qFormat/>
    <w:uiPriority w:val="0"/>
    <w:pPr>
      <w:ind w:firstLine="510"/>
    </w:pPr>
    <w:rPr>
      <w:szCs w:val="20"/>
    </w:rPr>
  </w:style>
  <w:style w:type="paragraph" w:customStyle="1" w:styleId="110">
    <w:name w:val="CM7"/>
    <w:basedOn w:val="49"/>
    <w:next w:val="49"/>
    <w:unhideWhenUsed/>
    <w:qFormat/>
    <w:uiPriority w:val="99"/>
    <w:pPr>
      <w:spacing w:line="468" w:lineRule="atLeast"/>
    </w:pPr>
    <w:rPr>
      <w:rFonts w:hint="default"/>
    </w:rPr>
  </w:style>
  <w:style w:type="paragraph" w:customStyle="1" w:styleId="111">
    <w:name w:val="CM33"/>
    <w:basedOn w:val="49"/>
    <w:next w:val="49"/>
    <w:unhideWhenUsed/>
    <w:qFormat/>
    <w:uiPriority w:val="99"/>
    <w:pPr>
      <w:spacing w:after="190"/>
    </w:pPr>
    <w:rPr>
      <w:rFonts w:hint="default"/>
    </w:rPr>
  </w:style>
  <w:style w:type="paragraph" w:customStyle="1" w:styleId="112">
    <w:name w:val="正文2"/>
    <w:basedOn w:val="1"/>
    <w:qFormat/>
    <w:uiPriority w:val="0"/>
    <w:pPr>
      <w:widowControl/>
      <w:tabs>
        <w:tab w:val="left" w:pos="900"/>
        <w:tab w:val="left" w:pos="1080"/>
      </w:tabs>
      <w:autoSpaceDE w:val="0"/>
      <w:autoSpaceDN w:val="0"/>
      <w:ind w:firstLine="480" w:firstLineChars="200"/>
      <w:jc w:val="left"/>
    </w:pPr>
    <w:rPr>
      <w:rFonts w:cs="宋体"/>
      <w:kern w:val="0"/>
      <w:sz w:val="24"/>
      <w:lang w:val="zh-CN" w:bidi="en-US"/>
    </w:rPr>
  </w:style>
  <w:style w:type="paragraph" w:customStyle="1" w:styleId="113">
    <w:name w:val="正文缩进2"/>
    <w:basedOn w:val="1"/>
    <w:qFormat/>
    <w:uiPriority w:val="0"/>
    <w:pPr>
      <w:ind w:firstLine="420" w:firstLineChars="200"/>
    </w:pPr>
  </w:style>
  <w:style w:type="paragraph" w:customStyle="1" w:styleId="114">
    <w:name w:val="样式1"/>
    <w:basedOn w:val="1"/>
    <w:qFormat/>
    <w:uiPriority w:val="0"/>
    <w:pPr>
      <w:ind w:firstLine="510"/>
    </w:pPr>
    <w:rPr>
      <w:sz w:val="24"/>
    </w:rPr>
  </w:style>
  <w:style w:type="paragraph" w:customStyle="1" w:styleId="115">
    <w:name w:val="CM32"/>
    <w:basedOn w:val="49"/>
    <w:next w:val="49"/>
    <w:unhideWhenUsed/>
    <w:qFormat/>
    <w:uiPriority w:val="99"/>
    <w:pPr>
      <w:spacing w:after="140"/>
    </w:pPr>
    <w:rPr>
      <w:rFonts w:hint="default"/>
    </w:rPr>
  </w:style>
  <w:style w:type="paragraph" w:customStyle="1" w:styleId="116">
    <w:name w:val="Char Char Char Char Char Char Char Char Char Char Char Char1 Char"/>
    <w:basedOn w:val="1"/>
    <w:qFormat/>
    <w:uiPriority w:val="0"/>
    <w:pPr>
      <w:adjustRightInd/>
      <w:snapToGrid/>
      <w:ind w:firstLine="200" w:firstLineChars="200"/>
    </w:pPr>
    <w:rPr>
      <w:sz w:val="24"/>
      <w:szCs w:val="20"/>
    </w:rPr>
  </w:style>
  <w:style w:type="paragraph" w:customStyle="1" w:styleId="117">
    <w:name w:val="表标题"/>
    <w:basedOn w:val="91"/>
    <w:next w:val="1"/>
    <w:qFormat/>
    <w:uiPriority w:val="0"/>
    <w:pPr>
      <w:spacing w:after="60"/>
    </w:pPr>
    <w:rPr>
      <w:b/>
      <w:szCs w:val="28"/>
    </w:rPr>
  </w:style>
  <w:style w:type="paragraph" w:customStyle="1" w:styleId="118">
    <w:name w:val="蓝森正文"/>
    <w:basedOn w:val="1"/>
    <w:qFormat/>
    <w:uiPriority w:val="0"/>
    <w:pPr>
      <w:spacing w:line="520" w:lineRule="exact"/>
      <w:ind w:firstLine="480" w:firstLineChars="200"/>
    </w:pPr>
    <w:rPr>
      <w:rFonts w:ascii="宋体" w:hAnsi="宋体"/>
      <w:bCs/>
    </w:rPr>
  </w:style>
  <w:style w:type="paragraph" w:customStyle="1" w:styleId="119">
    <w:name w:val="Table Paragraph"/>
    <w:basedOn w:val="1"/>
    <w:qFormat/>
    <w:uiPriority w:val="1"/>
  </w:style>
  <w:style w:type="paragraph" w:customStyle="1" w:styleId="120">
    <w:name w:val="表格的字"/>
    <w:basedOn w:val="1"/>
    <w:qFormat/>
    <w:uiPriority w:val="0"/>
    <w:pPr>
      <w:spacing w:line="240" w:lineRule="auto"/>
      <w:jc w:val="center"/>
    </w:pPr>
    <w:rPr>
      <w:sz w:val="21"/>
    </w:rPr>
  </w:style>
  <w:style w:type="paragraph" w:customStyle="1" w:styleId="121">
    <w:name w:val="CM36"/>
    <w:basedOn w:val="49"/>
    <w:next w:val="49"/>
    <w:unhideWhenUsed/>
    <w:qFormat/>
    <w:uiPriority w:val="99"/>
    <w:pPr>
      <w:spacing w:after="73"/>
    </w:pPr>
    <w:rPr>
      <w:rFonts w:hint="default"/>
    </w:rPr>
  </w:style>
  <w:style w:type="paragraph" w:customStyle="1" w:styleId="122">
    <w:name w:val="正文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123">
    <w:name w:val="正文1"/>
    <w:basedOn w:val="1"/>
    <w:qFormat/>
    <w:uiPriority w:val="0"/>
    <w:pPr>
      <w:snapToGrid/>
      <w:spacing w:line="240" w:lineRule="auto"/>
    </w:pPr>
    <w:rPr>
      <w:rFonts w:eastAsia="楷体_GB2312"/>
      <w:sz w:val="24"/>
      <w:szCs w:val="20"/>
    </w:rPr>
  </w:style>
  <w:style w:type="paragraph" w:customStyle="1" w:styleId="124">
    <w:name w:val="cheng正文"/>
    <w:basedOn w:val="1"/>
    <w:qFormat/>
    <w:uiPriority w:val="0"/>
    <w:pPr>
      <w:ind w:firstLine="480" w:firstLineChars="200"/>
    </w:pPr>
    <w:rPr>
      <w:sz w:val="21"/>
      <w:shd w:val="clear" w:color="auto" w:fill="FFFFFF"/>
      <w:lang w:val="sq-AL"/>
    </w:rPr>
  </w:style>
  <w:style w:type="paragraph" w:customStyle="1" w:styleId="125">
    <w:name w:val="CM8"/>
    <w:basedOn w:val="49"/>
    <w:next w:val="49"/>
    <w:unhideWhenUsed/>
    <w:qFormat/>
    <w:uiPriority w:val="99"/>
    <w:pPr>
      <w:spacing w:line="468" w:lineRule="atLeast"/>
    </w:pPr>
    <w:rPr>
      <w:rFonts w:hint="default"/>
    </w:rPr>
  </w:style>
  <w:style w:type="paragraph" w:customStyle="1" w:styleId="126">
    <w:name w:val="报告表正文"/>
    <w:basedOn w:val="1"/>
    <w:qFormat/>
    <w:uiPriority w:val="0"/>
    <w:pPr>
      <w:snapToGrid/>
      <w:spacing w:line="312" w:lineRule="auto"/>
      <w:ind w:left="113" w:right="113" w:firstLine="482"/>
      <w:jc w:val="left"/>
      <w:textAlignment w:val="baseline"/>
    </w:pPr>
    <w:rPr>
      <w:kern w:val="0"/>
      <w:sz w:val="24"/>
      <w:szCs w:val="20"/>
    </w:rPr>
  </w:style>
  <w:style w:type="paragraph" w:customStyle="1" w:styleId="127">
    <w:name w:val="小四 间距1.5 缩进2"/>
    <w:basedOn w:val="1"/>
    <w:qFormat/>
    <w:uiPriority w:val="0"/>
    <w:pPr>
      <w:ind w:firstLine="415" w:firstLineChars="173"/>
    </w:pPr>
    <w:rPr>
      <w:sz w:val="24"/>
    </w:rPr>
  </w:style>
  <w:style w:type="paragraph" w:customStyle="1" w:styleId="128">
    <w:name w:val="列出段落7"/>
    <w:basedOn w:val="1"/>
    <w:qFormat/>
    <w:uiPriority w:val="99"/>
    <w:pPr>
      <w:ind w:firstLine="420" w:firstLineChars="200"/>
    </w:pPr>
  </w:style>
  <w:style w:type="paragraph" w:customStyle="1" w:styleId="129">
    <w:name w:val="Char Char Char Char Char Char Char Char Char Char Char Char Char Char Char Char Char Char Char Char Char"/>
    <w:basedOn w:val="1"/>
    <w:qFormat/>
    <w:uiPriority w:val="0"/>
    <w:pPr>
      <w:spacing w:line="240" w:lineRule="auto"/>
    </w:pPr>
  </w:style>
  <w:style w:type="paragraph" w:customStyle="1" w:styleId="130">
    <w:name w:val="正文表格"/>
    <w:basedOn w:val="1"/>
    <w:qFormat/>
    <w:uiPriority w:val="0"/>
    <w:pPr>
      <w:adjustRightInd/>
      <w:snapToGrid/>
      <w:spacing w:line="240" w:lineRule="auto"/>
      <w:jc w:val="center"/>
    </w:pPr>
    <w:rPr>
      <w:rFonts w:ascii="宋体" w:hAnsi="宋体"/>
      <w:sz w:val="21"/>
      <w:szCs w:val="20"/>
    </w:rPr>
  </w:style>
  <w:style w:type="paragraph" w:customStyle="1" w:styleId="131">
    <w:name w:val="纯文本2"/>
    <w:basedOn w:val="1"/>
    <w:qFormat/>
    <w:uiPriority w:val="0"/>
    <w:pPr>
      <w:snapToGrid/>
      <w:spacing w:line="240" w:lineRule="auto"/>
      <w:jc w:val="center"/>
      <w:textAlignment w:val="baseline"/>
    </w:pPr>
    <w:rPr>
      <w:rFonts w:ascii="宋体" w:hAnsi="Courier New"/>
      <w:sz w:val="24"/>
      <w:szCs w:val="20"/>
    </w:rPr>
  </w:style>
  <w:style w:type="paragraph" w:customStyle="1" w:styleId="132">
    <w:name w:val="样式 正 文 + 宋体"/>
    <w:basedOn w:val="94"/>
    <w:qFormat/>
    <w:uiPriority w:val="0"/>
    <w:pPr>
      <w:ind w:firstLine="480"/>
    </w:pPr>
    <w:rPr>
      <w:rFonts w:cs="Arial"/>
    </w:rPr>
  </w:style>
  <w:style w:type="paragraph" w:customStyle="1" w:styleId="133">
    <w:name w:val="无间隔1"/>
    <w:qFormat/>
    <w:uiPriority w:val="99"/>
    <w:pPr>
      <w:widowControl w:val="0"/>
      <w:jc w:val="both"/>
    </w:pPr>
    <w:rPr>
      <w:rFonts w:ascii="Times New Roman" w:hAnsi="Times New Roman" w:eastAsia="宋体" w:cs="Times New Roman"/>
      <w:kern w:val="2"/>
      <w:sz w:val="24"/>
      <w:szCs w:val="24"/>
      <w:lang w:val="en-US" w:eastAsia="zh-CN" w:bidi="ar-SA"/>
    </w:rPr>
  </w:style>
  <w:style w:type="paragraph" w:customStyle="1" w:styleId="134">
    <w:name w:val="W正文"/>
    <w:basedOn w:val="1"/>
    <w:qFormat/>
    <w:uiPriority w:val="0"/>
    <w:pPr>
      <w:spacing w:line="500" w:lineRule="exact"/>
      <w:ind w:firstLine="600" w:firstLineChars="200"/>
    </w:pPr>
    <w:rPr>
      <w:kern w:val="0"/>
      <w:sz w:val="20"/>
    </w:rPr>
  </w:style>
  <w:style w:type="paragraph" w:customStyle="1" w:styleId="135">
    <w:name w:val="正文！"/>
    <w:basedOn w:val="1"/>
    <w:qFormat/>
    <w:uiPriority w:val="99"/>
    <w:pPr>
      <w:spacing w:line="312" w:lineRule="auto"/>
      <w:ind w:firstLine="200" w:firstLineChars="200"/>
    </w:pPr>
    <w:rPr>
      <w:sz w:val="24"/>
      <w:szCs w:val="22"/>
    </w:rPr>
  </w:style>
  <w:style w:type="paragraph" w:customStyle="1" w:styleId="136">
    <w:name w:val="CM34"/>
    <w:basedOn w:val="49"/>
    <w:next w:val="49"/>
    <w:unhideWhenUsed/>
    <w:qFormat/>
    <w:uiPriority w:val="99"/>
    <w:pPr>
      <w:spacing w:after="323"/>
    </w:pPr>
    <w:rPr>
      <w:rFonts w:hint="default"/>
    </w:rPr>
  </w:style>
  <w:style w:type="paragraph" w:customStyle="1" w:styleId="137">
    <w:name w:val="文本样式"/>
    <w:basedOn w:val="1"/>
    <w:qFormat/>
    <w:uiPriority w:val="0"/>
    <w:pPr>
      <w:ind w:firstLine="200" w:firstLineChars="200"/>
    </w:pPr>
    <w:rPr>
      <w:rFonts w:cs="宋体"/>
      <w:sz w:val="24"/>
    </w:rPr>
  </w:style>
  <w:style w:type="paragraph" w:customStyle="1" w:styleId="138">
    <w:name w:val="Char Char Char Char Char Char1 Char Char Char Char"/>
    <w:basedOn w:val="1"/>
    <w:qFormat/>
    <w:uiPriority w:val="0"/>
  </w:style>
  <w:style w:type="paragraph" w:customStyle="1" w:styleId="139">
    <w:name w:val="表格标题 居中"/>
    <w:basedOn w:val="1"/>
    <w:qFormat/>
    <w:uiPriority w:val="0"/>
    <w:pPr>
      <w:jc w:val="center"/>
    </w:pPr>
    <w:rPr>
      <w:rFonts w:ascii="Calibri" w:hAnsi="Calibri" w:cs="宋体"/>
      <w:b/>
      <w:bCs/>
      <w:szCs w:val="22"/>
    </w:rPr>
  </w:style>
  <w:style w:type="paragraph" w:customStyle="1" w:styleId="140">
    <w:name w:val="表格名称"/>
    <w:basedOn w:val="1"/>
    <w:qFormat/>
    <w:uiPriority w:val="0"/>
    <w:pPr>
      <w:keepLines/>
      <w:widowControl/>
      <w:wordWrap w:val="0"/>
      <w:topLinePunct/>
      <w:spacing w:line="480" w:lineRule="exact"/>
      <w:jc w:val="center"/>
    </w:pPr>
    <w:rPr>
      <w:rFonts w:ascii="黑体" w:eastAsia="黑体"/>
      <w:snapToGrid w:val="0"/>
      <w:color w:val="000000"/>
      <w:kern w:val="0"/>
      <w:sz w:val="24"/>
    </w:rPr>
  </w:style>
  <w:style w:type="paragraph" w:customStyle="1" w:styleId="141">
    <w:name w:val="1表格字体"/>
    <w:basedOn w:val="1"/>
    <w:qFormat/>
    <w:uiPriority w:val="0"/>
    <w:pPr>
      <w:spacing w:line="264" w:lineRule="auto"/>
      <w:jc w:val="center"/>
    </w:pPr>
    <w:rPr>
      <w:rFonts w:ascii="Calibri" w:hAnsi="Calibri"/>
    </w:rPr>
  </w:style>
  <w:style w:type="paragraph" w:customStyle="1" w:styleId="142">
    <w:name w:val="表格标题"/>
    <w:basedOn w:val="1"/>
    <w:qFormat/>
    <w:uiPriority w:val="0"/>
    <w:pPr>
      <w:spacing w:line="288" w:lineRule="auto"/>
      <w:jc w:val="center"/>
    </w:pPr>
    <w:rPr>
      <w:b/>
      <w:sz w:val="21"/>
    </w:rPr>
  </w:style>
  <w:style w:type="table" w:customStyle="1" w:styleId="143">
    <w:name w:val="yp格式"/>
    <w:basedOn w:val="40"/>
    <w:qFormat/>
    <w:uiPriority w:val="0"/>
    <w:pPr>
      <w:jc w:val="center"/>
    </w:pPr>
    <w:rPr>
      <w:rFonts w:eastAsia="Times New Roman"/>
    </w:rPr>
    <w:tblPr>
      <w:tblBorders>
        <w:top w:val="single" w:color="000000" w:sz="12" w:space="0"/>
        <w:bottom w:val="single" w:color="000000" w:sz="12" w:space="0"/>
        <w:insideH w:val="single" w:color="000000" w:sz="6" w:space="0"/>
        <w:insideV w:val="single" w:color="000000" w:sz="6" w:space="0"/>
      </w:tblBorders>
      <w:tblCellMar>
        <w:top w:w="0" w:type="dxa"/>
        <w:left w:w="108" w:type="dxa"/>
        <w:bottom w:w="0" w:type="dxa"/>
        <w:right w:w="108" w:type="dxa"/>
      </w:tblCellMar>
    </w:tblPr>
    <w:tcPr>
      <w:tcMar>
        <w:left w:w="28" w:type="dxa"/>
        <w:right w:w="28" w:type="dxa"/>
      </w:tcMar>
      <w:vAlign w:val="center"/>
    </w:tcPr>
    <w:tblStylePr w:type="firstRow">
      <w:tcPr>
        <w:tcBorders>
          <w:top w:val="single" w:color="000000" w:sz="12" w:space="0"/>
          <w:left w:val="nil"/>
          <w:bottom w:val="single" w:color="000000" w:sz="2" w:space="0"/>
          <w:right w:val="nil"/>
          <w:insideH w:val="nil"/>
          <w:insideV w:val="single" w:sz="2" w:space="0"/>
          <w:tl2br w:val="nil"/>
          <w:tr2bl w:val="nil"/>
        </w:tcBorders>
      </w:tcPr>
    </w:tblStylePr>
  </w:style>
  <w:style w:type="paragraph" w:customStyle="1" w:styleId="144">
    <w:name w:val="正文9"/>
    <w:qFormat/>
    <w:uiPriority w:val="0"/>
    <w:pPr>
      <w:jc w:val="both"/>
    </w:pPr>
    <w:rPr>
      <w:rFonts w:ascii="Times New Roman" w:hAnsi="Times New Roman" w:eastAsia="宋体" w:cs="Times New Roman"/>
      <w:kern w:val="2"/>
      <w:sz w:val="21"/>
      <w:szCs w:val="21"/>
      <w:lang w:val="en-US" w:eastAsia="zh-CN" w:bidi="ar-SA"/>
    </w:rPr>
  </w:style>
  <w:style w:type="character" w:customStyle="1" w:styleId="145">
    <w:name w:val="样式 正文 +"/>
    <w:semiHidden/>
    <w:qFormat/>
    <w:uiPriority w:val="0"/>
    <w:rPr>
      <w:rFonts w:ascii="Arial" w:hAnsi="Arial" w:eastAsia="宋体"/>
      <w:color w:val="auto"/>
      <w:kern w:val="2"/>
      <w:sz w:val="24"/>
      <w:szCs w:val="24"/>
      <w:u w:val="none"/>
      <w:vertAlign w:val="baseline"/>
    </w:rPr>
  </w:style>
  <w:style w:type="paragraph" w:customStyle="1" w:styleId="146">
    <w:name w:val="报告正文"/>
    <w:basedOn w:val="1"/>
    <w:qFormat/>
    <w:uiPriority w:val="0"/>
    <w:pPr>
      <w:ind w:firstLine="200" w:firstLineChars="200"/>
    </w:pPr>
  </w:style>
  <w:style w:type="paragraph" w:customStyle="1" w:styleId="147">
    <w:name w:val="正文文字 6"/>
    <w:next w:val="1"/>
    <w:qFormat/>
    <w:uiPriority w:val="0"/>
    <w:pPr>
      <w:widowControl w:val="0"/>
      <w:ind w:left="240"/>
      <w:jc w:val="both"/>
    </w:pPr>
    <w:rPr>
      <w:rFonts w:ascii="宋体" w:hAnsi="Calibri" w:eastAsia="宋体" w:cs="Times New Roman"/>
      <w:b/>
      <w:bCs/>
      <w:kern w:val="2"/>
      <w:sz w:val="32"/>
      <w:szCs w:val="32"/>
      <w:lang w:val="en-US" w:eastAsia="zh-CN" w:bidi="ar-SA"/>
    </w:rPr>
  </w:style>
  <w:style w:type="paragraph" w:customStyle="1" w:styleId="148">
    <w:name w:val="蓝森表格内容"/>
    <w:basedOn w:val="1"/>
    <w:qFormat/>
    <w:uiPriority w:val="0"/>
    <w:pPr>
      <w:spacing w:line="360" w:lineRule="exact"/>
      <w:jc w:val="center"/>
    </w:pPr>
    <w:rPr>
      <w:rFonts w:hAnsi="宋体"/>
      <w:sz w:val="21"/>
      <w:szCs w:val="21"/>
    </w:rPr>
  </w:style>
  <w:style w:type="paragraph" w:customStyle="1" w:styleId="149">
    <w:name w:val="Default1"/>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150">
    <w:name w:val="列出段落1"/>
    <w:basedOn w:val="1"/>
    <w:qFormat/>
    <w:uiPriority w:val="34"/>
    <w:pPr>
      <w:ind w:firstLine="420" w:firstLineChars="200"/>
    </w:pPr>
  </w:style>
  <w:style w:type="paragraph" w:customStyle="1" w:styleId="151">
    <w:name w:val="表格内"/>
    <w:basedOn w:val="30"/>
    <w:qFormat/>
    <w:uiPriority w:val="0"/>
    <w:rPr>
      <w:b w:val="0"/>
      <w:sz w:val="18"/>
    </w:rPr>
  </w:style>
  <w:style w:type="paragraph" w:customStyle="1" w:styleId="152">
    <w:name w:val="文本框样式"/>
    <w:basedOn w:val="1"/>
    <w:qFormat/>
    <w:uiPriority w:val="0"/>
    <w:pPr>
      <w:jc w:val="center"/>
    </w:pPr>
  </w:style>
  <w:style w:type="paragraph" w:customStyle="1" w:styleId="153">
    <w:name w:val="TT正文"/>
    <w:basedOn w:val="1"/>
    <w:link w:val="162"/>
    <w:qFormat/>
    <w:uiPriority w:val="0"/>
    <w:pPr>
      <w:ind w:firstLine="200" w:firstLineChars="200"/>
    </w:pPr>
    <w:rPr>
      <w:rFonts w:cs="宋体"/>
      <w:color w:val="000000"/>
      <w:sz w:val="24"/>
    </w:rPr>
  </w:style>
  <w:style w:type="paragraph" w:customStyle="1" w:styleId="154">
    <w:name w:val="正文一"/>
    <w:basedOn w:val="155"/>
    <w:qFormat/>
    <w:uiPriority w:val="0"/>
    <w:pPr>
      <w:ind w:firstLine="200"/>
    </w:pPr>
    <w:rPr>
      <w:rFonts w:ascii="Times New Roman" w:eastAsia="宋体"/>
    </w:rPr>
  </w:style>
  <w:style w:type="paragraph" w:customStyle="1" w:styleId="155">
    <w:name w:val="样式 首行缩进:  2 字符"/>
    <w:basedOn w:val="1"/>
    <w:qFormat/>
    <w:uiPriority w:val="0"/>
    <w:pPr>
      <w:ind w:firstLine="420" w:firstLineChars="200"/>
    </w:pPr>
    <w:rPr>
      <w:rFonts w:ascii="仿宋_GB2312" w:eastAsia="仿宋_GB2312"/>
      <w:szCs w:val="20"/>
      <w:lang w:val="zh-CN"/>
    </w:rPr>
  </w:style>
  <w:style w:type="paragraph" w:customStyle="1" w:styleId="156">
    <w:name w:val="6表内容"/>
    <w:qFormat/>
    <w:uiPriority w:val="0"/>
    <w:pPr>
      <w:spacing w:line="340" w:lineRule="exact"/>
      <w:jc w:val="center"/>
    </w:pPr>
    <w:rPr>
      <w:rFonts w:ascii="Times New Roman" w:hAnsi="Times New Roman" w:eastAsia="宋体" w:cs="宋体"/>
      <w:color w:val="000000"/>
      <w:sz w:val="21"/>
      <w:szCs w:val="22"/>
      <w:lang w:val="en-US" w:eastAsia="zh-CN" w:bidi="ar-SA"/>
    </w:rPr>
  </w:style>
  <w:style w:type="character" w:customStyle="1" w:styleId="157">
    <w:name w:val="font01"/>
    <w:qFormat/>
    <w:uiPriority w:val="0"/>
    <w:rPr>
      <w:rFonts w:hint="default" w:ascii="Times New Roman" w:hAnsi="Times New Roman" w:cs="Times New Roman"/>
      <w:color w:val="000000"/>
      <w:sz w:val="21"/>
      <w:szCs w:val="21"/>
      <w:u w:val="none"/>
    </w:rPr>
  </w:style>
  <w:style w:type="paragraph" w:customStyle="1" w:styleId="158">
    <w:name w:val="TT表格文字"/>
    <w:basedOn w:val="1"/>
    <w:qFormat/>
    <w:uiPriority w:val="0"/>
    <w:pPr>
      <w:jc w:val="center"/>
    </w:pPr>
    <w:rPr>
      <w:rFonts w:cs="宋体"/>
      <w:szCs w:val="20"/>
    </w:rPr>
  </w:style>
  <w:style w:type="paragraph" w:customStyle="1" w:styleId="159">
    <w:name w:val="TT表格文字01"/>
    <w:basedOn w:val="1"/>
    <w:qFormat/>
    <w:uiPriority w:val="0"/>
    <w:pPr>
      <w:widowControl/>
      <w:wordWrap w:val="0"/>
      <w:overflowPunct w:val="0"/>
      <w:topLinePunct/>
      <w:jc w:val="center"/>
    </w:pPr>
    <w:rPr>
      <w:snapToGrid w:val="0"/>
      <w:color w:val="000000"/>
    </w:rPr>
  </w:style>
  <w:style w:type="paragraph" w:customStyle="1" w:styleId="160">
    <w:name w:val="TTT"/>
    <w:basedOn w:val="1"/>
    <w:qFormat/>
    <w:uiPriority w:val="0"/>
    <w:pPr>
      <w:ind w:firstLine="200" w:firstLineChars="200"/>
    </w:pPr>
    <w:rPr>
      <w:b/>
      <w:sz w:val="24"/>
    </w:rPr>
  </w:style>
  <w:style w:type="paragraph" w:styleId="161">
    <w:name w:val="List Paragraph"/>
    <w:basedOn w:val="1"/>
    <w:unhideWhenUsed/>
    <w:qFormat/>
    <w:uiPriority w:val="99"/>
    <w:pPr>
      <w:ind w:firstLine="420" w:firstLineChars="200"/>
    </w:pPr>
  </w:style>
  <w:style w:type="character" w:customStyle="1" w:styleId="162">
    <w:name w:val="TT正文 Char"/>
    <w:link w:val="153"/>
    <w:qFormat/>
    <w:uiPriority w:val="0"/>
    <w:rPr>
      <w:rFonts w:cs="宋体"/>
      <w:color w:val="000000"/>
      <w:sz w:val="24"/>
    </w:rPr>
  </w:style>
  <w:style w:type="paragraph" w:customStyle="1" w:styleId="163">
    <w:name w:val="TT标题"/>
    <w:basedOn w:val="1"/>
    <w:link w:val="167"/>
    <w:qFormat/>
    <w:uiPriority w:val="0"/>
    <w:pPr>
      <w:jc w:val="center"/>
    </w:pPr>
    <w:rPr>
      <w:rFonts w:cs="宋体"/>
      <w:b/>
      <w:sz w:val="24"/>
      <w:szCs w:val="20"/>
    </w:rPr>
  </w:style>
  <w:style w:type="paragraph" w:customStyle="1" w:styleId="164">
    <w:name w:val="标题-表/图"/>
    <w:basedOn w:val="1"/>
    <w:qFormat/>
    <w:uiPriority w:val="0"/>
    <w:pPr>
      <w:spacing w:line="240" w:lineRule="auto"/>
      <w:jc w:val="center"/>
    </w:pPr>
    <w:rPr>
      <w:b/>
    </w:rPr>
  </w:style>
  <w:style w:type="paragraph" w:customStyle="1" w:styleId="165">
    <w:name w:val="表中文字"/>
    <w:basedOn w:val="1"/>
    <w:qFormat/>
    <w:uiPriority w:val="0"/>
    <w:pPr>
      <w:spacing w:line="360" w:lineRule="exact"/>
      <w:jc w:val="center"/>
    </w:pPr>
    <w:rPr>
      <w:szCs w:val="21"/>
    </w:rPr>
  </w:style>
  <w:style w:type="paragraph" w:customStyle="1" w:styleId="166">
    <w:name w:val="表格1"/>
    <w:basedOn w:val="1"/>
    <w:qFormat/>
    <w:uiPriority w:val="0"/>
    <w:pPr>
      <w:spacing w:after="120" w:line="20" w:lineRule="atLeast"/>
      <w:jc w:val="center"/>
      <w:textAlignment w:val="baseline"/>
    </w:pPr>
    <w:rPr>
      <w:rFonts w:ascii="仿宋体" w:cs="Arial Unicode MS"/>
      <w:color w:val="000000"/>
      <w:kern w:val="0"/>
      <w:sz w:val="21"/>
      <w:szCs w:val="21"/>
    </w:rPr>
  </w:style>
  <w:style w:type="character" w:customStyle="1" w:styleId="167">
    <w:name w:val="TT标题 Char"/>
    <w:link w:val="163"/>
    <w:qFormat/>
    <w:uiPriority w:val="0"/>
    <w:rPr>
      <w:rFonts w:cs="宋体"/>
      <w:b/>
      <w:sz w:val="24"/>
      <w:szCs w:val="20"/>
    </w:rPr>
  </w:style>
  <w:style w:type="character" w:customStyle="1" w:styleId="168">
    <w:name w:val="size13"/>
    <w:basedOn w:val="42"/>
    <w:qFormat/>
    <w:uiPriority w:val="0"/>
  </w:style>
  <w:style w:type="paragraph" w:customStyle="1" w:styleId="169">
    <w:name w:val="表题"/>
    <w:basedOn w:val="49"/>
    <w:qFormat/>
    <w:uiPriority w:val="0"/>
    <w:pPr>
      <w:jc w:val="center"/>
    </w:pPr>
    <w:rPr>
      <w:rFonts w:ascii="Times New Roman"/>
      <w:b/>
      <w:bCs/>
      <w:color w:val="auto"/>
      <w:sz w:val="21"/>
      <w:szCs w:val="21"/>
    </w:rPr>
  </w:style>
  <w:style w:type="paragraph" w:customStyle="1" w:styleId="170">
    <w:name w:val="5.表图标题"/>
    <w:next w:val="1"/>
    <w:qFormat/>
    <w:uiPriority w:val="0"/>
    <w:pPr>
      <w:widowControl w:val="0"/>
      <w:jc w:val="center"/>
    </w:pPr>
    <w:rPr>
      <w:rFonts w:ascii="Times New Roman" w:hAnsi="Times New Roman" w:eastAsia="宋体" w:cs="Times New Roman"/>
      <w:b/>
      <w:kern w:val="2"/>
      <w:sz w:val="21"/>
      <w:szCs w:val="22"/>
      <w:lang w:val="en-US" w:eastAsia="zh-CN" w:bidi="ar-SA"/>
    </w:rPr>
  </w:style>
  <w:style w:type="character" w:customStyle="1" w:styleId="171">
    <w:name w:val="Default Char"/>
    <w:link w:val="49"/>
    <w:qFormat/>
    <w:uiPriority w:val="0"/>
    <w:rPr>
      <w:rFonts w:ascii="宋体" w:hAnsi="宋体"/>
      <w:color w:val="000000"/>
      <w:kern w:val="2"/>
      <w:sz w:val="24"/>
    </w:rPr>
  </w:style>
  <w:style w:type="paragraph" w:customStyle="1" w:styleId="172">
    <w:name w:val="首行缩进"/>
    <w:basedOn w:val="1"/>
    <w:qFormat/>
    <w:uiPriority w:val="0"/>
    <w:pPr>
      <w:ind w:firstLine="200" w:firstLineChars="200"/>
    </w:pPr>
    <w:rPr>
      <w:rFonts w:ascii="宋体" w:hAnsi="宋体" w:cs="宋体"/>
      <w:sz w:val="24"/>
    </w:rPr>
  </w:style>
  <w:style w:type="paragraph" w:customStyle="1" w:styleId="173">
    <w:name w:val="表标头jophy"/>
    <w:qFormat/>
    <w:uiPriority w:val="0"/>
    <w:pPr>
      <w:adjustRightInd w:val="0"/>
      <w:snapToGrid w:val="0"/>
      <w:jc w:val="center"/>
    </w:pPr>
    <w:rPr>
      <w:rFonts w:ascii="Times New Roman" w:hAnsi="Times New Roman" w:eastAsia="宋体" w:cs="Times New Roman"/>
      <w:b/>
      <w:bCs/>
      <w:kern w:val="2"/>
      <w:sz w:val="24"/>
      <w:szCs w:val="28"/>
      <w:lang w:val="en-US" w:eastAsia="zh-CN" w:bidi="ar-SA"/>
    </w:rPr>
  </w:style>
  <w:style w:type="character" w:customStyle="1" w:styleId="174">
    <w:name w:val="批注文字 Char"/>
    <w:link w:val="19"/>
    <w:qFormat/>
    <w:locked/>
    <w:uiPriority w:val="0"/>
    <w:rPr>
      <w:kern w:val="2"/>
      <w:sz w:val="28"/>
    </w:rPr>
  </w:style>
  <w:style w:type="paragraph" w:customStyle="1" w:styleId="175">
    <w:name w:val="custom_unionstyle"/>
    <w:basedOn w:val="1"/>
    <w:uiPriority w:val="0"/>
    <w:pPr>
      <w:widowControl/>
      <w:adjustRightInd/>
      <w:snapToGrid/>
      <w:spacing w:before="100" w:beforeAutospacing="1" w:after="100" w:afterAutospacing="1" w:line="240" w:lineRule="auto"/>
      <w:jc w:val="left"/>
    </w:pPr>
    <w:rPr>
      <w:rFonts w:ascii="宋体" w:hAnsi="宋体" w:cs="宋体"/>
      <w:kern w:val="0"/>
      <w:sz w:val="24"/>
    </w:rPr>
  </w:style>
  <w:style w:type="character" w:customStyle="1" w:styleId="176">
    <w:name w:val="font81"/>
    <w:basedOn w:val="42"/>
    <w:qFormat/>
    <w:uiPriority w:val="0"/>
    <w:rPr>
      <w:rFonts w:hint="eastAsia" w:ascii="宋体" w:hAnsi="宋体" w:eastAsia="宋体" w:cs="宋体"/>
      <w:color w:val="000000"/>
      <w:sz w:val="21"/>
      <w:szCs w:val="21"/>
      <w:u w:val="none"/>
    </w:rPr>
  </w:style>
  <w:style w:type="character" w:customStyle="1" w:styleId="177">
    <w:name w:val="font61"/>
    <w:basedOn w:val="42"/>
    <w:qFormat/>
    <w:uiPriority w:val="0"/>
    <w:rPr>
      <w:rFonts w:hint="default" w:ascii="Times New Roman" w:hAnsi="Times New Roman" w:cs="Times New Roman"/>
      <w:color w:val="000000"/>
      <w:sz w:val="21"/>
      <w:szCs w:val="21"/>
      <w:u w:val="none"/>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header" Target="header1.xml"/><Relationship Id="rId79" Type="http://schemas.openxmlformats.org/officeDocument/2006/relationships/fontTable" Target="fontTable.xml"/><Relationship Id="rId78" Type="http://schemas.openxmlformats.org/officeDocument/2006/relationships/customXml" Target="../customXml/item2.xml"/><Relationship Id="rId77" Type="http://schemas.openxmlformats.org/officeDocument/2006/relationships/numbering" Target="numbering.xml"/><Relationship Id="rId76" Type="http://schemas.openxmlformats.org/officeDocument/2006/relationships/customXml" Target="../customXml/item1.xml"/><Relationship Id="rId75" Type="http://schemas.openxmlformats.org/officeDocument/2006/relationships/image" Target="media/image57.emf"/><Relationship Id="rId74" Type="http://schemas.openxmlformats.org/officeDocument/2006/relationships/oleObject" Target="embeddings/oleObject9.bin"/><Relationship Id="rId73" Type="http://schemas.openxmlformats.org/officeDocument/2006/relationships/image" Target="media/image56.jpeg"/><Relationship Id="rId72" Type="http://schemas.openxmlformats.org/officeDocument/2006/relationships/image" Target="media/image55.png"/><Relationship Id="rId71" Type="http://schemas.openxmlformats.org/officeDocument/2006/relationships/image" Target="media/image54.png"/><Relationship Id="rId70" Type="http://schemas.openxmlformats.org/officeDocument/2006/relationships/image" Target="media/image53.png"/><Relationship Id="rId7" Type="http://schemas.openxmlformats.org/officeDocument/2006/relationships/footer" Target="footer3.xml"/><Relationship Id="rId69" Type="http://schemas.openxmlformats.org/officeDocument/2006/relationships/image" Target="media/image52.png"/><Relationship Id="rId68" Type="http://schemas.openxmlformats.org/officeDocument/2006/relationships/image" Target="media/image51.emf"/><Relationship Id="rId67" Type="http://schemas.openxmlformats.org/officeDocument/2006/relationships/oleObject" Target="embeddings/oleObject8.bin"/><Relationship Id="rId66" Type="http://schemas.openxmlformats.org/officeDocument/2006/relationships/image" Target="media/image50.png"/><Relationship Id="rId65" Type="http://schemas.openxmlformats.org/officeDocument/2006/relationships/image" Target="media/image49.emf"/><Relationship Id="rId64" Type="http://schemas.openxmlformats.org/officeDocument/2006/relationships/oleObject" Target="embeddings/oleObject7.bin"/><Relationship Id="rId63" Type="http://schemas.openxmlformats.org/officeDocument/2006/relationships/image" Target="media/image48.png"/><Relationship Id="rId62" Type="http://schemas.openxmlformats.org/officeDocument/2006/relationships/image" Target="media/image47.emf"/><Relationship Id="rId61" Type="http://schemas.openxmlformats.org/officeDocument/2006/relationships/oleObject" Target="embeddings/oleObject6.bin"/><Relationship Id="rId60" Type="http://schemas.openxmlformats.org/officeDocument/2006/relationships/image" Target="media/image46.emf"/><Relationship Id="rId6" Type="http://schemas.openxmlformats.org/officeDocument/2006/relationships/footer" Target="footer2.xml"/><Relationship Id="rId59" Type="http://schemas.openxmlformats.org/officeDocument/2006/relationships/oleObject" Target="embeddings/oleObject5.bin"/><Relationship Id="rId58" Type="http://schemas.openxmlformats.org/officeDocument/2006/relationships/image" Target="media/image45.jpeg"/><Relationship Id="rId57" Type="http://schemas.openxmlformats.org/officeDocument/2006/relationships/image" Target="media/image44.png"/><Relationship Id="rId56" Type="http://schemas.openxmlformats.org/officeDocument/2006/relationships/image" Target="media/image43.jpeg"/><Relationship Id="rId55" Type="http://schemas.openxmlformats.org/officeDocument/2006/relationships/image" Target="media/image42.jpeg"/><Relationship Id="rId54" Type="http://schemas.openxmlformats.org/officeDocument/2006/relationships/image" Target="media/image41.jpe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footer" Target="footer1.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jpeg"/><Relationship Id="rId45" Type="http://schemas.openxmlformats.org/officeDocument/2006/relationships/image" Target="media/image32.jpeg"/><Relationship Id="rId44" Type="http://schemas.openxmlformats.org/officeDocument/2006/relationships/image" Target="media/image31.jpeg"/><Relationship Id="rId43" Type="http://schemas.openxmlformats.org/officeDocument/2006/relationships/image" Target="media/image30.jpeg"/><Relationship Id="rId42" Type="http://schemas.openxmlformats.org/officeDocument/2006/relationships/image" Target="media/image29.jpeg"/><Relationship Id="rId41" Type="http://schemas.openxmlformats.org/officeDocument/2006/relationships/image" Target="media/image28.jpeg"/><Relationship Id="rId40" Type="http://schemas.openxmlformats.org/officeDocument/2006/relationships/image" Target="media/image27.jpeg"/><Relationship Id="rId4" Type="http://schemas.openxmlformats.org/officeDocument/2006/relationships/endnotes" Target="endnotes.xml"/><Relationship Id="rId39" Type="http://schemas.openxmlformats.org/officeDocument/2006/relationships/image" Target="media/image26.jpeg"/><Relationship Id="rId38" Type="http://schemas.openxmlformats.org/officeDocument/2006/relationships/image" Target="media/image25.jpeg"/><Relationship Id="rId37" Type="http://schemas.openxmlformats.org/officeDocument/2006/relationships/image" Target="media/image24.jpeg"/><Relationship Id="rId36" Type="http://schemas.openxmlformats.org/officeDocument/2006/relationships/image" Target="media/image23.jpeg"/><Relationship Id="rId35" Type="http://schemas.openxmlformats.org/officeDocument/2006/relationships/image" Target="media/image22.jpeg"/><Relationship Id="rId34" Type="http://schemas.openxmlformats.org/officeDocument/2006/relationships/image" Target="media/image21.jpeg"/><Relationship Id="rId33" Type="http://schemas.openxmlformats.org/officeDocument/2006/relationships/image" Target="media/image20.jpeg"/><Relationship Id="rId32" Type="http://schemas.openxmlformats.org/officeDocument/2006/relationships/image" Target="media/image19.jpeg"/><Relationship Id="rId31" Type="http://schemas.openxmlformats.org/officeDocument/2006/relationships/image" Target="media/image18.jpeg"/><Relationship Id="rId30" Type="http://schemas.openxmlformats.org/officeDocument/2006/relationships/image" Target="media/image17.jpeg"/><Relationship Id="rId3" Type="http://schemas.openxmlformats.org/officeDocument/2006/relationships/footnotes" Target="footnotes.xml"/><Relationship Id="rId29" Type="http://schemas.openxmlformats.org/officeDocument/2006/relationships/image" Target="media/image16.wmf"/><Relationship Id="rId28" Type="http://schemas.openxmlformats.org/officeDocument/2006/relationships/image" Target="media/image15.wmf"/><Relationship Id="rId27" Type="http://schemas.openxmlformats.org/officeDocument/2006/relationships/image" Target="media/image14.wmf"/><Relationship Id="rId26" Type="http://schemas.openxmlformats.org/officeDocument/2006/relationships/image" Target="media/image13.wmf"/><Relationship Id="rId25" Type="http://schemas.openxmlformats.org/officeDocument/2006/relationships/image" Target="media/image12.wmf"/><Relationship Id="rId24" Type="http://schemas.openxmlformats.org/officeDocument/2006/relationships/image" Target="media/image11.wmf"/><Relationship Id="rId23" Type="http://schemas.openxmlformats.org/officeDocument/2006/relationships/image" Target="media/image10.png"/><Relationship Id="rId22" Type="http://schemas.openxmlformats.org/officeDocument/2006/relationships/image" Target="media/image9.wmf"/><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emf"/><Relationship Id="rId18" Type="http://schemas.openxmlformats.org/officeDocument/2006/relationships/oleObject" Target="embeddings/oleObject4.bin"/><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emf"/><Relationship Id="rId14" Type="http://schemas.openxmlformats.org/officeDocument/2006/relationships/oleObject" Target="embeddings/oleObject3.bin"/><Relationship Id="rId13" Type="http://schemas.openxmlformats.org/officeDocument/2006/relationships/image" Target="media/image2.emf"/><Relationship Id="rId12" Type="http://schemas.openxmlformats.org/officeDocument/2006/relationships/oleObject" Target="embeddings/oleObject2.bin"/><Relationship Id="rId11" Type="http://schemas.openxmlformats.org/officeDocument/2006/relationships/image" Target="media/image1.emf"/><Relationship Id="rId10" Type="http://schemas.openxmlformats.org/officeDocument/2006/relationships/oleObject" Target="embeddings/oleObject1.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61"/>
    <customShpInfo spid="_x0000_s1055"/>
    <customShpInfo spid="_x0000_s1054"/>
    <customShpInfo spid="_x0000_s1053"/>
    <customShpInfo spid="_x0000_s1052"/>
    <customShpInfo spid="_x0000_s1051"/>
    <customShpInfo spid="_x0000_s1050"/>
    <customShpInfo spid="_x0000_s1049"/>
    <customShpInfo spid="_x0000_s1048"/>
    <customShpInfo spid="_x0000_s1047"/>
    <customShpInfo spid="_x0000_s1046"/>
    <customShpInfo spid="_x0000_s1045"/>
    <customShpInfo spid="_x0000_s1044"/>
    <customShpInfo spid="_x0000_s1043"/>
    <customShpInfo spid="_x0000_s1042"/>
    <customShpInfo spid="_x0000_s1041"/>
    <customShpInfo spid="_x0000_s1040"/>
    <customShpInfo spid="_x0000_s1039"/>
    <customShpInfo spid="_x0000_s1038"/>
    <customShpInfo spid="_x0000_s1037"/>
    <customShpInfo spid="_x0000_s1036"/>
    <customShpInfo spid="_x0000_s1035"/>
    <customShpInfo spid="_x0000_s1034"/>
    <customShpInfo spid="_x0000_s1033"/>
    <customShpInfo spid="_x0000_s1032"/>
    <customShpInfo spid="_x0000_s1031"/>
    <customShpInfo spid="_x0000_s1030"/>
    <customShpInfo spid="_x0000_s1029"/>
    <customShpInfo spid="_x0000_s1028"/>
    <customShpInfo spid="_x0000_s1027"/>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E9709D5-7141-47D6-AD5F-57CED237963C}">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92</Pages>
  <Words>29349</Words>
  <Characters>35873</Characters>
  <Lines>286</Lines>
  <Paragraphs>80</Paragraphs>
  <TotalTime>692</TotalTime>
  <ScaleCrop>false</ScaleCrop>
  <LinksUpToDate>false</LinksUpToDate>
  <CharactersWithSpaces>36111</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2021-10-28T00:15:00Z</dcterms:created>
  <dc:creator>雨林木风</dc:creator>
  <cp:lastModifiedBy>yyw</cp:lastModifiedBy>
  <cp:lastPrinted>2018-10-23T03:18:00Z</cp:lastPrinted>
  <dcterms:modified xsi:type="dcterms:W3CDTF">2022-10-13T03:53:40Z</dcterms:modified>
  <cp:revision>31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KSOSaveFontToCloudKey">
    <vt:lpwstr>232895449_cloud</vt:lpwstr>
  </property>
  <property fmtid="{D5CDD505-2E9C-101B-9397-08002B2CF9AE}" pid="4" name="ICV">
    <vt:lpwstr>7E31B3D82B534F5DA031B09A14C88117</vt:lpwstr>
  </property>
</Properties>
</file>