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Toc68153135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陆河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县农村宅基地增值收益分配指导意见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（征求意见稿）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为做好农村集体经济组织宅基地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收益分配管理，维护集体土地所有者和使用者的合法权益，促进乡村振兴和农村社会稳定，根据《中共陆河县委 陆河县人民政府关于印发〈陆河县农村宅基地制度改革试点实施方案〉的通知》（陆河发〔2021〕3号）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《关于印发〈陆河县农村宅基地有偿使用、流转和退出管理办法（试行）〉的通知》（陆改委发〔2022〕1号）等有关文件精神及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陆河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县近年来农村集体经济组织收益分配的实际情况，现就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陆河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县农村宅基地增值收益分配提出如下指导意见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农村宅基地有偿使用、流转后集体取得的收益部分，应当纳入集体资产统一管理，由集体成员共同分享。各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应当建立适应农村改革发展要求的公开、公正、公平的收益分配制度。既要保障集体成员的权益，又要坚持集体经济性质，增强村集体经济基础；既要努力增加集体成员的财产性收入，又要处理好分配与积累的关系，确保分配的可持续；既要强化监管措施，又要发挥内部体制机制作用，推进民主管理和制度管理；既要做到规范有序，又要坚持分类指导，一切从实际出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二、收益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使用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陆河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宅基地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改革相关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内容，农村集体经济组织宅基地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收益及其使用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（一）农村宅基地使用权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流转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《关于印发〈陆河县农村宅基地有偿使用、流转和退出管理办法（试行）〉的通知》（陆改委发〔2022〕1号）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转收益分为房屋收益和宅基地收益，房屋收益归产权人所有，宅基地收益须在集体经济组织和原宅基地使用者之间进行合理分配，各地可根据实际情况自行确定（原则上转让收入按不得低于50%、出租收入按不得低于20%上交所在农村集体经济组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农村集体经济组织收取的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宅基地有偿使用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《关于印发〈陆河县农村宅基地有偿使用、流转和退出管理办法（试行）〉的通知》（陆改委发〔2022〕1号）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有偿使用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村集体经济组织所有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增值收益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村集体经济组织通过民主协商或民主自治方式决定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收益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，主要用于村庄改造、基础公共设施建设、公益事业、宅基地退出补偿等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三、收益分配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坚持“收益决定分配”的原则，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集体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经济组织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要依据当年的宅基地收益和其他收入扣除集体支出、弥补亏损后，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经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成员大会或成员代表会议讨论通过</w:t>
      </w:r>
      <w:r>
        <w:rPr>
          <w:rFonts w:hint="eastAsia" w:ascii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提取一定比例的公益金，结余部分可对集体经济组织成员进行分配。要处理好分配和积累的关系，提取公益金要</w:t>
      </w:r>
      <w:bookmarkStart w:id="1" w:name="_bookmark99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根据本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实际情况确定比例，收益多时应当控制分配额度，可以结转下年使用，实行以丰补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，持续提升集体经济组织成员收益水平。分配标准要有上限控制，分配比例原则上不高于净收益的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%，防止村集体经济实力弱化，影响集体经济组织运行，不利于村集体各项公益事业的发展。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对宅基地增值收益较少的村且不具备分配条件的，根据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意愿，可留存集体使用不进行分配。将宅基地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使用权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对外出租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作价入股等取得的收益，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可作为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集体资产经营收益纳入集体年度收益分配。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其余宅基地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收益资金不直接用于分配，主要用于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村集体经济组织成员的社会保障、村内基础设施、农田水利建设、公益事业、增加积累、集体福利、宅基地退出补偿等。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农村集体经济组织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要按照有关财务会计制度的相关规定，完善内部分配机制，可将宅基地增值收益纳入集体经营收益的方式进行分配。对特殊对象进行救助的，要做到公开、公正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公平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如困难户补助、老年人补助等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四、收益资金管理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农村集体经济组织宅基地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收益分配纳入村集体经济重大事项范畴，应当公开、公正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公平和合理，要按照相关规定经过民主讨论，依法经本集体经济组织成员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大会或成员代表会议讨论通过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，实行民主决策、民主管理，并接受民主监督。财务收支要严格执行农村集体资产管理的相关规定，纳入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产权交易服务平台（原陆河县农村集体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“三资”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管理服务平台）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统一管理，实行收支两条线运作。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农村集体经济组织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收取宅基地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收益必须使用农村集体经济组织统一收款收据。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五、收益分配程序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（一）提出初步方案。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村集体经济组织根据相关依据，提出初步分配方案。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（二）分配方案公示。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集体经济组织将初步分配方案在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本集体范围内进行公示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（三）审理公示结果。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体经济组织对公示后反馈的情况进行审理，做出解释或纠正。纠正后的方案报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村委会和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镇人民政府初审，村集体经济组织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村委会和镇人民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政府的初审意见对分配方案进行再修改。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会议通过方案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集体经济组织将经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村委会和镇人民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政府初审修改后的分配方案提交成员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大会或成员代表会议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讨论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公示，公示无异议的，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村集体经济组织将最终分配方案报镇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审核并备案。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六、强化民主管理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要建立宅基地增值收益的民主管理机制，坚持勤俭节约，反对铺张浪费，严格控制非生产性开支。建立村务公开的长效管理机制，原则上每年公开四次财务收支情况，各项重要开支项目，要单独列明，方便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要强化收益分配的民主决策机制。收益分配方案要经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讨论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方可实施；应当将村集体公益金提取、民主议事机制等收益分配事项在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农村集体经济组织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章程中明确，用章程规范行为，实现自我管理、自我约束。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七、落实监管措施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集体经济组织收益分配的监管，强化有效监管手段，切实推动收益分配制度的不断完善。不能将宅基地作价评估后直接分配。实行分配方案审核制度，村集体经济组织拟定的分配方案在提交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或成员代表会议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讨论前，报村委会和镇人民政府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或成员代表会议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讨论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通过的分配方案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镇人民政府批准后方可实施。宅基地增值收益分配情况纳入陆河县农村产权交易服务平台（原陆河县农村集体“三资”管理服务平台）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，分配情况纳入村务公开内容，接受审计监督和政府监管。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八、加强工作领导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县农业农村局是指导农村集体经济组织改革发展的牵头部门，负责全县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集体经济组织收益分配制度完善工作，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强化指导。县宅改办要坚持因地制宜，不断创新，要建立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集体经济组织收益分配方案审核制度，研究新情况、新问题，妥善解决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集体经济组织收益分配中出现的矛盾，保护集体成员应有的权益，维护农村社会和谐稳定，促进集体经济发展壮大和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可持续增收，促进农村宅基地制度改革试点顺利推进。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（一）国家或上级部门就本办法所涉事项发布相关法律或政策文件的，从其规定。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（二）本办法由县农村宅基地制度改革试点工作领导小组办公室负责解释。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（三）本办法自发布之日起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施行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，有效期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至2024年4月30日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WY4OTk5NjdhMGZhYmE4MTIxMzRmNTc2Yzg3OTYifQ=="/>
  </w:docVars>
  <w:rsids>
    <w:rsidRoot w:val="00000000"/>
    <w:rsid w:val="00EB7C54"/>
    <w:rsid w:val="03555424"/>
    <w:rsid w:val="09F62B96"/>
    <w:rsid w:val="09F64472"/>
    <w:rsid w:val="0B230D12"/>
    <w:rsid w:val="0D731E22"/>
    <w:rsid w:val="0F55160E"/>
    <w:rsid w:val="10A509B7"/>
    <w:rsid w:val="11917617"/>
    <w:rsid w:val="12E658B2"/>
    <w:rsid w:val="14185BA8"/>
    <w:rsid w:val="141F2CAC"/>
    <w:rsid w:val="15694361"/>
    <w:rsid w:val="190433D9"/>
    <w:rsid w:val="19EF46FB"/>
    <w:rsid w:val="1A781D7D"/>
    <w:rsid w:val="1A8F07C7"/>
    <w:rsid w:val="1B7175F4"/>
    <w:rsid w:val="1D11369D"/>
    <w:rsid w:val="1D195E95"/>
    <w:rsid w:val="1D2606B6"/>
    <w:rsid w:val="1E1A4558"/>
    <w:rsid w:val="1F2F5C26"/>
    <w:rsid w:val="200659E3"/>
    <w:rsid w:val="20397DC3"/>
    <w:rsid w:val="23406C5A"/>
    <w:rsid w:val="24964BFF"/>
    <w:rsid w:val="254E13B7"/>
    <w:rsid w:val="25D56860"/>
    <w:rsid w:val="25E91D50"/>
    <w:rsid w:val="29386256"/>
    <w:rsid w:val="2B576F2D"/>
    <w:rsid w:val="2C7D06A0"/>
    <w:rsid w:val="2CA542E7"/>
    <w:rsid w:val="2D375EC7"/>
    <w:rsid w:val="2EC522B2"/>
    <w:rsid w:val="2ECA2ED1"/>
    <w:rsid w:val="306A3974"/>
    <w:rsid w:val="31FC0461"/>
    <w:rsid w:val="32534FE4"/>
    <w:rsid w:val="325362B0"/>
    <w:rsid w:val="32A25309"/>
    <w:rsid w:val="33782D8B"/>
    <w:rsid w:val="366A3BC9"/>
    <w:rsid w:val="3755679E"/>
    <w:rsid w:val="37DB5B69"/>
    <w:rsid w:val="389E456A"/>
    <w:rsid w:val="38C91C9A"/>
    <w:rsid w:val="38F50254"/>
    <w:rsid w:val="39C17126"/>
    <w:rsid w:val="3A9E1F34"/>
    <w:rsid w:val="3AC02EFC"/>
    <w:rsid w:val="3FA06D98"/>
    <w:rsid w:val="3FF0675C"/>
    <w:rsid w:val="412F7A3F"/>
    <w:rsid w:val="41B269A3"/>
    <w:rsid w:val="44985667"/>
    <w:rsid w:val="453A0010"/>
    <w:rsid w:val="465457C8"/>
    <w:rsid w:val="47167E74"/>
    <w:rsid w:val="478127A4"/>
    <w:rsid w:val="47F956E6"/>
    <w:rsid w:val="48F461A0"/>
    <w:rsid w:val="4AB15BD3"/>
    <w:rsid w:val="4C1C02A3"/>
    <w:rsid w:val="4CC645FA"/>
    <w:rsid w:val="4D830604"/>
    <w:rsid w:val="4EB155D6"/>
    <w:rsid w:val="4F232163"/>
    <w:rsid w:val="4FA25CF5"/>
    <w:rsid w:val="51FB6235"/>
    <w:rsid w:val="532B1249"/>
    <w:rsid w:val="546241D1"/>
    <w:rsid w:val="54E82501"/>
    <w:rsid w:val="55791D72"/>
    <w:rsid w:val="58F527A9"/>
    <w:rsid w:val="592C16C6"/>
    <w:rsid w:val="5AA55D5D"/>
    <w:rsid w:val="5ABA2632"/>
    <w:rsid w:val="5AD23A78"/>
    <w:rsid w:val="5B1F0D6E"/>
    <w:rsid w:val="5C774E47"/>
    <w:rsid w:val="5DD43580"/>
    <w:rsid w:val="5F70253E"/>
    <w:rsid w:val="6069210A"/>
    <w:rsid w:val="642A1FBE"/>
    <w:rsid w:val="64844DB9"/>
    <w:rsid w:val="657B0A49"/>
    <w:rsid w:val="660556EA"/>
    <w:rsid w:val="68A4727F"/>
    <w:rsid w:val="68B7157A"/>
    <w:rsid w:val="69E7146F"/>
    <w:rsid w:val="6B46158C"/>
    <w:rsid w:val="6C690BCC"/>
    <w:rsid w:val="6D5A6207"/>
    <w:rsid w:val="6F155CBB"/>
    <w:rsid w:val="6FEF3F55"/>
    <w:rsid w:val="711354E5"/>
    <w:rsid w:val="717139CF"/>
    <w:rsid w:val="72D3554B"/>
    <w:rsid w:val="74210C41"/>
    <w:rsid w:val="750C490D"/>
    <w:rsid w:val="760A4666"/>
    <w:rsid w:val="765E1807"/>
    <w:rsid w:val="775F42BF"/>
    <w:rsid w:val="79554A16"/>
    <w:rsid w:val="7A7C547A"/>
    <w:rsid w:val="7AC457D7"/>
    <w:rsid w:val="7AC736D5"/>
    <w:rsid w:val="7BE61B47"/>
    <w:rsid w:val="7DA65C96"/>
    <w:rsid w:val="7E992FA2"/>
    <w:rsid w:val="7EFE160E"/>
    <w:rsid w:val="7F251F40"/>
    <w:rsid w:val="7F3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 w:cs="Times New Roman"/>
      <w:b/>
      <w:bCs/>
      <w:kern w:val="44"/>
      <w:szCs w:val="48"/>
    </w:rPr>
  </w:style>
  <w:style w:type="paragraph" w:styleId="4">
    <w:name w:val="heading 2"/>
    <w:next w:val="1"/>
    <w:unhideWhenUsed/>
    <w:qFormat/>
    <w:uiPriority w:val="0"/>
    <w:pPr>
      <w:spacing w:before="100" w:beforeLines="100" w:after="100" w:afterLines="100"/>
      <w:jc w:val="center"/>
      <w:outlineLvl w:val="1"/>
    </w:pPr>
    <w:rPr>
      <w:rFonts w:ascii="Times New Roman" w:hAnsi="Times New Roman" w:eastAsia="华文中宋" w:cstheme="minorBidi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2620</Words>
  <Characters>2642</Characters>
  <Lines>0</Lines>
  <Paragraphs>0</Paragraphs>
  <TotalTime>2</TotalTime>
  <ScaleCrop>false</ScaleCrop>
  <LinksUpToDate>false</LinksUpToDate>
  <CharactersWithSpaces>2643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2022-05-30T09:26:00Z</dcterms:created>
  <dc:creator>LHH</dc:creator>
  <cp:lastModifiedBy>LHH</cp:lastModifiedBy>
  <cp:lastPrinted>2022-06-06T14:50:00Z</cp:lastPrinted>
  <dcterms:modified xsi:type="dcterms:W3CDTF">2022-06-27T07:25:07Z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167C7F1FCBE142ACB041EC46F32DA8C5</vt:lpwstr>
  </property>
</Properties>
</file>