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ascii="方正小标宋_GBK" w:hAnsi="方正小标宋_GBK" w:eastAsia="方正小标宋_GBK" w:cs="方正小标宋_GBK"/>
          <w:kern w:val="0"/>
          <w:sz w:val="44"/>
          <w:szCs w:val="56"/>
          <w:lang w:bidi="ar"/>
        </w:rPr>
      </w:pPr>
    </w:p>
    <w:p>
      <w:pPr>
        <w:autoSpaceDE w:val="0"/>
        <w:autoSpaceDN w:val="0"/>
        <w:spacing w:line="560" w:lineRule="exact"/>
        <w:jc w:val="center"/>
        <w:rPr>
          <w:rFonts w:ascii="方正小标宋_GBK" w:hAnsi="方正小标宋_GBK" w:eastAsia="方正小标宋_GBK" w:cs="方正小标宋_GBK"/>
          <w:kern w:val="0"/>
          <w:sz w:val="44"/>
          <w:szCs w:val="56"/>
          <w:lang w:bidi="ar"/>
        </w:rPr>
      </w:pPr>
    </w:p>
    <w:p>
      <w:pPr>
        <w:autoSpaceDE w:val="0"/>
        <w:autoSpaceDN w:val="0"/>
        <w:spacing w:line="560" w:lineRule="exact"/>
        <w:jc w:val="center"/>
        <w:rPr>
          <w:rFonts w:ascii="方正小标宋_GBK" w:hAnsi="方正小标宋_GBK" w:eastAsia="方正小标宋_GBK" w:cs="方正小标宋_GBK"/>
          <w:kern w:val="0"/>
          <w:sz w:val="44"/>
          <w:szCs w:val="56"/>
          <w:lang w:bidi="ar"/>
        </w:rPr>
      </w:pPr>
    </w:p>
    <w:p>
      <w:pPr>
        <w:pageBreakBefore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kern w:val="0"/>
          <w:sz w:val="52"/>
          <w:szCs w:val="52"/>
          <w:highlight w:val="none"/>
          <w:lang w:eastAsia="zh-CN" w:bidi="ar"/>
        </w:rPr>
      </w:pPr>
      <w:bookmarkStart w:id="36" w:name="_GoBack"/>
      <w:r>
        <w:rPr>
          <w:rFonts w:hint="eastAsia" w:ascii="方正小标宋简体" w:hAnsi="方正小标宋简体" w:eastAsia="方正小标宋简体" w:cs="方正小标宋简体"/>
          <w:kern w:val="0"/>
          <w:sz w:val="52"/>
          <w:szCs w:val="52"/>
          <w:highlight w:val="none"/>
          <w:lang w:eastAsia="zh-CN" w:bidi="ar"/>
        </w:rPr>
        <w:t>陆河县儿童发展规划</w:t>
      </w:r>
    </w:p>
    <w:bookmarkEnd w:id="36"/>
    <w:p>
      <w:pPr>
        <w:autoSpaceDE w:val="0"/>
        <w:autoSpaceDN w:val="0"/>
        <w:spacing w:line="560" w:lineRule="exact"/>
        <w:jc w:val="center"/>
        <w:rPr>
          <w:rFonts w:ascii="方正小标宋简体" w:hAnsi="方正小标宋简体" w:eastAsia="方正小标宋简体" w:cs="方正小标宋简体"/>
          <w:kern w:val="0"/>
          <w:sz w:val="52"/>
          <w:szCs w:val="52"/>
        </w:rPr>
      </w:pPr>
    </w:p>
    <w:p>
      <w:pPr>
        <w:autoSpaceDE w:val="0"/>
        <w:autoSpaceDN w:val="0"/>
        <w:spacing w:line="56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kern w:val="0"/>
          <w:sz w:val="52"/>
          <w:szCs w:val="52"/>
          <w:lang w:bidi="ar"/>
        </w:rPr>
        <w:t>（2021—2030年）</w:t>
      </w:r>
    </w:p>
    <w:p>
      <w:pPr>
        <w:autoSpaceDE w:val="0"/>
        <w:autoSpaceDN w:val="0"/>
        <w:spacing w:line="560" w:lineRule="exact"/>
        <w:jc w:val="center"/>
        <w:rPr>
          <w:rFonts w:ascii="Times New Roman" w:hAnsi="Times New Roman" w:cs="Arial Unicode MS"/>
        </w:rPr>
      </w:pPr>
    </w:p>
    <w:p>
      <w:pPr>
        <w:autoSpaceDE w:val="0"/>
        <w:autoSpaceDN w:val="0"/>
        <w:spacing w:line="56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（第一次征求意见稿）</w:t>
      </w: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jc w:val="center"/>
        <w:rPr>
          <w:rFonts w:ascii="Times New Roman" w:hAnsi="Times New Roman" w:eastAsia="仿宋" w:cs="仿宋"/>
          <w:b/>
          <w:bCs/>
          <w:kern w:val="0"/>
          <w:sz w:val="36"/>
          <w:lang w:bidi="ar"/>
        </w:rPr>
      </w:pPr>
    </w:p>
    <w:p>
      <w:pPr>
        <w:autoSpaceDE w:val="0"/>
        <w:autoSpaceDN w:val="0"/>
        <w:spacing w:line="560" w:lineRule="exact"/>
        <w:rPr>
          <w:rFonts w:ascii="Times New Roman" w:hAnsi="Times New Roman" w:eastAsia="仿宋" w:cs="仿宋"/>
          <w:b/>
          <w:bCs/>
          <w:kern w:val="0"/>
          <w:sz w:val="40"/>
          <w:szCs w:val="28"/>
          <w:lang w:bidi="ar"/>
        </w:rPr>
      </w:pPr>
    </w:p>
    <w:p>
      <w:pPr>
        <w:autoSpaceDE w:val="0"/>
        <w:autoSpaceDN w:val="0"/>
        <w:spacing w:line="560" w:lineRule="exact"/>
        <w:rPr>
          <w:rFonts w:ascii="Times New Roman" w:hAnsi="Times New Roman" w:eastAsia="仿宋" w:cs="仿宋"/>
          <w:b/>
          <w:bCs/>
          <w:kern w:val="0"/>
          <w:sz w:val="40"/>
          <w:szCs w:val="28"/>
          <w:lang w:bidi="ar"/>
        </w:rPr>
      </w:pPr>
    </w:p>
    <w:p>
      <w:pPr>
        <w:autoSpaceDE w:val="0"/>
        <w:autoSpaceDN w:val="0"/>
        <w:spacing w:line="560" w:lineRule="exact"/>
        <w:rPr>
          <w:rFonts w:ascii="Times New Roman" w:hAnsi="Times New Roman" w:eastAsia="仿宋" w:cs="仿宋"/>
          <w:b/>
          <w:bCs/>
          <w:kern w:val="0"/>
          <w:sz w:val="40"/>
          <w:szCs w:val="28"/>
          <w:lang w:bidi="ar"/>
        </w:rPr>
      </w:pPr>
    </w:p>
    <w:p>
      <w:pPr>
        <w:autoSpaceDE w:val="0"/>
        <w:autoSpaceDN w:val="0"/>
        <w:spacing w:line="560" w:lineRule="exact"/>
        <w:rPr>
          <w:rFonts w:ascii="Times New Roman" w:hAnsi="Times New Roman" w:eastAsia="仿宋" w:cs="仿宋"/>
          <w:b/>
          <w:bCs/>
          <w:kern w:val="0"/>
          <w:sz w:val="40"/>
          <w:szCs w:val="28"/>
          <w:lang w:bidi="ar"/>
        </w:rPr>
      </w:pPr>
    </w:p>
    <w:p>
      <w:pPr>
        <w:autoSpaceDE w:val="0"/>
        <w:autoSpaceDN w:val="0"/>
        <w:spacing w:line="560" w:lineRule="exact"/>
        <w:jc w:val="center"/>
        <w:rPr>
          <w:rFonts w:ascii="Times New Roman" w:hAnsi="Times New Roman" w:eastAsia="仿宋" w:cs="仿宋"/>
          <w:kern w:val="0"/>
          <w:sz w:val="40"/>
          <w:szCs w:val="28"/>
          <w:lang w:bidi="ar"/>
        </w:rPr>
      </w:pPr>
      <w:r>
        <w:rPr>
          <w:rFonts w:hint="eastAsia" w:ascii="Times New Roman" w:hAnsi="Times New Roman" w:eastAsia="仿宋" w:cs="仿宋"/>
          <w:kern w:val="0"/>
          <w:sz w:val="40"/>
          <w:szCs w:val="28"/>
          <w:lang w:bidi="ar"/>
        </w:rPr>
        <w:t>2</w:t>
      </w:r>
      <w:r>
        <w:rPr>
          <w:rFonts w:ascii="Times New Roman" w:hAnsi="Times New Roman" w:eastAsia="仿宋" w:cs="仿宋"/>
          <w:kern w:val="0"/>
          <w:sz w:val="40"/>
          <w:szCs w:val="28"/>
          <w:lang w:bidi="ar"/>
        </w:rPr>
        <w:t>022</w:t>
      </w:r>
      <w:r>
        <w:rPr>
          <w:rFonts w:hint="eastAsia" w:ascii="Times New Roman" w:hAnsi="Times New Roman" w:eastAsia="仿宋" w:cs="仿宋"/>
          <w:kern w:val="0"/>
          <w:sz w:val="40"/>
          <w:szCs w:val="28"/>
          <w:lang w:bidi="ar"/>
        </w:rPr>
        <w:t>年</w:t>
      </w:r>
      <w:r>
        <w:rPr>
          <w:rFonts w:ascii="Times New Roman" w:hAnsi="Times New Roman" w:eastAsia="仿宋" w:cs="仿宋"/>
          <w:kern w:val="0"/>
          <w:sz w:val="40"/>
          <w:szCs w:val="28"/>
          <w:lang w:bidi="ar"/>
        </w:rPr>
        <w:t>5</w:t>
      </w:r>
      <w:r>
        <w:rPr>
          <w:rFonts w:hint="eastAsia" w:ascii="Times New Roman" w:hAnsi="Times New Roman" w:eastAsia="仿宋" w:cs="仿宋"/>
          <w:kern w:val="0"/>
          <w:sz w:val="40"/>
          <w:szCs w:val="28"/>
          <w:lang w:bidi="ar"/>
        </w:rPr>
        <w:t>月</w:t>
      </w:r>
    </w:p>
    <w:p>
      <w:pPr>
        <w:autoSpaceDE w:val="0"/>
        <w:autoSpaceDN w:val="0"/>
        <w:spacing w:line="560" w:lineRule="exact"/>
        <w:jc w:val="center"/>
        <w:rPr>
          <w:rFonts w:ascii="Times New Roman" w:hAnsi="Times New Roman" w:eastAsia="仿宋" w:cs="仿宋"/>
          <w:kern w:val="0"/>
          <w:sz w:val="40"/>
          <w:szCs w:val="28"/>
          <w:lang w:bidi="ar"/>
        </w:rPr>
        <w:sectPr>
          <w:headerReference r:id="rId4" w:type="default"/>
          <w:footerReference r:id="rId5" w:type="default"/>
          <w:pgSz w:w="11906" w:h="16838"/>
          <w:pgMar w:top="2098" w:right="1474" w:bottom="1985" w:left="1588" w:header="851" w:footer="992" w:gutter="0"/>
          <w:pgNumType w:fmt="decimal" w:start="1"/>
          <w:cols w:space="425" w:num="1"/>
          <w:docGrid w:type="lines" w:linePitch="312" w:charSpace="0"/>
        </w:sectPr>
      </w:pPr>
    </w:p>
    <w:p>
      <w:pPr>
        <w:autoSpaceDE w:val="0"/>
        <w:autoSpaceDN w:val="0"/>
        <w:spacing w:line="560" w:lineRule="exact"/>
        <w:jc w:val="center"/>
        <w:rPr>
          <w:rFonts w:ascii="Times New Roman" w:hAnsi="Times New Roman" w:eastAsia="仿宋" w:cs="仿宋"/>
          <w:kern w:val="0"/>
          <w:sz w:val="40"/>
          <w:szCs w:val="28"/>
          <w:lang w:bidi="ar"/>
        </w:rPr>
      </w:pPr>
    </w:p>
    <w:sdt>
      <w:sdtPr>
        <w:rPr>
          <w:rFonts w:ascii="宋体" w:hAnsi="宋体" w:eastAsia="宋体" w:cstheme="minorBidi"/>
          <w:kern w:val="2"/>
          <w:sz w:val="21"/>
          <w:szCs w:val="22"/>
          <w:lang w:val="en-US" w:eastAsia="zh-CN" w:bidi="ar-SA"/>
        </w:rPr>
        <w:id w:val="147473791"/>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40"/>
              <w:szCs w:val="44"/>
            </w:rPr>
          </w:pPr>
          <w:r>
            <w:rPr>
              <w:rFonts w:hint="eastAsia" w:ascii="仿宋" w:hAnsi="仿宋" w:eastAsia="仿宋" w:cs="仿宋"/>
              <w:b/>
              <w:bCs/>
              <w:sz w:val="40"/>
              <w:szCs w:val="44"/>
            </w:rPr>
            <w:t>目</w:t>
          </w:r>
          <w:r>
            <w:rPr>
              <w:rFonts w:hint="eastAsia" w:ascii="仿宋" w:hAnsi="仿宋" w:eastAsia="仿宋" w:cs="仿宋"/>
              <w:b/>
              <w:bCs/>
              <w:sz w:val="40"/>
              <w:szCs w:val="44"/>
              <w:lang w:val="en-US" w:eastAsia="zh-CN"/>
            </w:rPr>
            <w:t xml:space="preserve">   </w:t>
          </w:r>
          <w:r>
            <w:rPr>
              <w:rFonts w:hint="eastAsia" w:ascii="仿宋" w:hAnsi="仿宋" w:eastAsia="仿宋" w:cs="仿宋"/>
              <w:b/>
              <w:bCs/>
              <w:sz w:val="40"/>
              <w:szCs w:val="44"/>
            </w:rPr>
            <w:t>录</w:t>
          </w:r>
        </w:p>
        <w:p>
          <w:pPr>
            <w:spacing w:before="0" w:beforeLines="0" w:after="0" w:afterLines="0" w:line="240" w:lineRule="auto"/>
            <w:ind w:left="0" w:leftChars="0" w:right="0" w:rightChars="0" w:firstLine="0" w:firstLineChars="0"/>
            <w:jc w:val="center"/>
            <w:rPr>
              <w:rFonts w:hint="eastAsia" w:ascii="仿宋" w:hAnsi="仿宋" w:eastAsia="仿宋" w:cs="仿宋"/>
              <w:b/>
              <w:bCs/>
              <w:sz w:val="40"/>
              <w:szCs w:val="44"/>
            </w:rPr>
          </w:pPr>
        </w:p>
        <w:p>
          <w:pPr>
            <w:pStyle w:val="15"/>
            <w:tabs>
              <w:tab w:val="right" w:leader="dot" w:pos="8844"/>
            </w:tabs>
            <w:rPr>
              <w:rFonts w:hint="eastAsia" w:ascii="楷体" w:hAnsi="楷体" w:eastAsia="楷体" w:cs="楷体"/>
              <w:b/>
              <w:sz w:val="32"/>
              <w:szCs w:val="32"/>
            </w:rPr>
          </w:pPr>
          <w:r>
            <w:fldChar w:fldCharType="begin"/>
          </w:r>
          <w:r>
            <w:instrText xml:space="preserve">TOC \o "1-2" \h \u </w:instrText>
          </w:r>
          <w:r>
            <w:fldChar w:fldCharType="separate"/>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_Toc5069 </w:instrText>
          </w:r>
          <w:r>
            <w:rPr>
              <w:rFonts w:hint="eastAsia" w:ascii="楷体" w:hAnsi="楷体" w:eastAsia="楷体" w:cs="楷体"/>
              <w:b/>
              <w:sz w:val="32"/>
              <w:szCs w:val="32"/>
            </w:rPr>
            <w:fldChar w:fldCharType="separate"/>
          </w:r>
          <w:r>
            <w:rPr>
              <w:rFonts w:hint="eastAsia" w:ascii="楷体" w:hAnsi="楷体" w:eastAsia="楷体" w:cs="楷体"/>
              <w:b/>
              <w:sz w:val="32"/>
              <w:szCs w:val="52"/>
            </w:rPr>
            <w:t>一、总体要求</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_Toc5069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1</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_Toc19188 </w:instrText>
          </w:r>
          <w:r>
            <w:rPr>
              <w:rFonts w:hint="eastAsia" w:ascii="楷体" w:hAnsi="楷体" w:eastAsia="楷体" w:cs="楷体"/>
              <w:sz w:val="32"/>
              <w:szCs w:val="32"/>
            </w:rPr>
            <w:fldChar w:fldCharType="separate"/>
          </w:r>
          <w:r>
            <w:rPr>
              <w:rFonts w:hint="eastAsia" w:ascii="楷体" w:hAnsi="楷体" w:eastAsia="楷体" w:cs="楷体"/>
              <w:sz w:val="32"/>
              <w:szCs w:val="52"/>
            </w:rPr>
            <w:t>(一)指导思想</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_Toc19188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_Toc6812 </w:instrText>
          </w:r>
          <w:r>
            <w:rPr>
              <w:rFonts w:hint="eastAsia" w:ascii="楷体" w:hAnsi="楷体" w:eastAsia="楷体" w:cs="楷体"/>
              <w:sz w:val="32"/>
              <w:szCs w:val="32"/>
            </w:rPr>
            <w:fldChar w:fldCharType="separate"/>
          </w:r>
          <w:r>
            <w:rPr>
              <w:rFonts w:hint="eastAsia" w:ascii="楷体" w:hAnsi="楷体" w:eastAsia="楷体" w:cs="楷体"/>
              <w:sz w:val="32"/>
              <w:szCs w:val="52"/>
            </w:rPr>
            <w:t>(二)总体目标</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_Toc6812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5"/>
            <w:tabs>
              <w:tab w:val="right" w:leader="dot" w:pos="8844"/>
            </w:tabs>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_Toc30845 </w:instrText>
          </w:r>
          <w:r>
            <w:rPr>
              <w:rFonts w:hint="eastAsia" w:ascii="楷体" w:hAnsi="楷体" w:eastAsia="楷体" w:cs="楷体"/>
              <w:b/>
              <w:sz w:val="32"/>
              <w:szCs w:val="32"/>
            </w:rPr>
            <w:fldChar w:fldCharType="separate"/>
          </w:r>
          <w:r>
            <w:rPr>
              <w:rFonts w:hint="eastAsia" w:ascii="楷体" w:hAnsi="楷体" w:eastAsia="楷体" w:cs="楷体"/>
              <w:b/>
              <w:sz w:val="32"/>
              <w:szCs w:val="52"/>
            </w:rPr>
            <w:t>二、发展领域、主要目标和策略措施</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_Toc30845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2</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_Toc13250 </w:instrText>
          </w:r>
          <w:r>
            <w:rPr>
              <w:rFonts w:hint="eastAsia" w:ascii="楷体" w:hAnsi="楷体" w:eastAsia="楷体" w:cs="楷体"/>
              <w:sz w:val="32"/>
              <w:szCs w:val="32"/>
            </w:rPr>
            <w:fldChar w:fldCharType="separate"/>
          </w:r>
          <w:r>
            <w:rPr>
              <w:rFonts w:hint="eastAsia" w:ascii="楷体" w:hAnsi="楷体" w:eastAsia="楷体" w:cs="楷体"/>
              <w:sz w:val="32"/>
              <w:szCs w:val="52"/>
            </w:rPr>
            <w:t>(一)儿童与健康</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_Toc13250 \h </w:instrText>
          </w:r>
          <w:r>
            <w:rPr>
              <w:rFonts w:hint="eastAsia" w:ascii="楷体" w:hAnsi="楷体" w:eastAsia="楷体" w:cs="楷体"/>
              <w:sz w:val="32"/>
              <w:szCs w:val="32"/>
            </w:rPr>
            <w:fldChar w:fldCharType="separate"/>
          </w:r>
          <w:r>
            <w:rPr>
              <w:rFonts w:hint="eastAsia" w:ascii="楷体" w:hAnsi="楷体" w:eastAsia="楷体" w:cs="楷体"/>
              <w:sz w:val="32"/>
              <w:szCs w:val="32"/>
            </w:rPr>
            <w:t>2</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_Toc4331 </w:instrText>
          </w:r>
          <w:r>
            <w:rPr>
              <w:rFonts w:hint="eastAsia" w:ascii="楷体" w:hAnsi="楷体" w:eastAsia="楷体" w:cs="楷体"/>
              <w:sz w:val="32"/>
              <w:szCs w:val="32"/>
            </w:rPr>
            <w:fldChar w:fldCharType="separate"/>
          </w:r>
          <w:r>
            <w:rPr>
              <w:rFonts w:hint="eastAsia" w:ascii="楷体" w:hAnsi="楷体" w:eastAsia="楷体" w:cs="楷体"/>
              <w:sz w:val="32"/>
              <w:szCs w:val="52"/>
            </w:rPr>
            <w:t>(二)儿童与安全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_Toc4331 \h </w:instrText>
          </w:r>
          <w:r>
            <w:rPr>
              <w:rFonts w:hint="eastAsia" w:ascii="楷体" w:hAnsi="楷体" w:eastAsia="楷体" w:cs="楷体"/>
              <w:sz w:val="32"/>
              <w:szCs w:val="32"/>
            </w:rPr>
            <w:fldChar w:fldCharType="separate"/>
          </w:r>
          <w:r>
            <w:rPr>
              <w:rFonts w:hint="eastAsia" w:ascii="楷体" w:hAnsi="楷体" w:eastAsia="楷体" w:cs="楷体"/>
              <w:sz w:val="32"/>
              <w:szCs w:val="32"/>
            </w:rPr>
            <w:t>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_Toc25459 </w:instrText>
          </w:r>
          <w:r>
            <w:rPr>
              <w:rFonts w:hint="eastAsia" w:ascii="楷体" w:hAnsi="楷体" w:eastAsia="楷体" w:cs="楷体"/>
              <w:sz w:val="32"/>
              <w:szCs w:val="32"/>
            </w:rPr>
            <w:fldChar w:fldCharType="separate"/>
          </w:r>
          <w:r>
            <w:rPr>
              <w:rFonts w:hint="eastAsia" w:ascii="楷体" w:hAnsi="楷体" w:eastAsia="楷体" w:cs="楷体"/>
              <w:sz w:val="32"/>
              <w:szCs w:val="52"/>
            </w:rPr>
            <w:t>(三)儿童与教育</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_Toc25459 \h </w:instrText>
          </w:r>
          <w:r>
            <w:rPr>
              <w:rFonts w:hint="eastAsia" w:ascii="楷体" w:hAnsi="楷体" w:eastAsia="楷体" w:cs="楷体"/>
              <w:sz w:val="32"/>
              <w:szCs w:val="32"/>
            </w:rPr>
            <w:fldChar w:fldCharType="separate"/>
          </w:r>
          <w:r>
            <w:rPr>
              <w:rFonts w:hint="eastAsia" w:ascii="楷体" w:hAnsi="楷体" w:eastAsia="楷体" w:cs="楷体"/>
              <w:sz w:val="32"/>
              <w:szCs w:val="32"/>
            </w:rPr>
            <w:t>13</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_Toc10493 </w:instrText>
          </w:r>
          <w:r>
            <w:rPr>
              <w:rFonts w:hint="eastAsia" w:ascii="楷体" w:hAnsi="楷体" w:eastAsia="楷体" w:cs="楷体"/>
              <w:sz w:val="32"/>
              <w:szCs w:val="32"/>
            </w:rPr>
            <w:fldChar w:fldCharType="separate"/>
          </w:r>
          <w:r>
            <w:rPr>
              <w:rFonts w:hint="eastAsia" w:ascii="楷体" w:hAnsi="楷体" w:eastAsia="楷体" w:cs="楷体"/>
              <w:sz w:val="32"/>
              <w:szCs w:val="52"/>
            </w:rPr>
            <w:t>(四)儿童与福利</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_Toc10493 \h </w:instrText>
          </w:r>
          <w:r>
            <w:rPr>
              <w:rFonts w:hint="eastAsia" w:ascii="楷体" w:hAnsi="楷体" w:eastAsia="楷体" w:cs="楷体"/>
              <w:sz w:val="32"/>
              <w:szCs w:val="32"/>
            </w:rPr>
            <w:fldChar w:fldCharType="separate"/>
          </w:r>
          <w:r>
            <w:rPr>
              <w:rFonts w:hint="eastAsia" w:ascii="楷体" w:hAnsi="楷体" w:eastAsia="楷体" w:cs="楷体"/>
              <w:sz w:val="32"/>
              <w:szCs w:val="32"/>
            </w:rPr>
            <w:t>19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_Toc28525 </w:instrText>
          </w:r>
          <w:r>
            <w:rPr>
              <w:rFonts w:hint="eastAsia" w:ascii="楷体" w:hAnsi="楷体" w:eastAsia="楷体" w:cs="楷体"/>
              <w:sz w:val="32"/>
              <w:szCs w:val="32"/>
            </w:rPr>
            <w:fldChar w:fldCharType="separate"/>
          </w:r>
          <w:r>
            <w:rPr>
              <w:rFonts w:hint="eastAsia" w:ascii="楷体" w:hAnsi="楷体" w:eastAsia="楷体" w:cs="楷体"/>
              <w:sz w:val="32"/>
              <w:szCs w:val="52"/>
            </w:rPr>
            <w:t>(五)儿童与家庭</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_Toc28525 \h </w:instrText>
          </w:r>
          <w:r>
            <w:rPr>
              <w:rFonts w:hint="eastAsia" w:ascii="楷体" w:hAnsi="楷体" w:eastAsia="楷体" w:cs="楷体"/>
              <w:sz w:val="32"/>
              <w:szCs w:val="32"/>
            </w:rPr>
            <w:fldChar w:fldCharType="separate"/>
          </w:r>
          <w:r>
            <w:rPr>
              <w:rFonts w:hint="eastAsia" w:ascii="楷体" w:hAnsi="楷体" w:eastAsia="楷体" w:cs="楷体"/>
              <w:sz w:val="32"/>
              <w:szCs w:val="32"/>
            </w:rPr>
            <w:t>24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_Toc11172 </w:instrText>
          </w:r>
          <w:r>
            <w:rPr>
              <w:rFonts w:hint="eastAsia" w:ascii="楷体" w:hAnsi="楷体" w:eastAsia="楷体" w:cs="楷体"/>
              <w:sz w:val="32"/>
              <w:szCs w:val="32"/>
            </w:rPr>
            <w:fldChar w:fldCharType="separate"/>
          </w:r>
          <w:r>
            <w:rPr>
              <w:rFonts w:hint="eastAsia" w:ascii="楷体" w:hAnsi="楷体" w:eastAsia="楷体" w:cs="楷体"/>
              <w:sz w:val="32"/>
              <w:szCs w:val="52"/>
            </w:rPr>
            <w:t>(六)儿童与环境</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_Toc11172 \h </w:instrText>
          </w:r>
          <w:r>
            <w:rPr>
              <w:rFonts w:hint="eastAsia" w:ascii="楷体" w:hAnsi="楷体" w:eastAsia="楷体" w:cs="楷体"/>
              <w:sz w:val="32"/>
              <w:szCs w:val="32"/>
            </w:rPr>
            <w:fldChar w:fldCharType="separate"/>
          </w:r>
          <w:r>
            <w:rPr>
              <w:rFonts w:hint="eastAsia" w:ascii="楷体" w:hAnsi="楷体" w:eastAsia="楷体" w:cs="楷体"/>
              <w:sz w:val="32"/>
              <w:szCs w:val="32"/>
            </w:rPr>
            <w:t>28</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6"/>
            <w:tabs>
              <w:tab w:val="right" w:leader="dot" w:pos="8844"/>
            </w:tabs>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_Toc2649 </w:instrText>
          </w:r>
          <w:r>
            <w:rPr>
              <w:rFonts w:hint="eastAsia" w:ascii="楷体" w:hAnsi="楷体" w:eastAsia="楷体" w:cs="楷体"/>
              <w:sz w:val="32"/>
              <w:szCs w:val="32"/>
            </w:rPr>
            <w:fldChar w:fldCharType="separate"/>
          </w:r>
          <w:r>
            <w:rPr>
              <w:rFonts w:hint="eastAsia" w:ascii="楷体" w:hAnsi="楷体" w:eastAsia="楷体" w:cs="楷体"/>
              <w:kern w:val="0"/>
              <w:sz w:val="32"/>
              <w:szCs w:val="52"/>
            </w:rPr>
            <w:t>(七)儿童与法律保护</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_Toc2649 \h </w:instrText>
          </w:r>
          <w:r>
            <w:rPr>
              <w:rFonts w:hint="eastAsia" w:ascii="楷体" w:hAnsi="楷体" w:eastAsia="楷体" w:cs="楷体"/>
              <w:sz w:val="32"/>
              <w:szCs w:val="32"/>
            </w:rPr>
            <w:fldChar w:fldCharType="separate"/>
          </w:r>
          <w:r>
            <w:rPr>
              <w:rFonts w:hint="eastAsia" w:ascii="楷体" w:hAnsi="楷体" w:eastAsia="楷体" w:cs="楷体"/>
              <w:sz w:val="32"/>
              <w:szCs w:val="32"/>
            </w:rPr>
            <w:t>34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pPr>
            <w:pStyle w:val="15"/>
            <w:tabs>
              <w:tab w:val="right" w:leader="dot" w:pos="8844"/>
            </w:tabs>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_Toc11871 </w:instrText>
          </w:r>
          <w:r>
            <w:rPr>
              <w:rFonts w:hint="eastAsia" w:ascii="楷体" w:hAnsi="楷体" w:eastAsia="楷体" w:cs="楷体"/>
              <w:b/>
              <w:sz w:val="32"/>
              <w:szCs w:val="32"/>
            </w:rPr>
            <w:fldChar w:fldCharType="separate"/>
          </w:r>
          <w:r>
            <w:rPr>
              <w:rFonts w:hint="eastAsia" w:ascii="楷体" w:hAnsi="楷体" w:eastAsia="楷体" w:cs="楷体"/>
              <w:b/>
              <w:kern w:val="0"/>
              <w:sz w:val="32"/>
              <w:szCs w:val="52"/>
            </w:rPr>
            <w:t>三、重点工程</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_Toc11871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40</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5"/>
            <w:tabs>
              <w:tab w:val="right" w:leader="dot" w:pos="8844"/>
            </w:tabs>
            <w:rPr>
              <w:rFonts w:hint="eastAsia" w:ascii="楷体" w:hAnsi="楷体" w:eastAsia="楷体" w:cs="楷体"/>
              <w:b/>
              <w:sz w:val="32"/>
              <w:szCs w:val="32"/>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_Toc21324 </w:instrText>
          </w:r>
          <w:r>
            <w:rPr>
              <w:rFonts w:hint="eastAsia" w:ascii="楷体" w:hAnsi="楷体" w:eastAsia="楷体" w:cs="楷体"/>
              <w:b/>
              <w:sz w:val="32"/>
              <w:szCs w:val="32"/>
            </w:rPr>
            <w:fldChar w:fldCharType="separate"/>
          </w:r>
          <w:r>
            <w:rPr>
              <w:rFonts w:hint="eastAsia" w:ascii="楷体" w:hAnsi="楷体" w:eastAsia="楷体" w:cs="楷体"/>
              <w:b/>
              <w:kern w:val="0"/>
              <w:sz w:val="32"/>
              <w:szCs w:val="52"/>
            </w:rPr>
            <w:t>四、组织实施</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_Toc21324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43</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pPr>
            <w:pStyle w:val="15"/>
            <w:tabs>
              <w:tab w:val="right" w:leader="dot" w:pos="8844"/>
            </w:tabs>
            <w:rPr>
              <w:b/>
            </w:rPr>
          </w:pP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HYPERLINK \l _Toc32055 </w:instrText>
          </w:r>
          <w:r>
            <w:rPr>
              <w:rFonts w:hint="eastAsia" w:ascii="楷体" w:hAnsi="楷体" w:eastAsia="楷体" w:cs="楷体"/>
              <w:b/>
              <w:sz w:val="32"/>
              <w:szCs w:val="32"/>
            </w:rPr>
            <w:fldChar w:fldCharType="separate"/>
          </w:r>
          <w:r>
            <w:rPr>
              <w:rFonts w:hint="eastAsia" w:ascii="楷体" w:hAnsi="楷体" w:eastAsia="楷体" w:cs="楷体"/>
              <w:b/>
              <w:kern w:val="0"/>
              <w:sz w:val="32"/>
              <w:szCs w:val="52"/>
            </w:rPr>
            <w:t>五、监测评估</w:t>
          </w:r>
          <w:r>
            <w:rPr>
              <w:rFonts w:hint="eastAsia" w:ascii="楷体" w:hAnsi="楷体" w:eastAsia="楷体" w:cs="楷体"/>
              <w:b/>
              <w:sz w:val="32"/>
              <w:szCs w:val="32"/>
            </w:rPr>
            <w:tab/>
          </w:r>
          <w:r>
            <w:rPr>
              <w:rFonts w:hint="eastAsia" w:ascii="楷体" w:hAnsi="楷体" w:eastAsia="楷体" w:cs="楷体"/>
              <w:b/>
              <w:sz w:val="32"/>
              <w:szCs w:val="32"/>
            </w:rPr>
            <w:fldChar w:fldCharType="begin"/>
          </w:r>
          <w:r>
            <w:rPr>
              <w:rFonts w:hint="eastAsia" w:ascii="楷体" w:hAnsi="楷体" w:eastAsia="楷体" w:cs="楷体"/>
              <w:b/>
              <w:sz w:val="32"/>
              <w:szCs w:val="32"/>
            </w:rPr>
            <w:instrText xml:space="preserve"> PAGEREF _Toc32055 \h </w:instrText>
          </w:r>
          <w:r>
            <w:rPr>
              <w:rFonts w:hint="eastAsia" w:ascii="楷体" w:hAnsi="楷体" w:eastAsia="楷体" w:cs="楷体"/>
              <w:b/>
              <w:sz w:val="32"/>
              <w:szCs w:val="32"/>
            </w:rPr>
            <w:fldChar w:fldCharType="separate"/>
          </w:r>
          <w:r>
            <w:rPr>
              <w:rFonts w:hint="eastAsia" w:ascii="楷体" w:hAnsi="楷体" w:eastAsia="楷体" w:cs="楷体"/>
              <w:b/>
              <w:sz w:val="32"/>
              <w:szCs w:val="32"/>
            </w:rPr>
            <w:t>46</w:t>
          </w:r>
          <w:r>
            <w:rPr>
              <w:rFonts w:hint="eastAsia" w:ascii="楷体" w:hAnsi="楷体" w:eastAsia="楷体" w:cs="楷体"/>
              <w:b/>
              <w:sz w:val="32"/>
              <w:szCs w:val="32"/>
            </w:rPr>
            <w:fldChar w:fldCharType="end"/>
          </w:r>
          <w:r>
            <w:rPr>
              <w:rFonts w:hint="eastAsia" w:ascii="楷体" w:hAnsi="楷体" w:eastAsia="楷体" w:cs="楷体"/>
              <w:b/>
              <w:sz w:val="32"/>
              <w:szCs w:val="32"/>
            </w:rPr>
            <w:fldChar w:fldCharType="end"/>
          </w:r>
        </w:p>
        <w:p>
          <w:r>
            <w:rPr>
              <w:b/>
            </w:rPr>
            <w:fldChar w:fldCharType="end"/>
          </w:r>
        </w:p>
      </w:sdtContent>
    </w:sdt>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sectPr>
          <w:footerReference r:id="rId6" w:type="default"/>
          <w:pgSz w:w="11906" w:h="16838"/>
          <w:pgMar w:top="2098" w:right="1474" w:bottom="1985" w:left="1588" w:header="851" w:footer="992" w:gutter="0"/>
          <w:pgNumType w:fmt="decimal" w:start="1"/>
          <w:cols w:space="425" w:num="1"/>
          <w:docGrid w:type="lines" w:linePitch="312" w:charSpace="0"/>
        </w:sect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为贯彻落实《中国儿童发展纲要(2021—2030年)》《广东省儿童发展规划（2021—2030年）》</w:t>
      </w:r>
      <w:r>
        <w:rPr>
          <w:rFonts w:hint="eastAsia" w:ascii="仿宋_GB2312" w:hAnsi="仿宋_GB2312" w:eastAsia="仿宋_GB2312" w:cs="仿宋_GB2312"/>
          <w:sz w:val="32"/>
          <w:szCs w:val="32"/>
          <w:u w:val="single"/>
        </w:rPr>
        <w:t>和《汕尾市儿童发展规划（</w:t>
      </w:r>
      <w:r>
        <w:rPr>
          <w:rFonts w:ascii="仿宋_GB2312" w:hAnsi="仿宋_GB2312" w:eastAsia="仿宋_GB2312" w:cs="仿宋_GB2312"/>
          <w:sz w:val="32"/>
          <w:szCs w:val="32"/>
          <w:u w:val="single"/>
        </w:rPr>
        <w:t>2021—2030年）》</w:t>
      </w:r>
      <w:r>
        <w:rPr>
          <w:rFonts w:hint="eastAsia" w:ascii="仿宋_GB2312" w:hAnsi="仿宋_GB2312" w:eastAsia="仿宋_GB2312" w:cs="仿宋_GB2312"/>
          <w:sz w:val="32"/>
          <w:szCs w:val="32"/>
        </w:rPr>
        <w:t>，进一步优化我市儿童发展环境，保障儿童合法权益，按照我市国民经济和社会发展的总体目标和要求，结合我市儿童发展的实际情况，制定本规划。</w:t>
      </w:r>
    </w:p>
    <w:p>
      <w:pPr>
        <w:spacing w:line="560" w:lineRule="exact"/>
        <w:ind w:firstLine="640" w:firstLineChars="200"/>
        <w:outlineLvl w:val="0"/>
        <w:rPr>
          <w:rFonts w:ascii="黑体" w:hAnsi="黑体" w:eastAsia="黑体"/>
          <w:sz w:val="32"/>
          <w:szCs w:val="32"/>
        </w:rPr>
      </w:pPr>
      <w:bookmarkStart w:id="0" w:name="_Toc202"/>
      <w:bookmarkStart w:id="1" w:name="_Toc5069"/>
      <w:r>
        <w:rPr>
          <w:rFonts w:hint="eastAsia" w:ascii="黑体" w:hAnsi="黑体" w:eastAsia="黑体"/>
          <w:sz w:val="32"/>
          <w:szCs w:val="32"/>
        </w:rPr>
        <w:t>一、</w:t>
      </w:r>
      <w:r>
        <w:rPr>
          <w:rFonts w:ascii="黑体" w:hAnsi="黑体" w:eastAsia="黑体"/>
          <w:sz w:val="32"/>
          <w:szCs w:val="32"/>
        </w:rPr>
        <w:t>总体要求</w:t>
      </w:r>
      <w:bookmarkEnd w:id="0"/>
      <w:bookmarkEnd w:id="1"/>
    </w:p>
    <w:p>
      <w:pPr>
        <w:spacing w:line="560" w:lineRule="exact"/>
        <w:ind w:firstLine="640" w:firstLineChars="200"/>
        <w:outlineLvl w:val="1"/>
        <w:rPr>
          <w:rFonts w:ascii="楷体_GB2312" w:hAnsi="楷体_GB2312" w:eastAsia="楷体_GB2312" w:cs="楷体_GB2312"/>
          <w:sz w:val="32"/>
          <w:szCs w:val="32"/>
        </w:rPr>
      </w:pPr>
      <w:bookmarkStart w:id="2" w:name="_Toc21759"/>
      <w:bookmarkStart w:id="3" w:name="_Toc19188"/>
      <w:bookmarkStart w:id="4" w:name="_Toc28049"/>
      <w:bookmarkStart w:id="5" w:name="_Toc14025"/>
      <w:r>
        <w:rPr>
          <w:rFonts w:hint="eastAsia" w:ascii="楷体_GB2312" w:hAnsi="楷体_GB2312" w:eastAsia="楷体_GB2312" w:cs="楷体_GB2312"/>
          <w:sz w:val="32"/>
          <w:szCs w:val="32"/>
        </w:rPr>
        <w:t>(一)指导思想。</w:t>
      </w:r>
      <w:bookmarkEnd w:id="2"/>
      <w:bookmarkEnd w:id="3"/>
      <w:bookmarkEnd w:id="4"/>
      <w:bookmarkEnd w:id="5"/>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坚持以习近平新时代中国特色社会主义思想为指导，全面贯彻落实党的十九大和十九届历次全会精神，坚持党对儿童事业的全面领导，坚持以人民为中心的发展思想，坚持走中国特色社会主义儿童发展道路，坚持和完善最有利于儿童、促进儿童全面发展的制度机制，落实立德树人根本任务，优化儿童发展环境，保障儿童生存、发展、受保护和参与权利，以优先保护、普惠福利和高质量发展为主线，满足儿童多样化需求，全面提升儿童综合素质，为实现第二个百年奋斗目标、建设社会主义现代化强国奠定坚实的人才基础。</w:t>
      </w:r>
    </w:p>
    <w:p>
      <w:pPr>
        <w:spacing w:line="560" w:lineRule="exact"/>
        <w:ind w:firstLine="640" w:firstLineChars="200"/>
        <w:outlineLvl w:val="1"/>
        <w:rPr>
          <w:rFonts w:ascii="楷体_GB2312" w:hAnsi="楷体_GB2312" w:eastAsia="楷体_GB2312" w:cs="楷体_GB2312"/>
          <w:sz w:val="32"/>
          <w:szCs w:val="32"/>
        </w:rPr>
      </w:pPr>
      <w:bookmarkStart w:id="6" w:name="_Toc29688"/>
      <w:bookmarkStart w:id="7" w:name="_Toc4597"/>
      <w:bookmarkStart w:id="8" w:name="_Toc20993"/>
      <w:bookmarkStart w:id="9" w:name="_Toc6812"/>
      <w:r>
        <w:rPr>
          <w:rFonts w:hint="eastAsia" w:ascii="楷体_GB2312" w:hAnsi="楷体_GB2312" w:eastAsia="楷体_GB2312" w:cs="楷体_GB2312"/>
          <w:sz w:val="32"/>
          <w:szCs w:val="32"/>
        </w:rPr>
        <w:t>(二)总体目标。</w:t>
      </w:r>
      <w:bookmarkEnd w:id="6"/>
      <w:bookmarkEnd w:id="7"/>
      <w:bookmarkEnd w:id="8"/>
      <w:bookmarkEnd w:id="9"/>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健全保障儿童权利的政策体系，完善促进儿童发展的工作机制，缩小城乡、区域、群体之间的儿童发展差距。儿童享有更加均等可及的基本公共服务，享有更加普惠优越的福利保障,享有更加和谐友好的家庭和社会环境。儿童在健康、安全、教育、福利、家庭、环境、法律保护等领域的权利进一步实现，思想道德素养和全面发展水平显著提升，获得感、幸福感、安全感明显增强。展望2035年，</w:t>
      </w:r>
      <w:r>
        <w:rPr>
          <w:rFonts w:hint="eastAsia" w:ascii="仿宋_GB2312" w:hAnsi="仿宋_GB2312" w:eastAsia="仿宋_GB2312" w:cs="仿宋_GB2312"/>
          <w:sz w:val="32"/>
          <w:szCs w:val="32"/>
          <w:u w:val="single"/>
        </w:rPr>
        <w:t>陆河县将与全国、全省、全市同步基本实现社会主义现代化</w:t>
      </w:r>
      <w:r>
        <w:rPr>
          <w:rStyle w:val="11"/>
          <w:rFonts w:ascii="仿宋_GB2312" w:hAnsi="仿宋_GB2312" w:eastAsia="仿宋_GB2312" w:cs="仿宋_GB2312"/>
          <w:sz w:val="32"/>
          <w:szCs w:val="32"/>
          <w:u w:val="single"/>
        </w:rPr>
        <w:footnoteReference w:id="0"/>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儿童优先原则全面贯彻，儿童全面发展取得更为明显的实质性进展，广大儿童成长为建设社会主义现代化强国、担当民族复兴大任的时代新人，儿童事业得到全方位高质量发展，为</w:t>
      </w:r>
      <w:r>
        <w:rPr>
          <w:rFonts w:hint="eastAsia" w:ascii="仿宋_GB2312" w:hAnsi="仿宋_GB2312" w:eastAsia="仿宋_GB2312" w:cs="仿宋_GB2312"/>
          <w:sz w:val="32"/>
          <w:szCs w:val="32"/>
          <w:u w:val="single"/>
        </w:rPr>
        <w:t>我县</w:t>
      </w:r>
      <w:r>
        <w:rPr>
          <w:rFonts w:hint="eastAsia" w:ascii="仿宋_GB2312" w:hAnsi="仿宋_GB2312" w:eastAsia="仿宋_GB2312" w:cs="仿宋_GB2312"/>
          <w:sz w:val="32"/>
          <w:szCs w:val="32"/>
        </w:rPr>
        <w:t>高水平建设社会主义现代化提供可持续的优质人力资源和强有力的智力储备。</w:t>
      </w:r>
    </w:p>
    <w:p>
      <w:pPr>
        <w:spacing w:line="560" w:lineRule="exact"/>
        <w:ind w:firstLine="640" w:firstLineChars="200"/>
        <w:outlineLvl w:val="0"/>
        <w:rPr>
          <w:rFonts w:ascii="黑体" w:hAnsi="黑体" w:eastAsia="黑体"/>
          <w:sz w:val="32"/>
          <w:szCs w:val="32"/>
        </w:rPr>
      </w:pPr>
      <w:bookmarkStart w:id="10" w:name="_Toc30230"/>
      <w:bookmarkStart w:id="11" w:name="_Toc30845"/>
      <w:r>
        <w:rPr>
          <w:rFonts w:hint="eastAsia" w:ascii="黑体" w:hAnsi="黑体" w:eastAsia="黑体"/>
          <w:sz w:val="32"/>
          <w:szCs w:val="32"/>
        </w:rPr>
        <w:t>二、</w:t>
      </w:r>
      <w:r>
        <w:rPr>
          <w:rFonts w:ascii="黑体" w:hAnsi="黑体" w:eastAsia="黑体"/>
          <w:sz w:val="32"/>
          <w:szCs w:val="32"/>
        </w:rPr>
        <w:t>发展领域</w:t>
      </w:r>
      <w:r>
        <w:rPr>
          <w:rFonts w:hint="eastAsia" w:ascii="黑体" w:hAnsi="黑体" w:eastAsia="黑体"/>
          <w:sz w:val="32"/>
          <w:szCs w:val="32"/>
        </w:rPr>
        <w:t>、</w:t>
      </w:r>
      <w:r>
        <w:rPr>
          <w:rFonts w:ascii="黑体" w:hAnsi="黑体" w:eastAsia="黑体"/>
          <w:sz w:val="32"/>
          <w:szCs w:val="32"/>
        </w:rPr>
        <w:t>主要目标和策略措施</w:t>
      </w:r>
      <w:bookmarkEnd w:id="10"/>
      <w:bookmarkEnd w:id="11"/>
    </w:p>
    <w:p>
      <w:pPr>
        <w:spacing w:line="560" w:lineRule="exact"/>
        <w:ind w:firstLine="640" w:firstLineChars="200"/>
        <w:outlineLvl w:val="1"/>
        <w:rPr>
          <w:rFonts w:ascii="楷体_GB2312" w:hAnsi="楷体_GB2312" w:eastAsia="楷体_GB2312" w:cs="楷体_GB2312"/>
          <w:sz w:val="32"/>
          <w:szCs w:val="32"/>
        </w:rPr>
      </w:pPr>
      <w:bookmarkStart w:id="12" w:name="_Toc32041"/>
      <w:bookmarkStart w:id="13" w:name="_Toc13250"/>
      <w:r>
        <w:rPr>
          <w:rFonts w:hint="eastAsia" w:ascii="楷体_GB2312" w:hAnsi="楷体_GB2312" w:eastAsia="楷体_GB2312" w:cs="楷体_GB2312"/>
          <w:sz w:val="32"/>
          <w:szCs w:val="32"/>
        </w:rPr>
        <w:t>(一)儿童与健康。</w:t>
      </w:r>
      <w:bookmarkEnd w:id="12"/>
      <w:bookmarkEnd w:id="1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覆盖城乡的儿童健康服务体系更加完善,儿童医疗保健服务能力明显增强,儿童健康水平不断提高。</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普及儿童健康生活方式,提高儿童及其照护人健康素养水平。</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新生儿、婴儿和5岁以下儿童死亡率分别降至1.8‰、2.8‰和3.8‰以下，</w:t>
      </w:r>
      <w:r>
        <w:rPr>
          <w:rFonts w:hint="eastAsia" w:ascii="仿宋_GB2312" w:hAnsi="仿宋_GB2312" w:eastAsia="仿宋_GB2312" w:cs="仿宋_GB2312"/>
          <w:sz w:val="32"/>
          <w:szCs w:val="32"/>
          <w:u w:val="single"/>
        </w:rPr>
        <w:t>城乡差距逐步缩小</w:t>
      </w:r>
      <w:r>
        <w:rPr>
          <w:rFonts w:hint="eastAsia" w:ascii="仿宋_GB2312" w:hAnsi="仿宋_GB2312" w:eastAsia="仿宋_GB2312" w:cs="仿宋_GB2312"/>
          <w:sz w:val="32"/>
          <w:szCs w:val="32"/>
        </w:rPr>
        <w:t>。</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构建完善覆盖婚前、孕前、孕期、新生儿和儿童各阶段的出生缺陷防治体系，预防和控制出生缺陷。</w:t>
      </w:r>
      <w:r>
        <w:rPr>
          <w:rFonts w:hint="eastAsia" w:ascii="仿宋_GB2312" w:hAnsi="仿宋_GB2312" w:eastAsia="仿宋_GB2312" w:cs="仿宋_GB2312"/>
          <w:sz w:val="32"/>
          <w:szCs w:val="32"/>
          <w:u w:val="single"/>
        </w:rPr>
        <w:t>新生儿遗传代谢性疾病筛查率达到</w:t>
      </w:r>
      <w:r>
        <w:rPr>
          <w:rFonts w:ascii="仿宋_GB2312" w:hAnsi="仿宋_GB2312" w:eastAsia="仿宋_GB2312" w:cs="仿宋_GB2312"/>
          <w:sz w:val="32"/>
          <w:szCs w:val="32"/>
          <w:u w:val="single"/>
        </w:rPr>
        <w:t>100</w:t>
      </w:r>
      <w:r>
        <w:rPr>
          <w:rFonts w:hint="eastAsia" w:ascii="仿宋_GB2312" w:hAnsi="仿宋_GB2312" w:eastAsia="仿宋_GB2312" w:cs="仿宋_GB2312"/>
          <w:sz w:val="32"/>
          <w:szCs w:val="32"/>
          <w:u w:val="single"/>
        </w:rPr>
        <w:t>%</w:t>
      </w:r>
      <w:r>
        <w:rPr>
          <w:rStyle w:val="11"/>
          <w:rFonts w:ascii="仿宋_GB2312" w:hAnsi="仿宋_GB2312" w:eastAsia="仿宋_GB2312" w:cs="仿宋_GB2312"/>
          <w:sz w:val="32"/>
          <w:szCs w:val="32"/>
          <w:u w:val="single"/>
        </w:rPr>
        <w:footnoteReference w:id="1"/>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新生儿听力筛查率达到</w:t>
      </w:r>
      <w:r>
        <w:rPr>
          <w:rFonts w:ascii="仿宋_GB2312" w:hAnsi="仿宋_GB2312" w:eastAsia="仿宋_GB2312" w:cs="仿宋_GB2312"/>
          <w:sz w:val="32"/>
          <w:szCs w:val="32"/>
          <w:u w:val="single"/>
        </w:rPr>
        <w:t>100</w:t>
      </w:r>
      <w:r>
        <w:rPr>
          <w:rFonts w:hint="eastAsia" w:ascii="仿宋_GB2312" w:hAnsi="仿宋_GB2312" w:eastAsia="仿宋_GB2312" w:cs="仿宋_GB2312"/>
          <w:sz w:val="32"/>
          <w:szCs w:val="32"/>
          <w:u w:val="single"/>
        </w:rPr>
        <w:t>%</w:t>
      </w:r>
      <w:r>
        <w:rPr>
          <w:rStyle w:val="11"/>
          <w:rFonts w:ascii="仿宋_GB2312" w:hAnsi="仿宋_GB2312" w:eastAsia="仿宋_GB2312" w:cs="仿宋_GB2312"/>
          <w:sz w:val="32"/>
          <w:szCs w:val="32"/>
          <w:u w:val="single"/>
        </w:rPr>
        <w:footnoteReference w:id="2"/>
      </w:r>
      <w:r>
        <w:rPr>
          <w:rFonts w:hint="eastAsia" w:ascii="仿宋_GB2312" w:hAnsi="仿宋_GB2312" w:eastAsia="仿宋_GB2312" w:cs="仿宋_GB2312"/>
          <w:sz w:val="32"/>
          <w:szCs w:val="32"/>
        </w:rPr>
        <w:t>。</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儿童常见疾病、传染病和恶性肿瘤等严重危害儿童健康的疾病得到有效防治。5岁以下儿童乙型肝炎病毒表面抗原流行率控制在0.5%以下。</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适龄儿童免疫规划疫苗接种率以乡镇(街道)为单位保持在90%以上,逐步扩大、优化</w:t>
      </w:r>
      <w:r>
        <w:rPr>
          <w:rFonts w:hint="eastAsia" w:ascii="仿宋_GB2312" w:hAnsi="仿宋_GB2312" w:eastAsia="仿宋_GB2312" w:cs="仿宋_GB2312"/>
          <w:sz w:val="32"/>
          <w:szCs w:val="32"/>
          <w:u w:val="single"/>
        </w:rPr>
        <w:t>全县</w:t>
      </w:r>
      <w:r>
        <w:rPr>
          <w:rFonts w:hint="eastAsia" w:ascii="仿宋_GB2312" w:hAnsi="仿宋_GB2312" w:eastAsia="仿宋_GB2312" w:cs="仿宋_GB2312"/>
          <w:sz w:val="32"/>
          <w:szCs w:val="32"/>
        </w:rPr>
        <w:t>免疫规划疫苗种类。</w:t>
      </w:r>
      <w:r>
        <w:rPr>
          <w:rFonts w:hint="eastAsia" w:ascii="仿宋_GB2312" w:hAnsi="仿宋_GB2312" w:eastAsia="仿宋_GB2312" w:cs="仿宋_GB2312"/>
          <w:sz w:val="32"/>
          <w:szCs w:val="32"/>
          <w:u w:val="single"/>
        </w:rPr>
        <w:t>3岁以下儿童系统管理率保持在9</w:t>
      </w:r>
      <w:r>
        <w:rPr>
          <w:rFonts w:ascii="仿宋_GB2312" w:hAnsi="仿宋_GB2312" w:eastAsia="仿宋_GB2312" w:cs="仿宋_GB2312"/>
          <w:sz w:val="32"/>
          <w:szCs w:val="32"/>
          <w:u w:val="single"/>
        </w:rPr>
        <w:t>9</w:t>
      </w:r>
      <w:r>
        <w:rPr>
          <w:rFonts w:hint="eastAsia" w:ascii="仿宋_GB2312" w:hAnsi="仿宋_GB2312" w:eastAsia="仿宋_GB2312" w:cs="仿宋_GB2312"/>
          <w:sz w:val="32"/>
          <w:szCs w:val="32"/>
          <w:u w:val="single"/>
        </w:rPr>
        <w:t>%以上</w:t>
      </w:r>
      <w:r>
        <w:rPr>
          <w:rStyle w:val="11"/>
          <w:rFonts w:ascii="仿宋_GB2312" w:hAnsi="仿宋_GB2312" w:eastAsia="仿宋_GB2312" w:cs="仿宋_GB2312"/>
          <w:sz w:val="32"/>
          <w:szCs w:val="32"/>
        </w:rPr>
        <w:footnoteReference w:id="3"/>
      </w:r>
      <w:r>
        <w:rPr>
          <w:rFonts w:hint="eastAsia" w:ascii="仿宋_GB2312" w:hAnsi="仿宋_GB2312" w:eastAsia="仿宋_GB2312" w:cs="仿宋_GB2312"/>
          <w:sz w:val="32"/>
          <w:szCs w:val="32"/>
        </w:rPr>
        <w:t>，7岁以下儿童健康管理率保持在90%以上，</w:t>
      </w:r>
      <w:r>
        <w:rPr>
          <w:rFonts w:hint="eastAsia" w:ascii="仿宋_GB2312" w:hAnsi="仿宋_GB2312" w:eastAsia="仿宋_GB2312" w:cs="仿宋_GB2312"/>
          <w:sz w:val="32"/>
          <w:szCs w:val="32"/>
          <w:u w:val="single"/>
        </w:rPr>
        <w:t>城乡差距逐步缩小</w:t>
      </w:r>
      <w:r>
        <w:rPr>
          <w:rFonts w:hint="eastAsia" w:ascii="仿宋_GB2312" w:hAnsi="仿宋_GB2312" w:eastAsia="仿宋_GB2312" w:cs="仿宋_GB2312"/>
          <w:sz w:val="32"/>
          <w:szCs w:val="32"/>
        </w:rPr>
        <w:t>。</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促进城乡儿童早期发展服务供给,普及儿童早期发展的知识、方法和技能。</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5岁以下儿童贫血率和生长迟缓率分别控制在9%和5%以下。儿童超重、肥胖、营养不良上升趋势得到有效控制。</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5岁儿童乳牙龋患率控制在70%以下,逐步实施儿童六龄齿免费窝沟封闭项目,12岁儿童龋患率控制在25%以内。</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儿童新发近视率明显下降,6岁儿童近视率控制在3.5%左右,小学生近视率降至38%以下,初中生近视率降至60%以下,高中阶段学生近视率降至70%以下。0—6岁儿童眼保健和视力检查覆盖率达到90%以上。</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增强儿童体质,中小学生国家学生体质健康标准达标优良率达到60%以上。</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增强儿童心理健康服务能力,提升儿童心理健康水平。</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适龄儿童普遍接受性教育,儿童性健康服务可及性明显提高。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策略措施:</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优先保障儿童健康。将儿童健康理念融入经济社会发展</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政策,将儿童健康主要指标纳入政府目标和责任考核。完善涵盖儿童的基本医疗卫生制度,加强儿童医疗保障政策与公共卫生政策衔接,逐步实现基本妇幼健康服务均等化。推动妇幼健康信息平台与电子健康档案的互联互通和信息共享,完善妇幼健康统计调查制度,推行“互联网+妇幼健康”服务模式,实现儿童健康全周期全过程管理和服务的信息化、智能化。开展“</w:t>
      </w:r>
      <w:r>
        <w:rPr>
          <w:rFonts w:hint="eastAsia" w:ascii="仿宋_GB2312" w:hAnsi="仿宋_GB2312" w:eastAsia="仿宋_GB2312" w:cs="仿宋_GB2312"/>
          <w:sz w:val="32"/>
          <w:szCs w:val="32"/>
          <w:u w:val="single"/>
        </w:rPr>
        <w:t>儿童健康综合发展示范县</w:t>
      </w:r>
      <w:r>
        <w:rPr>
          <w:rFonts w:hint="eastAsia" w:ascii="仿宋_GB2312" w:hAnsi="仿宋_GB2312" w:eastAsia="仿宋_GB2312" w:cs="仿宋_GB2312"/>
          <w:sz w:val="32"/>
          <w:szCs w:val="32"/>
        </w:rPr>
        <w:t>”创建活动。加大儿童健康知识宣传普及力度,特别是科学育儿、预防疾病、及时就医、合理用药、合理膳食、应急避险、心理健康等知识和技能宣传普及力度,构建全媒体健康知识传播机制。鼓励医疗机构规范设置“孕妇学校”和家长课堂。</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完善儿童健康服务体系。构建</w:t>
      </w:r>
      <w:r>
        <w:rPr>
          <w:rFonts w:hint="eastAsia" w:ascii="仿宋_GB2312" w:hAnsi="仿宋_GB2312" w:eastAsia="仿宋_GB2312" w:cs="仿宋_GB2312"/>
          <w:sz w:val="32"/>
          <w:szCs w:val="32"/>
          <w:u w:val="single"/>
        </w:rPr>
        <w:t>县级</w:t>
      </w:r>
      <w:r>
        <w:rPr>
          <w:rFonts w:hint="eastAsia" w:ascii="仿宋_GB2312" w:hAnsi="仿宋_GB2312" w:eastAsia="仿宋_GB2312" w:cs="仿宋_GB2312"/>
          <w:sz w:val="32"/>
          <w:szCs w:val="32"/>
        </w:rPr>
        <w:t>儿童医疗保健服务网络,以妇幼保健机构、综合医院儿科为重点，统筹规划和配置区域内儿童健康服务资源。</w:t>
      </w:r>
      <w:r>
        <w:rPr>
          <w:rFonts w:hint="eastAsia" w:ascii="仿宋_GB2312" w:hAnsi="仿宋_GB2312" w:eastAsia="仿宋_GB2312" w:cs="仿宋_GB2312"/>
          <w:sz w:val="32"/>
          <w:szCs w:val="32"/>
          <w:u w:val="single"/>
        </w:rPr>
        <w:t>县级</w:t>
      </w:r>
      <w:r>
        <w:rPr>
          <w:rFonts w:hint="eastAsia" w:ascii="仿宋_GB2312" w:hAnsi="仿宋_GB2312" w:eastAsia="仿宋_GB2312" w:cs="仿宋_GB2312"/>
          <w:sz w:val="32"/>
          <w:szCs w:val="32"/>
        </w:rPr>
        <w:t>建设1所政府举办、标准化的妇幼保健机构,实现每千名儿童至少拥有儿科执业(助理)医生1.12名、床位3.17张。加强县级公立医院儿科病房设置,儿科病床达到一定比例。建立完善以</w:t>
      </w:r>
      <w:r>
        <w:rPr>
          <w:rFonts w:hint="eastAsia" w:ascii="仿宋_GB2312" w:hAnsi="仿宋_GB2312" w:eastAsia="仿宋_GB2312" w:cs="仿宋_GB2312"/>
          <w:sz w:val="32"/>
          <w:szCs w:val="32"/>
          <w:u w:val="single"/>
        </w:rPr>
        <w:t>县妇幼保健机构</w:t>
      </w:r>
      <w:r>
        <w:rPr>
          <w:rFonts w:hint="eastAsia" w:ascii="仿宋_GB2312" w:hAnsi="仿宋_GB2312" w:eastAsia="仿宋_GB2312" w:cs="仿宋_GB2312"/>
          <w:sz w:val="32"/>
          <w:szCs w:val="32"/>
        </w:rPr>
        <w:t>为龙头,乡镇卫生院、社区卫生服务中心为枢纽，村卫生室为基础的基层儿童保健服务网络。每所乡镇卫生院、社区卫生服务中心至少配备1名提供规范儿童基本医疗服务的全科医生或儿科医生,至少配备2名专业从事儿童保健的医生。完善儿童急救体系,建立新生儿、儿童危重症救助网络和快速转运通道。加强儿科医生、儿童保健医生培育力度,提高全科医生的儿科和儿童保健专业技能。</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加强出生缺陷综合防治。建立多部门联动防治出生缺陷的工作机制,落实出生缺陷</w:t>
      </w:r>
      <w:r>
        <w:rPr>
          <w:rFonts w:hint="eastAsia" w:ascii="仿宋_GB2312" w:hAnsi="仿宋_GB2312" w:eastAsia="仿宋_GB2312" w:cs="仿宋_GB2312"/>
          <w:sz w:val="32"/>
          <w:szCs w:val="32"/>
          <w:u w:val="single"/>
        </w:rPr>
        <w:t>两级</w:t>
      </w:r>
      <w:r>
        <w:rPr>
          <w:rFonts w:hint="eastAsia" w:ascii="仿宋_GB2312" w:hAnsi="仿宋_GB2312" w:eastAsia="仿宋_GB2312" w:cs="仿宋_GB2312"/>
          <w:sz w:val="32"/>
          <w:szCs w:val="32"/>
        </w:rPr>
        <w:t>防治措施,实现孕前、孕中、孕后全周期妇幼健康知识普及。开展婚前孕前优生健康检查、产前筛查、新生儿疾病筛查等出生缺陷防控项目。做好先天性结构畸形、遗传代谢性疾病、功能性出生缺陷救助项目。强化婚前孕前保健,提升产前筛查和诊断能力,推动围孕期、产前产后一体化和多学科诊疗协作,规范服务与质量监管。扩大优化产前重点病种、新生儿疾病筛查病种范围,建立筛查、阳性病例召回、诊断、治疗和随访一体化服务模式,促进早筛早诊早治。减少重型地中海贫血、唐氏综合征、神经管缺陷等严重出生缺陷儿出生。逐步开展婴幼儿</w:t>
      </w:r>
      <w:r>
        <w:rPr>
          <w:rFonts w:hint="eastAsia" w:ascii="仿宋_GB2312" w:hAnsi="仿宋_GB2312" w:eastAsia="仿宋_GB2312" w:cs="仿宋_GB2312"/>
          <w:sz w:val="32"/>
          <w:szCs w:val="32"/>
          <w:lang w:eastAsia="zh-CN"/>
        </w:rPr>
        <w:t>孤独症</w:t>
      </w:r>
      <w:r>
        <w:rPr>
          <w:rFonts w:hint="eastAsia" w:ascii="仿宋_GB2312" w:hAnsi="仿宋_GB2312" w:eastAsia="仿宋_GB2312" w:cs="仿宋_GB2312"/>
          <w:sz w:val="32"/>
          <w:szCs w:val="32"/>
        </w:rPr>
        <w:t>早期筛查、罕见病胎儿产前筛查与诊断。</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障新生儿安全与健康。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和危重新生儿救治中心建设。</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保健服务和管理。加强儿童保健门诊标准化、规范化建设,扎实开展0—6岁儿童健康管理工作,提升儿童保健服务的质量。推进以视力、听力、言语、肢体、智力、孤独症及多重残疾等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儿童疾病防治。以早产、低出生体重、贫血、肥胖、心理行为异常、视力不良、龋齿、脊柱弯曲异常等儿童健康问题为重点,推广儿童疾病防治适宜技术,建立早期筛查、诊断和干预服务机制和监测制度。加强儿童口腔保健和管理,控制儿童龋患率。加强儿童重大传染性疾病、新发传染病管理,以及艾滋病、梅毒和乙肝母婴阻断工作。完善儿童血液病、恶性肿瘤等重病诊疗体系、药品供应制度、综合保障制度。科学合理制定罕见病目录,加强罕见病管理。推广应用中医儿科适宜技术。</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免疫规划疫苗管理和预防接种。扩大免疫规划疫苗种类,维持较高水平的免疫规划疫苗接种率。加强疫苗流通和预防接种管理。完善预防接种异常反应补偿相关政策。开展适龄女生人乳头瘤病毒(HPV)疫苗免费接种,加强社会宣传,提高接种率。</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探索推广入户家访指导等适合农村边远地区儿童、困境儿童的早期发展服务模式。</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改善儿童营养状况。关注生命早期1000天营养,开展孕前、孕产期营养与膳食评价指导。加强婴幼儿科学喂养指导，实施母乳喂养促进行动，6个月内婴儿纯母乳喂养率达到60%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控制儿童近视。加强0—6岁儿童眼保健和视力检查工作,推动建立儿童视力电子档案。保障学校、幼儿园、托育机构室内采光、照明、课桌椅、黑板等达到规定标准。指导家长掌握科学用眼护眼知识并引导儿童科学用眼护眼。实施限制未成年人使用时间的网络游戏总量调控政策。教育儿童按需科学规范合理使用电子产品,中小学生每天非学习目的使用电子屏幕产品累计不超过1小时。确保儿童每天接触户外自然光不少于1小时。</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强儿童身体素质。合理安排儿童作息,保障儿童充足睡眠。推进阳光体育运动,开足开齐体育与健康课。保障儿童每天至少1小时中等及以上强度的运动,培养儿童良好运动习惯。全面实施《国家学生体质健康标准》,完善学生健康体检和体质监测制度。保障学校体育课和课外锻炼时间,提升体育与健康课程质量,确保学生掌握两项以上体育技能。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加强社区体育公园建设,扩大儿童游憩区域面积,增设儿童游憩设施。</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心理健康服务。构建儿童心理健康教育、咨询服务、评估治疗、危机干预和心理援助公共服务网络。中小学校配备心理健康教育教师。积极开展生命教育和挫折教育。加强心理辅导室建设,落实规定课时。完善儿童心理健康问题的预防、评估、干预和转介机制。关注和满足孤儿、事实无人抚养儿童、留守儿童、困境儿童心理发展需要,及时为遭受校园暴力、家庭暴力、性侵等伤害的儿童提供心理创伤干预。提高教师、父母或其他监护人预防和识别儿童心理行为异常的能力,</w:t>
      </w:r>
      <w:r>
        <w:rPr>
          <w:rFonts w:hint="eastAsia" w:ascii="仿宋_GB2312" w:hAnsi="仿宋_GB2312" w:eastAsia="仿宋_GB2312" w:cs="仿宋_GB2312"/>
          <w:sz w:val="32"/>
          <w:szCs w:val="32"/>
          <w:u w:val="single"/>
        </w:rPr>
        <w:t>加强精神专科医院</w:t>
      </w:r>
      <w:r>
        <w:rPr>
          <w:rFonts w:hint="eastAsia" w:ascii="仿宋_GB2312" w:hAnsi="仿宋_GB2312" w:eastAsia="仿宋_GB2312" w:cs="仿宋_GB2312"/>
          <w:sz w:val="32"/>
          <w:szCs w:val="32"/>
        </w:rPr>
        <w:t>和妇幼保健机构儿童心理咨询及专科门诊建设。大力培养儿童心理健康服务人才。</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为儿童提供性教育和性健康服务。引导儿童树立正确的性别观念和道德观念,正确认识两性关系。将性教育纳入基础教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育体系和质量监测体系。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w:t>
      </w:r>
    </w:p>
    <w:p>
      <w:pPr>
        <w:numPr>
          <w:ilvl w:val="0"/>
          <w:numId w:val="2"/>
        </w:num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提高儿童遭受意外和暴力伤害的紧急救援、医疗救治、康复服务水平。广泛宣传儿童紧急救援知识,提升看护人、教师紧急救援技能。完善公共场所急救设施配备。完善</w:t>
      </w:r>
      <w:r>
        <w:rPr>
          <w:rFonts w:hint="eastAsia" w:ascii="仿宋_GB2312" w:hAnsi="仿宋_GB2312" w:eastAsia="仿宋_GB2312" w:cs="仿宋_GB2312"/>
          <w:sz w:val="32"/>
          <w:szCs w:val="32"/>
          <w:u w:val="single"/>
        </w:rPr>
        <w:t>县内</w:t>
      </w:r>
      <w:r>
        <w:rPr>
          <w:rFonts w:hint="eastAsia" w:ascii="仿宋_GB2312" w:hAnsi="仿宋_GB2312" w:eastAsia="仿宋_GB2312" w:cs="仿宋_GB2312"/>
          <w:sz w:val="32"/>
          <w:szCs w:val="32"/>
        </w:rPr>
        <w:t>紧急医学救援网络,加强儿童伤害院前急救设施设备配备,实现院前急救与院内急诊的有效衔接。加强康复机构能力建设,提高儿童医学救治以及康复服务的效率和水平。</w:t>
      </w:r>
    </w:p>
    <w:p>
      <w:pPr>
        <w:spacing w:line="560" w:lineRule="exact"/>
        <w:ind w:firstLine="640" w:firstLineChars="200"/>
        <w:outlineLvl w:val="1"/>
        <w:rPr>
          <w:rFonts w:ascii="楷体_GB2312" w:hAnsi="楷体_GB2312" w:eastAsia="楷体_GB2312" w:cs="楷体_GB2312"/>
          <w:b/>
          <w:bCs/>
          <w:sz w:val="32"/>
          <w:szCs w:val="32"/>
        </w:rPr>
      </w:pPr>
      <w:bookmarkStart w:id="14" w:name="_Toc20570"/>
      <w:bookmarkStart w:id="15" w:name="_Toc4331"/>
      <w:r>
        <w:rPr>
          <w:rFonts w:hint="eastAsia" w:ascii="楷体_GB2312" w:hAnsi="楷体_GB2312" w:eastAsia="楷体_GB2312" w:cs="楷体_GB2312"/>
          <w:sz w:val="32"/>
          <w:szCs w:val="32"/>
        </w:rPr>
        <w:t>(二)儿童与安全。</w:t>
      </w:r>
      <w:bookmarkEnd w:id="14"/>
      <w:bookmarkEnd w:id="1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减少儿童伤害所致死亡和残疾。儿童伤害死亡率以2020年数据为基数下降20%。</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排查消除溺水隐患,儿童溺水死亡率持续下降。</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推广使用儿童安全座椅、安全头盔,儿童出行安全得到有效保障。</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减少儿童跌倒、跌落、烧烫伤和中毒等伤害的发生、致残和死亡。</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儿童食品药品用品安全得到有效保障,儿童药品质量抽检合格率达到95%以上。</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预防和干预儿童沉迷网络,有效治理不良信息、隐私泄露、网络暴力等问题。</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预防和应对突发事件时充分考虑儿童的身心特点,优先保障儿童安全,满足儿童特殊需求。</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儿童遭受意外和暴力伤害的监测报告系统进一步完善。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策略措施:</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创建儿童安全环境。树立儿童伤害可防可控意识,通过宣传教育、改善环境、加强执法、使用安全产品、开展评估等策略，创建有利于儿童成长的家庭、学校、社区安全环境。公共场所和设施设备的设置应有儿童安全视角,严格执行各类场所的栏杆设置高度、间距等标准,消除危险因素,降低儿童受伤害的可能性。开展安全自护教育,宣传各年龄段儿童安全知识,提高儿童及其看护人安全意识,培养儿童安全行为习惯,提升儿童看护人有效看护能力。</w:t>
      </w:r>
      <w:r>
        <w:rPr>
          <w:rFonts w:hint="eastAsia" w:ascii="仿宋_GB2312" w:hAnsi="仿宋_GB2312" w:eastAsia="仿宋_GB2312" w:cs="仿宋_GB2312"/>
          <w:sz w:val="32"/>
          <w:szCs w:val="32"/>
          <w:u w:val="single"/>
        </w:rPr>
        <w:t>鼓励有条件的少年宫、活动中心、公园、学校建立儿童安全体验中心、安全体验教室</w:t>
      </w:r>
      <w:r>
        <w:rPr>
          <w:rStyle w:val="11"/>
          <w:rFonts w:ascii="仿宋_GB2312" w:hAnsi="仿宋_GB2312" w:eastAsia="仿宋_GB2312" w:cs="仿宋_GB2312"/>
          <w:sz w:val="32"/>
          <w:szCs w:val="32"/>
          <w:u w:val="single"/>
        </w:rPr>
        <w:footnoteReference w:id="4"/>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保障游戏游艺设备及大型游乐设施安全。</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儿童伤害防控工作体系。加大儿童伤害防控领域的政策制定和执行力度。构建完善多部门合作的儿童伤害防控工作机制,鼓励社会力量参与儿童伤害防控。制定实施儿童伤害防控行动计划,探索创新并大力推广儿童伤害防控适宜技术。建立健全</w:t>
      </w:r>
      <w:r>
        <w:rPr>
          <w:rFonts w:hint="eastAsia" w:ascii="仿宋_GB2312" w:hAnsi="仿宋_GB2312" w:eastAsia="仿宋_GB2312" w:cs="仿宋_GB2312"/>
          <w:sz w:val="32"/>
          <w:szCs w:val="32"/>
          <w:u w:val="single"/>
        </w:rPr>
        <w:t>县级</w:t>
      </w:r>
      <w:r>
        <w:rPr>
          <w:rFonts w:hint="eastAsia" w:ascii="仿宋_GB2312" w:hAnsi="仿宋_GB2312" w:eastAsia="仿宋_GB2312" w:cs="仿宋_GB2312"/>
          <w:sz w:val="32"/>
          <w:szCs w:val="32"/>
        </w:rPr>
        <w:t>儿童伤害和暴力的监测体系和报告制度,通过医疗机构、学校、幼儿园、托育机构、社区、司法机关等多渠道收集儿童伤害数据,实现数据规范化管理和运用。</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防和控制儿童溺水。加强看护,保证儿童远离危险水体。隔离、消除家庭及校园环境的溺水隐患,加强农村地区相关水体的防护隔离和安全巡查,加强开放性水域、水上游乐场所、船只等安全管理并配置适宜儿童的应急救援装备。加强预防溺水和应急救援知识技能教育,普及儿童游泳及水上安全技能,引导儿童使用安全游泳场所。</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儿童安全出行环境。提升儿童出行品质,实现道路路权分配从“以车为本”向“以人为本”的转变,完善道路交通安全治理体系,探索创新预防和减少儿童道路交通伤害的适宜技术。优化儿童步行骑行空间和上学途径,提升儿童街区活动安全性。预防和控制儿童道路交通伤害。培养儿童养成良好交通行为习惯。推广使用儿童安全座椅、安全头盔和儿童步行及骑乘非机动车反光标识。完善儿童道路安全防护用品标准,加强对生产及销售的监管。道路规划建设充分考虑儿童年龄特点,完善校园周边道路安全设施,严查严处交通违法行为。落实校车安全管理条例。</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儿童安全居家环境。消除环境危险因素,推广应用窗户护栏、窗口限位器等防护产品,减少儿童跌倒、跌落。推广使用具有儿童保护功能的家用电器,预防儿童烧烫伤。提升儿童看护人对农药、药物、日用化学品等的识别及保管能力,避免儿童中毒。预防婴幼儿窒息。预防儿童被动物咬伤。提高儿童及其看护人针对地震、洪涝、台风、火灾、踩踏等灾害性、突发性事件的防灾避险技能。普及儿童用水用电用火用气等安全防护知识。</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儿童安全校园环境。落实学校、幼儿园、托育机构等安全管理主体责任,将安全教育纳入教育教学和保育教育管理全过程。开展校园安全文化建设,针对学生群体和年龄特点开展儿童安全专题教育,教育学生掌握必要的安全知识和应急避险技能。建立健全校园安全隐患排查机制和安全事故调查处理机制。推进智慧校园安防系统建设,预防校园欺凌,建设平安校园。加强校园周边治安综合管理,排除安全隐患,禁止在学校周边开设歌舞厅、游戏机室和网吧。</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食品、药品、用品安全监管。完善儿童食品安全标准体系。强化婴幼儿配方食品和婴幼儿辅助食品安全监管,加大抽检监测及不合格产品处罚力度。落实学校、幼儿园、托育机构食品安全管理主体责任,消除儿童集体用餐各环节食品安全隐患,加强校内及周边食品安全监管。落实儿童用品和玩具强制性国家标准,完善产品安全警示标识。推进产品质量监督抽查,严肃查处食品、药品、用品安全违法行为。加强农村地区儿童食品市场监管。加强产品造成儿童伤害的信息监测、分析、监督检查和缺陷产品召回、公布。</w:t>
      </w:r>
    </w:p>
    <w:p>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儿童安全网络环境。落实政府、企业、学校、家庭、社会保护责任,为儿童提供安全、健康的网络环境,保障儿童在网络空间的合法权益。鼓励和支持有利于未成年人健康成长的网络创作和传播。加强网络监管和治理,完善和落实网络信息监测、识别、举报、处置制度。依法惩处利用网络散布价值导向不良信息、从事危害未成年人身心健康的行为。加强对儿童使用网络行为的引导和监督,提升儿童网络素养,综合防治儿童沉迷网络。加强儿童个人信息和隐私权的保护。</w:t>
      </w:r>
    </w:p>
    <w:p>
      <w:pPr>
        <w:numPr>
          <w:ilvl w:val="0"/>
          <w:numId w:val="4"/>
        </w:num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在突发事件预防和应对中加强对儿童的保护。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看护人识别灾害事故风险和应对灾害事故的能力。公共场所发生突发事件时,应优先救护儿童。在灾后恢复与重建阶段,针对儿童特点采取优先救助和康复措施,将灾害事故对儿童的伤害降到最低程度。</w:t>
      </w:r>
    </w:p>
    <w:p>
      <w:pPr>
        <w:spacing w:line="560" w:lineRule="exact"/>
        <w:ind w:firstLine="640" w:firstLineChars="200"/>
        <w:outlineLvl w:val="1"/>
        <w:rPr>
          <w:rFonts w:ascii="楷体_GB2312" w:hAnsi="楷体_GB2312" w:eastAsia="楷体_GB2312" w:cs="楷体_GB2312"/>
          <w:sz w:val="32"/>
          <w:szCs w:val="32"/>
        </w:rPr>
      </w:pPr>
      <w:bookmarkStart w:id="16" w:name="_Toc25459"/>
      <w:bookmarkStart w:id="17" w:name="_Toc11127"/>
      <w:r>
        <w:rPr>
          <w:rFonts w:hint="eastAsia" w:ascii="楷体_GB2312" w:hAnsi="楷体_GB2312" w:eastAsia="楷体_GB2312" w:cs="楷体_GB2312"/>
          <w:sz w:val="32"/>
          <w:szCs w:val="32"/>
        </w:rPr>
        <w:t>(三)儿童与教育。</w:t>
      </w:r>
      <w:bookmarkEnd w:id="16"/>
      <w:bookmarkEnd w:id="17"/>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全面落实立德树人根本任务,培养德智体美劳全面发展的社会主义建设者和接班人。</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适龄儿童普遍接受普惠而有质量的学前教育,学前教育毛入园率达到100%,普惠性幼儿园在园幼儿占比不低于85%。</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义务教育更加优质均衡发展,城乡一体化水平进一步提高，九年义务教育巩固率稳定在96%以上。</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巩固提高高中阶段教育普及水平。高中阶段教育毛入学率达到98%。</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孤儿、事实无人抚养儿童、残疾儿童、农业转移人口随迁子女、留守儿童、困境儿童等特殊群体受教育权利得到根本保障。残疾儿童义务教育巩固水平进一步提高。适龄残疾儿童义务教育入学率达到98%以上。</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儿童科学素质全面提升,科学兴趣、创新意识、实践能力不断提高。</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以提高儿童综合素质为导向的教育评价体系更加完善。加强校园文化建设,营造友善、平等、相互尊重的师生关系和同学关系。</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学校家庭社会协同育人机制进一步完善。</w:t>
      </w:r>
    </w:p>
    <w:p>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加强与粤港澳大湾区教育合作发展,增进儿童学习交流交往。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策略措施:</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贯彻党的教育方针。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中小学、幼儿园广泛开展性别平等教育。提升智育水平,发展学生终身学习能力,促进思维发展,激发创新意识。坚持健康第一,深化体教融合,帮助学生磨练坚强意志、锻炼强健体魄。改进美育教学,提升学生审美和人文素养。加强劳动教育,引导学生树立正确的劳动观,掌握基本劳动技能,形成良好劳动习惯。</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落实教育优先发展战略。经济社会发展规划上优先安排教育,财政资金投入上优先保障教育,公共资源配置上优先满足教育。完善基本公共服务教育服务标准,依法落实各级政府教育支出责任,完善各教育阶段财政补助政策。优化教育经费支出结构,把义务教育作为教育投入重中之重。完善教育投入多元化机制,支持和规范社会力量兴办教育。</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养儿童良好思想道德素质、法治意识和行为习惯。加强理想教育、道德教育、法治教育、劳动教育、生态文明教育，以及中华优秀传统文化教育和海陆丰红色文化教育。养成良好道德品质、法治意识和行为习惯,形成积极健康的人格和良好心理品质。完善德育工作体系,深化课程育人、文化育人、活动育人、实践育人、管理育人、协同育人。创新德育工作形式,丰富德育内容,增强德育工作吸引力、感染力和实效性。</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推进教育理念、体系、制度、内容、方法创新。严格落实课程方案和课程标准,提高教学质量。完善教材编写、修订、审查、选用、退出机制。遵循教育规律和学生身心发展规律,尊重个体差异,因材施教。探索具有特殊才能学生的培养体系。开发中小学网络公益学习平台,提升校园智能化水平,推动优质教育资源在线辐射农村和边远地区薄弱学校,加快发展适合不同学生的信息化自主学习方式,满足个性化发展需求。</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推动学前教育普及普惠安全优质发展。继续实施学前教育行动计划,重点补齐</w:t>
      </w:r>
      <w:r>
        <w:rPr>
          <w:rFonts w:hint="eastAsia" w:ascii="仿宋_GB2312" w:hAnsi="仿宋_GB2312" w:eastAsia="仿宋_GB2312" w:cs="仿宋_GB2312"/>
          <w:sz w:val="32"/>
          <w:szCs w:val="32"/>
          <w:u w:val="single"/>
        </w:rPr>
        <w:t>人口集中流入地、农村地区的</w:t>
      </w:r>
      <w:r>
        <w:rPr>
          <w:rFonts w:hint="eastAsia" w:ascii="仿宋_GB2312" w:hAnsi="仿宋_GB2312" w:eastAsia="仿宋_GB2312" w:cs="仿宋_GB2312"/>
          <w:sz w:val="32"/>
          <w:szCs w:val="32"/>
        </w:rPr>
        <w:t>普惠性资源短板,基本实现学前教育公共服务体系全覆盖。扩大普惠性学前教育资源供给,严格落实乡镇中心幼儿园、村级幼儿园、城镇小区配套幼儿园等建设。鼓励国有企事业单位、街道、村集体举办公办幼儿园。健全普惠性学前教育成本分担机制,建立公办园收费标准动态调整机制,加强非营利性民办园收费监管。注重科学保教,建立健全幼儿园保教质量监测体系,全面提升保教质量。</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城乡义务教育优质均衡发展。满足适龄学生入学需求。实施义务教育薄弱环节改善与能力提升工程。全面加强乡村小规模学校和乡镇寄宿制学校建设,进一步改善农村学校办学条件,增加寄宿制学位供给,加强乡村教师队伍建设,提升农村义务教育质量,推进义务教育优质均衡发展。健全精准控辍保学长效机制,加快消除城镇中小学大班额,提高义务教育巩固水平。保障女童平等接受义务教育。积极推进集团化办学和学区化管理,深化课程和课堂教学改革。开展</w:t>
      </w:r>
      <w:r>
        <w:rPr>
          <w:rFonts w:hint="eastAsia" w:ascii="仿宋_GB2312" w:hAnsi="仿宋_GB2312" w:eastAsia="仿宋_GB2312" w:cs="仿宋_GB2312"/>
          <w:sz w:val="32"/>
          <w:szCs w:val="32"/>
          <w:u w:val="single"/>
        </w:rPr>
        <w:t>全县</w:t>
      </w:r>
      <w:r>
        <w:rPr>
          <w:rFonts w:hint="eastAsia" w:ascii="仿宋_GB2312" w:hAnsi="仿宋_GB2312" w:eastAsia="仿宋_GB2312" w:cs="仿宋_GB2312"/>
          <w:sz w:val="32"/>
          <w:szCs w:val="32"/>
        </w:rPr>
        <w:t>义务教育优质均衡发展督导评估。继续推进义务教育学校免试就近入学全覆盖,全面实行义务教育公办民办学校同步招生,支持和规范民办义务教育发展。</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推进高中阶段教育优质特色发展。加快普通高中育人方式改革,推动高中阶段学校多样化特色化发展。</w:t>
      </w:r>
      <w:r>
        <w:rPr>
          <w:rFonts w:hint="eastAsia" w:ascii="仿宋_GB2312" w:hAnsi="仿宋_GB2312" w:eastAsia="仿宋_GB2312" w:cs="仿宋_GB2312"/>
          <w:sz w:val="32"/>
          <w:szCs w:val="32"/>
          <w:u w:val="single"/>
        </w:rPr>
        <w:t>办好普通高中,</w:t>
      </w:r>
      <w:r>
        <w:rPr>
          <w:rFonts w:hint="eastAsia" w:ascii="仿宋_GB2312" w:hAnsi="仿宋_GB2312" w:eastAsia="仿宋_GB2312" w:cs="仿宋_GB2312"/>
          <w:sz w:val="32"/>
          <w:szCs w:val="32"/>
        </w:rPr>
        <w:t>增加普通高中学位供给,增加公办优质学位供给，</w:t>
      </w:r>
      <w:r>
        <w:rPr>
          <w:rFonts w:hint="eastAsia" w:ascii="仿宋_GB2312" w:hAnsi="仿宋_GB2312" w:eastAsia="仿宋_GB2312" w:cs="仿宋_GB2312"/>
          <w:sz w:val="32"/>
          <w:szCs w:val="32"/>
          <w:u w:val="single"/>
        </w:rPr>
        <w:t>支持普通高中振兴发展。支持建设具有人文、数理、科技、艺术、体育等特色的示范高中,构建多元普通高中教育发展格局</w:t>
      </w:r>
      <w:r>
        <w:rPr>
          <w:rStyle w:val="11"/>
          <w:rFonts w:ascii="仿宋_GB2312" w:hAnsi="仿宋_GB2312" w:eastAsia="仿宋_GB2312" w:cs="仿宋_GB2312"/>
          <w:sz w:val="32"/>
          <w:szCs w:val="32"/>
          <w:u w:val="single"/>
        </w:rPr>
        <w:footnoteReference w:id="5"/>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推进中等职业教育和普通高中教育协调发展,建设一批优秀中职学校和优质专业,放宽中职招生地域限制。实施职业教育“扩容、提质、强服务”行动计划，</w:t>
      </w:r>
      <w:r>
        <w:rPr>
          <w:rFonts w:hint="eastAsia" w:ascii="仿宋_GB2312" w:hAnsi="仿宋_GB2312" w:eastAsia="仿宋_GB2312" w:cs="仿宋_GB2312"/>
          <w:sz w:val="32"/>
          <w:szCs w:val="32"/>
          <w:u w:val="single"/>
        </w:rPr>
        <w:t>大力发展陆河特色技工教育</w:t>
      </w:r>
      <w:r>
        <w:rPr>
          <w:rFonts w:hint="eastAsia" w:ascii="仿宋_GB2312" w:hAnsi="仿宋_GB2312" w:eastAsia="仿宋_GB2312" w:cs="仿宋_GB2312"/>
          <w:sz w:val="32"/>
          <w:szCs w:val="32"/>
        </w:rPr>
        <w:t>。完善高中阶段学生资助政策。</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障特殊儿童群体受教育权利。完善特殊教育保障机制,优化特殊教育学校布局,推进适龄残疾儿童义务教育全覆盖,提高特殊教育质量,推动特殊教育公平融合发展,全面实施残疾儿童15年免费教育。进一步提高残疾儿童义务教育巩固水平,加快发展以职业教育为重点的残疾人高中阶段教育。推进孤独症儿童教育工作。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提高儿童科学素质。实施</w:t>
      </w:r>
      <w:r>
        <w:rPr>
          <w:rFonts w:hint="eastAsia" w:ascii="仿宋_GB2312" w:hAnsi="仿宋_GB2312" w:eastAsia="仿宋_GB2312" w:cs="仿宋_GB2312"/>
          <w:sz w:val="32"/>
          <w:szCs w:val="32"/>
          <w:u w:val="single"/>
        </w:rPr>
        <w:t>陆河</w:t>
      </w:r>
      <w:r>
        <w:rPr>
          <w:rFonts w:hint="eastAsia" w:ascii="仿宋_GB2312" w:hAnsi="仿宋_GB2312" w:eastAsia="仿宋_GB2312" w:cs="仿宋_GB2312"/>
          <w:sz w:val="32"/>
          <w:szCs w:val="32"/>
        </w:rPr>
        <w:t>未成年人科学素质提升行动。将弘扬科学精神贯穿教育全过程,全面推进校内儿童科技教育。完善科学教育质量和儿童科学素质监测评估。开展学前科学启蒙教育,提高学校科学教育质量。广泛开展各类青少年科技活动。深入推动“</w:t>
      </w:r>
      <w:bookmarkStart w:id="18" w:name="_Hlk100088033"/>
      <w:r>
        <w:rPr>
          <w:rFonts w:hint="eastAsia" w:ascii="仿宋_GB2312" w:hAnsi="仿宋_GB2312" w:eastAsia="仿宋_GB2312" w:cs="仿宋_GB2312"/>
          <w:sz w:val="32"/>
          <w:szCs w:val="32"/>
          <w:u w:val="single"/>
        </w:rPr>
        <w:t>陆河县科学教育特色学校</w:t>
      </w:r>
      <w:bookmarkEnd w:id="18"/>
      <w:r>
        <w:rPr>
          <w:rFonts w:hint="eastAsia" w:ascii="仿宋_GB2312" w:hAnsi="仿宋_GB2312" w:eastAsia="仿宋_GB2312" w:cs="仿宋_GB2312"/>
          <w:sz w:val="32"/>
          <w:szCs w:val="32"/>
        </w:rPr>
        <w:t>”的创建和示范工作,推动中小学校强化科学特色教育。鼓励有条件的农村职业学校、中小学等利用现有场所,建设农村中学科技馆、乡村学校少年宫和青少年科学工作室等农村青少年科普活动阵地。</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科学的教育评价制度体系。树立科学的教育质量观,建立健全以发展素质教育为导向的科学评价体系。落实义务教育质量、学校办学质量和学生发展质量评价标准。针对不同主体、不同学段、不同类型教育特点,改进结果评价,强化过程评价,探索增值评价,健全综合评价,克服唯分数、唯升学导向。完善初高中学生学业水平考试和综合素质评价制度。高中阶段学校实行基于初中学业水平考试成绩、结合综合素质评价的招生录取模式。</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教师队伍建设。完善师德师风建设长效机制,引导教师自觉践行社会主义核心价值观,提升职业道德修养,坚守教书育人职责。完善教师资格准入制度,着力解决教师结构性、阶段性、区域性短缺问题。加强教师进修培训,提高基本功和专业能力。培养造就一支有理想信念、有道德情操、有扎实学识、有仁爱之心的高素质专业化创新型教师队伍。</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儿童友好学校建设。加强校风、教风、学风建设。保障学生参与学校事务的权利,充分尊重学生意见,提高保护儿童权益意识。丰富和培育积极向上、格调高雅、健康文明的校园文化。构建尊师爱生的师生关系和团结友爱的同学关系。促进教师与学生平等相处,尊重学生,平等对待。美化校园环境,优化学生学习、生活条件,推进校园无障碍环境建设和改造,为学生提供适合身高的课桌椅、安全饮用水和卫生厕所,改善学校用餐和学生寄宿条件。</w:t>
      </w:r>
    </w:p>
    <w:p>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学校教育与家庭教育、社会教育相结合。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参与专题调查、研学实践和社会公益活动,帮助学生深入了解国情、省情、市情、社情、民情。充分发挥中小学校课后服务主渠道作用,完善中小学课后服务保障机制和措施。发挥共青团、少先队、妇联、科协、关工委等组织的育人作用,形成学校、家庭、社会协同育人合力。</w:t>
      </w:r>
    </w:p>
    <w:p>
      <w:pPr>
        <w:numPr>
          <w:ilvl w:val="0"/>
          <w:numId w:val="6"/>
        </w:num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加强交流合作,学习借鉴粤港澳大湾区和先行示范区教育的先进经验和成熟模式。</w:t>
      </w:r>
      <w:r>
        <w:rPr>
          <w:rFonts w:hint="eastAsia" w:ascii="仿宋_GB2312" w:hAnsi="仿宋_GB2312" w:eastAsia="仿宋_GB2312" w:cs="仿宋_GB2312"/>
          <w:sz w:val="32"/>
          <w:szCs w:val="32"/>
          <w:u w:val="single"/>
        </w:rPr>
        <w:t>积极探索与“双区”基础教育、职业教育合作路径</w:t>
      </w:r>
      <w:r>
        <w:rPr>
          <w:rStyle w:val="11"/>
          <w:rFonts w:ascii="仿宋_GB2312" w:hAnsi="仿宋_GB2312" w:eastAsia="仿宋_GB2312" w:cs="仿宋_GB2312"/>
          <w:sz w:val="32"/>
          <w:szCs w:val="32"/>
          <w:u w:val="single"/>
        </w:rPr>
        <w:footnoteReference w:id="6"/>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进一步完善跨区域就业人员随迁子女就学政策,推动实现平等接受学前教育、义务教育和高中阶段教育,确保符合条件的随迁子女顺利在流入地参加高考，并享受与流入地学生同等优惠政策。</w:t>
      </w:r>
      <w:r>
        <w:rPr>
          <w:rFonts w:hint="eastAsia" w:ascii="仿宋_GB2312" w:hAnsi="仿宋_GB2312" w:eastAsia="仿宋_GB2312" w:cs="仿宋_GB2312"/>
          <w:sz w:val="32"/>
          <w:szCs w:val="32"/>
          <w:u w:val="single"/>
        </w:rPr>
        <w:t>落实</w:t>
      </w:r>
      <w:r>
        <w:rPr>
          <w:rFonts w:hint="eastAsia" w:ascii="仿宋_GB2312" w:hAnsi="仿宋_GB2312" w:eastAsia="仿宋_GB2312" w:cs="仿宋_GB2312"/>
          <w:sz w:val="32"/>
          <w:szCs w:val="32"/>
        </w:rPr>
        <w:t>持有港澳居民居住证的港澳居民子女在汕就读义务教育阶段学校制度。</w:t>
      </w:r>
    </w:p>
    <w:p>
      <w:pPr>
        <w:spacing w:line="560" w:lineRule="exact"/>
        <w:ind w:firstLine="640" w:firstLineChars="200"/>
        <w:outlineLvl w:val="1"/>
        <w:rPr>
          <w:rFonts w:ascii="楷体_GB2312" w:hAnsi="楷体_GB2312" w:eastAsia="楷体_GB2312" w:cs="楷体_GB2312"/>
          <w:sz w:val="32"/>
          <w:szCs w:val="32"/>
        </w:rPr>
      </w:pPr>
      <w:bookmarkStart w:id="19" w:name="_Toc12865"/>
      <w:bookmarkStart w:id="20" w:name="_Toc10493"/>
      <w:r>
        <w:rPr>
          <w:rFonts w:hint="eastAsia" w:ascii="楷体_GB2312" w:hAnsi="楷体_GB2312" w:eastAsia="楷体_GB2312" w:cs="楷体_GB2312"/>
          <w:sz w:val="32"/>
          <w:szCs w:val="32"/>
        </w:rPr>
        <w:t>(四)儿童与福利。</w:t>
      </w:r>
      <w:bookmarkEnd w:id="19"/>
      <w:bookmarkEnd w:id="2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提升儿童福利水平,健全完善与经济社会发展水平相适应的适度普惠型儿童福利制度体系。</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面向儿童的基本公共服务均等化水平明显提高,</w:t>
      </w:r>
      <w:r>
        <w:rPr>
          <w:rFonts w:hint="eastAsia" w:ascii="仿宋_GB2312" w:hAnsi="仿宋_GB2312" w:eastAsia="仿宋_GB2312" w:cs="仿宋_GB2312"/>
          <w:sz w:val="32"/>
          <w:szCs w:val="32"/>
          <w:u w:val="single"/>
        </w:rPr>
        <w:t>城乡和不同群体儿童</w:t>
      </w:r>
      <w:r>
        <w:rPr>
          <w:rFonts w:hint="eastAsia" w:ascii="仿宋_GB2312" w:hAnsi="仿宋_GB2312" w:eastAsia="仿宋_GB2312" w:cs="仿宋_GB2312"/>
          <w:sz w:val="32"/>
          <w:szCs w:val="32"/>
        </w:rPr>
        <w:t>的公共服务需求得到公平满足。</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巩固提高基本医疗保障水平,保障儿童基本医疗权益。</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构建连续完整的儿童营养改善项目支持体系。</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加快普惠托育服务体系建设,托育机构和托位数量持续增加。每千常住人口拥有3岁以下婴幼儿托位数达到5.5个以上。</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孤儿、事实无人抚养儿童、残疾儿童、流浪儿童生存、发展和安全权益得到有效保障。</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留守儿童关爱服务体系不断完善,流动儿童服务机制更加健全。</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w:t>
      </w:r>
      <w:bookmarkStart w:id="21" w:name="_Hlk96801773"/>
      <w:r>
        <w:rPr>
          <w:rFonts w:hint="eastAsia" w:ascii="仿宋_GB2312" w:hAnsi="仿宋_GB2312" w:eastAsia="仿宋_GB2312" w:cs="仿宋_GB2312"/>
          <w:sz w:val="32"/>
          <w:szCs w:val="32"/>
        </w:rPr>
        <w:t>未成年人救助保护中心建设</w:t>
      </w:r>
      <w:bookmarkEnd w:id="21"/>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县级覆盖率达到90%</w:t>
      </w:r>
      <w:r>
        <w:rPr>
          <w:rFonts w:hint="eastAsia" w:ascii="仿宋_GB2312" w:hAnsi="仿宋_GB2312" w:eastAsia="仿宋_GB2312" w:cs="仿宋_GB2312"/>
          <w:sz w:val="32"/>
          <w:szCs w:val="32"/>
        </w:rPr>
        <w:t>。指导乡镇(街道)设立未成年人保护工作站，覆盖率达到50%以上。</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社区儿童之家覆盖率进一步提高,服务能力持续提升。</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监测预防、强制报告、应急处置、评估帮扶、监护干预</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“五位一体”的基层儿童保护机制有效运行。</w:t>
      </w:r>
      <w:r>
        <w:rPr>
          <w:rFonts w:hint="eastAsia" w:ascii="仿宋_GB2312" w:hAnsi="仿宋_GB2312" w:eastAsia="仿宋_GB2312" w:cs="仿宋_GB2312"/>
          <w:sz w:val="32"/>
          <w:szCs w:val="32"/>
          <w:u w:val="single"/>
        </w:rPr>
        <w:t>县级</w:t>
      </w:r>
      <w:r>
        <w:rPr>
          <w:rFonts w:hint="eastAsia" w:ascii="仿宋_GB2312" w:hAnsi="仿宋_GB2312" w:eastAsia="仿宋_GB2312" w:cs="仿宋_GB2312"/>
          <w:sz w:val="32"/>
          <w:szCs w:val="32"/>
        </w:rPr>
        <w:t>人民政府开通并有效运行统一的儿童保护热线。</w:t>
      </w:r>
    </w:p>
    <w:p>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基层儿童福利工作阵地和队伍建设进一步加强。村(居)民委员会配备专人专岗的儿童主任。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策略措施:</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构建分层分类的儿童福利保障和救助制度体系。逐步建成与经济社会发展状况相适应、与相关福利制度相衔接的适度普惠型儿童福利制度体系。形成政府主导、社会参与、家庭尽责的儿童保障工作格局。扩大儿童福利覆盖面,增加儿童福利项目,完善儿童福利政策,合理提高儿童福利标准。合理制定低保标准和特困人员救助供养标准并建立动态调整机制,提升儿童生活质量。做好儿童大病保障工作。设立儿童大病救助专项基金,对患有先天性心脏病、唐氏综合征、地中海贫血等疾病的儿童实施医疗费用减免或专项补助。</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高面向儿童的公共服务供给水平。提高基本公共服务均等化和可及性水平,将儿童教育、医疗卫生、福利保障事项优先纳入基本公共服务清单,提高服务智慧化水平。完善面向儿童的基本公共服务标准体系,推动基本公共服务投入</w:t>
      </w:r>
      <w:r>
        <w:rPr>
          <w:rFonts w:hint="eastAsia" w:ascii="仿宋_GB2312" w:hAnsi="仿宋_GB2312" w:eastAsia="仿宋_GB2312" w:cs="仿宋_GB2312"/>
          <w:sz w:val="32"/>
          <w:szCs w:val="32"/>
          <w:u w:val="single"/>
        </w:rPr>
        <w:t>向薄弱环节、特殊儿童群体</w:t>
      </w:r>
      <w:r>
        <w:rPr>
          <w:rFonts w:hint="eastAsia" w:ascii="仿宋_GB2312" w:hAnsi="仿宋_GB2312" w:eastAsia="仿宋_GB2312" w:cs="仿宋_GB2312"/>
          <w:sz w:val="32"/>
          <w:szCs w:val="32"/>
        </w:rPr>
        <w:t>倾斜。扩大公共服务覆盖面,全面落实儿童乘坐公共交通工具和游览参观票价优惠政策。</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儿童医疗保障工作。强化基本医疗保险、大病保险与医疗救助三重保障功能,加强儿童参加城乡居民基本医疗保险宣传。健全基本医疗保险筹资和待遇调整机制，按省的统一部署，完善医保目录动态调整机制，将符合条件的儿童重大疾病治疗药物按规定纳入医保支付范围。巩固扩大中小学生参加基本医疗保险覆盖面。做好低收入家庭儿童城乡居民医保资助参保。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实施儿童营养改善项目。巩固欠发达地区儿童营养改善项目实施成果。稳妥推进农村义务教育学生营养改善计划,完善膳食费用分摊机制。大力推广国家学生饮用奶计划。加强3—5岁学龄前儿童营养改善工作,实施学龄前儿童营养改善计划,构建从婴儿期到学龄期儿童连续完整的营养改善项目支持体系。</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发展普惠托育服务体系。将婴幼儿照护服务纳入经济社会发展规划,强化政策引导,综合运用土地、住房、财政、金融、人才等支持政策,扩大托育服务供给。建设一批示范托育服务机构和社区托育服务设施,支持有条件的用人单位为职工提供托育服务,鼓励国有企业等主体积极参与各级政府推动的普惠托育服务体系建设,支持和引导社会力量依托社区提供普惠托育服务,鼓励和支持有条件的幼儿园招收2—3岁幼儿,落实家庭托育点管理办法。加大专业人才培养培训力度,依法逐步实行从业人员职业资格准入制度。制定完善托育服务的标准规范,加强综合监管,推动托育服务规范健康发展。</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孤儿和事实无人抚养儿童保障。落实孤儿和事实无人抚养儿童保障政策,明确保障对象,规范认定流程,合理确定保障标准。健全孤儿和事实无人抚养儿童基本生活最低养育标准自然增长机制。畅通亲属抚养、家庭寄养、机构养育和依法收养孤儿安置渠道。落实社会散居孤儿、事实无人抚养儿童监护责任。完善儿童收养政策和制度，引导鼓励家庭收养病残儿童。完善收养评估标准体系,建立收养状况回访监督制度。加强收养登记信息化建设。加强对涉外收养的监管。帮助有劳动能力的适龄孤儿和事实无人抚养儿童优先就业。</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落实残疾儿童康复救助制度。完善儿童残疾筛查、诊断、治疗、康复一体化工作机制,建立残疾报告和信息共享制度。继续完善残疾儿童康复救助制度,提高残疾儿童康复服务覆盖率,为有需求的残疾儿童提供康复医疗、康复辅助器具、康复训练等基本康复服务,促进康复辅助器具提质升级。完善残疾儿童康复服务标准,增强残疾儿童康复服务供给能力,加强残疾儿童康复服务实施情况评估工作,规范残疾儿童康复机构管理。支持儿童福利机构面向社会残疾儿童开展替代照料、养育教育辅导、康复训练等服务。</w:t>
      </w:r>
    </w:p>
    <w:p>
      <w:pPr>
        <w:numPr>
          <w:ilvl w:val="0"/>
          <w:numId w:val="8"/>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加强儿童动态管理和分类保障。建立健全</w:t>
      </w:r>
      <w:r>
        <w:rPr>
          <w:rFonts w:hint="eastAsia" w:ascii="仿宋_GB2312" w:hAnsi="仿宋_GB2312" w:eastAsia="仿宋_GB2312" w:cs="仿宋_GB2312"/>
          <w:sz w:val="32"/>
          <w:szCs w:val="32"/>
          <w:u w:val="single"/>
        </w:rPr>
        <w:t>全县</w:t>
      </w:r>
      <w:r>
        <w:rPr>
          <w:rFonts w:hint="eastAsia" w:ascii="仿宋_GB2312" w:hAnsi="仿宋_GB2312" w:eastAsia="仿宋_GB2312" w:cs="仿宋_GB2312"/>
          <w:sz w:val="32"/>
          <w:szCs w:val="32"/>
        </w:rPr>
        <w:t>统一的儿</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童信息管理平台,实现儿童健康、学籍、出生医学证明、户籍等信息核查共享,动态管理和监测儿童的健康、学习和生活状况。健全留守儿童关爱保护工作体系,落实关爱帮扶政策措施。支持农民工返乡创业就业,源头减少留守儿童。完善流动儿童服务机制,健全以社区为依托、面向流动儿童家庭的管理和服务网络,促进流动儿童及其家庭的社区融入。加强流浪儿童救助保护,落实流浪儿童街面巡查和转介处置职责,建立流出地县级政府源头治理和回归稳固机制,落实流浪儿童相关社会保障和义务教育等政策,教育督促流浪儿童父母或其他监护人履行抚养义务,减少流浪儿童的数量和反复性流浪。依法严厉打击遗弃虐待未成年人的违法犯罪行为。</w:t>
      </w:r>
    </w:p>
    <w:p>
      <w:pPr>
        <w:numPr>
          <w:ilvl w:val="0"/>
          <w:numId w:val="8"/>
        </w:num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建立健全基层儿童保护机制。完善县、镇、村三级基层儿童保护机制。构建家庭保护、司法保护、社会保护的儿童保护体系。健全困境儿童的发现报告机制、风险评估机制、应急处置机制、评估帮扶机制和监护干预机制,落实困境儿童和受暴力伤害儿童的强制报告制度。</w:t>
      </w:r>
      <w:r>
        <w:rPr>
          <w:rFonts w:hint="eastAsia" w:ascii="仿宋_GB2312" w:hAnsi="仿宋_GB2312" w:eastAsia="仿宋_GB2312" w:cs="仿宋_GB2312"/>
          <w:sz w:val="32"/>
          <w:szCs w:val="32"/>
          <w:u w:val="single"/>
        </w:rPr>
        <w:t>县级</w:t>
      </w:r>
      <w:r>
        <w:rPr>
          <w:rFonts w:hint="eastAsia" w:ascii="仿宋_GB2312" w:hAnsi="仿宋_GB2312" w:eastAsia="仿宋_GB2312" w:cs="仿宋_GB2312"/>
          <w:sz w:val="32"/>
          <w:szCs w:val="32"/>
        </w:rPr>
        <w:t>人民政府开通统一的儿童保护热线,及时受理、转介侵犯儿童合法权益的投诉、举报,探索完善接报、评估、处置、帮扶等一体化工作流程,明确相关部门工作职责和协作程序,形成“一门受理、协同办理”的工作机制。提升未成年人救助保护机构、儿童福利机构和基层儿童工作队伍服务能力。支持引导社会力量参与儿童保护和服务工作。</w:t>
      </w:r>
    </w:p>
    <w:p>
      <w:pPr>
        <w:spacing w:line="560" w:lineRule="exact"/>
        <w:ind w:firstLine="640" w:firstLineChars="200"/>
        <w:outlineLvl w:val="1"/>
        <w:rPr>
          <w:rFonts w:ascii="楷体_GB2312" w:hAnsi="楷体_GB2312" w:eastAsia="楷体_GB2312" w:cs="楷体_GB2312"/>
          <w:sz w:val="32"/>
          <w:szCs w:val="32"/>
        </w:rPr>
      </w:pPr>
      <w:bookmarkStart w:id="22" w:name="_Toc21234"/>
      <w:bookmarkStart w:id="23" w:name="_Toc28525"/>
      <w:r>
        <w:rPr>
          <w:rFonts w:hint="eastAsia" w:ascii="楷体_GB2312" w:hAnsi="楷体_GB2312" w:eastAsia="楷体_GB2312" w:cs="楷体_GB2312"/>
          <w:sz w:val="32"/>
          <w:szCs w:val="32"/>
        </w:rPr>
        <w:t>(五)儿童与家庭。</w:t>
      </w:r>
      <w:bookmarkEnd w:id="22"/>
      <w:bookmarkEnd w:id="23"/>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发挥家庭立德树人第一所学校作用,培养儿童的好思想、好品行、好习惯。</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尊重儿童主体地位,保障儿童平等参与自身和家庭事务的权利。</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教育引导父母或其他监护人落实抚养、教育、保护责任,树立科学育儿理念,掌握运用科学育儿方法。强化亲职陪伴和教育,压实家庭监护主体责任。</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培养儿童成为好家风的践行者和传承者。</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增强亲子互动,建立平等和谐的亲子关系。</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覆盖城乡的家庭教育指导服务体系基本建成,95%的城市社区和85%的农村社区(村)建立家长学校或家庭教育指导服务站点。</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支持家庭生育养育教育的政策体系基本形成。</w:t>
      </w:r>
    </w:p>
    <w:p>
      <w:pPr>
        <w:numPr>
          <w:ilvl w:val="0"/>
          <w:numId w:val="9"/>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提升家庭领域理论和实践研究水平,促进成果转化应用。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策略措施:</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立德树人落实到家庭教育各方面。父母或其他监护人应将立德树人作为家庭教育的首要任务,将思想品德教育融入日常生活,引导儿童树立正确的世界观、人生观、价值观。教育引导儿童践行社会主义核心价值观,学习</w:t>
      </w:r>
      <w:r>
        <w:rPr>
          <w:rFonts w:hint="eastAsia" w:ascii="仿宋_GB2312" w:hAnsi="仿宋_GB2312" w:eastAsia="仿宋_GB2312" w:cs="仿宋_GB2312"/>
          <w:sz w:val="32"/>
          <w:szCs w:val="32"/>
          <w:lang w:eastAsia="zh-CN"/>
        </w:rPr>
        <w:t>中华优秀传统文化</w:t>
      </w:r>
      <w:r>
        <w:rPr>
          <w:rFonts w:hint="eastAsia" w:ascii="仿宋_GB2312" w:hAnsi="仿宋_GB2312" w:eastAsia="仿宋_GB2312" w:cs="仿宋_GB2312"/>
          <w:sz w:val="32"/>
          <w:szCs w:val="32"/>
        </w:rPr>
        <w:t>,厚植爱党爱祖国爱社会主义情怀。增强法治意识和社会责任感,学会做人、学会做事、学会学习,扣好人生第一粒扣子。</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尊重儿童主体地位和权利。引导父母或其他监护人坚持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善落实儿童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和无户口问题的发现、核实、报告工作。探索建立监护风险及异常状况评估制度。依法纠正和处理监护人侵害儿童权益事件。符合法定情形的儿童由</w:t>
      </w:r>
      <w:r>
        <w:rPr>
          <w:rFonts w:hint="eastAsia" w:ascii="仿宋_GB2312" w:hAnsi="仿宋_GB2312" w:eastAsia="仿宋_GB2312" w:cs="仿宋_GB2312"/>
          <w:sz w:val="32"/>
          <w:szCs w:val="32"/>
          <w:u w:val="single"/>
        </w:rPr>
        <w:t>县级</w:t>
      </w:r>
      <w:r>
        <w:rPr>
          <w:rFonts w:hint="eastAsia" w:ascii="仿宋_GB2312" w:hAnsi="仿宋_GB2312" w:eastAsia="仿宋_GB2312" w:cs="仿宋_GB2312"/>
          <w:sz w:val="32"/>
          <w:szCs w:val="32"/>
        </w:rPr>
        <w:t>民政部门进行监护。确保突发事件情况下无人照料儿童及时获得临时监护。禁止对儿童殴打、虐待等一切形式的家庭暴力。</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好家风涵养熏陶儿童。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引领儿童养成文明健康的生活方式和消费模式,杜绝浪费。</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及城乡社区儿童之家等为开展家庭亲子活动提供条件。加强亲子阅读指导,培养儿童良好阅读习惯。分年龄段推荐优秀儿童书目,完善儿童社区阅读场所和功能,鼓励社区图书室设立亲子阅读区。</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构建覆盖城乡的家庭教育指导服务体系。加强家庭教育指导服务机构中心建设,统筹指导服务工作，</w:t>
      </w:r>
      <w:r>
        <w:rPr>
          <w:rFonts w:hint="eastAsia" w:ascii="仿宋_GB2312" w:hAnsi="仿宋_GB2312" w:eastAsia="仿宋_GB2312" w:cs="仿宋_GB2312"/>
          <w:sz w:val="32"/>
          <w:szCs w:val="32"/>
          <w:u w:val="single"/>
        </w:rPr>
        <w:t>县、镇两级</w:t>
      </w:r>
      <w:r>
        <w:rPr>
          <w:rFonts w:hint="eastAsia" w:ascii="仿宋_GB2312" w:hAnsi="仿宋_GB2312" w:eastAsia="仿宋_GB2312" w:cs="仿宋_GB2312"/>
          <w:sz w:val="32"/>
          <w:szCs w:val="32"/>
        </w:rPr>
        <w:t>建立家庭教育指导服务机构,提供普惠性家庭教育公共服务,依托家长学校、城乡社区公共服务设施、妇女之家、儿童之家等设立家庭教育指导服务站点,提升中小学、幼儿园家长学校规范化建设水平,建设家庭教育信息化共享平台,开设网上家长学校和家庭教育指导课程。中小学、幼儿园将家庭教育指导服务纳入学校工作计划和教师业务培训。社区(村)支持协助家庭教育指导服务站点开展家庭教育指导服务。</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对家庭教育指导服务的支持保障。健全家庭教育工作机制,推进实施家庭教育工作规划,推动家庭教育指导服务普惠享有,并纳入政府购买服务指导性目录,培育家庭教育服务机构。加强对家庭教育服务机构和从业人员的管理,规范家庭教育服务市场。加强家庭教育服务行业自律，</w:t>
      </w:r>
      <w:r>
        <w:rPr>
          <w:rFonts w:hint="eastAsia" w:ascii="仿宋_GB2312" w:hAnsi="仿宋_GB2312" w:eastAsia="仿宋_GB2312" w:cs="仿宋_GB2312"/>
          <w:sz w:val="32"/>
          <w:szCs w:val="32"/>
          <w:u w:val="single"/>
        </w:rPr>
        <w:t>落实相关</w:t>
      </w:r>
      <w:r>
        <w:rPr>
          <w:rFonts w:hint="eastAsia" w:ascii="仿宋_GB2312" w:hAnsi="仿宋_GB2312" w:eastAsia="仿宋_GB2312" w:cs="仿宋_GB2312"/>
          <w:sz w:val="32"/>
          <w:szCs w:val="32"/>
        </w:rPr>
        <w:t>服务质量标准。鼓励机关、企事业单位和社会组织面向本单位职工开展家庭教育指导服务。支持社会工作机构、志愿服务组织和专业工作者依法依规开展家庭教育指导服务。鼓励支持公共文化服务场所开展家庭教育指导活动,开发家庭教育类公共文化服务产品。探索家庭教育指导服务的成效评价和反馈调整机制。发展壮大家庭教育专家讲师团、家庭教育指导师、专业社会工作者和志愿者队伍,切实提升家庭教育指导服务的专业化水平。加强家庭教育服务机构的资质认定、运营管理与监测评估。</w:t>
      </w:r>
    </w:p>
    <w:p>
      <w:pPr>
        <w:numPr>
          <w:ilvl w:val="0"/>
          <w:numId w:val="1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善支持家庭生育养育教育的政策体系。推动《中华人民共和国家庭教育促进法》贯彻落实。完善三孩生育政策配套措施。促进出生人口性别比趋于正常。优化生育政策,降低家庭生育养育教育负担,提高优生优育服务水平,增加优质普惠托育服务供给，推进教育公平与优质教育资源供给，全面落实产假制度和生育津贴，实施父母育儿假。将困境儿童及其家庭的支持与保障作为家庭支持政策的优先领域。</w:t>
      </w:r>
      <w:r>
        <w:rPr>
          <w:rFonts w:hint="eastAsia" w:ascii="仿宋_GB2312" w:hAnsi="仿宋_GB2312" w:eastAsia="仿宋_GB2312" w:cs="仿宋_GB2312"/>
          <w:sz w:val="32"/>
          <w:szCs w:val="32"/>
          <w:u w:val="single"/>
        </w:rPr>
        <w:t>落实相关</w:t>
      </w:r>
      <w:r>
        <w:rPr>
          <w:rFonts w:hint="eastAsia" w:ascii="仿宋_GB2312" w:hAnsi="仿宋_GB2312" w:eastAsia="仿宋_GB2312" w:cs="仿宋_GB2312"/>
          <w:sz w:val="32"/>
          <w:szCs w:val="32"/>
        </w:rPr>
        <w:t>家政服务标准，提高家庭服务智慧化和数字化水平。鼓励用人单位创办母婴室和提供托育托管服务，实施弹性工时、居家办公等灵活的家庭友好措施。</w:t>
      </w:r>
    </w:p>
    <w:p>
      <w:pPr>
        <w:numPr>
          <w:ilvl w:val="0"/>
          <w:numId w:val="10"/>
        </w:num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加强家庭领域理论和实践研究。充分发挥学术型社会组织作用，</w:t>
      </w:r>
      <w:r>
        <w:rPr>
          <w:rFonts w:hint="eastAsia" w:ascii="仿宋_GB2312" w:hAnsi="仿宋_GB2312" w:eastAsia="仿宋_GB2312" w:cs="仿宋_GB2312"/>
          <w:sz w:val="32"/>
          <w:szCs w:val="32"/>
          <w:u w:val="single"/>
        </w:rPr>
        <w:t>鼓励有条件的学校和科研机构开设家庭教育相关课程和讲座</w:t>
      </w:r>
      <w:r>
        <w:rPr>
          <w:rStyle w:val="11"/>
          <w:rFonts w:ascii="仿宋_GB2312" w:hAnsi="仿宋_GB2312" w:eastAsia="仿宋_GB2312" w:cs="仿宋_GB2312"/>
          <w:sz w:val="32"/>
          <w:szCs w:val="32"/>
          <w:u w:val="single"/>
        </w:rPr>
        <w:footnoteReference w:id="7"/>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建立家庭领域研究基地,培养壮大家庭领域研究队伍,提升研究水平。坚持问题导向,聚焦家庭建设、家庭教育、家风培树等开展研究,及时推进研究成果转化,为家庭领域相关工作提供理论支撑。</w:t>
      </w:r>
      <w:r>
        <w:rPr>
          <w:rFonts w:hint="eastAsia" w:ascii="仿宋_GB2312" w:hAnsi="仿宋_GB2312" w:eastAsia="仿宋_GB2312" w:cs="仿宋_GB2312"/>
          <w:sz w:val="32"/>
          <w:szCs w:val="32"/>
          <w:u w:val="single"/>
        </w:rPr>
        <w:t>推动建设家庭领域新型智库。</w:t>
      </w:r>
    </w:p>
    <w:p>
      <w:pPr>
        <w:spacing w:line="560" w:lineRule="exact"/>
        <w:ind w:firstLine="640" w:firstLineChars="200"/>
        <w:outlineLvl w:val="1"/>
        <w:rPr>
          <w:rFonts w:ascii="楷体_GB2312" w:hAnsi="楷体_GB2312" w:eastAsia="楷体_GB2312" w:cs="楷体_GB2312"/>
          <w:sz w:val="32"/>
          <w:szCs w:val="32"/>
        </w:rPr>
      </w:pPr>
      <w:bookmarkStart w:id="24" w:name="_Toc6500"/>
      <w:bookmarkStart w:id="25" w:name="_Toc11172"/>
      <w:r>
        <w:rPr>
          <w:rFonts w:hint="eastAsia" w:ascii="楷体_GB2312" w:hAnsi="楷体_GB2312" w:eastAsia="楷体_GB2312" w:cs="楷体_GB2312"/>
          <w:sz w:val="32"/>
          <w:szCs w:val="32"/>
        </w:rPr>
        <w:t>(六)儿童与环境。</w:t>
      </w:r>
      <w:bookmarkEnd w:id="24"/>
      <w:bookmarkEnd w:id="2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主要目标:</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将儿童优先理念落实到公共政策制定、公共设施建设、公共服务供给各方面,尊重、爱护儿童的社会环境进一步形成。</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儿童参与家庭、学校和社会事务的权利得到充分保障。</w:t>
      </w:r>
    </w:p>
    <w:p>
      <w:pPr>
        <w:numPr>
          <w:ilvl w:val="0"/>
          <w:numId w:val="11"/>
        </w:num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全面推进儿童友好城市建设,鼓励有条件地区率先开展儿童友好示范县(市、区)和儿童友好示范镇(街道)创建工作，</w:t>
      </w:r>
      <w:r>
        <w:rPr>
          <w:rFonts w:hint="eastAsia" w:ascii="仿宋_GB2312" w:hAnsi="仿宋_GB2312" w:eastAsia="仿宋_GB2312" w:cs="仿宋_GB2312"/>
          <w:sz w:val="32"/>
          <w:szCs w:val="32"/>
          <w:u w:val="single"/>
        </w:rPr>
        <w:t>力争创建4个儿童友好基地</w:t>
      </w:r>
      <w:r>
        <w:rPr>
          <w:rStyle w:val="11"/>
          <w:rFonts w:ascii="仿宋_GB2312" w:hAnsi="仿宋_GB2312" w:eastAsia="仿宋_GB2312" w:cs="仿宋_GB2312"/>
          <w:sz w:val="32"/>
          <w:szCs w:val="32"/>
          <w:u w:val="single"/>
        </w:rPr>
        <w:footnoteReference w:id="8"/>
      </w:r>
      <w:r>
        <w:rPr>
          <w:rFonts w:hint="eastAsia" w:ascii="仿宋_GB2312" w:hAnsi="仿宋_GB2312" w:eastAsia="仿宋_GB2312" w:cs="仿宋_GB2312"/>
          <w:sz w:val="32"/>
          <w:szCs w:val="32"/>
          <w:u w:val="single"/>
        </w:rPr>
        <w:t>。</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加大儿童校外活动场所建设和管理力度。</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提供更多有益于儿童全面发展的高质量精神文化产品。创造儿童阅读有利条件,培养儿童良好阅读习惯。鼓励</w:t>
      </w:r>
      <w:r>
        <w:rPr>
          <w:rFonts w:hint="eastAsia" w:ascii="仿宋_GB2312" w:hAnsi="仿宋_GB2312" w:eastAsia="仿宋_GB2312" w:cs="仿宋_GB2312"/>
          <w:sz w:val="32"/>
          <w:szCs w:val="32"/>
          <w:u w:val="single"/>
        </w:rPr>
        <w:t>县图书馆</w:t>
      </w:r>
      <w:r>
        <w:rPr>
          <w:rFonts w:hint="eastAsia" w:ascii="仿宋_GB2312" w:hAnsi="仿宋_GB2312" w:eastAsia="仿宋_GB2312" w:cs="仿宋_GB2312"/>
          <w:sz w:val="32"/>
          <w:szCs w:val="32"/>
        </w:rPr>
        <w:t>建立儿童分馆或单设儿童阅览区。</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加强儿童科普资源开发、共享,扩大服务覆盖范围，</w:t>
      </w:r>
      <w:r>
        <w:rPr>
          <w:rFonts w:hint="eastAsia" w:ascii="仿宋_GB2312" w:hAnsi="仿宋_GB2312" w:eastAsia="仿宋_GB2312" w:cs="仿宋_GB2312"/>
          <w:sz w:val="32"/>
          <w:szCs w:val="32"/>
          <w:u w:val="single"/>
        </w:rPr>
        <w:t>创建</w:t>
      </w:r>
      <w:r>
        <w:rPr>
          <w:rFonts w:ascii="仿宋_GB2312" w:hAnsi="仿宋_GB2312" w:eastAsia="仿宋_GB2312" w:cs="仿宋_GB2312"/>
          <w:sz w:val="32"/>
          <w:szCs w:val="32"/>
          <w:u w:val="single"/>
        </w:rPr>
        <w:t>4</w:t>
      </w:r>
      <w:r>
        <w:rPr>
          <w:rFonts w:hint="eastAsia" w:ascii="仿宋_GB2312" w:hAnsi="仿宋_GB2312" w:eastAsia="仿宋_GB2312" w:cs="仿宋_GB2312"/>
          <w:sz w:val="32"/>
          <w:szCs w:val="32"/>
          <w:u w:val="single"/>
        </w:rPr>
        <w:t>个青少年科技教育基地</w:t>
      </w:r>
      <w:r>
        <w:rPr>
          <w:rStyle w:val="11"/>
          <w:rFonts w:ascii="仿宋_GB2312" w:hAnsi="仿宋_GB2312" w:eastAsia="仿宋_GB2312" w:cs="仿宋_GB2312"/>
          <w:sz w:val="32"/>
          <w:szCs w:val="32"/>
          <w:u w:val="single"/>
        </w:rPr>
        <w:footnoteReference w:id="9"/>
      </w:r>
      <w:r>
        <w:rPr>
          <w:rFonts w:hint="eastAsia" w:ascii="仿宋_GB2312" w:hAnsi="仿宋_GB2312" w:eastAsia="仿宋_GB2312" w:cs="仿宋_GB2312"/>
          <w:sz w:val="32"/>
          <w:szCs w:val="32"/>
        </w:rPr>
        <w:t>，70%以上的乡镇(街道)、社区建有少儿科普活动场所。</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加强儿童友好公园建设,鼓励建立儿童主题公园。各类公园设置一定规模的儿童游戏场地。</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加强儿童友好社区建设,设置儿童游戏场地,完善社区儿童公共空间,促进社区儿童社会化交往。</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保护儿童免受各类传媒不良信息影响。提升儿童媒介素养。</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减少环境污染对儿童的伤害。农村自来水普及率巩固在99%以上,全面普及农村卫生厕所。</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提高儿童生态环境保护意识,帮助养成绿色低碳生活习惯。</w:t>
      </w:r>
    </w:p>
    <w:p>
      <w:pPr>
        <w:numPr>
          <w:ilvl w:val="0"/>
          <w:numId w:val="1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促进儿童事务国内国际交流与合作广泛开展,推动儿童事业发展融入粤港澳大湾区发展大局。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策略措施:</w:t>
      </w:r>
    </w:p>
    <w:p>
      <w:pPr>
        <w:numPr>
          <w:ilvl w:val="0"/>
          <w:numId w:val="1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贯彻儿童优先原则,营造尊重、保护儿童的社会环境。建立和完善促进儿童优先发展的制度体系,提高政府部门和社会公众对儿童权利的认识,增强保障儿童权利的自觉性。在出台政策、制定规划、配置资源、部署工作时优先考虑儿童利益和需求。鼓励企事业单位、各类公共服务机构和社会组织参与儿童发展和权利保护服务。</w:t>
      </w:r>
      <w:r>
        <w:rPr>
          <w:rFonts w:hint="eastAsia" w:ascii="仿宋_GB2312" w:hAnsi="仿宋_GB2312" w:eastAsia="仿宋_GB2312" w:cs="仿宋_GB2312"/>
          <w:sz w:val="32"/>
          <w:szCs w:val="32"/>
          <w:u w:val="single"/>
        </w:rPr>
        <w:t>在城乡建设规划和更新中</w:t>
      </w:r>
      <w:r>
        <w:rPr>
          <w:rFonts w:hint="eastAsia" w:ascii="仿宋_GB2312" w:hAnsi="仿宋_GB2312" w:eastAsia="仿宋_GB2312" w:cs="仿宋_GB2312"/>
          <w:sz w:val="32"/>
          <w:szCs w:val="32"/>
        </w:rPr>
        <w:t>提供更多适合儿童的公共设施和活动场所。</w:t>
      </w:r>
    </w:p>
    <w:p>
      <w:pPr>
        <w:numPr>
          <w:ilvl w:val="0"/>
          <w:numId w:val="1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障儿童参与和表达权利。尊重儿童参与自身和家庭事务的权利,培养儿童参与意识和能力。涉及儿童的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组织和引导儿童在保障安全的情况下积极参与各类劳动和社会公益实践,力所能及参与社区、城市建设和治理。</w:t>
      </w:r>
    </w:p>
    <w:p>
      <w:pPr>
        <w:numPr>
          <w:ilvl w:val="0"/>
          <w:numId w:val="1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全面推进儿童友好城市建设。将儿童友好城市建设纳入地方经济社会发展规划,</w:t>
      </w:r>
      <w:r>
        <w:rPr>
          <w:rFonts w:hint="eastAsia" w:ascii="仿宋_GB2312" w:hAnsi="仿宋_GB2312" w:eastAsia="仿宋_GB2312" w:cs="仿宋_GB2312"/>
          <w:sz w:val="32"/>
          <w:szCs w:val="32"/>
          <w:u w:val="single"/>
        </w:rPr>
        <w:t>纳入国土空间规划。</w:t>
      </w:r>
      <w:r>
        <w:rPr>
          <w:rFonts w:hint="eastAsia" w:ascii="仿宋_GB2312" w:hAnsi="仿宋_GB2312" w:eastAsia="仿宋_GB2312" w:cs="仿宋_GB2312"/>
          <w:sz w:val="32"/>
          <w:szCs w:val="32"/>
        </w:rPr>
        <w:t>全面推进社会政策友好、公共服务友好、权利保障友好、成长空间友好、发展环境友好的</w:t>
      </w:r>
      <w:r>
        <w:rPr>
          <w:rFonts w:hint="eastAsia" w:ascii="仿宋_GB2312" w:hAnsi="仿宋_GB2312" w:eastAsia="仿宋_GB2312" w:cs="仿宋_GB2312"/>
          <w:sz w:val="32"/>
          <w:szCs w:val="32"/>
          <w:u w:val="single"/>
        </w:rPr>
        <w:t>陆河特色儿童友好县(市)</w:t>
      </w:r>
      <w:r>
        <w:rPr>
          <w:rFonts w:hint="eastAsia" w:ascii="仿宋_GB2312" w:hAnsi="仿宋_GB2312" w:eastAsia="仿宋_GB2312" w:cs="仿宋_GB2312"/>
          <w:sz w:val="32"/>
          <w:szCs w:val="32"/>
        </w:rPr>
        <w:t>、乡镇(街道)建设。健全多部门合作工作机制，</w:t>
      </w:r>
      <w:r>
        <w:rPr>
          <w:rFonts w:hint="eastAsia" w:ascii="仿宋_GB2312" w:hAnsi="仿宋_GB2312" w:eastAsia="仿宋_GB2312" w:cs="仿宋_GB2312"/>
          <w:sz w:val="32"/>
          <w:szCs w:val="32"/>
          <w:u w:val="single"/>
        </w:rPr>
        <w:t>条件允许时创建和升级儿童友好医院、学校、公园、图书馆、科技馆、少年宫</w:t>
      </w:r>
      <w:r>
        <w:rPr>
          <w:rStyle w:val="11"/>
          <w:rFonts w:ascii="仿宋_GB2312" w:hAnsi="仿宋_GB2312" w:eastAsia="仿宋_GB2312" w:cs="仿宋_GB2312"/>
          <w:sz w:val="32"/>
          <w:szCs w:val="32"/>
          <w:u w:val="single"/>
        </w:rPr>
        <w:footnoteReference w:id="10"/>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充分利用各类社会资源,建设具有科学性、艺术性、趣味性、开放性和公益性的儿童活动场所,引导儿童参与社会实践,提高儿童的科学、人文、艺术等综合素养和认知、探究、实践等综合能力。鼓励国家机关、</w:t>
      </w:r>
      <w:r>
        <w:rPr>
          <w:rFonts w:hint="eastAsia" w:ascii="仿宋_GB2312" w:hAnsi="仿宋_GB2312" w:eastAsia="仿宋_GB2312" w:cs="仿宋_GB2312"/>
          <w:sz w:val="32"/>
          <w:szCs w:val="32"/>
          <w:u w:val="single"/>
        </w:rPr>
        <w:t>企事业单位等</w:t>
      </w:r>
      <w:r>
        <w:rPr>
          <w:rFonts w:hint="eastAsia" w:ascii="仿宋_GB2312" w:hAnsi="仿宋_GB2312" w:eastAsia="仿宋_GB2312" w:cs="仿宋_GB2312"/>
          <w:sz w:val="32"/>
          <w:szCs w:val="32"/>
        </w:rPr>
        <w:t>开发自身教育资源,设立儿童开放日,为儿童主题教育、社会实践、职业体验等提供支持。积极参与国内国际儿童友好城市建设交流活动。</w:t>
      </w:r>
    </w:p>
    <w:p>
      <w:pPr>
        <w:numPr>
          <w:ilvl w:val="0"/>
          <w:numId w:val="12"/>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创造有益于儿童身心健康的文化环境。制作和传播体现社会主义核心价值观,适合儿童的图书、影视、歌曲、游戏、广播电视节目等精神文化产品,培育儿童文化品牌。支持儿童参与</w:t>
      </w:r>
      <w:r>
        <w:rPr>
          <w:rFonts w:hint="eastAsia" w:ascii="仿宋_GB2312" w:hAnsi="仿宋_GB2312" w:eastAsia="仿宋_GB2312" w:cs="仿宋_GB2312"/>
          <w:sz w:val="32"/>
          <w:szCs w:val="32"/>
          <w:lang w:eastAsia="zh-CN"/>
        </w:rPr>
        <w:t>中华优秀传统文化</w:t>
      </w:r>
      <w:r>
        <w:rPr>
          <w:rFonts w:hint="eastAsia" w:ascii="仿宋_GB2312" w:hAnsi="仿宋_GB2312" w:eastAsia="仿宋_GB2312" w:cs="仿宋_GB2312"/>
          <w:sz w:val="32"/>
          <w:szCs w:val="32"/>
        </w:rPr>
        <w:t>、海陆丰红色文化、非物质文化遗产的保护、传承和创新。加强新闻出版、文化、广告和商业性活动等市场监管和执法。加强对儿童出版物的审读、鉴定和处置。清理校园周边非法销售出版物和涉及低俗内容的儿童文化用品、玩具。严格网络出版、文化市场管理与执法,及时整治利用网络游戏、视频、直播、社交、学习类移动应用软件,传播危害未成年人身心健康的有害信息的行为。严格管控诱导未成年人无底线追星、拜金炫富等存在价值导向问题的不良信息和行为。加强互联网营业场所和娱乐场所执法,查处违规接纳未成年人、提供含有禁止内容的曲目和游戏游</w:t>
      </w:r>
      <w:r>
        <w:rPr>
          <w:rFonts w:hint="eastAsia" w:ascii="仿宋_GB2312" w:hAnsi="仿宋_GB2312" w:eastAsia="仿宋_GB2312" w:cs="仿宋_GB2312"/>
          <w:kern w:val="0"/>
          <w:sz w:val="32"/>
          <w:szCs w:val="32"/>
        </w:rPr>
        <w:t>艺设备等违规行为。落实互联网企业主体责任,在产品开发、内容审核、用户管理、保护措施、举报处置等环节完善治理手段。</w:t>
      </w:r>
    </w:p>
    <w:p>
      <w:pPr>
        <w:numPr>
          <w:ilvl w:val="0"/>
          <w:numId w:val="1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范与儿童相关的广告和商业性活动。规范与儿童有关的产品(服务)广告播出。在针对儿童的大众传播媒介上不得发布医疗、药品、医疗器械、保健食品、化妆品、烟酒类(含电子烟)、美容广告,以及不利于儿童身心健康的网络游戏等广告。禁止在大众传播媒介、公共场所发布声称全部或部分替代母乳的婴儿乳制品、饮料和其他食品广告。加大相关虚假违法广告案件的查处力度。规范和限制安排儿童参加商业性演展活动。</w:t>
      </w:r>
    </w:p>
    <w:p>
      <w:pPr>
        <w:numPr>
          <w:ilvl w:val="0"/>
          <w:numId w:val="12"/>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高儿童科普的覆盖面和效能。采取儿童易于理解、接受和参与的方式,普及科学技术知识,倡导科学方法,传播科学思想,弘扬科学精神。建立完善科普资源库和科普资源名录,推动科普资源和服务共建共享。创新科普方式方法,满足儿童科普需求。加强科普信息公共平台建设,为儿童提供权威、专业、实时的科学知识和科普资源。</w:t>
      </w:r>
      <w:r>
        <w:rPr>
          <w:rFonts w:hint="eastAsia" w:ascii="仿宋_GB2312" w:hAnsi="仿宋_GB2312" w:eastAsia="仿宋_GB2312" w:cs="仿宋_GB2312"/>
          <w:kern w:val="0"/>
          <w:sz w:val="32"/>
          <w:szCs w:val="32"/>
          <w:u w:val="single"/>
        </w:rPr>
        <w:t>待条件成熟时，推动实体科技馆、流动科技馆、数字科技馆等科技场馆体系和科普教育基地建设</w:t>
      </w:r>
      <w:r>
        <w:rPr>
          <w:rStyle w:val="11"/>
          <w:rFonts w:ascii="仿宋_GB2312" w:hAnsi="仿宋_GB2312" w:eastAsia="仿宋_GB2312" w:cs="仿宋_GB2312"/>
          <w:kern w:val="0"/>
          <w:sz w:val="32"/>
          <w:szCs w:val="32"/>
          <w:u w:val="single"/>
        </w:rPr>
        <w:footnoteReference w:id="11"/>
      </w:r>
      <w:r>
        <w:rPr>
          <w:rFonts w:hint="eastAsia" w:ascii="仿宋_GB2312" w:hAnsi="仿宋_GB2312" w:eastAsia="仿宋_GB2312" w:cs="仿宋_GB2312"/>
          <w:kern w:val="0"/>
          <w:sz w:val="32"/>
          <w:szCs w:val="32"/>
          <w:u w:val="single"/>
        </w:rPr>
        <w:t>。</w:t>
      </w:r>
      <w:r>
        <w:rPr>
          <w:rFonts w:hint="eastAsia" w:ascii="仿宋_GB2312" w:hAnsi="仿宋_GB2312" w:eastAsia="仿宋_GB2312" w:cs="仿宋_GB2312"/>
          <w:kern w:val="0"/>
          <w:sz w:val="32"/>
          <w:szCs w:val="32"/>
        </w:rPr>
        <w:t>推动少年宫、妇女儿童活动中心、各类培训基地、文化场所等增加科普教育功能。鼓励社会力量参与科普工作,支持和引导企事业单位、社会组织和个人开展科普活动。</w:t>
      </w:r>
    </w:p>
    <w:p>
      <w:pPr>
        <w:numPr>
          <w:ilvl w:val="0"/>
          <w:numId w:val="12"/>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拓展儿童友好活动空间。加强城市公共空间适儿化改造,在公园、绿地等公共空间和社区配备优质、独立、便利的儿童活动场地。研究将社区儿童室内外活动场地的配建规划、建设指引等内容纳入城市更新和棚户区改造政策,并研究相应配套奖励政策措施,调动市场改造积极性。优化配置社区儿童活动场所,健全社区儿童健身设备、游乐设施、室内儿童游乐场所及游乐设施安全标准与检查制度,确保设施安全。加大对农村地区、城市人口密集区儿童活动场所建设和运行的扶持力度,推进儿童活动场所无障碍建设和改造。加强和规范各类爱国主义教育基地、党史国史教育基地、红色文化教育基地、科普教育基地、中小学生研学实践教育基地等的建设。各类公益性教育、科技、文化、体育、娱乐场所对儿童免费或优惠开放,根据条件开辟儿童活动专区。在具备条件的校外活动场所普遍建立少先队组织。加强儿童友好体育场所建设,提高现有体育设施共享使用程度,满足儿童体育锻炼需求。</w:t>
      </w:r>
    </w:p>
    <w:p>
      <w:pPr>
        <w:numPr>
          <w:ilvl w:val="0"/>
          <w:numId w:val="12"/>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儿童媒介素养教育。保障儿童利用和参与媒介的权利。丰富儿童教学生活体验,提高数字生活质量。通过学校、幼儿园、家庭和社会等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w:t>
      </w:r>
      <w:r>
        <w:rPr>
          <w:rFonts w:hint="eastAsia" w:ascii="仿宋_GB2312" w:hAnsi="仿宋_GB2312" w:eastAsia="仿宋_GB2312" w:cs="仿宋_GB2312"/>
          <w:kern w:val="0"/>
          <w:sz w:val="32"/>
          <w:szCs w:val="32"/>
          <w:u w:val="single"/>
        </w:rPr>
        <w:t>全县</w:t>
      </w:r>
      <w:r>
        <w:rPr>
          <w:rFonts w:hint="eastAsia" w:ascii="仿宋_GB2312" w:hAnsi="仿宋_GB2312" w:eastAsia="仿宋_GB2312" w:cs="仿宋_GB2312"/>
          <w:kern w:val="0"/>
          <w:sz w:val="32"/>
          <w:szCs w:val="32"/>
        </w:rPr>
        <w:t>残疾儿童、困境儿童安全合理参与网络提供条件。</w:t>
      </w:r>
    </w:p>
    <w:p>
      <w:pPr>
        <w:numPr>
          <w:ilvl w:val="0"/>
          <w:numId w:val="12"/>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优化儿童健康成长的自然环境和人居环境。完善生态文明领域统筹协调机制,加快建设</w:t>
      </w:r>
      <w:r>
        <w:rPr>
          <w:rFonts w:hint="eastAsia" w:ascii="仿宋_GB2312" w:hAnsi="仿宋_GB2312" w:eastAsia="仿宋_GB2312" w:cs="仿宋_GB2312"/>
          <w:kern w:val="0"/>
          <w:sz w:val="32"/>
          <w:szCs w:val="32"/>
          <w:u w:val="single"/>
        </w:rPr>
        <w:t>美丽陆河</w:t>
      </w:r>
      <w:r>
        <w:rPr>
          <w:rFonts w:hint="eastAsia" w:ascii="仿宋_GB2312" w:hAnsi="仿宋_GB2312" w:eastAsia="仿宋_GB2312" w:cs="仿宋_GB2312"/>
          <w:kern w:val="0"/>
          <w:sz w:val="32"/>
          <w:szCs w:val="32"/>
        </w:rPr>
        <w:t>。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开展面向儿童的生态文明宣传教育活动,培养儿童生态文明意识,树立珍惜资源、保护自然、珍爱生命、与自然和谐相处的观念,自觉养成健康文明、绿色低碳、垃圾分类的良好生活习惯。建设儿童自然教育保护基地开展儿童自然教育。</w:t>
      </w:r>
    </w:p>
    <w:p>
      <w:pPr>
        <w:numPr>
          <w:ilvl w:val="0"/>
          <w:numId w:val="12"/>
        </w:numPr>
        <w:spacing w:line="560" w:lineRule="exact"/>
        <w:ind w:firstLine="640" w:firstLineChars="200"/>
        <w:rPr>
          <w:rFonts w:ascii="仿宋" w:hAnsi="仿宋" w:eastAsia="仿宋"/>
          <w:kern w:val="0"/>
          <w:sz w:val="32"/>
          <w:szCs w:val="32"/>
        </w:rPr>
      </w:pPr>
      <w:r>
        <w:rPr>
          <w:rFonts w:hint="eastAsia" w:ascii="仿宋_GB2312" w:hAnsi="仿宋_GB2312" w:eastAsia="仿宋_GB2312" w:cs="仿宋_GB2312"/>
          <w:kern w:val="0"/>
          <w:sz w:val="32"/>
          <w:szCs w:val="32"/>
        </w:rPr>
        <w:t>促进儿童发展交流与合作。认真履行联合国《儿童权利公约》等国际公约和文件,落实与儿童发展相关的可持续发展目标。积极参与涉及儿童发展事业的国内国际交流,吸收借鉴国内国际有益经验,积极宣介促进儿童发展的</w:t>
      </w:r>
      <w:r>
        <w:rPr>
          <w:rFonts w:hint="eastAsia" w:ascii="仿宋_GB2312" w:hAnsi="仿宋_GB2312" w:eastAsia="仿宋_GB2312" w:cs="仿宋_GB2312"/>
          <w:kern w:val="0"/>
          <w:sz w:val="32"/>
          <w:szCs w:val="32"/>
          <w:u w:val="single"/>
        </w:rPr>
        <w:t>“陆河故事”</w:t>
      </w:r>
      <w:r>
        <w:rPr>
          <w:rFonts w:hint="eastAsia" w:ascii="仿宋_GB2312" w:hAnsi="仿宋_GB2312" w:eastAsia="仿宋_GB2312" w:cs="仿宋_GB2312"/>
          <w:kern w:val="0"/>
          <w:sz w:val="32"/>
          <w:szCs w:val="32"/>
        </w:rPr>
        <w:t>。促进中华文化与其他文化的交流合作，扩大海陆丰文化的影响力和辐射力。深化与粤港澳大湾区儿童发展合作与交流。</w:t>
      </w:r>
    </w:p>
    <w:p>
      <w:pPr>
        <w:spacing w:line="560" w:lineRule="exact"/>
        <w:ind w:firstLine="640" w:firstLineChars="200"/>
        <w:outlineLvl w:val="1"/>
        <w:rPr>
          <w:rFonts w:ascii="楷体_GB2312" w:hAnsi="楷体_GB2312" w:eastAsia="楷体_GB2312" w:cs="楷体_GB2312"/>
          <w:kern w:val="0"/>
          <w:sz w:val="32"/>
          <w:szCs w:val="32"/>
        </w:rPr>
      </w:pPr>
      <w:bookmarkStart w:id="26" w:name="_Toc13677"/>
      <w:bookmarkStart w:id="27" w:name="_Toc2649"/>
      <w:r>
        <w:rPr>
          <w:rFonts w:hint="eastAsia" w:ascii="楷体_GB2312" w:hAnsi="楷体_GB2312" w:eastAsia="楷体_GB2312" w:cs="楷体_GB2312"/>
          <w:kern w:val="0"/>
          <w:sz w:val="32"/>
          <w:szCs w:val="32"/>
        </w:rPr>
        <w:t>(七)儿童与法律保护。</w:t>
      </w:r>
      <w:bookmarkEnd w:id="26"/>
      <w:bookmarkEnd w:id="27"/>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主要目标:</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健全完善儿童保护政策体系。</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加强保障儿童权益执法工作。</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强化</w:t>
      </w:r>
      <w:r>
        <w:rPr>
          <w:rFonts w:hint="eastAsia" w:ascii="仿宋_GB2312" w:hAnsi="仿宋_GB2312" w:eastAsia="仿宋_GB2312" w:cs="仿宋_GB2312"/>
          <w:kern w:val="0"/>
          <w:sz w:val="32"/>
          <w:szCs w:val="32"/>
        </w:rPr>
        <w:t>司法保护制度,司法工作体系满足儿童身心发展特殊需要。</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儿童法治素养和自我保护意识进一步提升,社会公众保护儿童的意识和能力进一步提高。</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依法保障儿童的民事权益。</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落实儿童监护制度,保障儿童获得有效监护。</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禁止使用童工,禁止对儿童的经济剥削,严格监管安排儿童参与商业活动的行为。</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依法严惩性侵害、家庭暴力、拐卖、遗弃等侵害儿童人身权利的违法犯罪行为。</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依法严惩利用网络侵犯儿童合法权益的违法犯罪行为。</w:t>
      </w:r>
    </w:p>
    <w:p>
      <w:pPr>
        <w:numPr>
          <w:ilvl w:val="0"/>
          <w:numId w:val="13"/>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预防未成年人违法犯罪,对未成年人违法犯罪实行分级干预。降低未成年人犯罪人数占未成年人人口数量的比重。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策略措施:</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全面落实</w:t>
      </w:r>
      <w:r>
        <w:rPr>
          <w:rFonts w:hint="eastAsia" w:ascii="仿宋_GB2312" w:hAnsi="仿宋_GB2312" w:eastAsia="仿宋_GB2312" w:cs="仿宋_GB2312"/>
          <w:kern w:val="0"/>
          <w:sz w:val="32"/>
          <w:szCs w:val="32"/>
        </w:rPr>
        <w:t>保障儿童权益的法规政策。</w:t>
      </w:r>
      <w:r>
        <w:rPr>
          <w:rFonts w:hint="eastAsia" w:ascii="仿宋_GB2312" w:hAnsi="仿宋_GB2312" w:eastAsia="仿宋_GB2312" w:cs="仿宋_GB2312"/>
          <w:kern w:val="0"/>
          <w:sz w:val="32"/>
          <w:szCs w:val="32"/>
          <w:u w:val="single"/>
        </w:rPr>
        <w:t>落实家庭教育、学前教育、儿童福利、网络保护等方面相关法规政策</w:t>
      </w:r>
      <w:r>
        <w:rPr>
          <w:rStyle w:val="11"/>
          <w:rFonts w:ascii="仿宋_GB2312" w:hAnsi="仿宋_GB2312" w:eastAsia="仿宋_GB2312" w:cs="仿宋_GB2312"/>
          <w:kern w:val="0"/>
          <w:sz w:val="32"/>
          <w:szCs w:val="32"/>
          <w:u w:val="single"/>
        </w:rPr>
        <w:footnoteReference w:id="12"/>
      </w:r>
      <w:r>
        <w:rPr>
          <w:rFonts w:hint="eastAsia" w:ascii="仿宋_GB2312" w:hAnsi="仿宋_GB2312" w:eastAsia="仿宋_GB2312" w:cs="仿宋_GB2312"/>
          <w:kern w:val="0"/>
          <w:sz w:val="32"/>
          <w:szCs w:val="32"/>
          <w:u w:val="single"/>
        </w:rPr>
        <w:t>。</w:t>
      </w:r>
      <w:r>
        <w:rPr>
          <w:rFonts w:hint="eastAsia" w:ascii="仿宋_GB2312" w:hAnsi="仿宋_GB2312" w:eastAsia="仿宋_GB2312" w:cs="仿宋_GB2312"/>
          <w:kern w:val="0"/>
          <w:sz w:val="32"/>
          <w:szCs w:val="32"/>
        </w:rPr>
        <w:t>加强未成年人保护法实施，落实法律监督、司法建议和法治督查制度。加强保障儿童权益的法学理论与实践研究。</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全未成年人司法工作体系。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社会工作者等的合作,共同做好未成年人心理干预、社会观护、教育矫治、社区矫正等工作。建立未成年人案件司法统计指标体系。</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对未成年人的特殊司法保护。依法保障涉案未成年人的隐私权、名誉权以及知情权、参与权等诉讼权利,建立涉诉未成年人权益保障及服务机制。落实未成年人犯罪案件特别程序关于严格限制适用逮捕措施、法律援助、社会调查、心理评估、法定代理人或合适成年人到场、附条件不起诉、不公开审理、犯罪记录封存等规定。增强未成年人矫正实施成果。落实涉案未成年人与成年人分别关押、分别管理、分别教育制度。</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儿童保护的法治宣传教育。完善学校、家庭、社会共同参与的儿童法治教育工作机制,开展法治素养提升行动,提高儿童的法治素养。扎实推进青少年法治教育实践基地、法治资源教室和网络平台建设,开展法治教育和法治实践活动,将预防性侵害、反家暴、防止校园欺凌等教育纳入学校法治课程。提高社会公众的法治意识,推动形成依法保障儿童权益的良好氛围。强化媒体对未成年人保护的社会责任,推动在黄金时段免费播放儿童普法公益宣传片,引导媒体客观、审慎、适度采访和报道涉未成年人案件。</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厉查处使用童工等违法犯罪行为。加强对使用童工行为的日常巡视监察和专项执法检查。严格落实儿童参加演出、节目制作等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肃查处用人单位侵害未成年工合法权益的案件,严厉打击违法介绍、招用童工的行为。</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防控制和惩治针对儿童的暴力伤害。加强对儿童暴力零容忍理念和反家庭暴力宣传。杜绝针对儿童的家庭暴力以及严重忽视等不利于儿童身心健康的行为。实施反家庭暴力法律法规,完善相关指引,充分运用告诫书、人身安全保护令、撤销监护人资格等措施,加强对施暴人的惩戒和教育。对构成犯罪的施暴人依法追究刑事责任,从严处理重大恶性案件。建立防控儿童暴力伤害多部门合作工作机制,健全各级儿童保护工作平台,落实强制报告制度,及时受理、调查、立案和转处儿童暴力伤害案件。密切接触未成年人的机构和人员履行强制报告责任。保护未成年人的隐私和安全,及时为未成年被害人及目睹家庭暴力的儿童提供心理疏导、医疗救治和临时庇护。</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防和依法严惩性侵害儿童违法犯罪行为。加强儿童预防性侵害教育,提高儿童、家庭、学校、社区识别防范性侵害和发现报告的意识和能力,落实强制报告制度。完善校园性侵害防控机制。建立统一的性侵害、虐待、拐卖、暴力伤害等违法犯罪人员信息查询系统,完善落实入职查询、从业禁止制度。探索建立性侵害儿童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健全性侵害未成年人刑事案件“一站式”取证、救助机制。探索制定性侵害儿童案件特殊证据标准,对遭受性侵害或者暴力伤害的未成年被害人及其家庭实施必要的心理干预、经济救助、法律援助、转学安置等保护措施。完善未成年被害人精神损害赔偿制度。</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及户口登记制度。妥善安置查找不到亲生父母和自生自卖类案件的被解救儿童。禁止除公安机关以外的任何组织或者个人收集被拐卖儿童、父母和疑似被拐卖人员DNA数据等信息。落实儿童失踪快速查找甄别机制。实施青少年毒品预防教育工程,开展对引诱、教唆、欺骗、强迫、容留儿童吸贩毒犯罪的专项打击行动。依法严惩胁迫、引诱、教唆儿童参与黑社会性质组织从事违法犯罪活动的行为。</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numPr>
          <w:ilvl w:val="0"/>
          <w:numId w:val="14"/>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效预防未成年人违法犯罪。加强对未成年人的法治和预防犯罪教育。落实未成年人违法犯罪分级干预制度,依法采取教育矫治措施,及时发现、制止、管教未成年人不良行为。控制未成年人审前羁押率与监禁刑适用率。及时制止、处理未成年人严重不良行为和未达刑事责任年龄未成年人严重危害他人及社会的行为。完善预防未成年人犯罪的社会支持系统。建立罪错未成年人社会联动帮教机制。完善专门学校入学程序、学生和学籍管理、转回普通学校等制度。对涉罪未成年人坚持依法惩戒和精准帮教相结合,增强教育矫治效果,预防重新犯罪。保障涉罪未成年人免受歧视,依法实现在复学、升学、就业等方面的同等权利。探索建立强制性家庭教育指导制度，责令涉罪未成年人、有严重不良行为未成年人、未成年被害人的监护人强制接受家庭教育指导。强化预防未成年人犯罪工作的基层基础。</w:t>
      </w:r>
    </w:p>
    <w:p>
      <w:pPr>
        <w:spacing w:line="560" w:lineRule="exact"/>
        <w:ind w:firstLine="640" w:firstLineChars="200"/>
        <w:outlineLvl w:val="0"/>
        <w:rPr>
          <w:rFonts w:ascii="黑体" w:hAnsi="黑体" w:eastAsia="黑体"/>
          <w:kern w:val="0"/>
          <w:sz w:val="32"/>
          <w:szCs w:val="32"/>
        </w:rPr>
      </w:pPr>
      <w:bookmarkStart w:id="28" w:name="_Toc6245"/>
      <w:bookmarkStart w:id="29" w:name="_Toc11871"/>
      <w:r>
        <w:rPr>
          <w:rFonts w:hint="eastAsia" w:ascii="黑体" w:hAnsi="黑体" w:eastAsia="黑体"/>
          <w:kern w:val="0"/>
          <w:sz w:val="32"/>
          <w:szCs w:val="32"/>
        </w:rPr>
        <w:t>三、</w:t>
      </w:r>
      <w:r>
        <w:rPr>
          <w:rFonts w:ascii="黑体" w:hAnsi="黑体" w:eastAsia="黑体"/>
          <w:kern w:val="0"/>
          <w:sz w:val="32"/>
          <w:szCs w:val="32"/>
        </w:rPr>
        <w:t>重点工程</w:t>
      </w:r>
      <w:bookmarkEnd w:id="28"/>
      <w:bookmarkEnd w:id="29"/>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(一)儿童友好城市建设工程。</w:t>
      </w:r>
      <w:r>
        <w:rPr>
          <w:rFonts w:hint="eastAsia" w:ascii="仿宋_GB2312" w:hAnsi="仿宋_GB2312" w:eastAsia="仿宋_GB2312" w:cs="仿宋_GB2312"/>
          <w:kern w:val="0"/>
          <w:sz w:val="32"/>
          <w:szCs w:val="32"/>
        </w:rPr>
        <w:t>全面推进社会政策友好、公共服务友好、权利保障友好、成长空间友好、发展环境友好的</w:t>
      </w:r>
      <w:r>
        <w:rPr>
          <w:rFonts w:hint="eastAsia" w:ascii="仿宋_GB2312" w:hAnsi="仿宋_GB2312" w:eastAsia="仿宋_GB2312" w:cs="仿宋_GB2312"/>
          <w:kern w:val="0"/>
          <w:sz w:val="32"/>
          <w:szCs w:val="32"/>
          <w:u w:val="single"/>
        </w:rPr>
        <w:t>陆河特色儿童友好县(市)、</w:t>
      </w:r>
      <w:r>
        <w:rPr>
          <w:rFonts w:hint="eastAsia" w:ascii="仿宋_GB2312" w:hAnsi="仿宋_GB2312" w:eastAsia="仿宋_GB2312" w:cs="仿宋_GB2312"/>
          <w:kern w:val="0"/>
          <w:sz w:val="32"/>
          <w:szCs w:val="32"/>
        </w:rPr>
        <w:t>乡镇(街道)建设。建立多部门合作工作机制，</w:t>
      </w:r>
      <w:r>
        <w:rPr>
          <w:rFonts w:hint="eastAsia" w:ascii="仿宋_GB2312" w:hAnsi="仿宋_GB2312" w:eastAsia="仿宋_GB2312" w:cs="仿宋_GB2312"/>
          <w:kern w:val="0"/>
          <w:sz w:val="32"/>
          <w:szCs w:val="32"/>
          <w:u w:val="single"/>
        </w:rPr>
        <w:t>参照相关标准体系，发布建设指南</w:t>
      </w:r>
      <w:r>
        <w:rPr>
          <w:rStyle w:val="11"/>
          <w:rFonts w:ascii="仿宋_GB2312" w:hAnsi="仿宋_GB2312" w:eastAsia="仿宋_GB2312" w:cs="仿宋_GB2312"/>
          <w:kern w:val="0"/>
          <w:sz w:val="32"/>
          <w:szCs w:val="32"/>
          <w:u w:val="single"/>
        </w:rPr>
        <w:footnoteReference w:id="13"/>
      </w:r>
      <w:r>
        <w:rPr>
          <w:rFonts w:hint="eastAsia" w:ascii="仿宋_GB2312" w:hAnsi="仿宋_GB2312" w:eastAsia="仿宋_GB2312" w:cs="仿宋_GB2312"/>
          <w:kern w:val="0"/>
          <w:sz w:val="32"/>
          <w:szCs w:val="32"/>
          <w:u w:val="single"/>
        </w:rPr>
        <w:t>。条件成熟时</w:t>
      </w:r>
      <w:r>
        <w:rPr>
          <w:rFonts w:hint="eastAsia" w:ascii="仿宋_GB2312" w:hAnsi="仿宋_GB2312" w:eastAsia="仿宋_GB2312" w:cs="仿宋_GB2312"/>
          <w:kern w:val="0"/>
          <w:sz w:val="32"/>
          <w:szCs w:val="32"/>
        </w:rPr>
        <w:t>率先开展儿童友好示范县(市)和儿童友好示范镇(街道)创建工作，努力创建</w:t>
      </w:r>
      <w:r>
        <w:rPr>
          <w:rFonts w:ascii="仿宋_GB2312" w:hAnsi="仿宋_GB2312" w:eastAsia="仿宋_GB2312" w:cs="仿宋_GB2312"/>
          <w:kern w:val="0"/>
          <w:sz w:val="32"/>
          <w:szCs w:val="32"/>
          <w:u w:val="single"/>
        </w:rPr>
        <w:t>4</w:t>
      </w:r>
      <w:r>
        <w:rPr>
          <w:rFonts w:hint="eastAsia" w:ascii="仿宋_GB2312" w:hAnsi="仿宋_GB2312" w:eastAsia="仿宋_GB2312" w:cs="仿宋_GB2312"/>
          <w:kern w:val="0"/>
          <w:sz w:val="32"/>
          <w:szCs w:val="32"/>
          <w:u w:val="single"/>
        </w:rPr>
        <w:t>个儿童友好基地</w:t>
      </w:r>
      <w:r>
        <w:rPr>
          <w:rStyle w:val="11"/>
          <w:rFonts w:ascii="仿宋_GB2312" w:hAnsi="仿宋_GB2312" w:eastAsia="仿宋_GB2312" w:cs="仿宋_GB2312"/>
          <w:kern w:val="0"/>
          <w:sz w:val="32"/>
          <w:szCs w:val="32"/>
          <w:u w:val="single"/>
        </w:rPr>
        <w:footnoteReference w:id="14"/>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有条件时新建或者改造学校、公园、图书馆、科技馆、少年宫</w:t>
      </w:r>
      <w:r>
        <w:rPr>
          <w:rStyle w:val="11"/>
          <w:rFonts w:ascii="仿宋_GB2312" w:hAnsi="仿宋_GB2312" w:eastAsia="仿宋_GB2312" w:cs="仿宋_GB2312"/>
          <w:kern w:val="0"/>
          <w:sz w:val="32"/>
          <w:szCs w:val="32"/>
          <w:u w:val="single"/>
        </w:rPr>
        <w:footnoteReference w:id="15"/>
      </w:r>
      <w:r>
        <w:rPr>
          <w:rFonts w:hint="eastAsia" w:ascii="仿宋_GB2312" w:hAnsi="仿宋_GB2312" w:eastAsia="仿宋_GB2312" w:cs="仿宋_GB2312"/>
          <w:kern w:val="0"/>
          <w:sz w:val="32"/>
          <w:szCs w:val="32"/>
          <w:u w:val="single"/>
        </w:rPr>
        <w:t>，</w:t>
      </w:r>
      <w:r>
        <w:rPr>
          <w:rFonts w:hint="eastAsia" w:ascii="仿宋_GB2312" w:hAnsi="仿宋_GB2312" w:eastAsia="仿宋_GB2312" w:cs="仿宋_GB2312"/>
          <w:kern w:val="0"/>
          <w:sz w:val="32"/>
          <w:szCs w:val="32"/>
        </w:rPr>
        <w:t>拓展儿童友好活动空间。鼓励国家机关、</w:t>
      </w:r>
      <w:r>
        <w:rPr>
          <w:rFonts w:hint="eastAsia" w:ascii="仿宋_GB2312" w:hAnsi="仿宋_GB2312" w:eastAsia="仿宋_GB2312" w:cs="仿宋_GB2312"/>
          <w:kern w:val="0"/>
          <w:sz w:val="32"/>
          <w:szCs w:val="32"/>
          <w:u w:val="single"/>
        </w:rPr>
        <w:t>企事业单位等</w:t>
      </w:r>
      <w:r>
        <w:rPr>
          <w:rFonts w:hint="eastAsia" w:ascii="仿宋_GB2312" w:hAnsi="仿宋_GB2312" w:eastAsia="仿宋_GB2312" w:cs="仿宋_GB2312"/>
          <w:kern w:val="0"/>
          <w:sz w:val="32"/>
          <w:szCs w:val="32"/>
        </w:rPr>
        <w:t>开发自身教育资源,设立儿童开放日,为儿童主题教育、社会实践、职业体验等提供支持。</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(二)普惠托育服务专项工程。</w:t>
      </w:r>
      <w:r>
        <w:rPr>
          <w:rFonts w:hint="eastAsia" w:ascii="仿宋_GB2312" w:hAnsi="仿宋_GB2312" w:eastAsia="仿宋_GB2312" w:cs="仿宋_GB2312"/>
          <w:kern w:val="0"/>
          <w:sz w:val="32"/>
          <w:szCs w:val="32"/>
        </w:rPr>
        <w:t>加强托育服务的标准化和规范化建设,探索建立托幼服务一体化新模式,鼓励社区建设托育中心,提供多样化普惠性托育服务。促进城乡儿童早期发展,普惠托育服务机构和托位数量持续增加。每千常住人口拥有3岁以下婴幼儿托位数达到5.5个以上。</w:t>
      </w:r>
    </w:p>
    <w:p>
      <w:pPr>
        <w:spacing w:line="560" w:lineRule="exact"/>
        <w:ind w:firstLine="640" w:firstLineChars="200"/>
        <w:rPr>
          <w:rFonts w:ascii="仿宋" w:hAnsi="仿宋" w:eastAsia="仿宋"/>
          <w:kern w:val="0"/>
          <w:sz w:val="32"/>
          <w:szCs w:val="32"/>
          <w:u w:val="single"/>
        </w:rPr>
      </w:pPr>
      <w:r>
        <w:rPr>
          <w:rFonts w:hint="eastAsia" w:ascii="楷体_GB2312" w:hAnsi="楷体_GB2312" w:eastAsia="楷体_GB2312" w:cs="楷体_GB2312"/>
          <w:kern w:val="0"/>
          <w:sz w:val="32"/>
          <w:szCs w:val="32"/>
        </w:rPr>
        <w:t>(三)出生缺陷综合防治工程。</w:t>
      </w:r>
      <w:r>
        <w:rPr>
          <w:rFonts w:hint="eastAsia" w:ascii="仿宋_GB2312" w:hAnsi="仿宋_GB2312" w:eastAsia="仿宋_GB2312" w:cs="仿宋_GB2312"/>
          <w:kern w:val="0"/>
          <w:sz w:val="32"/>
          <w:szCs w:val="32"/>
        </w:rPr>
        <w:t>建立多部门联动防治出生缺陷工作机制,落实出生缺陷</w:t>
      </w:r>
      <w:r>
        <w:rPr>
          <w:rFonts w:hint="eastAsia" w:ascii="仿宋_GB2312" w:hAnsi="仿宋_GB2312" w:eastAsia="仿宋_GB2312" w:cs="仿宋_GB2312"/>
          <w:kern w:val="0"/>
          <w:sz w:val="32"/>
          <w:szCs w:val="32"/>
          <w:u w:val="single"/>
        </w:rPr>
        <w:t>两级</w:t>
      </w:r>
      <w:r>
        <w:rPr>
          <w:rFonts w:hint="eastAsia" w:ascii="仿宋_GB2312" w:hAnsi="仿宋_GB2312" w:eastAsia="仿宋_GB2312" w:cs="仿宋_GB2312"/>
          <w:kern w:val="0"/>
          <w:sz w:val="32"/>
          <w:szCs w:val="32"/>
        </w:rPr>
        <w:t>防治措施。实施婚前孕前优生健康检查、产前筛查、新生儿疾病筛查等出生缺陷防控项目。构建完善覆盖婚前、孕前、孕期、新生儿和儿童各阶段的出生缺陷防治体系。减少重型地中海贫血、唐氏综合征、神经管缺陷等严重出生缺陷儿出生。新生儿访视率保持在90%以上,</w:t>
      </w:r>
      <w:r>
        <w:rPr>
          <w:rFonts w:hint="eastAsia" w:ascii="仿宋_GB2312" w:hAnsi="仿宋_GB2312" w:eastAsia="仿宋_GB2312" w:cs="仿宋_GB2312"/>
          <w:kern w:val="0"/>
          <w:sz w:val="32"/>
          <w:szCs w:val="32"/>
          <w:u w:val="single"/>
        </w:rPr>
        <w:t>新生儿遗传代谢性疾病筛查率达到</w:t>
      </w:r>
      <w:r>
        <w:rPr>
          <w:rFonts w:ascii="仿宋_GB2312" w:hAnsi="仿宋_GB2312" w:eastAsia="仿宋_GB2312" w:cs="仿宋_GB2312"/>
          <w:kern w:val="0"/>
          <w:sz w:val="32"/>
          <w:szCs w:val="32"/>
          <w:u w:val="single"/>
        </w:rPr>
        <w:t>100</w:t>
      </w:r>
      <w:r>
        <w:rPr>
          <w:rFonts w:hint="eastAsia" w:ascii="仿宋_GB2312" w:hAnsi="仿宋_GB2312" w:eastAsia="仿宋_GB2312" w:cs="仿宋_GB2312"/>
          <w:kern w:val="0"/>
          <w:sz w:val="32"/>
          <w:szCs w:val="32"/>
          <w:u w:val="single"/>
        </w:rPr>
        <w:t>%</w:t>
      </w:r>
      <w:r>
        <w:rPr>
          <w:rStyle w:val="11"/>
          <w:rFonts w:ascii="仿宋_GB2312" w:hAnsi="仿宋_GB2312" w:eastAsia="仿宋_GB2312" w:cs="仿宋_GB2312"/>
          <w:kern w:val="0"/>
          <w:sz w:val="32"/>
          <w:szCs w:val="32"/>
          <w:u w:val="single"/>
        </w:rPr>
        <w:footnoteReference w:id="16"/>
      </w:r>
      <w:r>
        <w:rPr>
          <w:rFonts w:hint="eastAsia" w:ascii="仿宋_GB2312" w:hAnsi="仿宋_GB2312" w:eastAsia="仿宋_GB2312" w:cs="仿宋_GB2312"/>
          <w:kern w:val="0"/>
          <w:sz w:val="32"/>
          <w:szCs w:val="32"/>
          <w:u w:val="single"/>
        </w:rPr>
        <w:t>,新生儿听力筛查率达到</w:t>
      </w:r>
      <w:r>
        <w:rPr>
          <w:rFonts w:ascii="仿宋_GB2312" w:hAnsi="仿宋_GB2312" w:eastAsia="仿宋_GB2312" w:cs="仿宋_GB2312"/>
          <w:kern w:val="0"/>
          <w:sz w:val="32"/>
          <w:szCs w:val="32"/>
          <w:u w:val="single"/>
        </w:rPr>
        <w:t>100</w:t>
      </w:r>
      <w:r>
        <w:rPr>
          <w:rFonts w:hint="eastAsia" w:ascii="仿宋_GB2312" w:hAnsi="仿宋_GB2312" w:eastAsia="仿宋_GB2312" w:cs="仿宋_GB2312"/>
          <w:kern w:val="0"/>
          <w:sz w:val="32"/>
          <w:szCs w:val="32"/>
          <w:u w:val="single"/>
        </w:rPr>
        <w:t>%</w:t>
      </w:r>
      <w:r>
        <w:rPr>
          <w:rStyle w:val="11"/>
          <w:rFonts w:ascii="仿宋_GB2312" w:hAnsi="仿宋_GB2312" w:eastAsia="仿宋_GB2312" w:cs="仿宋_GB2312"/>
          <w:kern w:val="0"/>
          <w:sz w:val="32"/>
          <w:szCs w:val="32"/>
          <w:u w:val="single"/>
        </w:rPr>
        <w:footnoteReference w:id="17"/>
      </w:r>
      <w:r>
        <w:rPr>
          <w:rFonts w:hint="eastAsia" w:ascii="仿宋_GB2312" w:hAnsi="仿宋_GB2312" w:eastAsia="仿宋_GB2312" w:cs="仿宋_GB2312"/>
          <w:kern w:val="0"/>
          <w:sz w:val="32"/>
          <w:szCs w:val="32"/>
          <w:u w:val="single"/>
        </w:rPr>
        <w:t>。</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(四)儿童护眼爱牙工程。</w:t>
      </w:r>
      <w:r>
        <w:rPr>
          <w:rFonts w:hint="eastAsia" w:ascii="仿宋_GB2312" w:hAnsi="仿宋_GB2312" w:eastAsia="仿宋_GB2312" w:cs="仿宋_GB2312"/>
          <w:kern w:val="0"/>
          <w:sz w:val="32"/>
          <w:szCs w:val="32"/>
        </w:rPr>
        <w:t>推进儿童近视综合防控,实施视力干预行动。</w:t>
      </w:r>
      <w:r>
        <w:rPr>
          <w:rFonts w:hint="eastAsia" w:ascii="仿宋_GB2312" w:hAnsi="仿宋_GB2312" w:eastAsia="仿宋_GB2312" w:cs="仿宋_GB2312"/>
          <w:kern w:val="0"/>
          <w:sz w:val="32"/>
          <w:szCs w:val="32"/>
          <w:u w:val="single"/>
        </w:rPr>
        <w:t>全县</w:t>
      </w:r>
      <w:r>
        <w:rPr>
          <w:rFonts w:hint="eastAsia" w:ascii="仿宋_GB2312" w:hAnsi="仿宋_GB2312" w:eastAsia="仿宋_GB2312" w:cs="仿宋_GB2312"/>
          <w:kern w:val="0"/>
          <w:sz w:val="32"/>
          <w:szCs w:val="32"/>
        </w:rPr>
        <w:t>儿童总体近视率每年降低0.5个百分点以上。6岁儿童近视率控制在3.5%左右,小学生近视率降至38%以下,初中生近视率降至60%以下,高中阶段学生近视率降至70%以下,0—6岁儿童眼保健和视力检查覆盖率达到90%以上。建立儿童龋齿监测制度。普及儿童护齿常识,逐步实施儿童六龄齿免费窝沟封闭项目，</w:t>
      </w:r>
      <w:r>
        <w:rPr>
          <w:rFonts w:hint="eastAsia" w:ascii="仿宋_GB2312" w:hAnsi="仿宋_GB2312" w:eastAsia="仿宋_GB2312" w:cs="仿宋_GB2312"/>
          <w:kern w:val="0"/>
          <w:sz w:val="32"/>
          <w:szCs w:val="32"/>
          <w:u w:val="single"/>
        </w:rPr>
        <w:t>有条件时</w:t>
      </w:r>
      <w:r>
        <w:rPr>
          <w:rFonts w:hint="eastAsia" w:ascii="仿宋_GB2312" w:hAnsi="仿宋_GB2312" w:eastAsia="仿宋_GB2312" w:cs="仿宋_GB2312"/>
          <w:kern w:val="0"/>
          <w:sz w:val="32"/>
          <w:szCs w:val="32"/>
        </w:rPr>
        <w:t>推进儿童牙齿涂氟项目。5岁儿童乳牙龋患率控制在70%以下,12岁儿童龋患率控制在25%以内。</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(五)儿童安全教育工程。</w:t>
      </w:r>
      <w:r>
        <w:rPr>
          <w:rFonts w:hint="eastAsia" w:ascii="仿宋_GB2312" w:hAnsi="仿宋_GB2312" w:eastAsia="仿宋_GB2312" w:cs="仿宋_GB2312"/>
          <w:kern w:val="0"/>
          <w:sz w:val="32"/>
          <w:szCs w:val="32"/>
        </w:rPr>
        <w:t>开展儿童应急避险安全教育,建立儿童应急避险演练机制。</w:t>
      </w:r>
      <w:r>
        <w:rPr>
          <w:rFonts w:hint="eastAsia" w:ascii="仿宋_GB2312" w:hAnsi="仿宋_GB2312" w:eastAsia="仿宋_GB2312" w:cs="仿宋_GB2312"/>
          <w:kern w:val="0"/>
          <w:sz w:val="32"/>
          <w:szCs w:val="32"/>
          <w:u w:val="single"/>
        </w:rPr>
        <w:t>鼓励少年宫、活动中心、公园、学校</w:t>
      </w:r>
      <w:r>
        <w:rPr>
          <w:rFonts w:hint="eastAsia" w:ascii="仿宋_GB2312" w:hAnsi="仿宋_GB2312" w:eastAsia="仿宋_GB2312" w:cs="仿宋_GB2312"/>
          <w:kern w:val="0"/>
          <w:sz w:val="32"/>
          <w:szCs w:val="32"/>
        </w:rPr>
        <w:t>建立儿童安全体验中心、安全体验教室,通过一站式安全体验进行多主题安全教育,增进儿童安全教育知识和技能。推广使用儿童安全座椅、安全头盔，减少儿童跌倒、跌落、烧烫伤和中毒等伤害的发生、致残和死亡,有效保障儿童出行和居家安全。儿童伤害死亡率以2020年数据为基数下降20%,儿童溺水死亡率持续下降。</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(六)净网护苗工程。</w:t>
      </w:r>
      <w:r>
        <w:rPr>
          <w:rFonts w:hint="eastAsia" w:ascii="仿宋_GB2312" w:hAnsi="仿宋_GB2312" w:eastAsia="仿宋_GB2312" w:cs="仿宋_GB2312"/>
          <w:kern w:val="0"/>
          <w:sz w:val="32"/>
          <w:szCs w:val="32"/>
        </w:rPr>
        <w:t>加强儿童网络素养宣传教育,培养和提高儿童的网络素养。完善和落实网络信息监测、识别、举报、处置制度,建立影响未成年人身心健康网络信息的种类、范围和判断标准,依法惩处利用网络散布价值导向不良信息、从事危害未成年人身心健康的行为。加强对网络游戏、网络直播、网络音视频、网络社交等网络服务提供者的管理。建立多部门预防儿童沉迷网络工作机制,督促网络平台实施“青少年模式”,推进重点互联网企业专设“净网护苗”工作站点。加强儿童个人信息和隐私权的保护。</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(七)儿童综合素质提升工程。</w:t>
      </w:r>
      <w:r>
        <w:rPr>
          <w:rFonts w:hint="eastAsia" w:ascii="仿宋_GB2312" w:hAnsi="仿宋_GB2312" w:eastAsia="仿宋_GB2312" w:cs="仿宋_GB2312"/>
          <w:kern w:val="0"/>
          <w:sz w:val="32"/>
          <w:szCs w:val="32"/>
        </w:rPr>
        <w:t>坚持健康第一,帮助学生磨练坚强意志、锻炼强健体魄。加强劳动教育,培养劳动习惯,提高劳动技能。支持儿童积极参与日常生活劳动、生产劳动、专题调查、研学实践和社会公益活动,鼓励儿童参与家务劳动,掌握家务劳动基本技能。完善科学教育质量和儿童科学素质监测评估,建立健全以提高儿童综合素质为导向的教育评价体系。推动科技场馆和科普教育基地建设,推动少年宫、妇女儿童活动中心、各类培训基地、文化场所等增加科普教育功能。</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(八)家庭教育指导服务工程。</w:t>
      </w:r>
      <w:r>
        <w:rPr>
          <w:rFonts w:hint="eastAsia" w:ascii="仿宋_GB2312" w:hAnsi="仿宋_GB2312" w:eastAsia="仿宋_GB2312" w:cs="仿宋_GB2312"/>
          <w:kern w:val="0"/>
          <w:sz w:val="32"/>
          <w:szCs w:val="32"/>
        </w:rPr>
        <w:t>推进实施家庭教育工作专项规划,将家庭教育指导服务纳入城乡公共服务体系和政府购买服务目录。建立基本覆盖城乡的家庭教育指导服务体系。</w:t>
      </w:r>
      <w:r>
        <w:rPr>
          <w:rFonts w:hint="eastAsia" w:ascii="仿宋_GB2312" w:hAnsi="仿宋_GB2312" w:eastAsia="仿宋_GB2312" w:cs="仿宋_GB2312"/>
          <w:kern w:val="0"/>
          <w:sz w:val="32"/>
          <w:szCs w:val="32"/>
          <w:u w:val="single"/>
        </w:rPr>
        <w:t>县、镇两级</w:t>
      </w:r>
      <w:r>
        <w:rPr>
          <w:rFonts w:hint="eastAsia" w:ascii="仿宋_GB2312" w:hAnsi="仿宋_GB2312" w:eastAsia="仿宋_GB2312" w:cs="仿宋_GB2312"/>
          <w:kern w:val="0"/>
          <w:sz w:val="32"/>
          <w:szCs w:val="32"/>
        </w:rPr>
        <w:t>建立家庭教育指导服务机构。中小学(含中职)、幼儿园和社区(村)普遍建立家长学校。加强对家庭教育指导服务机构和从业人员的管理,规范家庭教育指导服务市场。</w:t>
      </w:r>
      <w:r>
        <w:rPr>
          <w:rFonts w:hint="eastAsia" w:ascii="仿宋_GB2312" w:hAnsi="仿宋_GB2312" w:eastAsia="仿宋_GB2312" w:cs="仿宋_GB2312"/>
          <w:kern w:val="0"/>
          <w:sz w:val="32"/>
          <w:szCs w:val="32"/>
          <w:u w:val="single"/>
        </w:rPr>
        <w:t>鼓励学校开设家庭教育相关课程</w:t>
      </w:r>
      <w:r>
        <w:rPr>
          <w:rStyle w:val="11"/>
          <w:rFonts w:ascii="仿宋_GB2312" w:hAnsi="仿宋_GB2312" w:eastAsia="仿宋_GB2312" w:cs="仿宋_GB2312"/>
          <w:kern w:val="0"/>
          <w:sz w:val="32"/>
          <w:szCs w:val="32"/>
          <w:u w:val="single"/>
        </w:rPr>
        <w:footnoteReference w:id="18"/>
      </w:r>
      <w:r>
        <w:rPr>
          <w:rFonts w:hint="eastAsia" w:ascii="仿宋_GB2312" w:hAnsi="仿宋_GB2312" w:eastAsia="仿宋_GB2312" w:cs="仿宋_GB2312"/>
          <w:kern w:val="0"/>
          <w:sz w:val="32"/>
          <w:szCs w:val="32"/>
          <w:u w:val="single"/>
        </w:rPr>
        <w:t>，</w:t>
      </w:r>
      <w:r>
        <w:rPr>
          <w:rFonts w:hint="eastAsia" w:ascii="仿宋_GB2312" w:hAnsi="仿宋_GB2312" w:eastAsia="仿宋_GB2312" w:cs="仿宋_GB2312"/>
          <w:kern w:val="0"/>
          <w:sz w:val="32"/>
          <w:szCs w:val="32"/>
        </w:rPr>
        <w:t>鼓励和支持国家机关、企事业单位、社会组织及公民个人依法开展家庭教育指导服务活动。</w:t>
      </w:r>
    </w:p>
    <w:p>
      <w:pPr>
        <w:spacing w:line="560" w:lineRule="exact"/>
        <w:ind w:firstLine="640" w:firstLineChars="200"/>
        <w:outlineLvl w:val="0"/>
        <w:rPr>
          <w:rFonts w:ascii="黑体" w:hAnsi="黑体" w:eastAsia="黑体"/>
          <w:kern w:val="0"/>
          <w:sz w:val="32"/>
          <w:szCs w:val="32"/>
        </w:rPr>
      </w:pPr>
      <w:bookmarkStart w:id="30" w:name="_Toc31417"/>
      <w:bookmarkStart w:id="31" w:name="_Toc21324"/>
      <w:r>
        <w:rPr>
          <w:rFonts w:hint="eastAsia" w:ascii="黑体" w:hAnsi="黑体" w:eastAsia="黑体"/>
          <w:kern w:val="0"/>
          <w:sz w:val="32"/>
          <w:szCs w:val="32"/>
        </w:rPr>
        <w:t>四、</w:t>
      </w:r>
      <w:r>
        <w:rPr>
          <w:rFonts w:ascii="黑体" w:hAnsi="黑体" w:eastAsia="黑体"/>
          <w:kern w:val="0"/>
          <w:sz w:val="32"/>
          <w:szCs w:val="32"/>
        </w:rPr>
        <w:t>组织实施</w:t>
      </w:r>
      <w:bookmarkEnd w:id="30"/>
      <w:bookmarkEnd w:id="31"/>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(一)坚持党的全面领导。</w:t>
      </w:r>
      <w:r>
        <w:rPr>
          <w:rFonts w:hint="eastAsia" w:ascii="仿宋_GB2312" w:hAnsi="仿宋_GB2312" w:eastAsia="仿宋_GB2312" w:cs="仿宋_GB2312"/>
          <w:kern w:val="0"/>
          <w:sz w:val="32"/>
          <w:szCs w:val="32"/>
        </w:rPr>
        <w:t>坚持以习近平新时代中国特色社会主义思想为指导,坚持以人民为中心的发展思想,坚持走中国特色社会主义儿童发展道路,把党的领导贯穿于规划组织实施全过程。坚决贯彻落实党中央、国务院关于儿童事业发展的决策部署,在统筹推进“五位一体”总体布局、协调推进“四个全面”战略布局中推进规划实施。认真落实</w:t>
      </w:r>
      <w:r>
        <w:rPr>
          <w:rFonts w:hint="eastAsia" w:ascii="仿宋_GB2312" w:hAnsi="仿宋_GB2312" w:eastAsia="仿宋_GB2312" w:cs="仿宋_GB2312"/>
          <w:kern w:val="0"/>
          <w:sz w:val="32"/>
          <w:szCs w:val="32"/>
          <w:lang w:eastAsia="zh-CN"/>
        </w:rPr>
        <w:t>省委、省政府</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市委、市政府</w:t>
      </w:r>
      <w:r>
        <w:rPr>
          <w:rFonts w:hint="eastAsia" w:ascii="仿宋_GB2312" w:hAnsi="仿宋_GB2312" w:eastAsia="仿宋_GB2312" w:cs="仿宋_GB2312"/>
          <w:kern w:val="0"/>
          <w:sz w:val="32"/>
          <w:szCs w:val="32"/>
        </w:rPr>
        <w:t>有关工作要求,确保各项任务落到实处。</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(二)落实规划实施责任。</w:t>
      </w:r>
      <w:r>
        <w:rPr>
          <w:rFonts w:hint="eastAsia" w:ascii="仿宋_GB2312" w:hAnsi="仿宋_GB2312" w:eastAsia="仿宋_GB2312" w:cs="仿宋_GB2312"/>
          <w:kern w:val="0"/>
          <w:sz w:val="32"/>
          <w:szCs w:val="32"/>
        </w:rPr>
        <w:t>完善落实党委领导、政府主责、妇女儿童工作委员会(以下简称妇儿工委)协调、多部门合作、全社会参与的规划实施工作机制。人民政府负责规划实施工作,妇儿工委负责组织、协调、指导、督促工作,妇儿工委办公室负责具体工作。有关部门、相关机构和人民团体结合职责,承担规划目标任务落实工作。在制定政策、编制规划、部署工作时优先考虑儿童利益和需求,切实保障儿童权益,促进儿童全面发展。</w:t>
      </w:r>
    </w:p>
    <w:p>
      <w:pPr>
        <w:spacing w:line="560" w:lineRule="exact"/>
        <w:ind w:firstLine="640" w:firstLineChars="200"/>
        <w:rPr>
          <w:rFonts w:ascii="仿宋" w:hAnsi="仿宋" w:eastAsia="仿宋"/>
          <w:kern w:val="0"/>
          <w:sz w:val="32"/>
          <w:szCs w:val="32"/>
        </w:rPr>
      </w:pPr>
      <w:r>
        <w:rPr>
          <w:rFonts w:ascii="楷体" w:hAnsi="楷体" w:eastAsia="楷体"/>
          <w:kern w:val="0"/>
          <w:sz w:val="32"/>
          <w:szCs w:val="32"/>
        </w:rPr>
        <w:t>(</w:t>
      </w:r>
      <w:r>
        <w:rPr>
          <w:rFonts w:hint="eastAsia" w:ascii="楷体_GB2312" w:hAnsi="楷体_GB2312" w:eastAsia="楷体_GB2312" w:cs="楷体_GB2312"/>
          <w:kern w:val="0"/>
          <w:sz w:val="32"/>
          <w:szCs w:val="32"/>
        </w:rPr>
        <w:t>三)加强规划与</w:t>
      </w:r>
      <w:r>
        <w:rPr>
          <w:rFonts w:hint="eastAsia" w:ascii="楷体_GB2312" w:hAnsi="楷体_GB2312" w:eastAsia="楷体_GB2312" w:cs="楷体_GB2312"/>
          <w:kern w:val="0"/>
          <w:sz w:val="32"/>
          <w:szCs w:val="32"/>
          <w:u w:val="single"/>
        </w:rPr>
        <w:t>陆河县</w:t>
      </w:r>
      <w:r>
        <w:rPr>
          <w:rFonts w:hint="eastAsia" w:ascii="楷体_GB2312" w:hAnsi="楷体_GB2312" w:eastAsia="楷体_GB2312" w:cs="楷体_GB2312"/>
          <w:kern w:val="0"/>
          <w:sz w:val="32"/>
          <w:szCs w:val="32"/>
        </w:rPr>
        <w:t>经济和社会发展规划的衔接</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kern w:val="0"/>
          <w:sz w:val="32"/>
          <w:szCs w:val="32"/>
        </w:rPr>
        <w:t>在经济社会发展总体规划及相关专项规划中贯彻落实儿童优先原则,将规划实施以及儿童发展纳入经济社会发展总体规划及相关专项规划,结合经济社会发展总体规划部署要求推进规划实施工作,实现儿童发展与经济社会发展同步规划、同步部署、同步推进、同步落实。</w:t>
      </w:r>
    </w:p>
    <w:p>
      <w:pPr>
        <w:spacing w:line="560" w:lineRule="exact"/>
        <w:ind w:firstLine="640" w:firstLineChars="200"/>
        <w:rPr>
          <w:rFonts w:ascii="仿宋" w:hAnsi="仿宋" w:eastAsia="仿宋"/>
          <w:kern w:val="0"/>
          <w:sz w:val="32"/>
          <w:szCs w:val="32"/>
          <w:u w:val="single"/>
        </w:rPr>
      </w:pPr>
      <w:bookmarkStart w:id="32" w:name="_Hlk103481971"/>
      <w:r>
        <w:rPr>
          <w:rFonts w:hint="eastAsia" w:ascii="楷体_GB2312" w:hAnsi="楷体_GB2312" w:eastAsia="楷体_GB2312" w:cs="楷体_GB2312"/>
          <w:kern w:val="0"/>
          <w:sz w:val="32"/>
          <w:szCs w:val="32"/>
          <w:u w:val="single"/>
        </w:rPr>
        <w:t>(四)制定部门实施方案。</w:t>
      </w:r>
      <w:r>
        <w:rPr>
          <w:rFonts w:hint="eastAsia" w:ascii="仿宋_GB2312" w:hAnsi="仿宋_GB2312" w:eastAsia="仿宋_GB2312" w:cs="仿宋_GB2312"/>
          <w:kern w:val="0"/>
          <w:sz w:val="32"/>
          <w:szCs w:val="32"/>
          <w:u w:val="single"/>
        </w:rPr>
        <w:t>各承担规划目标任务的有关部门、相关机构和人民团体结合职责,按照任务分工,制定实施方案并报送妇儿工委办公室,认真组织实施</w:t>
      </w:r>
      <w:r>
        <w:rPr>
          <w:rStyle w:val="11"/>
          <w:rFonts w:ascii="仿宋_GB2312" w:hAnsi="仿宋_GB2312" w:eastAsia="仿宋_GB2312" w:cs="仿宋_GB2312"/>
          <w:kern w:val="0"/>
          <w:sz w:val="32"/>
          <w:szCs w:val="32"/>
          <w:u w:val="single"/>
        </w:rPr>
        <w:footnoteReference w:id="19"/>
      </w:r>
      <w:r>
        <w:rPr>
          <w:rFonts w:hint="eastAsia" w:ascii="仿宋_GB2312" w:hAnsi="仿宋_GB2312" w:eastAsia="仿宋_GB2312" w:cs="仿宋_GB2312"/>
          <w:kern w:val="0"/>
          <w:sz w:val="32"/>
          <w:szCs w:val="32"/>
          <w:u w:val="single"/>
        </w:rPr>
        <w:t>。</w:t>
      </w:r>
    </w:p>
    <w:bookmarkEnd w:id="32"/>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(五)完善实施规划的制度机制。</w:t>
      </w:r>
      <w:r>
        <w:rPr>
          <w:rFonts w:hint="eastAsia" w:ascii="仿宋_GB2312" w:hAnsi="仿宋_GB2312" w:eastAsia="仿宋_GB2312" w:cs="仿宋_GB2312"/>
          <w:kern w:val="0"/>
          <w:sz w:val="32"/>
          <w:szCs w:val="32"/>
        </w:rPr>
        <w:t>健全目标管理责任制,将规划实施纳入政府议事日程和考核内容,将规划目标分解到责任单位并纳入目标管理和考核内容。健全督导检查制度,定期对规划落实情况开展督查。健全报告制度,责任单位每年向妇儿工委报告规划实施情况和下一年</w:t>
      </w:r>
      <w:r>
        <w:rPr>
          <w:rFonts w:hint="eastAsia" w:ascii="仿宋_GB2312" w:hAnsi="仿宋_GB2312" w:eastAsia="仿宋_GB2312" w:cs="仿宋_GB2312"/>
          <w:kern w:val="0"/>
          <w:sz w:val="32"/>
          <w:szCs w:val="32"/>
          <w:u w:val="single"/>
        </w:rPr>
        <w:t>工作安排。</w:t>
      </w:r>
      <w:r>
        <w:rPr>
          <w:rFonts w:hint="eastAsia" w:ascii="仿宋_GB2312" w:hAnsi="仿宋_GB2312" w:eastAsia="仿宋_GB2312" w:cs="仿宋_GB2312"/>
          <w:kern w:val="0"/>
          <w:sz w:val="32"/>
          <w:szCs w:val="32"/>
        </w:rPr>
        <w:t>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个人按照有关规定进行表彰。</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(六)加强儿童发展经费支持。</w:t>
      </w:r>
      <w:r>
        <w:rPr>
          <w:rFonts w:hint="eastAsia" w:ascii="仿宋_GB2312" w:hAnsi="仿宋_GB2312" w:eastAsia="仿宋_GB2312" w:cs="仿宋_GB2312"/>
          <w:kern w:val="0"/>
          <w:sz w:val="32"/>
          <w:szCs w:val="32"/>
        </w:rPr>
        <w:t>各级人民政府做好实施规划所需的经费保障，实现儿童事业与经济社会同步发展。</w:t>
      </w:r>
      <w:r>
        <w:rPr>
          <w:rFonts w:hint="eastAsia" w:ascii="仿宋_GB2312" w:hAnsi="仿宋_GB2312" w:eastAsia="仿宋_GB2312" w:cs="仿宋_GB2312"/>
          <w:kern w:val="0"/>
          <w:sz w:val="32"/>
          <w:szCs w:val="32"/>
          <w:u w:val="single"/>
        </w:rPr>
        <w:t>重点支持特殊困难儿童群体发展。</w:t>
      </w:r>
      <w:r>
        <w:rPr>
          <w:rFonts w:hint="eastAsia" w:ascii="仿宋_GB2312" w:hAnsi="仿宋_GB2312" w:eastAsia="仿宋_GB2312" w:cs="仿宋_GB2312"/>
          <w:kern w:val="0"/>
          <w:sz w:val="32"/>
          <w:szCs w:val="32"/>
        </w:rPr>
        <w:t>动员社会力量,多渠道筹集资源,共同发展儿童事业。</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(七)坚持和创新实施规划的有效做法。</w:t>
      </w:r>
      <w:r>
        <w:rPr>
          <w:rFonts w:hint="eastAsia" w:ascii="仿宋_GB2312" w:hAnsi="仿宋_GB2312" w:eastAsia="仿宋_GB2312" w:cs="仿宋_GB2312"/>
          <w:kern w:val="0"/>
          <w:sz w:val="32"/>
          <w:szCs w:val="32"/>
        </w:rPr>
        <w:t>坚持问题导向、目标导向、结果导向,构建促进儿童发展的政策体系,完善儿童权益保障机制,实施促进儿童发展的民生项目。通过分类指导、示范先行,总结推广好做法好经验。通过政府购买服务等方式,发挥社会力量推进规划实施的作用。加强对外交流合作,交流互鉴经验,讲好</w:t>
      </w:r>
      <w:r>
        <w:rPr>
          <w:rFonts w:hint="eastAsia" w:ascii="仿宋_GB2312" w:hAnsi="仿宋_GB2312" w:eastAsia="仿宋_GB2312" w:cs="仿宋_GB2312"/>
          <w:kern w:val="0"/>
          <w:sz w:val="32"/>
          <w:szCs w:val="32"/>
          <w:u w:val="single"/>
        </w:rPr>
        <w:t>陆河儿童</w:t>
      </w:r>
      <w:r>
        <w:rPr>
          <w:rFonts w:hint="eastAsia" w:ascii="仿宋_GB2312" w:hAnsi="仿宋_GB2312" w:eastAsia="仿宋_GB2312" w:cs="仿宋_GB2312"/>
          <w:kern w:val="0"/>
          <w:sz w:val="32"/>
          <w:szCs w:val="32"/>
        </w:rPr>
        <w:t>发展故事,宣传</w:t>
      </w:r>
      <w:r>
        <w:rPr>
          <w:rFonts w:hint="eastAsia" w:ascii="仿宋_GB2312" w:hAnsi="仿宋_GB2312" w:eastAsia="仿宋_GB2312" w:cs="仿宋_GB2312"/>
          <w:kern w:val="0"/>
          <w:sz w:val="32"/>
          <w:szCs w:val="32"/>
          <w:u w:val="single"/>
        </w:rPr>
        <w:t>陆河儿童</w:t>
      </w:r>
      <w:r>
        <w:rPr>
          <w:rFonts w:hint="eastAsia" w:ascii="仿宋_GB2312" w:hAnsi="仿宋_GB2312" w:eastAsia="仿宋_GB2312" w:cs="仿宋_GB2312"/>
          <w:kern w:val="0"/>
          <w:sz w:val="32"/>
          <w:szCs w:val="32"/>
        </w:rPr>
        <w:t>事业发展成就。</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(八)加强实施规划能力建设。</w:t>
      </w:r>
      <w:r>
        <w:rPr>
          <w:rFonts w:hint="eastAsia" w:ascii="仿宋_GB2312" w:hAnsi="仿宋_GB2312" w:eastAsia="仿宋_GB2312" w:cs="仿宋_GB2312"/>
          <w:kern w:val="0"/>
          <w:sz w:val="32"/>
          <w:szCs w:val="32"/>
        </w:rPr>
        <w:t>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妇儿工委及其办公室能力建设,推进机构职能优化,为更好履职尽责提供必要的人力、物力、财力支持,为规划实施提供组织保障。</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(九)加大实施规划宣传力度。</w:t>
      </w:r>
      <w:r>
        <w:rPr>
          <w:rFonts w:hint="eastAsia" w:ascii="仿宋_GB2312" w:hAnsi="仿宋_GB2312" w:eastAsia="仿宋_GB2312" w:cs="仿宋_GB2312"/>
          <w:kern w:val="0"/>
          <w:sz w:val="32"/>
          <w:szCs w:val="32"/>
        </w:rPr>
        <w:t>大力宣传习近平总书记关于儿童和儿童工作的重要论述,宣传在党的坚强领导下儿童事业发展的成就,宣传儿童优先原则和保障儿童权益、促进儿童发展的法律法规政策,宣传规划内容及规划实施的经验和成效,努力营造有利于儿童发展的社会氛围。</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(十)加强儿童发展调查研究。</w:t>
      </w:r>
      <w:r>
        <w:rPr>
          <w:rFonts w:hint="eastAsia" w:ascii="仿宋_GB2312" w:hAnsi="仿宋_GB2312" w:eastAsia="仿宋_GB2312" w:cs="仿宋_GB2312"/>
          <w:kern w:val="0"/>
          <w:sz w:val="32"/>
          <w:szCs w:val="32"/>
        </w:rPr>
        <w:t>充分发挥妇儿工委及其办公室作用,加强儿童工作专家队伍建设,依托高校、研究机构、社会组织等建设儿童发展研究基地,培育专业研究力量,通过课题招标、联合科研基地、组织专业力量、进行实地调研等方式开展理论及实践研究,为制定完善相关法规政策提供参考。</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(十一)鼓励社会各界广泛参与规划实施。</w:t>
      </w:r>
      <w:r>
        <w:rPr>
          <w:rFonts w:hint="eastAsia" w:ascii="仿宋_GB2312" w:hAnsi="仿宋_GB2312" w:eastAsia="仿宋_GB2312" w:cs="仿宋_GB2312"/>
          <w:kern w:val="0"/>
          <w:sz w:val="32"/>
          <w:szCs w:val="32"/>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spacing w:line="560" w:lineRule="exact"/>
        <w:ind w:firstLine="640" w:firstLineChars="200"/>
        <w:outlineLvl w:val="0"/>
        <w:rPr>
          <w:rFonts w:ascii="黑体" w:hAnsi="黑体" w:eastAsia="黑体"/>
          <w:kern w:val="0"/>
          <w:sz w:val="32"/>
          <w:szCs w:val="32"/>
        </w:rPr>
      </w:pPr>
      <w:bookmarkStart w:id="33" w:name="_Toc24760"/>
      <w:bookmarkStart w:id="34" w:name="_Toc32055"/>
      <w:r>
        <w:rPr>
          <w:rFonts w:hint="eastAsia" w:ascii="黑体" w:hAnsi="黑体" w:eastAsia="黑体"/>
          <w:kern w:val="0"/>
          <w:sz w:val="32"/>
          <w:szCs w:val="32"/>
        </w:rPr>
        <w:t>五、</w:t>
      </w:r>
      <w:r>
        <w:rPr>
          <w:rFonts w:ascii="黑体" w:hAnsi="黑体" w:eastAsia="黑体"/>
          <w:kern w:val="0"/>
          <w:sz w:val="32"/>
          <w:szCs w:val="32"/>
        </w:rPr>
        <w:t>监测评估</w:t>
      </w:r>
      <w:bookmarkEnd w:id="33"/>
      <w:bookmarkEnd w:id="34"/>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(一)加强监测评估制度建设。</w:t>
      </w:r>
      <w:r>
        <w:rPr>
          <w:rFonts w:hint="eastAsia" w:ascii="仿宋_GB2312" w:hAnsi="仿宋_GB2312" w:eastAsia="仿宋_GB2312" w:cs="仿宋_GB2312"/>
          <w:kern w:val="0"/>
          <w:sz w:val="32"/>
          <w:szCs w:val="32"/>
        </w:rPr>
        <w:t>对规划实施情况进行年度监测、中期评估、终期评估。建立健全儿童发展状况的统计监测指标体系及相关监测制度。统计部门牵头组织开展年度监测,妇儿工委成员单位、有关部门、相关机构向统计部门报送年度监测数据,及时收集、分析反映儿童发展状况的相关数据和信息。妇儿工委组织开展中期和终期评估,妇儿工委成员单位、有关部门、相关机构向妇儿工委提交中期和终期评估报告。通过评估,了解掌握规划实施进展和儿童发展状况,系统分析评价规划目标任务完成情况,评判规划策略措施的实施效果,总结经验做法,找出突出问题,预测发展趋势,提出对策建议。各级人民政府做好监测评估所需的经费保障。</w:t>
      </w:r>
    </w:p>
    <w:p>
      <w:pPr>
        <w:spacing w:line="56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(二)加强监测评估工作组织领导。</w:t>
      </w:r>
      <w:r>
        <w:rPr>
          <w:rFonts w:hint="eastAsia" w:ascii="仿宋_GB2312" w:hAnsi="仿宋_GB2312" w:eastAsia="仿宋_GB2312" w:cs="仿宋_GB2312"/>
          <w:kern w:val="0"/>
          <w:sz w:val="32"/>
          <w:szCs w:val="32"/>
        </w:rPr>
        <w:t>妇儿工委设立监测评估领导小组,由妇儿工委及相关部门负责同志组成,负责组织领导监测评估工作,审批监测评估方案,审核监测评估报告等。领导小组下设监测组和评估组。</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测组由统计部门牵头,相关部门负责规划实施情况统计监测的人员参加,负责监测工作的组织、指导和培训,制定监测方案和指标体系,收集、分析数据信息,向妇儿工委提交年度、中期和终期监测报告,提供年度妇女儿童统计资料等。监测组成员负责统筹协调本部门规划实施监测、分析、数据上报、分性别分年龄指标完善等工作。</w:t>
      </w:r>
    </w:p>
    <w:p>
      <w:pPr>
        <w:spacing w:line="560" w:lineRule="exact"/>
        <w:ind w:firstLine="640" w:firstLineChars="200"/>
        <w:rPr>
          <w:rFonts w:ascii="仿宋" w:hAnsi="仿宋" w:eastAsia="仿宋"/>
          <w:kern w:val="0"/>
          <w:sz w:val="32"/>
          <w:szCs w:val="32"/>
        </w:rPr>
      </w:pPr>
      <w:r>
        <w:rPr>
          <w:rFonts w:hint="eastAsia" w:ascii="仿宋_GB2312" w:hAnsi="仿宋_GB2312" w:eastAsia="仿宋_GB2312" w:cs="仿宋_GB2312"/>
          <w:kern w:val="0"/>
          <w:sz w:val="32"/>
          <w:szCs w:val="32"/>
        </w:rPr>
        <w:t>评估组由妇儿工委办公室牵头,相关部门负责规划实施的人员参加,负责评估工作的组织、指导和培训,制定评估方案,组织开展评估工作,向妇儿工委提交中期和终期评估报告。评估组成员负责统筹协调本部门规划实施自我评估工作,参加妇儿工委组织的评估工作。支持评估组相关部门就儿童保护和发展中的突出问题开展专项调查、评估，结果可供规划中期和终期评估参考。</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(三)加强儿童发展统计监测工作。</w:t>
      </w:r>
      <w:r>
        <w:rPr>
          <w:rFonts w:hint="eastAsia" w:ascii="仿宋_GB2312" w:hAnsi="仿宋_GB2312" w:eastAsia="仿宋_GB2312" w:cs="仿宋_GB2312"/>
          <w:kern w:val="0"/>
          <w:sz w:val="32"/>
          <w:szCs w:val="32"/>
        </w:rPr>
        <w:t>规范完善儿童发展统计监测指标体系,发挥部门作用,根据需要调整扩充儿童发展统计指标,加强部门分年龄统计工作,推进儿童发展统计监测制度化建设。加强统计监测队伍建设,加快统计监测信息化建设。健全完善</w:t>
      </w:r>
      <w:r>
        <w:rPr>
          <w:rFonts w:hint="eastAsia" w:ascii="仿宋_GB2312" w:hAnsi="仿宋_GB2312" w:eastAsia="仿宋_GB2312" w:cs="仿宋_GB2312"/>
          <w:kern w:val="0"/>
          <w:sz w:val="32"/>
          <w:szCs w:val="32"/>
          <w:u w:val="single"/>
        </w:rPr>
        <w:t>县级</w:t>
      </w:r>
      <w:r>
        <w:rPr>
          <w:rFonts w:hint="eastAsia" w:ascii="仿宋_GB2312" w:hAnsi="仿宋_GB2312" w:eastAsia="仿宋_GB2312" w:cs="仿宋_GB2312"/>
          <w:kern w:val="0"/>
          <w:sz w:val="32"/>
          <w:szCs w:val="32"/>
        </w:rPr>
        <w:t>儿童发展统计监测数据库,完善监测数据网上报送系统。鼓励支持相关部门对儿童发展缺项数据开展专项统计调查。</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(四)提升监测评估工作能力和水平。</w:t>
      </w:r>
      <w:r>
        <w:rPr>
          <w:rFonts w:hint="eastAsia" w:ascii="仿宋_GB2312" w:hAnsi="仿宋_GB2312" w:eastAsia="仿宋_GB2312" w:cs="仿宋_GB2312"/>
          <w:kern w:val="0"/>
          <w:sz w:val="32"/>
          <w:szCs w:val="32"/>
        </w:rPr>
        <w:t>加强监测评估工作培训和部门协作,规范监测数据收集渠道、报送方式,提高数据质量。运用互联网和大数据等技术,丰富儿童发展和分年龄统计信息。科学设计评估方案和评估方法。提升监测评估工作的科学化、标准化、专业化水平。以年度监测和重点指标监测相结合、全面监测和专项督导相结合、抽查督导和自查自评相结合,认真开展规划实施情况的监测评估。妇儿工委将规划实施中的实事项目、重点工程纳入政府专项督查,推动重点问题的解决。妇儿工委对规划的监测评估工作进行指导,对规划实施情况进行检查和督导。</w:t>
      </w:r>
    </w:p>
    <w:p>
      <w:pPr>
        <w:spacing w:line="560" w:lineRule="exact"/>
        <w:ind w:firstLine="640" w:firstLineChars="200"/>
        <w:rPr>
          <w:rFonts w:ascii="仿宋" w:hAnsi="仿宋" w:eastAsia="仿宋"/>
          <w:kern w:val="0"/>
          <w:sz w:val="32"/>
          <w:szCs w:val="32"/>
        </w:rPr>
      </w:pPr>
      <w:r>
        <w:rPr>
          <w:rFonts w:hint="eastAsia" w:ascii="楷体_GB2312" w:hAnsi="楷体_GB2312" w:eastAsia="楷体_GB2312" w:cs="楷体_GB2312"/>
          <w:kern w:val="0"/>
          <w:sz w:val="32"/>
          <w:szCs w:val="32"/>
        </w:rPr>
        <w:t>(五)有效利用监测评估成果。</w:t>
      </w:r>
      <w:r>
        <w:rPr>
          <w:rFonts w:hint="eastAsia" w:ascii="仿宋_GB2312" w:hAnsi="仿宋_GB2312" w:eastAsia="仿宋_GB2312" w:cs="仿宋_GB2312"/>
          <w:kern w:val="0"/>
          <w:sz w:val="32"/>
          <w:szCs w:val="32"/>
        </w:rPr>
        <w:t>发挥监测评估结果服务决策的作用,定期向人民政府及相关部门报送监测评估情况,为决策提供依据。建立监测评估报告交流、反馈和发布机制。加强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sectPr>
      <w:footerReference r:id="rId7"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2000000000000000000"/>
    <w:charset w:val="86"/>
    <w:family w:val="auto"/>
    <w:pitch w:val="default"/>
    <w:sig w:usb0="00000000" w:usb1="00000000" w:usb2="00082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pPr>
        <w:pStyle w:val="7"/>
      </w:pPr>
      <w:r>
        <w:rPr>
          <w:rStyle w:val="11"/>
        </w:rPr>
        <w:footnoteRef/>
      </w:r>
      <w:r>
        <w:t xml:space="preserve"> </w:t>
      </w:r>
      <w:r>
        <w:rPr>
          <w:rFonts w:hint="eastAsia"/>
          <w:lang w:eastAsia="zh-CN"/>
        </w:rPr>
        <w:t>参考《陆河县国民经济和社会发展第十四个五年规划和二〇三五年远景目标纲要》</w:t>
      </w:r>
      <w:r>
        <w:rPr>
          <w:rFonts w:hint="eastAsia"/>
        </w:rPr>
        <w:t>第1</w:t>
      </w:r>
      <w:r>
        <w:t>8</w:t>
      </w:r>
      <w:r>
        <w:rPr>
          <w:rFonts w:hint="eastAsia"/>
        </w:rPr>
        <w:t>页。</w:t>
      </w:r>
    </w:p>
  </w:footnote>
  <w:footnote w:id="1">
    <w:p>
      <w:pPr>
        <w:pStyle w:val="7"/>
      </w:pPr>
      <w:r>
        <w:rPr>
          <w:rStyle w:val="11"/>
        </w:rPr>
        <w:footnoteRef/>
      </w:r>
      <w:r>
        <w:t xml:space="preserve"> </w:t>
      </w:r>
      <w:bookmarkStart w:id="35" w:name="_Hlk103464027"/>
      <w:r>
        <w:rPr>
          <w:rFonts w:hint="eastAsia"/>
        </w:rPr>
        <w:t>根据陆河县卫健局意见调整。</w:t>
      </w:r>
      <w:bookmarkEnd w:id="35"/>
    </w:p>
  </w:footnote>
  <w:footnote w:id="2">
    <w:p>
      <w:pPr>
        <w:pStyle w:val="7"/>
      </w:pPr>
      <w:r>
        <w:rPr>
          <w:rStyle w:val="11"/>
        </w:rPr>
        <w:footnoteRef/>
      </w:r>
      <w:r>
        <w:t xml:space="preserve"> </w:t>
      </w:r>
      <w:r>
        <w:rPr>
          <w:rFonts w:hint="eastAsia"/>
        </w:rPr>
        <w:t>根据陆河县卫健局意见调整。</w:t>
      </w:r>
    </w:p>
  </w:footnote>
  <w:footnote w:id="3">
    <w:p>
      <w:pPr>
        <w:pStyle w:val="7"/>
      </w:pPr>
      <w:r>
        <w:rPr>
          <w:rStyle w:val="11"/>
        </w:rPr>
        <w:footnoteRef/>
      </w:r>
      <w:r>
        <w:t xml:space="preserve"> </w:t>
      </w:r>
      <w:r>
        <w:rPr>
          <w:rFonts w:hint="eastAsia"/>
        </w:rPr>
        <w:t>根据陆河县卫健局意见调整。</w:t>
      </w:r>
    </w:p>
  </w:footnote>
  <w:footnote w:id="4">
    <w:p>
      <w:pPr>
        <w:pStyle w:val="7"/>
        <w:rPr>
          <w:rFonts w:hint="eastAsia"/>
        </w:rPr>
      </w:pPr>
      <w:r>
        <w:rPr>
          <w:rStyle w:val="11"/>
        </w:rPr>
        <w:footnoteRef/>
      </w:r>
      <w:r>
        <w:t xml:space="preserve"> </w:t>
      </w:r>
      <w:r>
        <w:rPr>
          <w:rFonts w:hint="eastAsia"/>
        </w:rPr>
        <w:t>根据陆河县实际调整。</w:t>
      </w:r>
    </w:p>
  </w:footnote>
  <w:footnote w:id="5">
    <w:p>
      <w:pPr>
        <w:pStyle w:val="7"/>
        <w:rPr>
          <w:rFonts w:hint="eastAsia"/>
        </w:rPr>
      </w:pPr>
      <w:r>
        <w:rPr>
          <w:rStyle w:val="11"/>
        </w:rPr>
        <w:footnoteRef/>
      </w:r>
      <w:r>
        <w:t xml:space="preserve"> </w:t>
      </w:r>
      <w:r>
        <w:rPr>
          <w:rFonts w:hint="eastAsia"/>
        </w:rPr>
        <w:t>根据陆河县实际调整。</w:t>
      </w:r>
    </w:p>
    <w:p>
      <w:pPr>
        <w:pStyle w:val="7"/>
        <w:rPr>
          <w:rFonts w:hint="eastAsia"/>
        </w:rPr>
      </w:pPr>
    </w:p>
  </w:footnote>
  <w:footnote w:id="6">
    <w:p>
      <w:pPr>
        <w:pStyle w:val="7"/>
        <w:rPr>
          <w:rFonts w:hint="eastAsia"/>
        </w:rPr>
      </w:pPr>
      <w:r>
        <w:rPr>
          <w:rStyle w:val="11"/>
        </w:rPr>
        <w:footnoteRef/>
      </w:r>
      <w:r>
        <w:t xml:space="preserve"> </w:t>
      </w:r>
      <w:r>
        <w:rPr>
          <w:rFonts w:hint="eastAsia"/>
        </w:rPr>
        <w:t>根据陆河县实际调整。</w:t>
      </w:r>
    </w:p>
    <w:p>
      <w:pPr>
        <w:pStyle w:val="7"/>
        <w:rPr>
          <w:rFonts w:hint="eastAsia"/>
        </w:rPr>
      </w:pPr>
    </w:p>
  </w:footnote>
  <w:footnote w:id="7">
    <w:p>
      <w:pPr>
        <w:pStyle w:val="7"/>
        <w:rPr>
          <w:rFonts w:hint="eastAsia"/>
        </w:rPr>
      </w:pPr>
      <w:r>
        <w:rPr>
          <w:rStyle w:val="11"/>
        </w:rPr>
        <w:footnoteRef/>
      </w:r>
      <w:r>
        <w:t xml:space="preserve"> </w:t>
      </w:r>
      <w:r>
        <w:rPr>
          <w:rFonts w:hint="eastAsia"/>
        </w:rPr>
        <w:t>根据陆河县实际调整。</w:t>
      </w:r>
    </w:p>
  </w:footnote>
  <w:footnote w:id="8">
    <w:p>
      <w:pPr>
        <w:pStyle w:val="7"/>
      </w:pPr>
      <w:r>
        <w:rPr>
          <w:rStyle w:val="11"/>
        </w:rPr>
        <w:footnoteRef/>
      </w:r>
      <w:r>
        <w:t xml:space="preserve"> </w:t>
      </w:r>
      <w:r>
        <w:rPr>
          <w:rFonts w:hint="eastAsia"/>
        </w:rPr>
        <w:t>全市指标总数是1</w:t>
      </w:r>
      <w:r>
        <w:t>5</w:t>
      </w:r>
      <w:r>
        <w:rPr>
          <w:rFonts w:hint="eastAsia"/>
        </w:rPr>
        <w:t>个，按4个县市区测算得出，最终数据依据汕尾市指标分解得出。</w:t>
      </w:r>
    </w:p>
  </w:footnote>
  <w:footnote w:id="9">
    <w:p>
      <w:pPr>
        <w:pStyle w:val="7"/>
      </w:pPr>
      <w:r>
        <w:rPr>
          <w:rStyle w:val="11"/>
        </w:rPr>
        <w:footnoteRef/>
      </w:r>
      <w:r>
        <w:t xml:space="preserve"> </w:t>
      </w:r>
      <w:r>
        <w:rPr>
          <w:rFonts w:hint="eastAsia"/>
        </w:rPr>
        <w:t>全市指标总数是1</w:t>
      </w:r>
      <w:r>
        <w:t>5</w:t>
      </w:r>
      <w:r>
        <w:rPr>
          <w:rFonts w:hint="eastAsia"/>
        </w:rPr>
        <w:t>个，按4个县市区测算得出，最终数据依据汕尾市指标分解得出。</w:t>
      </w:r>
    </w:p>
  </w:footnote>
  <w:footnote w:id="10">
    <w:p>
      <w:pPr>
        <w:pStyle w:val="7"/>
        <w:rPr>
          <w:rFonts w:hint="eastAsia"/>
        </w:rPr>
      </w:pPr>
      <w:r>
        <w:rPr>
          <w:rStyle w:val="11"/>
        </w:rPr>
        <w:footnoteRef/>
      </w:r>
      <w:r>
        <w:t xml:space="preserve"> </w:t>
      </w:r>
      <w:r>
        <w:rPr>
          <w:rFonts w:hint="eastAsia"/>
        </w:rPr>
        <w:t>根据陆河县实际调整。</w:t>
      </w:r>
    </w:p>
  </w:footnote>
  <w:footnote w:id="11">
    <w:p>
      <w:pPr>
        <w:pStyle w:val="7"/>
        <w:rPr>
          <w:rFonts w:hint="eastAsia"/>
        </w:rPr>
      </w:pPr>
      <w:r>
        <w:rPr>
          <w:rStyle w:val="11"/>
        </w:rPr>
        <w:footnoteRef/>
      </w:r>
      <w:r>
        <w:t xml:space="preserve"> </w:t>
      </w:r>
      <w:r>
        <w:rPr>
          <w:rFonts w:hint="eastAsia"/>
        </w:rPr>
        <w:t>根据陆河县实际调整。</w:t>
      </w:r>
    </w:p>
  </w:footnote>
  <w:footnote w:id="12">
    <w:p>
      <w:pPr>
        <w:pStyle w:val="7"/>
        <w:rPr>
          <w:rFonts w:hint="eastAsia"/>
        </w:rPr>
      </w:pPr>
      <w:r>
        <w:rPr>
          <w:rStyle w:val="11"/>
        </w:rPr>
        <w:footnoteRef/>
      </w:r>
      <w:r>
        <w:t xml:space="preserve"> </w:t>
      </w:r>
      <w:r>
        <w:rPr>
          <w:rFonts w:hint="eastAsia"/>
        </w:rPr>
        <w:t>根据陆河县实际调整。因为陆河县没有立法权限。</w:t>
      </w:r>
    </w:p>
  </w:footnote>
  <w:footnote w:id="13">
    <w:p>
      <w:pPr>
        <w:pStyle w:val="7"/>
        <w:rPr>
          <w:rFonts w:hint="eastAsia"/>
        </w:rPr>
      </w:pPr>
      <w:r>
        <w:rPr>
          <w:rStyle w:val="11"/>
        </w:rPr>
        <w:footnoteRef/>
      </w:r>
      <w:r>
        <w:t xml:space="preserve"> </w:t>
      </w:r>
      <w:r>
        <w:rPr>
          <w:rFonts w:hint="eastAsia"/>
        </w:rPr>
        <w:t>根据陆河县实际调整。</w:t>
      </w:r>
    </w:p>
  </w:footnote>
  <w:footnote w:id="14">
    <w:p>
      <w:pPr>
        <w:pStyle w:val="7"/>
        <w:rPr>
          <w:rFonts w:hint="eastAsia"/>
        </w:rPr>
      </w:pPr>
      <w:r>
        <w:rPr>
          <w:rStyle w:val="11"/>
        </w:rPr>
        <w:footnoteRef/>
      </w:r>
      <w:r>
        <w:t xml:space="preserve"> </w:t>
      </w:r>
      <w:r>
        <w:rPr>
          <w:rFonts w:hint="eastAsia"/>
        </w:rPr>
        <w:t>全市指标总数是1</w:t>
      </w:r>
      <w:r>
        <w:t>5</w:t>
      </w:r>
      <w:r>
        <w:rPr>
          <w:rFonts w:hint="eastAsia"/>
        </w:rPr>
        <w:t>个，按4个县市区测算得出，最终数据依据汕尾市指标分解得出。</w:t>
      </w:r>
    </w:p>
  </w:footnote>
  <w:footnote w:id="15">
    <w:p>
      <w:pPr>
        <w:pStyle w:val="7"/>
        <w:rPr>
          <w:rFonts w:hint="eastAsia"/>
        </w:rPr>
      </w:pPr>
      <w:r>
        <w:rPr>
          <w:rStyle w:val="11"/>
        </w:rPr>
        <w:footnoteRef/>
      </w:r>
      <w:r>
        <w:t xml:space="preserve"> </w:t>
      </w:r>
      <w:r>
        <w:rPr>
          <w:rFonts w:hint="eastAsia"/>
        </w:rPr>
        <w:t>根据陆河县实际调整。</w:t>
      </w:r>
    </w:p>
  </w:footnote>
  <w:footnote w:id="16">
    <w:p>
      <w:pPr>
        <w:pStyle w:val="7"/>
        <w:rPr>
          <w:rFonts w:hint="eastAsia"/>
        </w:rPr>
      </w:pPr>
      <w:r>
        <w:rPr>
          <w:rStyle w:val="11"/>
        </w:rPr>
        <w:footnoteRef/>
      </w:r>
      <w:r>
        <w:t xml:space="preserve"> </w:t>
      </w:r>
      <w:r>
        <w:rPr>
          <w:rFonts w:hint="eastAsia"/>
        </w:rPr>
        <w:t>根据陆河县卫健局意见调整。</w:t>
      </w:r>
    </w:p>
  </w:footnote>
  <w:footnote w:id="17">
    <w:p>
      <w:pPr>
        <w:pStyle w:val="7"/>
        <w:rPr>
          <w:rFonts w:hint="eastAsia"/>
        </w:rPr>
      </w:pPr>
      <w:r>
        <w:rPr>
          <w:rStyle w:val="11"/>
        </w:rPr>
        <w:footnoteRef/>
      </w:r>
      <w:r>
        <w:t xml:space="preserve"> </w:t>
      </w:r>
      <w:r>
        <w:rPr>
          <w:rFonts w:hint="eastAsia"/>
        </w:rPr>
        <w:t>根据陆河县卫健局意见调整。</w:t>
      </w:r>
    </w:p>
  </w:footnote>
  <w:footnote w:id="18">
    <w:p>
      <w:pPr>
        <w:pStyle w:val="7"/>
        <w:rPr>
          <w:rFonts w:hint="eastAsia"/>
        </w:rPr>
      </w:pPr>
      <w:r>
        <w:rPr>
          <w:rStyle w:val="11"/>
        </w:rPr>
        <w:footnoteRef/>
      </w:r>
      <w:r>
        <w:t xml:space="preserve"> </w:t>
      </w:r>
      <w:r>
        <w:rPr>
          <w:rFonts w:hint="eastAsia"/>
        </w:rPr>
        <w:t>根据陆河县实际调整。</w:t>
      </w:r>
    </w:p>
  </w:footnote>
  <w:footnote w:id="19">
    <w:p>
      <w:pPr>
        <w:pStyle w:val="7"/>
        <w:rPr>
          <w:rFonts w:hint="eastAsia"/>
        </w:rPr>
      </w:pPr>
      <w:r>
        <w:rPr>
          <w:rStyle w:val="11"/>
        </w:rPr>
        <w:footnoteRef/>
      </w:r>
      <w:r>
        <w:t xml:space="preserve"> </w:t>
      </w:r>
      <w:r>
        <w:rPr>
          <w:rFonts w:hint="eastAsia"/>
        </w:rPr>
        <w:t>根据陆河县实际调整。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5D150"/>
    <w:multiLevelType w:val="singleLevel"/>
    <w:tmpl w:val="A455D150"/>
    <w:lvl w:ilvl="0" w:tentative="0">
      <w:start w:val="1"/>
      <w:numFmt w:val="decimal"/>
      <w:suff w:val="space"/>
      <w:lvlText w:val="%1."/>
      <w:lvlJc w:val="left"/>
    </w:lvl>
  </w:abstractNum>
  <w:abstractNum w:abstractNumId="1">
    <w:nsid w:val="B32BE0D3"/>
    <w:multiLevelType w:val="singleLevel"/>
    <w:tmpl w:val="B32BE0D3"/>
    <w:lvl w:ilvl="0" w:tentative="0">
      <w:start w:val="1"/>
      <w:numFmt w:val="decimal"/>
      <w:suff w:val="space"/>
      <w:lvlText w:val="%1."/>
      <w:lvlJc w:val="left"/>
    </w:lvl>
  </w:abstractNum>
  <w:abstractNum w:abstractNumId="2">
    <w:nsid w:val="C8293ADC"/>
    <w:multiLevelType w:val="singleLevel"/>
    <w:tmpl w:val="C8293ADC"/>
    <w:lvl w:ilvl="0" w:tentative="0">
      <w:start w:val="1"/>
      <w:numFmt w:val="decimal"/>
      <w:suff w:val="space"/>
      <w:lvlText w:val="%1."/>
      <w:lvlJc w:val="left"/>
    </w:lvl>
  </w:abstractNum>
  <w:abstractNum w:abstractNumId="3">
    <w:nsid w:val="C8D1860C"/>
    <w:multiLevelType w:val="singleLevel"/>
    <w:tmpl w:val="C8D1860C"/>
    <w:lvl w:ilvl="0" w:tentative="0">
      <w:start w:val="1"/>
      <w:numFmt w:val="decimal"/>
      <w:suff w:val="space"/>
      <w:lvlText w:val="%1."/>
      <w:lvlJc w:val="left"/>
    </w:lvl>
  </w:abstractNum>
  <w:abstractNum w:abstractNumId="4">
    <w:nsid w:val="D047D0FA"/>
    <w:multiLevelType w:val="singleLevel"/>
    <w:tmpl w:val="D047D0FA"/>
    <w:lvl w:ilvl="0" w:tentative="0">
      <w:start w:val="1"/>
      <w:numFmt w:val="decimal"/>
      <w:suff w:val="space"/>
      <w:lvlText w:val="%1."/>
      <w:lvlJc w:val="left"/>
    </w:lvl>
  </w:abstractNum>
  <w:abstractNum w:abstractNumId="5">
    <w:nsid w:val="D4F92B27"/>
    <w:multiLevelType w:val="singleLevel"/>
    <w:tmpl w:val="D4F92B27"/>
    <w:lvl w:ilvl="0" w:tentative="0">
      <w:start w:val="1"/>
      <w:numFmt w:val="decimal"/>
      <w:suff w:val="space"/>
      <w:lvlText w:val="%1."/>
      <w:lvlJc w:val="left"/>
    </w:lvl>
  </w:abstractNum>
  <w:abstractNum w:abstractNumId="6">
    <w:nsid w:val="E167618A"/>
    <w:multiLevelType w:val="singleLevel"/>
    <w:tmpl w:val="E167618A"/>
    <w:lvl w:ilvl="0" w:tentative="0">
      <w:start w:val="1"/>
      <w:numFmt w:val="decimal"/>
      <w:suff w:val="space"/>
      <w:lvlText w:val="%1."/>
      <w:lvlJc w:val="left"/>
    </w:lvl>
  </w:abstractNum>
  <w:abstractNum w:abstractNumId="7">
    <w:nsid w:val="EAB04655"/>
    <w:multiLevelType w:val="singleLevel"/>
    <w:tmpl w:val="EAB04655"/>
    <w:lvl w:ilvl="0" w:tentative="0">
      <w:start w:val="1"/>
      <w:numFmt w:val="decimal"/>
      <w:suff w:val="space"/>
      <w:lvlText w:val="%1."/>
      <w:lvlJc w:val="left"/>
    </w:lvl>
  </w:abstractNum>
  <w:abstractNum w:abstractNumId="8">
    <w:nsid w:val="F1961176"/>
    <w:multiLevelType w:val="singleLevel"/>
    <w:tmpl w:val="F1961176"/>
    <w:lvl w:ilvl="0" w:tentative="0">
      <w:start w:val="1"/>
      <w:numFmt w:val="decimal"/>
      <w:suff w:val="space"/>
      <w:lvlText w:val="%1."/>
      <w:lvlJc w:val="left"/>
    </w:lvl>
  </w:abstractNum>
  <w:abstractNum w:abstractNumId="9">
    <w:nsid w:val="F3F481BA"/>
    <w:multiLevelType w:val="singleLevel"/>
    <w:tmpl w:val="F3F481BA"/>
    <w:lvl w:ilvl="0" w:tentative="0">
      <w:start w:val="1"/>
      <w:numFmt w:val="decimal"/>
      <w:suff w:val="space"/>
      <w:lvlText w:val="%1."/>
      <w:lvlJc w:val="left"/>
    </w:lvl>
  </w:abstractNum>
  <w:abstractNum w:abstractNumId="10">
    <w:nsid w:val="F73A179E"/>
    <w:multiLevelType w:val="singleLevel"/>
    <w:tmpl w:val="F73A179E"/>
    <w:lvl w:ilvl="0" w:tentative="0">
      <w:start w:val="1"/>
      <w:numFmt w:val="decimal"/>
      <w:suff w:val="space"/>
      <w:lvlText w:val="%1."/>
      <w:lvlJc w:val="left"/>
    </w:lvl>
  </w:abstractNum>
  <w:abstractNum w:abstractNumId="11">
    <w:nsid w:val="587973F6"/>
    <w:multiLevelType w:val="singleLevel"/>
    <w:tmpl w:val="587973F6"/>
    <w:lvl w:ilvl="0" w:tentative="0">
      <w:start w:val="1"/>
      <w:numFmt w:val="decimal"/>
      <w:suff w:val="space"/>
      <w:lvlText w:val="%1."/>
      <w:lvlJc w:val="left"/>
    </w:lvl>
  </w:abstractNum>
  <w:abstractNum w:abstractNumId="12">
    <w:nsid w:val="6A1A3A21"/>
    <w:multiLevelType w:val="singleLevel"/>
    <w:tmpl w:val="6A1A3A21"/>
    <w:lvl w:ilvl="0" w:tentative="0">
      <w:start w:val="1"/>
      <w:numFmt w:val="decimal"/>
      <w:suff w:val="space"/>
      <w:lvlText w:val="%1."/>
      <w:lvlJc w:val="left"/>
    </w:lvl>
  </w:abstractNum>
  <w:abstractNum w:abstractNumId="13">
    <w:nsid w:val="7E84793A"/>
    <w:multiLevelType w:val="singleLevel"/>
    <w:tmpl w:val="7E84793A"/>
    <w:lvl w:ilvl="0" w:tentative="0">
      <w:start w:val="1"/>
      <w:numFmt w:val="decimal"/>
      <w:suff w:val="space"/>
      <w:lvlText w:val="%1."/>
      <w:lvlJc w:val="left"/>
    </w:lvl>
  </w:abstractNum>
  <w:num w:numId="1">
    <w:abstractNumId w:val="6"/>
  </w:num>
  <w:num w:numId="2">
    <w:abstractNumId w:val="9"/>
  </w:num>
  <w:num w:numId="3">
    <w:abstractNumId w:val="7"/>
  </w:num>
  <w:num w:numId="4">
    <w:abstractNumId w:val="2"/>
  </w:num>
  <w:num w:numId="5">
    <w:abstractNumId w:val="1"/>
  </w:num>
  <w:num w:numId="6">
    <w:abstractNumId w:val="11"/>
  </w:num>
  <w:num w:numId="7">
    <w:abstractNumId w:val="5"/>
  </w:num>
  <w:num w:numId="8">
    <w:abstractNumId w:val="10"/>
  </w:num>
  <w:num w:numId="9">
    <w:abstractNumId w:val="12"/>
  </w:num>
  <w:num w:numId="10">
    <w:abstractNumId w:val="4"/>
  </w:num>
  <w:num w:numId="11">
    <w:abstractNumId w:val="8"/>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640"/>
  <w:drawingGridHorizontalSpacing w:val="105"/>
  <w:drawingGridVerticalSpacing w:val="156"/>
  <w:displayHorizontalDrawingGridEvery w:val="0"/>
  <w:displayVerticalDrawingGridEvery w:val="2"/>
  <w:characterSpacingControl w:val="compressPunctuation"/>
  <w:footnotePr>
    <w:footnote w:id="40"/>
    <w:footnote w:id="4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4C"/>
    <w:rsid w:val="0000774E"/>
    <w:rsid w:val="0000792F"/>
    <w:rsid w:val="000152CD"/>
    <w:rsid w:val="00022BEB"/>
    <w:rsid w:val="000300C3"/>
    <w:rsid w:val="00043689"/>
    <w:rsid w:val="00053C14"/>
    <w:rsid w:val="00056A19"/>
    <w:rsid w:val="000625FB"/>
    <w:rsid w:val="00070F9D"/>
    <w:rsid w:val="0009031C"/>
    <w:rsid w:val="000B4DEB"/>
    <w:rsid w:val="000B57A8"/>
    <w:rsid w:val="000C1CB3"/>
    <w:rsid w:val="000D30AF"/>
    <w:rsid w:val="000D521B"/>
    <w:rsid w:val="000E18BE"/>
    <w:rsid w:val="000E46FE"/>
    <w:rsid w:val="00113AD2"/>
    <w:rsid w:val="00124C55"/>
    <w:rsid w:val="00126D81"/>
    <w:rsid w:val="00127721"/>
    <w:rsid w:val="00147D67"/>
    <w:rsid w:val="00155DCD"/>
    <w:rsid w:val="001721AA"/>
    <w:rsid w:val="0017313E"/>
    <w:rsid w:val="001819DB"/>
    <w:rsid w:val="001B3C33"/>
    <w:rsid w:val="001C125F"/>
    <w:rsid w:val="001C3647"/>
    <w:rsid w:val="001D00BA"/>
    <w:rsid w:val="001D3A48"/>
    <w:rsid w:val="001E746C"/>
    <w:rsid w:val="001F6FC2"/>
    <w:rsid w:val="002024B9"/>
    <w:rsid w:val="00241FBC"/>
    <w:rsid w:val="002444D2"/>
    <w:rsid w:val="00273AF3"/>
    <w:rsid w:val="00274729"/>
    <w:rsid w:val="002809F7"/>
    <w:rsid w:val="00283F4C"/>
    <w:rsid w:val="00285FB0"/>
    <w:rsid w:val="002A046C"/>
    <w:rsid w:val="002A22BE"/>
    <w:rsid w:val="002A7BB1"/>
    <w:rsid w:val="002B1D1F"/>
    <w:rsid w:val="002B681C"/>
    <w:rsid w:val="002C1FE6"/>
    <w:rsid w:val="002D1AB4"/>
    <w:rsid w:val="002D4A03"/>
    <w:rsid w:val="002E7621"/>
    <w:rsid w:val="002F7C3E"/>
    <w:rsid w:val="00306397"/>
    <w:rsid w:val="003212CA"/>
    <w:rsid w:val="00326CBF"/>
    <w:rsid w:val="003316F3"/>
    <w:rsid w:val="003345A5"/>
    <w:rsid w:val="00340E5E"/>
    <w:rsid w:val="00352E02"/>
    <w:rsid w:val="00354F56"/>
    <w:rsid w:val="003661F8"/>
    <w:rsid w:val="00375BD5"/>
    <w:rsid w:val="0038690F"/>
    <w:rsid w:val="00397ABD"/>
    <w:rsid w:val="003A1551"/>
    <w:rsid w:val="003B3D19"/>
    <w:rsid w:val="003B6CAA"/>
    <w:rsid w:val="003D680D"/>
    <w:rsid w:val="003F0090"/>
    <w:rsid w:val="003F0906"/>
    <w:rsid w:val="00421F21"/>
    <w:rsid w:val="004435B8"/>
    <w:rsid w:val="00447378"/>
    <w:rsid w:val="00447446"/>
    <w:rsid w:val="00454835"/>
    <w:rsid w:val="0045617E"/>
    <w:rsid w:val="0049694D"/>
    <w:rsid w:val="00496CD7"/>
    <w:rsid w:val="004A3BFE"/>
    <w:rsid w:val="004B18AE"/>
    <w:rsid w:val="004C0F74"/>
    <w:rsid w:val="004C439C"/>
    <w:rsid w:val="004E4096"/>
    <w:rsid w:val="004F0660"/>
    <w:rsid w:val="004F260D"/>
    <w:rsid w:val="00504769"/>
    <w:rsid w:val="00511806"/>
    <w:rsid w:val="005237A8"/>
    <w:rsid w:val="00526895"/>
    <w:rsid w:val="0053390A"/>
    <w:rsid w:val="00535C68"/>
    <w:rsid w:val="005548ED"/>
    <w:rsid w:val="005620B1"/>
    <w:rsid w:val="005640EE"/>
    <w:rsid w:val="00570D90"/>
    <w:rsid w:val="00591FE3"/>
    <w:rsid w:val="0059697C"/>
    <w:rsid w:val="005A0F02"/>
    <w:rsid w:val="005B5298"/>
    <w:rsid w:val="005B60A4"/>
    <w:rsid w:val="005B6EBC"/>
    <w:rsid w:val="005C1F60"/>
    <w:rsid w:val="005C644A"/>
    <w:rsid w:val="005D19AC"/>
    <w:rsid w:val="005E7A6F"/>
    <w:rsid w:val="005F378E"/>
    <w:rsid w:val="005F784E"/>
    <w:rsid w:val="00657206"/>
    <w:rsid w:val="00675720"/>
    <w:rsid w:val="0068492D"/>
    <w:rsid w:val="00687B7D"/>
    <w:rsid w:val="00692C0C"/>
    <w:rsid w:val="00692EBD"/>
    <w:rsid w:val="0069549E"/>
    <w:rsid w:val="006A2632"/>
    <w:rsid w:val="006B791B"/>
    <w:rsid w:val="006C158F"/>
    <w:rsid w:val="006C38C4"/>
    <w:rsid w:val="006D3CFF"/>
    <w:rsid w:val="006E05A4"/>
    <w:rsid w:val="006E4D90"/>
    <w:rsid w:val="006F183C"/>
    <w:rsid w:val="0071319C"/>
    <w:rsid w:val="00720E45"/>
    <w:rsid w:val="00725E0C"/>
    <w:rsid w:val="007320BA"/>
    <w:rsid w:val="00734CC3"/>
    <w:rsid w:val="0073620C"/>
    <w:rsid w:val="007401BF"/>
    <w:rsid w:val="00741110"/>
    <w:rsid w:val="00753456"/>
    <w:rsid w:val="00767761"/>
    <w:rsid w:val="007A01D3"/>
    <w:rsid w:val="007A4ED5"/>
    <w:rsid w:val="007C4016"/>
    <w:rsid w:val="007F3F36"/>
    <w:rsid w:val="00800CE4"/>
    <w:rsid w:val="00805C76"/>
    <w:rsid w:val="00810F1E"/>
    <w:rsid w:val="0081356D"/>
    <w:rsid w:val="0082024C"/>
    <w:rsid w:val="00823394"/>
    <w:rsid w:val="008274CE"/>
    <w:rsid w:val="0083339E"/>
    <w:rsid w:val="00854B49"/>
    <w:rsid w:val="0085559A"/>
    <w:rsid w:val="0085777E"/>
    <w:rsid w:val="00867818"/>
    <w:rsid w:val="0087200B"/>
    <w:rsid w:val="008721B0"/>
    <w:rsid w:val="00877E4C"/>
    <w:rsid w:val="00896EF6"/>
    <w:rsid w:val="008B4014"/>
    <w:rsid w:val="008C18B7"/>
    <w:rsid w:val="008D1B73"/>
    <w:rsid w:val="00902529"/>
    <w:rsid w:val="00904B8B"/>
    <w:rsid w:val="00906CA1"/>
    <w:rsid w:val="009143D8"/>
    <w:rsid w:val="0093072A"/>
    <w:rsid w:val="00953BFD"/>
    <w:rsid w:val="00954E2F"/>
    <w:rsid w:val="00970711"/>
    <w:rsid w:val="00976F8B"/>
    <w:rsid w:val="009A5114"/>
    <w:rsid w:val="009A66D5"/>
    <w:rsid w:val="009B3F81"/>
    <w:rsid w:val="009B4274"/>
    <w:rsid w:val="009E42E0"/>
    <w:rsid w:val="00A13FCC"/>
    <w:rsid w:val="00A44DFC"/>
    <w:rsid w:val="00A5283E"/>
    <w:rsid w:val="00A55DA7"/>
    <w:rsid w:val="00A560AB"/>
    <w:rsid w:val="00A646F4"/>
    <w:rsid w:val="00A75755"/>
    <w:rsid w:val="00A80248"/>
    <w:rsid w:val="00A85A7F"/>
    <w:rsid w:val="00AB1CE0"/>
    <w:rsid w:val="00AB3122"/>
    <w:rsid w:val="00AC404F"/>
    <w:rsid w:val="00AC5747"/>
    <w:rsid w:val="00AD6773"/>
    <w:rsid w:val="00AE0C0A"/>
    <w:rsid w:val="00B05057"/>
    <w:rsid w:val="00B1582B"/>
    <w:rsid w:val="00B16009"/>
    <w:rsid w:val="00B30235"/>
    <w:rsid w:val="00B31CC8"/>
    <w:rsid w:val="00B32377"/>
    <w:rsid w:val="00B35859"/>
    <w:rsid w:val="00B37C19"/>
    <w:rsid w:val="00B42443"/>
    <w:rsid w:val="00B52B0E"/>
    <w:rsid w:val="00B62903"/>
    <w:rsid w:val="00B75DEF"/>
    <w:rsid w:val="00B760F0"/>
    <w:rsid w:val="00B87531"/>
    <w:rsid w:val="00B97B82"/>
    <w:rsid w:val="00BA76A1"/>
    <w:rsid w:val="00BB57F9"/>
    <w:rsid w:val="00BC2F2A"/>
    <w:rsid w:val="00BC471A"/>
    <w:rsid w:val="00BC528E"/>
    <w:rsid w:val="00BC74BE"/>
    <w:rsid w:val="00BE5263"/>
    <w:rsid w:val="00BF3C68"/>
    <w:rsid w:val="00BF40F7"/>
    <w:rsid w:val="00C11474"/>
    <w:rsid w:val="00C132E4"/>
    <w:rsid w:val="00C4362A"/>
    <w:rsid w:val="00C44E9D"/>
    <w:rsid w:val="00C6479B"/>
    <w:rsid w:val="00C723F0"/>
    <w:rsid w:val="00C73166"/>
    <w:rsid w:val="00C81891"/>
    <w:rsid w:val="00C845AF"/>
    <w:rsid w:val="00C9340C"/>
    <w:rsid w:val="00C94078"/>
    <w:rsid w:val="00CA0FBD"/>
    <w:rsid w:val="00CA1246"/>
    <w:rsid w:val="00CE3410"/>
    <w:rsid w:val="00CF0BF8"/>
    <w:rsid w:val="00CF2BA6"/>
    <w:rsid w:val="00CF3603"/>
    <w:rsid w:val="00D340DA"/>
    <w:rsid w:val="00D35754"/>
    <w:rsid w:val="00D72582"/>
    <w:rsid w:val="00D7610C"/>
    <w:rsid w:val="00D83F18"/>
    <w:rsid w:val="00D91F8E"/>
    <w:rsid w:val="00DA428A"/>
    <w:rsid w:val="00DE7754"/>
    <w:rsid w:val="00DF07E9"/>
    <w:rsid w:val="00E339F4"/>
    <w:rsid w:val="00E35AA8"/>
    <w:rsid w:val="00E646D7"/>
    <w:rsid w:val="00E71DC2"/>
    <w:rsid w:val="00E8033F"/>
    <w:rsid w:val="00EA32F6"/>
    <w:rsid w:val="00EB0859"/>
    <w:rsid w:val="00EC1A3C"/>
    <w:rsid w:val="00ED7EB8"/>
    <w:rsid w:val="00EE6358"/>
    <w:rsid w:val="00EF6392"/>
    <w:rsid w:val="00F00B18"/>
    <w:rsid w:val="00F0215B"/>
    <w:rsid w:val="00F04594"/>
    <w:rsid w:val="00F21B99"/>
    <w:rsid w:val="00F3367D"/>
    <w:rsid w:val="00F33B76"/>
    <w:rsid w:val="00F40AF7"/>
    <w:rsid w:val="00F5546B"/>
    <w:rsid w:val="00F5586F"/>
    <w:rsid w:val="00F62B35"/>
    <w:rsid w:val="00F65589"/>
    <w:rsid w:val="00F66789"/>
    <w:rsid w:val="00F80E1C"/>
    <w:rsid w:val="00FA6838"/>
    <w:rsid w:val="00FB0906"/>
    <w:rsid w:val="00FB5CFC"/>
    <w:rsid w:val="00FC10C6"/>
    <w:rsid w:val="00FC33FB"/>
    <w:rsid w:val="00FC4A7D"/>
    <w:rsid w:val="00FD50C0"/>
    <w:rsid w:val="00FE5E0D"/>
    <w:rsid w:val="00FF3878"/>
    <w:rsid w:val="00FF48B0"/>
    <w:rsid w:val="00FF4C3D"/>
    <w:rsid w:val="017D1B54"/>
    <w:rsid w:val="01932CFD"/>
    <w:rsid w:val="01EA44BC"/>
    <w:rsid w:val="02A36DCC"/>
    <w:rsid w:val="042C5053"/>
    <w:rsid w:val="04934111"/>
    <w:rsid w:val="058820D2"/>
    <w:rsid w:val="06712BB6"/>
    <w:rsid w:val="070B3C5D"/>
    <w:rsid w:val="0A0D3731"/>
    <w:rsid w:val="0A230508"/>
    <w:rsid w:val="0B24140E"/>
    <w:rsid w:val="0B2E72C7"/>
    <w:rsid w:val="0C166114"/>
    <w:rsid w:val="0E440BB0"/>
    <w:rsid w:val="0E63197E"/>
    <w:rsid w:val="0F2C5431"/>
    <w:rsid w:val="10714252"/>
    <w:rsid w:val="11F72B09"/>
    <w:rsid w:val="13A520F1"/>
    <w:rsid w:val="13FF2BA6"/>
    <w:rsid w:val="142F55F8"/>
    <w:rsid w:val="149E09AD"/>
    <w:rsid w:val="16215FAB"/>
    <w:rsid w:val="164A66F5"/>
    <w:rsid w:val="181538B7"/>
    <w:rsid w:val="18B04D03"/>
    <w:rsid w:val="18F03F71"/>
    <w:rsid w:val="1A642D06"/>
    <w:rsid w:val="1BC74724"/>
    <w:rsid w:val="1BCE3D93"/>
    <w:rsid w:val="1BE16E75"/>
    <w:rsid w:val="1D5F5A06"/>
    <w:rsid w:val="1D8D2573"/>
    <w:rsid w:val="1EAA5A1C"/>
    <w:rsid w:val="1F292B9D"/>
    <w:rsid w:val="1F443106"/>
    <w:rsid w:val="1F901EA7"/>
    <w:rsid w:val="202645B9"/>
    <w:rsid w:val="20C91B14"/>
    <w:rsid w:val="21B66E4E"/>
    <w:rsid w:val="22F56E27"/>
    <w:rsid w:val="240E48CD"/>
    <w:rsid w:val="250A26FB"/>
    <w:rsid w:val="25CB4DFC"/>
    <w:rsid w:val="262D0058"/>
    <w:rsid w:val="272E0923"/>
    <w:rsid w:val="27705DD9"/>
    <w:rsid w:val="2B3C2426"/>
    <w:rsid w:val="2B783C32"/>
    <w:rsid w:val="2BD66E93"/>
    <w:rsid w:val="2C596B8F"/>
    <w:rsid w:val="2CD755B9"/>
    <w:rsid w:val="302B64D4"/>
    <w:rsid w:val="30A77F45"/>
    <w:rsid w:val="31091700"/>
    <w:rsid w:val="31707707"/>
    <w:rsid w:val="323B6D9E"/>
    <w:rsid w:val="34BF06E5"/>
    <w:rsid w:val="35BC534C"/>
    <w:rsid w:val="360E2548"/>
    <w:rsid w:val="375F23C6"/>
    <w:rsid w:val="3CC35212"/>
    <w:rsid w:val="3EEA7937"/>
    <w:rsid w:val="41AB12C1"/>
    <w:rsid w:val="424500E8"/>
    <w:rsid w:val="425B6501"/>
    <w:rsid w:val="427B2D17"/>
    <w:rsid w:val="42A474BE"/>
    <w:rsid w:val="42CF6C06"/>
    <w:rsid w:val="44163C06"/>
    <w:rsid w:val="454A1F2D"/>
    <w:rsid w:val="45A2085C"/>
    <w:rsid w:val="46596646"/>
    <w:rsid w:val="46F478D8"/>
    <w:rsid w:val="478C02C5"/>
    <w:rsid w:val="47A43914"/>
    <w:rsid w:val="47B04021"/>
    <w:rsid w:val="47BB1907"/>
    <w:rsid w:val="489857A5"/>
    <w:rsid w:val="48D662CD"/>
    <w:rsid w:val="48F22F6E"/>
    <w:rsid w:val="4A4756D4"/>
    <w:rsid w:val="4B194904"/>
    <w:rsid w:val="4B1A45E5"/>
    <w:rsid w:val="4B1A558E"/>
    <w:rsid w:val="4D203FBB"/>
    <w:rsid w:val="4D8106C9"/>
    <w:rsid w:val="4DD02800"/>
    <w:rsid w:val="4EBF6215"/>
    <w:rsid w:val="4F2A0810"/>
    <w:rsid w:val="512E1653"/>
    <w:rsid w:val="51584D77"/>
    <w:rsid w:val="521A547C"/>
    <w:rsid w:val="54BF40B9"/>
    <w:rsid w:val="55482300"/>
    <w:rsid w:val="56091A90"/>
    <w:rsid w:val="56312578"/>
    <w:rsid w:val="5692377F"/>
    <w:rsid w:val="574F7976"/>
    <w:rsid w:val="57D74050"/>
    <w:rsid w:val="581A7F84"/>
    <w:rsid w:val="58CA4661"/>
    <w:rsid w:val="58E80280"/>
    <w:rsid w:val="5903310E"/>
    <w:rsid w:val="591C41D0"/>
    <w:rsid w:val="599D70BF"/>
    <w:rsid w:val="5AA4447D"/>
    <w:rsid w:val="5B272DB6"/>
    <w:rsid w:val="5C2F421A"/>
    <w:rsid w:val="5DA817A0"/>
    <w:rsid w:val="5F812FDF"/>
    <w:rsid w:val="5FFC2665"/>
    <w:rsid w:val="602E6BF3"/>
    <w:rsid w:val="60857A9A"/>
    <w:rsid w:val="61193B5A"/>
    <w:rsid w:val="62355E2D"/>
    <w:rsid w:val="62B7455B"/>
    <w:rsid w:val="647E0DD2"/>
    <w:rsid w:val="64923AB2"/>
    <w:rsid w:val="64A456D2"/>
    <w:rsid w:val="64B90676"/>
    <w:rsid w:val="67A83B77"/>
    <w:rsid w:val="67D313B6"/>
    <w:rsid w:val="67E544E8"/>
    <w:rsid w:val="686330A2"/>
    <w:rsid w:val="68E048D2"/>
    <w:rsid w:val="68F24605"/>
    <w:rsid w:val="6A3B6DD7"/>
    <w:rsid w:val="6AB436D8"/>
    <w:rsid w:val="6BF07522"/>
    <w:rsid w:val="6CF54EC9"/>
    <w:rsid w:val="6DE3708D"/>
    <w:rsid w:val="6E0E0133"/>
    <w:rsid w:val="6E13574A"/>
    <w:rsid w:val="6FA523D2"/>
    <w:rsid w:val="71B93DA4"/>
    <w:rsid w:val="726818FF"/>
    <w:rsid w:val="72D54D7C"/>
    <w:rsid w:val="72D70DB5"/>
    <w:rsid w:val="73F92CEC"/>
    <w:rsid w:val="753B7E9C"/>
    <w:rsid w:val="78A70F68"/>
    <w:rsid w:val="78E24696"/>
    <w:rsid w:val="78FF6FF6"/>
    <w:rsid w:val="792C76C0"/>
    <w:rsid w:val="79562D0B"/>
    <w:rsid w:val="79CF2D32"/>
    <w:rsid w:val="7A5F3A4A"/>
    <w:rsid w:val="7A804167"/>
    <w:rsid w:val="7AA43EFE"/>
    <w:rsid w:val="7AC5601E"/>
    <w:rsid w:val="7CC70BDE"/>
    <w:rsid w:val="7D0B583E"/>
    <w:rsid w:val="7E0335AC"/>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qFormat/>
    <w:uiPriority w:val="0"/>
    <w:pPr>
      <w:keepNext/>
      <w:keepLines/>
      <w:spacing w:line="576" w:lineRule="auto"/>
      <w:outlineLvl w:val="0"/>
    </w:pPr>
    <w:rPr>
      <w:rFonts w:eastAsia="黑体"/>
      <w:b/>
      <w:kern w:val="44"/>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footnote text"/>
    <w:basedOn w:val="1"/>
    <w:link w:val="14"/>
    <w:semiHidden/>
    <w:unhideWhenUsed/>
    <w:qFormat/>
    <w:uiPriority w:val="99"/>
    <w:pPr>
      <w:snapToGrid w:val="0"/>
      <w:jc w:val="left"/>
    </w:pPr>
    <w:rPr>
      <w:sz w:val="18"/>
      <w:szCs w:val="18"/>
    </w:rPr>
  </w:style>
  <w:style w:type="paragraph" w:styleId="8">
    <w:name w:val="toc 2"/>
    <w:basedOn w:val="1"/>
    <w:next w:val="1"/>
    <w:semiHidden/>
    <w:unhideWhenUsed/>
    <w:qFormat/>
    <w:uiPriority w:val="39"/>
    <w:pPr>
      <w:ind w:left="420" w:leftChars="200"/>
    </w:pPr>
  </w:style>
  <w:style w:type="character" w:styleId="11">
    <w:name w:val="footnote reference"/>
    <w:basedOn w:val="10"/>
    <w:semiHidden/>
    <w:unhideWhenUsed/>
    <w:qFormat/>
    <w:uiPriority w:val="99"/>
    <w:rPr>
      <w:vertAlign w:val="superscript"/>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脚注文本 字符"/>
    <w:basedOn w:val="10"/>
    <w:link w:val="7"/>
    <w:semiHidden/>
    <w:qFormat/>
    <w:uiPriority w:val="99"/>
    <w:rPr>
      <w:kern w:val="2"/>
      <w:sz w:val="18"/>
      <w:szCs w:val="18"/>
    </w:rPr>
  </w:style>
  <w:style w:type="paragraph" w:customStyle="1" w:styleId="15">
    <w:name w:val="WPSOffice手动目录 1"/>
    <w:qFormat/>
    <w:uiPriority w:val="0"/>
    <w:rPr>
      <w:rFonts w:asciiTheme="minorHAnsi" w:hAnsiTheme="minorHAnsi" w:eastAsiaTheme="minorEastAsia" w:cstheme="minorBidi"/>
      <w:lang w:val="en-US" w:eastAsia="zh-CN" w:bidi="ar-SA"/>
    </w:rPr>
  </w:style>
  <w:style w:type="paragraph" w:customStyle="1" w:styleId="1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7">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85D40-D6E7-4756-8061-19D9BC84DE2A}">
  <ds:schemaRefs/>
</ds:datastoreItem>
</file>

<file path=docProps/app.xml><?xml version="1.0" encoding="utf-8"?>
<Properties xmlns="http://schemas.openxmlformats.org/officeDocument/2006/extended-properties" xmlns:vt="http://schemas.openxmlformats.org/officeDocument/2006/docPropsVTypes">
  <Template>Normal</Template>
  <Pages>50</Pages>
  <Words>25904</Words>
  <Characters>26076</Characters>
  <Lines>191</Lines>
  <Paragraphs>53</Paragraphs>
  <TotalTime>15</TotalTime>
  <ScaleCrop>false</ScaleCrop>
  <LinksUpToDate>false</LinksUpToDate>
  <CharactersWithSpaces>26121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2022-02-26T08:45:00Z</dcterms:created>
  <dc:creator>皓 王钰</dc:creator>
  <cp:lastModifiedBy>峰梦</cp:lastModifiedBy>
  <cp:lastPrinted>2022-05-15T23:23:00Z</cp:lastPrinted>
  <dcterms:modified xsi:type="dcterms:W3CDTF">2022-05-18T01:22:55Z</dcterms:modified>
  <cp:revision>1462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2696EF00E90E4E7DB2A5409390272F73</vt:lpwstr>
  </property>
</Properties>
</file>