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kern w:val="0"/>
          <w:sz w:val="44"/>
          <w:szCs w:val="56"/>
          <w:highlight w:val="none"/>
          <w:lang w:bidi="ar"/>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ascii="方正小标宋_GBK" w:hAnsi="方正小标宋_GBK" w:eastAsia="方正小标宋_GBK" w:cs="方正小标宋_GBK"/>
          <w:kern w:val="0"/>
          <w:sz w:val="44"/>
          <w:szCs w:val="56"/>
          <w:highlight w:val="none"/>
          <w:lang w:bidi="ar"/>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ascii="方正小标宋_GBK" w:hAnsi="方正小标宋_GBK" w:eastAsia="方正小标宋_GBK" w:cs="方正小标宋_GBK"/>
          <w:kern w:val="0"/>
          <w:sz w:val="52"/>
          <w:szCs w:val="9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kern w:val="0"/>
          <w:sz w:val="52"/>
          <w:szCs w:val="52"/>
          <w:highlight w:val="none"/>
          <w:lang w:bidi="ar"/>
        </w:rPr>
      </w:pPr>
      <w:r>
        <w:rPr>
          <w:rFonts w:hint="eastAsia" w:ascii="方正小标宋简体" w:hAnsi="方正小标宋简体" w:eastAsia="方正小标宋简体" w:cs="方正小标宋简体"/>
          <w:kern w:val="0"/>
          <w:sz w:val="52"/>
          <w:szCs w:val="52"/>
          <w:highlight w:val="none"/>
          <w:lang w:eastAsia="zh-CN" w:bidi="ar"/>
        </w:rPr>
        <w:t>陆河县</w:t>
      </w:r>
      <w:r>
        <w:rPr>
          <w:rFonts w:hint="eastAsia" w:ascii="方正小标宋简体" w:hAnsi="方正小标宋简体" w:eastAsia="方正小标宋简体" w:cs="方正小标宋简体"/>
          <w:kern w:val="0"/>
          <w:sz w:val="52"/>
          <w:szCs w:val="52"/>
          <w:highlight w:val="none"/>
          <w:lang w:bidi="ar"/>
        </w:rPr>
        <w:t>妇女发展规划</w:t>
      </w: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kern w:val="0"/>
          <w:sz w:val="52"/>
          <w:szCs w:val="52"/>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kern w:val="0"/>
          <w:sz w:val="52"/>
          <w:szCs w:val="52"/>
          <w:highlight w:val="none"/>
          <w:lang w:bidi="ar"/>
        </w:rPr>
        <w:t>（2021—2030年）</w:t>
      </w: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52"/>
          <w:szCs w:val="52"/>
          <w:highlight w:val="none"/>
        </w:rPr>
      </w:pP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0"/>
          <w:szCs w:val="28"/>
          <w:highlight w:val="none"/>
          <w:lang w:bidi="ar"/>
        </w:rPr>
      </w:pPr>
      <w:r>
        <w:rPr>
          <w:rFonts w:hint="eastAsia" w:ascii="方正小标宋简体" w:hAnsi="方正小标宋简体" w:eastAsia="方正小标宋简体" w:cs="方正小标宋简体"/>
          <w:b w:val="0"/>
          <w:bCs w:val="0"/>
          <w:kern w:val="0"/>
          <w:sz w:val="40"/>
          <w:szCs w:val="28"/>
          <w:highlight w:val="none"/>
          <w:lang w:bidi="ar"/>
        </w:rPr>
        <w:t>（</w:t>
      </w:r>
      <w:r>
        <w:rPr>
          <w:rFonts w:hint="eastAsia" w:ascii="方正小标宋简体" w:hAnsi="方正小标宋简体" w:eastAsia="方正小标宋简体" w:cs="方正小标宋简体"/>
          <w:b w:val="0"/>
          <w:bCs w:val="0"/>
          <w:kern w:val="0"/>
          <w:sz w:val="40"/>
          <w:szCs w:val="28"/>
          <w:highlight w:val="none"/>
          <w:lang w:eastAsia="zh-CN" w:bidi="ar"/>
        </w:rPr>
        <w:t>第一次征求意见</w:t>
      </w:r>
      <w:r>
        <w:rPr>
          <w:rFonts w:hint="eastAsia" w:ascii="方正小标宋简体" w:hAnsi="方正小标宋简体" w:eastAsia="方正小标宋简体" w:cs="方正小标宋简体"/>
          <w:b w:val="0"/>
          <w:bCs w:val="0"/>
          <w:kern w:val="0"/>
          <w:sz w:val="40"/>
          <w:szCs w:val="28"/>
          <w:highlight w:val="none"/>
          <w:lang w:bidi="ar"/>
        </w:rPr>
        <w:t>稿）</w:t>
      </w: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 w:cs="仿宋"/>
          <w:b/>
          <w:bCs/>
          <w:kern w:val="0"/>
          <w:sz w:val="36"/>
          <w:highlight w:val="none"/>
          <w:lang w:bidi="ar"/>
        </w:rPr>
      </w:pPr>
    </w:p>
    <w:p>
      <w:pPr>
        <w:pageBreakBefore w:val="0"/>
        <w:kinsoku/>
        <w:wordWrap/>
        <w:overflowPunct/>
        <w:topLinePunct w:val="0"/>
        <w:autoSpaceDE w:val="0"/>
        <w:autoSpaceDN w:val="0"/>
        <w:bidi w:val="0"/>
        <w:adjustRightInd/>
        <w:snapToGrid/>
        <w:spacing w:line="560" w:lineRule="exact"/>
        <w:jc w:val="both"/>
        <w:textAlignment w:val="auto"/>
        <w:rPr>
          <w:rFonts w:ascii="Times New Roman" w:hAnsi="Times New Roman" w:eastAsia="仿宋" w:cs="仿宋"/>
          <w:b/>
          <w:bCs/>
          <w:kern w:val="0"/>
          <w:sz w:val="40"/>
          <w:szCs w:val="28"/>
          <w:highlight w:val="none"/>
          <w:lang w:bidi="ar"/>
        </w:rPr>
      </w:pPr>
    </w:p>
    <w:p>
      <w:pPr>
        <w:pageBreakBefore w:val="0"/>
        <w:kinsoku/>
        <w:wordWrap/>
        <w:overflowPunct/>
        <w:topLinePunct w:val="0"/>
        <w:autoSpaceDE w:val="0"/>
        <w:autoSpaceDN w:val="0"/>
        <w:bidi w:val="0"/>
        <w:adjustRightInd/>
        <w:snapToGrid/>
        <w:spacing w:line="560" w:lineRule="exact"/>
        <w:jc w:val="center"/>
        <w:textAlignment w:val="auto"/>
        <w:rPr>
          <w:rFonts w:ascii="方正小标宋_GBK" w:hAnsi="方正小标宋_GBK" w:eastAsia="方正小标宋_GBK" w:cs="方正小标宋_GBK"/>
          <w:b w:val="0"/>
          <w:bCs w:val="0"/>
          <w:kern w:val="0"/>
          <w:sz w:val="48"/>
          <w:szCs w:val="72"/>
          <w:highlight w:val="none"/>
          <w:lang w:bidi="ar"/>
        </w:rPr>
      </w:pPr>
      <w:r>
        <w:rPr>
          <w:rFonts w:hint="eastAsia" w:ascii="Times New Roman" w:hAnsi="Times New Roman" w:eastAsia="仿宋" w:cs="仿宋"/>
          <w:b w:val="0"/>
          <w:bCs w:val="0"/>
          <w:kern w:val="0"/>
          <w:sz w:val="40"/>
          <w:szCs w:val="28"/>
          <w:highlight w:val="none"/>
          <w:lang w:bidi="ar"/>
        </w:rPr>
        <w:t>2</w:t>
      </w:r>
      <w:r>
        <w:rPr>
          <w:rFonts w:ascii="Times New Roman" w:hAnsi="Times New Roman" w:eastAsia="仿宋" w:cs="仿宋"/>
          <w:b w:val="0"/>
          <w:bCs w:val="0"/>
          <w:kern w:val="0"/>
          <w:sz w:val="40"/>
          <w:szCs w:val="28"/>
          <w:highlight w:val="none"/>
          <w:lang w:bidi="ar"/>
        </w:rPr>
        <w:t>022</w:t>
      </w:r>
      <w:r>
        <w:rPr>
          <w:rFonts w:hint="eastAsia" w:ascii="Times New Roman" w:hAnsi="Times New Roman" w:eastAsia="仿宋" w:cs="仿宋"/>
          <w:b w:val="0"/>
          <w:bCs w:val="0"/>
          <w:kern w:val="0"/>
          <w:sz w:val="40"/>
          <w:szCs w:val="28"/>
          <w:highlight w:val="none"/>
          <w:lang w:bidi="ar"/>
        </w:rPr>
        <w:t>年</w:t>
      </w:r>
      <w:r>
        <w:rPr>
          <w:rFonts w:hint="eastAsia" w:ascii="Times New Roman" w:hAnsi="Times New Roman" w:eastAsia="仿宋" w:cs="仿宋"/>
          <w:b w:val="0"/>
          <w:bCs w:val="0"/>
          <w:kern w:val="0"/>
          <w:sz w:val="40"/>
          <w:szCs w:val="28"/>
          <w:highlight w:val="none"/>
          <w:lang w:val="en-US" w:eastAsia="zh-CN" w:bidi="ar"/>
        </w:rPr>
        <w:t>5</w:t>
      </w:r>
      <w:r>
        <w:rPr>
          <w:rFonts w:hint="eastAsia" w:ascii="Times New Roman" w:hAnsi="Times New Roman" w:eastAsia="仿宋" w:cs="仿宋"/>
          <w:b w:val="0"/>
          <w:bCs w:val="0"/>
          <w:kern w:val="0"/>
          <w:sz w:val="40"/>
          <w:szCs w:val="28"/>
          <w:highlight w:val="none"/>
          <w:lang w:bidi="ar"/>
        </w:rPr>
        <w:t>月</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仿宋" w:cs="仿宋"/>
          <w:kern w:val="0"/>
          <w:sz w:val="32"/>
          <w:szCs w:val="22"/>
          <w:highlight w:val="none"/>
          <w:lang w:bidi="ar"/>
        </w:rPr>
        <w:sectPr>
          <w:pgSz w:w="11910" w:h="16840"/>
          <w:pgMar w:top="2098" w:right="1531" w:bottom="1985" w:left="1531" w:header="851" w:footer="1587" w:gutter="0"/>
          <w:pgNumType w:start="1"/>
          <w:cols w:space="425" w:num="1"/>
          <w:docGrid w:type="lines" w:linePitch="312" w:charSpace="0"/>
        </w:sectPr>
      </w:pPr>
      <w:bookmarkStart w:id="21" w:name="_GoBack"/>
      <w:bookmarkEnd w:id="21"/>
    </w:p>
    <w:sdt>
      <w:sdtPr>
        <w:rPr>
          <w:rFonts w:ascii="宋体" w:hAnsi="宋体" w:eastAsia="宋体" w:cstheme="minorBidi"/>
          <w:kern w:val="2"/>
          <w:sz w:val="21"/>
          <w:szCs w:val="24"/>
          <w:lang w:val="en-US" w:eastAsia="zh-CN" w:bidi="ar-SA"/>
        </w:rPr>
        <w:id w:val="147476144"/>
        <w15:color w:val="DBDBDB"/>
        <w:docPartObj>
          <w:docPartGallery w:val="Table of Contents"/>
          <w:docPartUnique/>
        </w:docPartObj>
      </w:sdtPr>
      <w:sdtEndPr>
        <w:rPr>
          <w:rFonts w:ascii="Times New Roman" w:hAnsi="Times New Roman" w:eastAsia="仿宋" w:cs="仿宋"/>
          <w:b/>
          <w:kern w:val="0"/>
          <w:sz w:val="21"/>
          <w:szCs w:val="22"/>
          <w:highlight w:val="none"/>
          <w:lang w:val="en-US" w:eastAsia="zh-CN" w:bidi="ar"/>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8"/>
            </w:rPr>
          </w:pPr>
          <w:r>
            <w:rPr>
              <w:rFonts w:hint="eastAsia" w:ascii="仿宋" w:hAnsi="仿宋" w:eastAsia="仿宋" w:cs="仿宋"/>
              <w:b/>
              <w:bCs/>
              <w:sz w:val="40"/>
              <w:szCs w:val="48"/>
            </w:rPr>
            <w:t>目</w:t>
          </w:r>
          <w:r>
            <w:rPr>
              <w:rFonts w:hint="eastAsia" w:ascii="仿宋" w:hAnsi="仿宋" w:eastAsia="仿宋" w:cs="仿宋"/>
              <w:b/>
              <w:bCs/>
              <w:sz w:val="40"/>
              <w:szCs w:val="48"/>
              <w:lang w:val="en-US" w:eastAsia="zh-CN"/>
            </w:rPr>
            <w:t xml:space="preserve">   </w:t>
          </w:r>
          <w:r>
            <w:rPr>
              <w:rFonts w:hint="eastAsia" w:ascii="仿宋" w:hAnsi="仿宋" w:eastAsia="仿宋" w:cs="仿宋"/>
              <w:b/>
              <w:bCs/>
              <w:sz w:val="40"/>
              <w:szCs w:val="48"/>
            </w:rPr>
            <w:t>录</w:t>
          </w:r>
        </w:p>
        <w:p>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8"/>
            </w:rPr>
          </w:pPr>
        </w:p>
        <w:p>
          <w:pPr>
            <w:pStyle w:val="33"/>
            <w:tabs>
              <w:tab w:val="right" w:leader="dot" w:pos="8848"/>
            </w:tabs>
            <w:rPr>
              <w:rFonts w:hint="eastAsia" w:ascii="楷体" w:hAnsi="楷体" w:eastAsia="楷体" w:cs="楷体"/>
              <w:b/>
              <w:sz w:val="32"/>
              <w:szCs w:val="32"/>
            </w:rPr>
          </w:pPr>
          <w:r>
            <w:rPr>
              <w:rFonts w:ascii="Times New Roman" w:hAnsi="Times New Roman" w:eastAsia="仿宋" w:cs="仿宋"/>
              <w:kern w:val="0"/>
              <w:sz w:val="32"/>
              <w:szCs w:val="22"/>
              <w:highlight w:val="none"/>
              <w:lang w:bidi="ar"/>
            </w:rPr>
            <w:fldChar w:fldCharType="begin"/>
          </w:r>
          <w:r>
            <w:rPr>
              <w:rFonts w:ascii="Times New Roman" w:hAnsi="Times New Roman" w:eastAsia="仿宋" w:cs="仿宋"/>
              <w:kern w:val="0"/>
              <w:sz w:val="32"/>
              <w:szCs w:val="22"/>
              <w:highlight w:val="none"/>
              <w:lang w:bidi="ar"/>
            </w:rPr>
            <w:instrText xml:space="preserve">TOC \o "1-2" \h \u </w:instrText>
          </w:r>
          <w:r>
            <w:rPr>
              <w:rFonts w:ascii="Times New Roman" w:hAnsi="Times New Roman" w:eastAsia="仿宋" w:cs="仿宋"/>
              <w:kern w:val="0"/>
              <w:sz w:val="32"/>
              <w:szCs w:val="22"/>
              <w:highlight w:val="none"/>
              <w:lang w:bidi="ar"/>
            </w:rPr>
            <w:fldChar w:fldCharType="separate"/>
          </w:r>
          <w:r>
            <w:rPr>
              <w:rFonts w:hint="eastAsia" w:ascii="楷体" w:hAnsi="楷体" w:eastAsia="楷体" w:cs="楷体"/>
              <w:b/>
              <w:kern w:val="0"/>
              <w:sz w:val="32"/>
              <w:szCs w:val="40"/>
              <w:highlight w:val="none"/>
              <w:lang w:bidi="ar"/>
            </w:rPr>
            <w:fldChar w:fldCharType="begin"/>
          </w:r>
          <w:r>
            <w:rPr>
              <w:rFonts w:hint="eastAsia" w:ascii="楷体" w:hAnsi="楷体" w:eastAsia="楷体" w:cs="楷体"/>
              <w:b/>
              <w:kern w:val="0"/>
              <w:sz w:val="32"/>
              <w:szCs w:val="40"/>
              <w:highlight w:val="none"/>
              <w:lang w:bidi="ar"/>
            </w:rPr>
            <w:instrText xml:space="preserve"> HYPERLINK \l _Toc651 </w:instrText>
          </w:r>
          <w:r>
            <w:rPr>
              <w:rFonts w:hint="eastAsia" w:ascii="楷体" w:hAnsi="楷体" w:eastAsia="楷体" w:cs="楷体"/>
              <w:b/>
              <w:kern w:val="0"/>
              <w:sz w:val="32"/>
              <w:szCs w:val="40"/>
              <w:highlight w:val="none"/>
              <w:lang w:bidi="ar"/>
            </w:rPr>
            <w:fldChar w:fldCharType="separate"/>
          </w:r>
          <w:r>
            <w:rPr>
              <w:rFonts w:hint="eastAsia" w:ascii="楷体" w:hAnsi="楷体" w:eastAsia="楷体" w:cs="楷体"/>
              <w:b/>
              <w:bCs/>
              <w:sz w:val="32"/>
              <w:szCs w:val="32"/>
              <w:highlight w:val="none"/>
              <w:lang w:bidi="ar"/>
            </w:rPr>
            <w:t>一、总体要求</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_Toc651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1</w:t>
          </w:r>
          <w:r>
            <w:rPr>
              <w:rFonts w:hint="eastAsia" w:ascii="楷体" w:hAnsi="楷体" w:eastAsia="楷体" w:cs="楷体"/>
              <w:b/>
              <w:sz w:val="32"/>
              <w:szCs w:val="32"/>
            </w:rPr>
            <w:fldChar w:fldCharType="end"/>
          </w:r>
          <w:r>
            <w:rPr>
              <w:rFonts w:hint="eastAsia" w:ascii="楷体" w:hAnsi="楷体" w:eastAsia="楷体" w:cs="楷体"/>
              <w:b/>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_Toc31935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（一）指导思想</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_Toc31935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_Toc6314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（二）总体目标</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_Toc6314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3"/>
            <w:tabs>
              <w:tab w:val="right" w:leader="dot" w:pos="8848"/>
            </w:tabs>
            <w:rPr>
              <w:rFonts w:hint="eastAsia" w:ascii="楷体" w:hAnsi="楷体" w:eastAsia="楷体" w:cs="楷体"/>
              <w:b/>
              <w:sz w:val="32"/>
              <w:szCs w:val="32"/>
            </w:rPr>
          </w:pPr>
          <w:r>
            <w:rPr>
              <w:rFonts w:hint="eastAsia" w:ascii="楷体" w:hAnsi="楷体" w:eastAsia="楷体" w:cs="楷体"/>
              <w:b/>
              <w:kern w:val="0"/>
              <w:sz w:val="32"/>
              <w:szCs w:val="40"/>
              <w:highlight w:val="none"/>
              <w:lang w:bidi="ar"/>
            </w:rPr>
            <w:fldChar w:fldCharType="begin"/>
          </w:r>
          <w:r>
            <w:rPr>
              <w:rFonts w:hint="eastAsia" w:ascii="楷体" w:hAnsi="楷体" w:eastAsia="楷体" w:cs="楷体"/>
              <w:b/>
              <w:kern w:val="0"/>
              <w:sz w:val="32"/>
              <w:szCs w:val="40"/>
              <w:highlight w:val="none"/>
              <w:lang w:bidi="ar"/>
            </w:rPr>
            <w:instrText xml:space="preserve"> HYPERLINK \l _Toc7044 </w:instrText>
          </w:r>
          <w:r>
            <w:rPr>
              <w:rFonts w:hint="eastAsia" w:ascii="楷体" w:hAnsi="楷体" w:eastAsia="楷体" w:cs="楷体"/>
              <w:b/>
              <w:kern w:val="0"/>
              <w:sz w:val="32"/>
              <w:szCs w:val="40"/>
              <w:highlight w:val="none"/>
              <w:lang w:bidi="ar"/>
            </w:rPr>
            <w:fldChar w:fldCharType="separate"/>
          </w:r>
          <w:r>
            <w:rPr>
              <w:rFonts w:hint="eastAsia" w:ascii="楷体" w:hAnsi="楷体" w:eastAsia="楷体" w:cs="楷体"/>
              <w:b/>
              <w:bCs/>
              <w:sz w:val="32"/>
              <w:szCs w:val="32"/>
              <w:highlight w:val="none"/>
              <w:lang w:bidi="ar"/>
            </w:rPr>
            <w:t>二、发展领域、主要目标和策略措施</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_Toc7044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2</w:t>
          </w:r>
          <w:r>
            <w:rPr>
              <w:rFonts w:hint="eastAsia" w:ascii="楷体" w:hAnsi="楷体" w:eastAsia="楷体" w:cs="楷体"/>
              <w:b/>
              <w:sz w:val="32"/>
              <w:szCs w:val="32"/>
            </w:rPr>
            <w:fldChar w:fldCharType="end"/>
          </w:r>
          <w:r>
            <w:rPr>
              <w:rFonts w:hint="eastAsia" w:ascii="楷体" w:hAnsi="楷体" w:eastAsia="楷体" w:cs="楷体"/>
              <w:b/>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_Toc27804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（一）妇女与健康</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_Toc27804 \h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_Toc5137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（二）妇女与教育</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_Toc5137 \h </w:instrText>
          </w:r>
          <w:r>
            <w:rPr>
              <w:rFonts w:hint="eastAsia" w:ascii="楷体" w:hAnsi="楷体" w:eastAsia="楷体" w:cs="楷体"/>
              <w:sz w:val="32"/>
              <w:szCs w:val="32"/>
            </w:rPr>
            <w:fldChar w:fldCharType="separate"/>
          </w:r>
          <w:r>
            <w:rPr>
              <w:rFonts w:hint="eastAsia" w:ascii="楷体" w:hAnsi="楷体" w:eastAsia="楷体" w:cs="楷体"/>
              <w:sz w:val="32"/>
              <w:szCs w:val="32"/>
            </w:rPr>
            <w:t>8</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_Toc5738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（三）妇女与经济</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_Toc5738 \h </w:instrText>
          </w:r>
          <w:r>
            <w:rPr>
              <w:rFonts w:hint="eastAsia" w:ascii="楷体" w:hAnsi="楷体" w:eastAsia="楷体" w:cs="楷体"/>
              <w:sz w:val="32"/>
              <w:szCs w:val="32"/>
            </w:rPr>
            <w:fldChar w:fldCharType="separate"/>
          </w:r>
          <w:r>
            <w:rPr>
              <w:rFonts w:hint="eastAsia" w:ascii="楷体" w:hAnsi="楷体" w:eastAsia="楷体" w:cs="楷体"/>
              <w:sz w:val="32"/>
              <w:szCs w:val="32"/>
            </w:rPr>
            <w:t>12</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_Toc2664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（四）妇女参与决策和管理</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_Toc2664 \h </w:instrText>
          </w:r>
          <w:r>
            <w:rPr>
              <w:rFonts w:hint="eastAsia" w:ascii="楷体" w:hAnsi="楷体" w:eastAsia="楷体" w:cs="楷体"/>
              <w:sz w:val="32"/>
              <w:szCs w:val="32"/>
            </w:rPr>
            <w:fldChar w:fldCharType="separate"/>
          </w:r>
          <w:r>
            <w:rPr>
              <w:rFonts w:hint="eastAsia" w:ascii="楷体" w:hAnsi="楷体" w:eastAsia="楷体" w:cs="楷体"/>
              <w:sz w:val="32"/>
              <w:szCs w:val="32"/>
            </w:rPr>
            <w:t>18</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_Toc19906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（五）妇女与社会保障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_Toc19906 \h </w:instrText>
          </w:r>
          <w:r>
            <w:rPr>
              <w:rFonts w:hint="eastAsia" w:ascii="楷体" w:hAnsi="楷体" w:eastAsia="楷体" w:cs="楷体"/>
              <w:sz w:val="32"/>
              <w:szCs w:val="32"/>
            </w:rPr>
            <w:fldChar w:fldCharType="separate"/>
          </w:r>
          <w:r>
            <w:rPr>
              <w:rFonts w:hint="eastAsia" w:ascii="楷体" w:hAnsi="楷体" w:eastAsia="楷体" w:cs="楷体"/>
              <w:sz w:val="32"/>
              <w:szCs w:val="32"/>
            </w:rPr>
            <w:t>22</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_Toc13416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（六）妇女与家庭建设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_Toc13416 \h </w:instrText>
          </w:r>
          <w:r>
            <w:rPr>
              <w:rFonts w:hint="eastAsia" w:ascii="楷体" w:hAnsi="楷体" w:eastAsia="楷体" w:cs="楷体"/>
              <w:sz w:val="32"/>
              <w:szCs w:val="32"/>
            </w:rPr>
            <w:fldChar w:fldCharType="separate"/>
          </w:r>
          <w:r>
            <w:rPr>
              <w:rFonts w:hint="eastAsia" w:ascii="楷体" w:hAnsi="楷体" w:eastAsia="楷体" w:cs="楷体"/>
              <w:sz w:val="32"/>
              <w:szCs w:val="32"/>
            </w:rPr>
            <w:t>28</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_Toc583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（七）妇女与环境</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_Toc583 \h </w:instrText>
          </w:r>
          <w:r>
            <w:rPr>
              <w:rFonts w:hint="eastAsia" w:ascii="楷体" w:hAnsi="楷体" w:eastAsia="楷体" w:cs="楷体"/>
              <w:sz w:val="32"/>
              <w:szCs w:val="32"/>
            </w:rPr>
            <w:fldChar w:fldCharType="separate"/>
          </w:r>
          <w:r>
            <w:rPr>
              <w:rFonts w:hint="eastAsia" w:ascii="楷体" w:hAnsi="楷体" w:eastAsia="楷体" w:cs="楷体"/>
              <w:sz w:val="32"/>
              <w:szCs w:val="32"/>
            </w:rPr>
            <w:t>33</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4"/>
            <w:tabs>
              <w:tab w:val="right" w:leader="dot" w:pos="8848"/>
            </w:tabs>
            <w:rPr>
              <w:rFonts w:hint="eastAsia" w:ascii="楷体" w:hAnsi="楷体" w:eastAsia="楷体" w:cs="楷体"/>
              <w:sz w:val="32"/>
              <w:szCs w:val="32"/>
            </w:rPr>
          </w:pPr>
          <w:r>
            <w:rPr>
              <w:rFonts w:hint="eastAsia" w:ascii="楷体" w:hAnsi="楷体" w:eastAsia="楷体" w:cs="楷体"/>
              <w:kern w:val="0"/>
              <w:sz w:val="32"/>
              <w:szCs w:val="40"/>
              <w:highlight w:val="none"/>
              <w:lang w:bidi="ar"/>
            </w:rPr>
            <w:fldChar w:fldCharType="begin"/>
          </w:r>
          <w:r>
            <w:rPr>
              <w:rFonts w:hint="eastAsia" w:ascii="楷体" w:hAnsi="楷体" w:eastAsia="楷体" w:cs="楷体"/>
              <w:kern w:val="0"/>
              <w:sz w:val="32"/>
              <w:szCs w:val="40"/>
              <w:highlight w:val="none"/>
              <w:lang w:bidi="ar"/>
            </w:rPr>
            <w:instrText xml:space="preserve"> HYPERLINK \l _Toc5985 </w:instrText>
          </w:r>
          <w:r>
            <w:rPr>
              <w:rFonts w:hint="eastAsia" w:ascii="楷体" w:hAnsi="楷体" w:eastAsia="楷体" w:cs="楷体"/>
              <w:kern w:val="0"/>
              <w:sz w:val="32"/>
              <w:szCs w:val="40"/>
              <w:highlight w:val="none"/>
              <w:lang w:bidi="ar"/>
            </w:rPr>
            <w:fldChar w:fldCharType="separate"/>
          </w:r>
          <w:r>
            <w:rPr>
              <w:rFonts w:hint="eastAsia" w:ascii="楷体" w:hAnsi="楷体" w:eastAsia="楷体" w:cs="楷体"/>
              <w:sz w:val="32"/>
              <w:szCs w:val="32"/>
              <w:highlight w:val="none"/>
              <w:lang w:bidi="ar"/>
            </w:rPr>
            <w:t>（八）妇女与法律</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_Toc5985 \h </w:instrText>
          </w:r>
          <w:r>
            <w:rPr>
              <w:rFonts w:hint="eastAsia" w:ascii="楷体" w:hAnsi="楷体" w:eastAsia="楷体" w:cs="楷体"/>
              <w:sz w:val="32"/>
              <w:szCs w:val="32"/>
            </w:rPr>
            <w:fldChar w:fldCharType="separate"/>
          </w:r>
          <w:r>
            <w:rPr>
              <w:rFonts w:hint="eastAsia" w:ascii="楷体" w:hAnsi="楷体" w:eastAsia="楷体" w:cs="楷体"/>
              <w:sz w:val="32"/>
              <w:szCs w:val="32"/>
            </w:rPr>
            <w:t>39</w:t>
          </w:r>
          <w:r>
            <w:rPr>
              <w:rFonts w:hint="eastAsia" w:ascii="楷体" w:hAnsi="楷体" w:eastAsia="楷体" w:cs="楷体"/>
              <w:sz w:val="32"/>
              <w:szCs w:val="32"/>
            </w:rPr>
            <w:fldChar w:fldCharType="end"/>
          </w:r>
          <w:r>
            <w:rPr>
              <w:rFonts w:hint="eastAsia" w:ascii="楷体" w:hAnsi="楷体" w:eastAsia="楷体" w:cs="楷体"/>
              <w:kern w:val="0"/>
              <w:sz w:val="32"/>
              <w:szCs w:val="40"/>
              <w:highlight w:val="none"/>
              <w:lang w:bidi="ar"/>
            </w:rPr>
            <w:fldChar w:fldCharType="end"/>
          </w:r>
        </w:p>
        <w:p>
          <w:pPr>
            <w:pStyle w:val="33"/>
            <w:tabs>
              <w:tab w:val="right" w:leader="dot" w:pos="8848"/>
            </w:tabs>
            <w:rPr>
              <w:rFonts w:hint="eastAsia" w:ascii="楷体" w:hAnsi="楷体" w:eastAsia="楷体" w:cs="楷体"/>
              <w:b/>
              <w:sz w:val="32"/>
              <w:szCs w:val="32"/>
            </w:rPr>
          </w:pPr>
          <w:r>
            <w:rPr>
              <w:rFonts w:hint="eastAsia" w:ascii="楷体" w:hAnsi="楷体" w:eastAsia="楷体" w:cs="楷体"/>
              <w:b/>
              <w:kern w:val="0"/>
              <w:sz w:val="32"/>
              <w:szCs w:val="40"/>
              <w:highlight w:val="none"/>
              <w:lang w:bidi="ar"/>
            </w:rPr>
            <w:fldChar w:fldCharType="begin"/>
          </w:r>
          <w:r>
            <w:rPr>
              <w:rFonts w:hint="eastAsia" w:ascii="楷体" w:hAnsi="楷体" w:eastAsia="楷体" w:cs="楷体"/>
              <w:b/>
              <w:kern w:val="0"/>
              <w:sz w:val="32"/>
              <w:szCs w:val="40"/>
              <w:highlight w:val="none"/>
              <w:lang w:bidi="ar"/>
            </w:rPr>
            <w:instrText xml:space="preserve"> HYPERLINK \l _Toc3936 </w:instrText>
          </w:r>
          <w:r>
            <w:rPr>
              <w:rFonts w:hint="eastAsia" w:ascii="楷体" w:hAnsi="楷体" w:eastAsia="楷体" w:cs="楷体"/>
              <w:b/>
              <w:kern w:val="0"/>
              <w:sz w:val="32"/>
              <w:szCs w:val="40"/>
              <w:highlight w:val="none"/>
              <w:lang w:bidi="ar"/>
            </w:rPr>
            <w:fldChar w:fldCharType="separate"/>
          </w:r>
          <w:r>
            <w:rPr>
              <w:rFonts w:hint="eastAsia" w:ascii="楷体" w:hAnsi="楷体" w:eastAsia="楷体" w:cs="楷体"/>
              <w:b/>
              <w:bCs/>
              <w:sz w:val="32"/>
              <w:szCs w:val="32"/>
              <w:highlight w:val="none"/>
              <w:lang w:bidi="ar"/>
            </w:rPr>
            <w:t>三、重点工程</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_Toc3936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44</w:t>
          </w:r>
          <w:r>
            <w:rPr>
              <w:rFonts w:hint="eastAsia" w:ascii="楷体" w:hAnsi="楷体" w:eastAsia="楷体" w:cs="楷体"/>
              <w:b/>
              <w:sz w:val="32"/>
              <w:szCs w:val="32"/>
            </w:rPr>
            <w:fldChar w:fldCharType="end"/>
          </w:r>
          <w:r>
            <w:rPr>
              <w:rFonts w:hint="eastAsia" w:ascii="楷体" w:hAnsi="楷体" w:eastAsia="楷体" w:cs="楷体"/>
              <w:b/>
              <w:kern w:val="0"/>
              <w:sz w:val="32"/>
              <w:szCs w:val="40"/>
              <w:highlight w:val="none"/>
              <w:lang w:bidi="ar"/>
            </w:rPr>
            <w:fldChar w:fldCharType="end"/>
          </w:r>
        </w:p>
        <w:p>
          <w:pPr>
            <w:pStyle w:val="33"/>
            <w:tabs>
              <w:tab w:val="right" w:leader="dot" w:pos="8848"/>
            </w:tabs>
            <w:rPr>
              <w:rFonts w:hint="eastAsia" w:ascii="楷体" w:hAnsi="楷体" w:eastAsia="楷体" w:cs="楷体"/>
              <w:b/>
              <w:sz w:val="32"/>
              <w:szCs w:val="32"/>
            </w:rPr>
          </w:pPr>
          <w:r>
            <w:rPr>
              <w:rFonts w:hint="eastAsia" w:ascii="楷体" w:hAnsi="楷体" w:eastAsia="楷体" w:cs="楷体"/>
              <w:b/>
              <w:kern w:val="0"/>
              <w:sz w:val="32"/>
              <w:szCs w:val="40"/>
              <w:highlight w:val="none"/>
              <w:lang w:bidi="ar"/>
            </w:rPr>
            <w:fldChar w:fldCharType="begin"/>
          </w:r>
          <w:r>
            <w:rPr>
              <w:rFonts w:hint="eastAsia" w:ascii="楷体" w:hAnsi="楷体" w:eastAsia="楷体" w:cs="楷体"/>
              <w:b/>
              <w:kern w:val="0"/>
              <w:sz w:val="32"/>
              <w:szCs w:val="40"/>
              <w:highlight w:val="none"/>
              <w:lang w:bidi="ar"/>
            </w:rPr>
            <w:instrText xml:space="preserve"> HYPERLINK \l _Toc10026 </w:instrText>
          </w:r>
          <w:r>
            <w:rPr>
              <w:rFonts w:hint="eastAsia" w:ascii="楷体" w:hAnsi="楷体" w:eastAsia="楷体" w:cs="楷体"/>
              <w:b/>
              <w:kern w:val="0"/>
              <w:sz w:val="32"/>
              <w:szCs w:val="40"/>
              <w:highlight w:val="none"/>
              <w:lang w:bidi="ar"/>
            </w:rPr>
            <w:fldChar w:fldCharType="separate"/>
          </w:r>
          <w:r>
            <w:rPr>
              <w:rFonts w:hint="eastAsia" w:ascii="楷体" w:hAnsi="楷体" w:eastAsia="楷体" w:cs="楷体"/>
              <w:b/>
              <w:bCs/>
              <w:sz w:val="32"/>
              <w:szCs w:val="32"/>
              <w:highlight w:val="none"/>
              <w:lang w:bidi="ar"/>
            </w:rPr>
            <w:t>四、组织实施</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_Toc10026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46</w:t>
          </w:r>
          <w:r>
            <w:rPr>
              <w:rFonts w:hint="eastAsia" w:ascii="楷体" w:hAnsi="楷体" w:eastAsia="楷体" w:cs="楷体"/>
              <w:b/>
              <w:sz w:val="32"/>
              <w:szCs w:val="32"/>
            </w:rPr>
            <w:fldChar w:fldCharType="end"/>
          </w:r>
          <w:r>
            <w:rPr>
              <w:rFonts w:hint="eastAsia" w:ascii="楷体" w:hAnsi="楷体" w:eastAsia="楷体" w:cs="楷体"/>
              <w:b/>
              <w:kern w:val="0"/>
              <w:sz w:val="32"/>
              <w:szCs w:val="40"/>
              <w:highlight w:val="none"/>
              <w:lang w:bidi="ar"/>
            </w:rPr>
            <w:fldChar w:fldCharType="end"/>
          </w:r>
        </w:p>
        <w:p>
          <w:pPr>
            <w:pStyle w:val="33"/>
            <w:tabs>
              <w:tab w:val="right" w:leader="dot" w:pos="8848"/>
            </w:tabs>
            <w:rPr>
              <w:b/>
            </w:rPr>
          </w:pPr>
          <w:r>
            <w:rPr>
              <w:rFonts w:hint="eastAsia" w:ascii="楷体" w:hAnsi="楷体" w:eastAsia="楷体" w:cs="楷体"/>
              <w:b/>
              <w:kern w:val="0"/>
              <w:sz w:val="32"/>
              <w:szCs w:val="40"/>
              <w:highlight w:val="none"/>
              <w:lang w:bidi="ar"/>
            </w:rPr>
            <w:fldChar w:fldCharType="begin"/>
          </w:r>
          <w:r>
            <w:rPr>
              <w:rFonts w:hint="eastAsia" w:ascii="楷体" w:hAnsi="楷体" w:eastAsia="楷体" w:cs="楷体"/>
              <w:b/>
              <w:kern w:val="0"/>
              <w:sz w:val="32"/>
              <w:szCs w:val="40"/>
              <w:highlight w:val="none"/>
              <w:lang w:bidi="ar"/>
            </w:rPr>
            <w:instrText xml:space="preserve"> HYPERLINK \l _Toc12135 </w:instrText>
          </w:r>
          <w:r>
            <w:rPr>
              <w:rFonts w:hint="eastAsia" w:ascii="楷体" w:hAnsi="楷体" w:eastAsia="楷体" w:cs="楷体"/>
              <w:b/>
              <w:kern w:val="0"/>
              <w:sz w:val="32"/>
              <w:szCs w:val="40"/>
              <w:highlight w:val="none"/>
              <w:lang w:bidi="ar"/>
            </w:rPr>
            <w:fldChar w:fldCharType="separate"/>
          </w:r>
          <w:r>
            <w:rPr>
              <w:rFonts w:hint="eastAsia" w:ascii="楷体" w:hAnsi="楷体" w:eastAsia="楷体" w:cs="楷体"/>
              <w:b/>
              <w:bCs/>
              <w:sz w:val="32"/>
              <w:szCs w:val="32"/>
              <w:highlight w:val="none"/>
              <w:lang w:bidi="ar"/>
            </w:rPr>
            <w:t>五、监测评估</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_Toc12135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49</w:t>
          </w:r>
          <w:r>
            <w:rPr>
              <w:rFonts w:hint="eastAsia" w:ascii="楷体" w:hAnsi="楷体" w:eastAsia="楷体" w:cs="楷体"/>
              <w:b/>
              <w:sz w:val="32"/>
              <w:szCs w:val="32"/>
            </w:rPr>
            <w:fldChar w:fldCharType="end"/>
          </w:r>
          <w:r>
            <w:rPr>
              <w:rFonts w:hint="eastAsia" w:ascii="楷体" w:hAnsi="楷体" w:eastAsia="楷体" w:cs="楷体"/>
              <w:b/>
              <w:kern w:val="0"/>
              <w:sz w:val="32"/>
              <w:szCs w:val="40"/>
              <w:highlight w:val="none"/>
              <w:lang w:bidi="ar"/>
            </w:rPr>
            <w:fldChar w:fldCharType="end"/>
          </w:r>
        </w:p>
        <w:p>
          <w:pPr>
            <w:pageBreakBefore w:val="0"/>
            <w:kinsoku/>
            <w:wordWrap/>
            <w:overflowPunct/>
            <w:topLinePunct w:val="0"/>
            <w:autoSpaceDE w:val="0"/>
            <w:autoSpaceDN w:val="0"/>
            <w:bidi w:val="0"/>
            <w:adjustRightInd/>
            <w:snapToGrid/>
            <w:spacing w:line="560" w:lineRule="exact"/>
            <w:ind w:firstLine="422" w:firstLineChars="200"/>
            <w:textAlignment w:val="auto"/>
            <w:rPr>
              <w:rFonts w:ascii="Times New Roman" w:hAnsi="Times New Roman" w:eastAsia="仿宋" w:cs="仿宋"/>
              <w:kern w:val="0"/>
              <w:sz w:val="32"/>
              <w:szCs w:val="22"/>
              <w:highlight w:val="none"/>
              <w:lang w:bidi="ar"/>
            </w:rPr>
          </w:pPr>
          <w:r>
            <w:rPr>
              <w:rFonts w:ascii="Times New Roman" w:hAnsi="Times New Roman" w:eastAsia="仿宋" w:cs="仿宋"/>
              <w:b/>
              <w:kern w:val="0"/>
              <w:szCs w:val="22"/>
              <w:highlight w:val="none"/>
              <w:lang w:bidi="ar"/>
            </w:rPr>
            <w:fldChar w:fldCharType="end"/>
          </w:r>
        </w:p>
      </w:sdtContent>
    </w:sdt>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仿宋" w:cs="仿宋"/>
          <w:kern w:val="0"/>
          <w:sz w:val="32"/>
          <w:szCs w:val="22"/>
          <w:highlight w:val="none"/>
          <w:lang w:bidi="ar"/>
        </w:rPr>
      </w:pP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仿宋" w:cs="仿宋"/>
          <w:kern w:val="0"/>
          <w:sz w:val="32"/>
          <w:szCs w:val="22"/>
          <w:highlight w:val="none"/>
          <w:lang w:bidi="ar"/>
        </w:rPr>
      </w:pP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仿宋" w:cs="仿宋"/>
          <w:kern w:val="0"/>
          <w:sz w:val="32"/>
          <w:szCs w:val="22"/>
          <w:highlight w:val="none"/>
          <w:lang w:bidi="ar"/>
        </w:rPr>
        <w:sectPr>
          <w:footerReference r:id="rId4" w:type="default"/>
          <w:pgSz w:w="11910" w:h="16840"/>
          <w:pgMar w:top="2098" w:right="1531" w:bottom="1985" w:left="1531" w:header="851" w:footer="1587" w:gutter="0"/>
          <w:pgNumType w:start="1"/>
          <w:cols w:space="425" w:num="1"/>
          <w:docGrid w:type="lines" w:linePitch="312" w:charSpace="0"/>
        </w:sectPr>
      </w:pP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22"/>
          <w:highlight w:val="none"/>
          <w:lang w:eastAsia="zh-CN" w:bidi="ar"/>
        </w:rPr>
      </w:pPr>
      <w:r>
        <w:rPr>
          <w:rFonts w:hint="eastAsia" w:ascii="仿宋_GB2312" w:hAnsi="仿宋_GB2312" w:eastAsia="仿宋_GB2312" w:cs="仿宋_GB2312"/>
          <w:kern w:val="0"/>
          <w:sz w:val="32"/>
          <w:szCs w:val="22"/>
          <w:highlight w:val="none"/>
          <w:lang w:bidi="ar"/>
        </w:rPr>
        <w:t>为贯彻落实《中国妇女发展纲要（2021—2030年）》</w:t>
      </w:r>
      <w:r>
        <w:rPr>
          <w:rFonts w:hint="eastAsia" w:ascii="仿宋_GB2312" w:hAnsi="仿宋_GB2312" w:eastAsia="仿宋_GB2312" w:cs="仿宋_GB2312"/>
          <w:kern w:val="0"/>
          <w:sz w:val="32"/>
          <w:szCs w:val="22"/>
          <w:highlight w:val="none"/>
          <w:lang w:eastAsia="zh-CN" w:bidi="ar"/>
        </w:rPr>
        <w:t>、</w:t>
      </w:r>
      <w:r>
        <w:rPr>
          <w:rFonts w:hint="eastAsia" w:ascii="仿宋_GB2312" w:hAnsi="仿宋_GB2312" w:eastAsia="仿宋_GB2312" w:cs="仿宋_GB2312"/>
          <w:kern w:val="0"/>
          <w:sz w:val="32"/>
          <w:szCs w:val="22"/>
          <w:highlight w:val="none"/>
          <w:lang w:bidi="ar"/>
        </w:rPr>
        <w:t>《广东省妇女发展规划（2021—2030年）》</w:t>
      </w:r>
      <w:r>
        <w:rPr>
          <w:rFonts w:hint="eastAsia" w:ascii="仿宋_GB2312" w:hAnsi="仿宋_GB2312" w:eastAsia="仿宋_GB2312" w:cs="仿宋_GB2312"/>
          <w:kern w:val="0"/>
          <w:sz w:val="32"/>
          <w:szCs w:val="22"/>
          <w:highlight w:val="none"/>
          <w:lang w:eastAsia="zh-CN" w:bidi="ar"/>
        </w:rPr>
        <w:t>和《汕尾市妇女发展规划</w:t>
      </w:r>
    </w:p>
    <w:p>
      <w:pPr>
        <w:pageBreakBefore w:val="0"/>
        <w:kinsoku/>
        <w:wordWrap/>
        <w:overflowPunct/>
        <w:topLinePunct w:val="0"/>
        <w:autoSpaceDE w:val="0"/>
        <w:autoSpaceDN w:val="0"/>
        <w:bidi w:val="0"/>
        <w:adjustRightInd/>
        <w:snapToGrid/>
        <w:spacing w:line="560" w:lineRule="exact"/>
        <w:textAlignment w:val="auto"/>
        <w:rPr>
          <w:rFonts w:ascii="Times New Roman" w:hAnsi="Times New Roman" w:cs="Arial Unicode MS"/>
          <w:highlight w:val="none"/>
        </w:rPr>
      </w:pPr>
      <w:r>
        <w:rPr>
          <w:rFonts w:hint="eastAsia" w:ascii="仿宋_GB2312" w:hAnsi="仿宋_GB2312" w:eastAsia="仿宋_GB2312" w:cs="仿宋_GB2312"/>
          <w:kern w:val="0"/>
          <w:sz w:val="32"/>
          <w:szCs w:val="22"/>
          <w:highlight w:val="none"/>
          <w:lang w:eastAsia="zh-CN" w:bidi="ar"/>
        </w:rPr>
        <w:t>（</w:t>
      </w:r>
      <w:r>
        <w:rPr>
          <w:rFonts w:hint="eastAsia" w:ascii="仿宋_GB2312" w:hAnsi="仿宋_GB2312" w:eastAsia="仿宋_GB2312" w:cs="仿宋_GB2312"/>
          <w:kern w:val="0"/>
          <w:sz w:val="32"/>
          <w:szCs w:val="22"/>
          <w:highlight w:val="none"/>
          <w:lang w:val="en-US" w:eastAsia="zh-CN" w:bidi="ar"/>
        </w:rPr>
        <w:t>2021-2030年</w:t>
      </w:r>
      <w:r>
        <w:rPr>
          <w:rFonts w:hint="eastAsia" w:ascii="仿宋_GB2312" w:hAnsi="仿宋_GB2312" w:eastAsia="仿宋_GB2312" w:cs="仿宋_GB2312"/>
          <w:kern w:val="0"/>
          <w:sz w:val="32"/>
          <w:szCs w:val="22"/>
          <w:highlight w:val="none"/>
          <w:lang w:eastAsia="zh-CN" w:bidi="ar"/>
        </w:rPr>
        <w:t>）》</w:t>
      </w:r>
      <w:r>
        <w:rPr>
          <w:rFonts w:hint="eastAsia" w:ascii="仿宋_GB2312" w:hAnsi="仿宋_GB2312" w:eastAsia="仿宋_GB2312" w:cs="仿宋_GB2312"/>
          <w:kern w:val="0"/>
          <w:sz w:val="32"/>
          <w:szCs w:val="22"/>
          <w:highlight w:val="none"/>
          <w:lang w:bidi="ar"/>
        </w:rPr>
        <w:t>，进一步优化</w:t>
      </w:r>
      <w:r>
        <w:rPr>
          <w:rFonts w:hint="eastAsia" w:ascii="仿宋_GB2312" w:hAnsi="仿宋_GB2312" w:eastAsia="仿宋_GB2312" w:cs="仿宋_GB2312"/>
          <w:kern w:val="0"/>
          <w:sz w:val="32"/>
          <w:szCs w:val="22"/>
          <w:highlight w:val="none"/>
          <w:lang w:eastAsia="zh-CN" w:bidi="ar"/>
        </w:rPr>
        <w:t>我县</w:t>
      </w:r>
      <w:r>
        <w:rPr>
          <w:rFonts w:hint="eastAsia" w:ascii="仿宋_GB2312" w:hAnsi="仿宋_GB2312" w:eastAsia="仿宋_GB2312" w:cs="仿宋_GB2312"/>
          <w:kern w:val="0"/>
          <w:sz w:val="32"/>
          <w:szCs w:val="22"/>
          <w:highlight w:val="none"/>
          <w:lang w:bidi="ar"/>
        </w:rPr>
        <w:t>妇女发展环境，保障妇女合法权益，结合</w:t>
      </w:r>
      <w:r>
        <w:rPr>
          <w:rFonts w:hint="eastAsia" w:ascii="仿宋_GB2312" w:hAnsi="仿宋_GB2312" w:eastAsia="仿宋_GB2312" w:cs="仿宋_GB2312"/>
          <w:kern w:val="0"/>
          <w:sz w:val="32"/>
          <w:szCs w:val="22"/>
          <w:highlight w:val="none"/>
          <w:lang w:eastAsia="zh-CN" w:bidi="ar"/>
        </w:rPr>
        <w:t>我县</w:t>
      </w:r>
      <w:r>
        <w:rPr>
          <w:rFonts w:hint="eastAsia" w:ascii="仿宋_GB2312" w:hAnsi="仿宋_GB2312" w:eastAsia="仿宋_GB2312" w:cs="仿宋_GB2312"/>
          <w:kern w:val="0"/>
          <w:sz w:val="32"/>
          <w:szCs w:val="22"/>
          <w:highlight w:val="none"/>
          <w:lang w:bidi="ar"/>
        </w:rPr>
        <w:t>妇女发展实际情况，制定本规划。</w:t>
      </w:r>
    </w:p>
    <w:p>
      <w:pPr>
        <w:pStyle w:val="2"/>
        <w:pageBreakBefore w:val="0"/>
        <w:kinsoku/>
        <w:wordWrap/>
        <w:overflowPunct/>
        <w:topLinePunct w:val="0"/>
        <w:bidi w:val="0"/>
        <w:adjustRightInd/>
        <w:snapToGrid/>
        <w:spacing w:line="560" w:lineRule="exact"/>
        <w:ind w:firstLine="643"/>
        <w:textAlignment w:val="auto"/>
        <w:rPr>
          <w:b w:val="0"/>
          <w:bCs/>
          <w:highlight w:val="none"/>
        </w:rPr>
      </w:pPr>
      <w:bookmarkStart w:id="0" w:name="_Toc651"/>
      <w:r>
        <w:rPr>
          <w:rFonts w:hint="eastAsia"/>
          <w:b w:val="0"/>
          <w:bCs/>
          <w:highlight w:val="none"/>
          <w:lang w:bidi="ar"/>
        </w:rPr>
        <w:t>一、总体要求</w:t>
      </w:r>
      <w:bookmarkEnd w:id="0"/>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 w:name="_Toc31623"/>
      <w:bookmarkStart w:id="2" w:name="_Toc31935"/>
      <w:r>
        <w:rPr>
          <w:rFonts w:hint="eastAsia" w:ascii="楷体_GB2312" w:hAnsi="楷体_GB2312" w:eastAsia="楷体_GB2312" w:cs="楷体_GB2312"/>
          <w:highlight w:val="none"/>
          <w:lang w:bidi="ar"/>
        </w:rPr>
        <w:t>（一）指导思想。</w:t>
      </w:r>
      <w:bookmarkEnd w:id="1"/>
      <w:bookmarkEnd w:id="2"/>
    </w:p>
    <w:p>
      <w:pPr>
        <w:pageBreakBefore w:val="0"/>
        <w:kinsoku/>
        <w:wordWrap/>
        <w:overflowPunct/>
        <w:topLinePunct w:val="0"/>
        <w:autoSpaceDE w:val="0"/>
        <w:autoSpaceDN w:val="0"/>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kern w:val="0"/>
          <w:sz w:val="32"/>
          <w:szCs w:val="22"/>
          <w:highlight w:val="none"/>
          <w:lang w:bidi="ar"/>
        </w:rPr>
        <w:t>坚持以习近平新时代中国特色社会主义思想为指导，全面贯彻落实党的十九大和十九届历次全会精神，坚持党对妇女事业的全面领导，坚持以人民为中心的发展思想，坚持走中国特色社会主义妇女发展道路，贯彻落实男女平等基本国策，不断完善促进男女平等和妇女全面发展的制度机制，改革创新，优化妇女发展环境，保障妇女合法权益，促进妇女全面发展，推动性别平等成为全社会共同遵循的行为规范和价值标准，充分发挥妇女“半边天”作用，推动妇女走在时代前列。</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3" w:name="_Toc6314"/>
      <w:bookmarkStart w:id="4" w:name="_Toc20726"/>
      <w:r>
        <w:rPr>
          <w:rFonts w:hint="eastAsia" w:ascii="楷体_GB2312" w:hAnsi="楷体_GB2312" w:eastAsia="楷体_GB2312" w:cs="楷体_GB2312"/>
          <w:highlight w:val="none"/>
          <w:lang w:bidi="ar"/>
        </w:rPr>
        <w:t>（二）总体目标。</w:t>
      </w:r>
      <w:bookmarkEnd w:id="3"/>
      <w:bookmarkEnd w:id="4"/>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仿宋_GB2312" w:hAnsi="仿宋_GB2312" w:eastAsia="仿宋_GB2312" w:cs="仿宋_GB2312"/>
          <w:kern w:val="0"/>
          <w:sz w:val="32"/>
          <w:szCs w:val="22"/>
          <w:highlight w:val="none"/>
          <w:lang w:bidi="ar"/>
        </w:rPr>
        <w:t>深入贯彻落实男女平等基本国策，创新完善男女平等和妇女全面发展制度机制。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w:t>
      </w:r>
      <w:r>
        <w:rPr>
          <w:rFonts w:hint="eastAsia" w:ascii="仿宋_GB2312" w:hAnsi="仿宋_GB2312" w:eastAsia="仿宋_GB2312" w:cs="仿宋_GB2312"/>
          <w:kern w:val="0"/>
          <w:sz w:val="32"/>
          <w:szCs w:val="22"/>
          <w:highlight w:val="none"/>
          <w:lang w:eastAsia="zh-CN" w:bidi="ar"/>
        </w:rPr>
        <w:t>我县</w:t>
      </w:r>
      <w:r>
        <w:rPr>
          <w:rFonts w:hint="eastAsia" w:ascii="仿宋_GB2312" w:hAnsi="仿宋_GB2312" w:eastAsia="仿宋_GB2312" w:cs="仿宋_GB2312"/>
          <w:kern w:val="0"/>
          <w:sz w:val="32"/>
          <w:szCs w:val="22"/>
          <w:highlight w:val="none"/>
          <w:lang w:bidi="ar"/>
        </w:rPr>
        <w:t>男女平等和妇女全面发展取得更为明显的实质性进展，妇女勇立时代潮头，在全面建设社会主义现代化国家新征程中</w:t>
      </w:r>
      <w:r>
        <w:rPr>
          <w:rFonts w:hint="eastAsia" w:ascii="仿宋" w:hAnsi="仿宋" w:eastAsia="仿宋" w:cs="仿宋"/>
          <w:kern w:val="0"/>
          <w:sz w:val="32"/>
          <w:szCs w:val="22"/>
          <w:highlight w:val="none"/>
          <w:u w:val="single"/>
          <w:lang w:eastAsia="zh-CN" w:bidi="ar"/>
        </w:rPr>
        <w:t>谱写陆河发展新篇章</w:t>
      </w:r>
      <w:r>
        <w:rPr>
          <w:rStyle w:val="19"/>
          <w:rFonts w:hint="eastAsia" w:ascii="仿宋" w:hAnsi="仿宋" w:eastAsia="仿宋" w:cs="仿宋"/>
          <w:kern w:val="0"/>
          <w:sz w:val="32"/>
          <w:szCs w:val="22"/>
          <w:highlight w:val="none"/>
          <w:u w:val="single"/>
          <w:lang w:eastAsia="zh-CN" w:bidi="ar"/>
        </w:rPr>
        <w:footnoteReference w:id="0"/>
      </w:r>
      <w:r>
        <w:rPr>
          <w:rFonts w:hint="eastAsia" w:ascii="仿宋_GB2312" w:hAnsi="仿宋_GB2312" w:eastAsia="仿宋_GB2312" w:cs="仿宋_GB2312"/>
          <w:kern w:val="0"/>
          <w:sz w:val="32"/>
          <w:szCs w:val="22"/>
          <w:highlight w:val="none"/>
          <w:lang w:bidi="ar"/>
        </w:rPr>
        <w:t>。</w:t>
      </w:r>
    </w:p>
    <w:p>
      <w:pPr>
        <w:pStyle w:val="2"/>
        <w:pageBreakBefore w:val="0"/>
        <w:kinsoku/>
        <w:wordWrap/>
        <w:overflowPunct/>
        <w:topLinePunct w:val="0"/>
        <w:bidi w:val="0"/>
        <w:adjustRightInd/>
        <w:snapToGrid/>
        <w:spacing w:line="560" w:lineRule="exact"/>
        <w:ind w:firstLine="643"/>
        <w:textAlignment w:val="auto"/>
        <w:rPr>
          <w:b w:val="0"/>
          <w:bCs/>
          <w:highlight w:val="none"/>
        </w:rPr>
      </w:pPr>
      <w:bookmarkStart w:id="5" w:name="_Toc7044"/>
      <w:r>
        <w:rPr>
          <w:rFonts w:hint="eastAsia"/>
          <w:b w:val="0"/>
          <w:bCs/>
          <w:highlight w:val="none"/>
          <w:lang w:bidi="ar"/>
        </w:rPr>
        <w:t>二、发展领域、主要目标和策略措施</w:t>
      </w:r>
      <w:bookmarkEnd w:id="5"/>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6" w:name="_Toc27804"/>
      <w:r>
        <w:rPr>
          <w:rFonts w:hint="eastAsia" w:ascii="楷体_GB2312" w:hAnsi="楷体_GB2312" w:eastAsia="楷体_GB2312" w:cs="楷体_GB2312"/>
          <w:highlight w:val="none"/>
          <w:lang w:bidi="ar"/>
        </w:rPr>
        <w:t>（一）妇女与健康。</w:t>
      </w:r>
      <w:bookmarkEnd w:id="6"/>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 xml:space="preserve">1. </w:t>
      </w:r>
      <w:r>
        <w:rPr>
          <w:rFonts w:hint="eastAsia" w:ascii="仿宋_GB2312" w:hAnsi="仿宋_GB2312" w:eastAsia="仿宋_GB2312" w:cs="仿宋_GB2312"/>
          <w:kern w:val="0"/>
          <w:sz w:val="32"/>
          <w:szCs w:val="32"/>
          <w:highlight w:val="none"/>
          <w:lang w:bidi="ar"/>
        </w:rPr>
        <w:t>妇女全生命周期享有良好的卫生健康服务，妇女人均预期寿命延长，人均健康预期寿命提高。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bidi="ar"/>
        </w:rPr>
        <w:t>孕产妇死亡率下降到8/10万以下，城乡、区域差距逐步缩小。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bidi="ar"/>
        </w:rPr>
        <w:t>妇女宫颈癌和乳腺癌防治意识明显提高。宫颈癌和乳腺癌综合防治能力不断增强。适龄妇女宫颈癌人群筛查率达到70%以上，乳腺癌人群筛查率逐步提高。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bidi="ar"/>
        </w:rPr>
        <w:t>生殖健康和优生优育知识全面普及，促进健康孕育，减少非意愿妊娠。孕产妇系统管理率达到</w:t>
      </w:r>
      <w:r>
        <w:rPr>
          <w:rFonts w:hint="eastAsia" w:ascii="仿宋_GB2312" w:hAnsi="仿宋_GB2312" w:eastAsia="仿宋_GB2312" w:cs="仿宋_GB2312"/>
          <w:kern w:val="0"/>
          <w:sz w:val="32"/>
          <w:szCs w:val="32"/>
          <w:highlight w:val="none"/>
          <w:u w:val="single"/>
          <w:lang w:val="en-US" w:eastAsia="zh-CN" w:bidi="ar"/>
        </w:rPr>
        <w:t>91</w:t>
      </w:r>
      <w:r>
        <w:rPr>
          <w:rFonts w:hint="eastAsia" w:ascii="仿宋_GB2312" w:hAnsi="仿宋_GB2312" w:eastAsia="仿宋_GB2312" w:cs="仿宋_GB2312"/>
          <w:kern w:val="0"/>
          <w:sz w:val="32"/>
          <w:szCs w:val="32"/>
          <w:highlight w:val="none"/>
          <w:u w:val="single"/>
          <w:lang w:bidi="ar"/>
        </w:rPr>
        <w:t>%</w:t>
      </w:r>
      <w:r>
        <w:rPr>
          <w:rStyle w:val="19"/>
          <w:rFonts w:hint="eastAsia" w:ascii="仿宋_GB2312" w:hAnsi="仿宋_GB2312" w:eastAsia="仿宋_GB2312" w:cs="仿宋_GB2312"/>
          <w:kern w:val="0"/>
          <w:sz w:val="32"/>
          <w:szCs w:val="32"/>
          <w:highlight w:val="none"/>
          <w:u w:val="single"/>
          <w:lang w:bidi="ar"/>
        </w:rPr>
        <w:footnoteReference w:id="1"/>
      </w: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kern w:val="0"/>
          <w:sz w:val="32"/>
          <w:szCs w:val="32"/>
          <w:highlight w:val="none"/>
          <w:u w:val="single"/>
          <w:lang w:eastAsia="zh-CN" w:bidi="ar"/>
        </w:rPr>
        <w:t>孕妇产后访视率达到</w:t>
      </w:r>
      <w:r>
        <w:rPr>
          <w:rFonts w:hint="eastAsia" w:ascii="仿宋_GB2312" w:hAnsi="仿宋_GB2312" w:eastAsia="仿宋_GB2312" w:cs="仿宋_GB2312"/>
          <w:kern w:val="0"/>
          <w:sz w:val="32"/>
          <w:szCs w:val="32"/>
          <w:highlight w:val="none"/>
          <w:u w:val="single"/>
          <w:lang w:val="en-US" w:eastAsia="zh-CN" w:bidi="ar"/>
        </w:rPr>
        <w:t>96%。</w:t>
      </w:r>
      <w:r>
        <w:rPr>
          <w:rStyle w:val="19"/>
          <w:rFonts w:hint="eastAsia" w:ascii="仿宋_GB2312" w:hAnsi="仿宋_GB2312" w:eastAsia="仿宋_GB2312" w:cs="仿宋_GB2312"/>
          <w:kern w:val="0"/>
          <w:sz w:val="32"/>
          <w:szCs w:val="32"/>
          <w:highlight w:val="none"/>
          <w:u w:val="single"/>
          <w:lang w:val="en-US" w:eastAsia="zh-CN" w:bidi="ar"/>
        </w:rPr>
        <w:footnoteReference w:id="2"/>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全</w:t>
      </w:r>
      <w:r>
        <w:rPr>
          <w:rFonts w:hint="eastAsia" w:ascii="仿宋_GB2312" w:hAnsi="仿宋_GB2312" w:eastAsia="仿宋_GB2312" w:cs="仿宋_GB2312"/>
          <w:kern w:val="0"/>
          <w:sz w:val="32"/>
          <w:szCs w:val="32"/>
          <w:highlight w:val="none"/>
          <w:lang w:eastAsia="zh-CN" w:bidi="ar"/>
        </w:rPr>
        <w:t>县</w:t>
      </w:r>
      <w:r>
        <w:rPr>
          <w:rFonts w:hint="eastAsia" w:ascii="仿宋_GB2312" w:hAnsi="仿宋_GB2312" w:eastAsia="仿宋_GB2312" w:cs="仿宋_GB2312"/>
          <w:kern w:val="0"/>
          <w:sz w:val="32"/>
          <w:szCs w:val="32"/>
          <w:highlight w:val="none"/>
          <w:lang w:bidi="ar"/>
        </w:rPr>
        <w:t>婚前医学检查率提高到65%，孕前优生检查率达到80%以上。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bidi="ar"/>
        </w:rPr>
        <w:t>有效降低传染性疾病的母婴传播，减少艾滋病、梅毒和乙肝母婴传播，孕产妇艾滋病、梅毒和乙肝检测率达到</w:t>
      </w:r>
      <w:r>
        <w:rPr>
          <w:rFonts w:hint="eastAsia" w:ascii="仿宋_GB2312" w:hAnsi="仿宋_GB2312" w:eastAsia="仿宋_GB2312" w:cs="仿宋_GB2312"/>
          <w:kern w:val="0"/>
          <w:sz w:val="32"/>
          <w:szCs w:val="32"/>
          <w:highlight w:val="none"/>
          <w:u w:val="single"/>
          <w:lang w:val="en-US" w:eastAsia="zh-CN" w:bidi="ar"/>
        </w:rPr>
        <w:t>99</w:t>
      </w:r>
      <w:r>
        <w:rPr>
          <w:rFonts w:hint="eastAsia" w:ascii="仿宋_GB2312" w:hAnsi="仿宋_GB2312" w:eastAsia="仿宋_GB2312" w:cs="仿宋_GB2312"/>
          <w:kern w:val="0"/>
          <w:sz w:val="32"/>
          <w:szCs w:val="32"/>
          <w:highlight w:val="none"/>
          <w:u w:val="single"/>
          <w:lang w:bidi="ar"/>
        </w:rPr>
        <w:t>%</w:t>
      </w:r>
      <w:r>
        <w:rPr>
          <w:rStyle w:val="19"/>
          <w:rFonts w:hint="eastAsia" w:ascii="仿宋_GB2312" w:hAnsi="仿宋_GB2312" w:eastAsia="仿宋_GB2312" w:cs="仿宋_GB2312"/>
          <w:kern w:val="0"/>
          <w:sz w:val="32"/>
          <w:szCs w:val="32"/>
          <w:highlight w:val="none"/>
          <w:u w:val="single"/>
          <w:lang w:bidi="ar"/>
        </w:rPr>
        <w:footnoteReference w:id="3"/>
      </w:r>
      <w:r>
        <w:rPr>
          <w:rFonts w:hint="eastAsia" w:ascii="仿宋_GB2312" w:hAnsi="仿宋_GB2312" w:eastAsia="仿宋_GB2312" w:cs="仿宋_GB2312"/>
          <w:kern w:val="0"/>
          <w:sz w:val="32"/>
          <w:szCs w:val="32"/>
          <w:highlight w:val="none"/>
          <w:lang w:bidi="ar"/>
        </w:rPr>
        <w:t>以上，艾滋病母婴传播率下降到2%以下。艾滋病、梅毒孕产妇感染者治疗率达到</w:t>
      </w:r>
      <w:r>
        <w:rPr>
          <w:rFonts w:hint="eastAsia" w:ascii="仿宋_GB2312" w:hAnsi="仿宋_GB2312" w:eastAsia="仿宋_GB2312" w:cs="仿宋_GB2312"/>
          <w:kern w:val="0"/>
          <w:sz w:val="32"/>
          <w:szCs w:val="32"/>
          <w:highlight w:val="none"/>
          <w:u w:val="single"/>
          <w:lang w:val="en-US" w:eastAsia="zh-CN" w:bidi="ar"/>
        </w:rPr>
        <w:t>100</w:t>
      </w:r>
      <w:r>
        <w:rPr>
          <w:rFonts w:hint="eastAsia" w:ascii="仿宋_GB2312" w:hAnsi="仿宋_GB2312" w:eastAsia="仿宋_GB2312" w:cs="仿宋_GB2312"/>
          <w:kern w:val="0"/>
          <w:sz w:val="32"/>
          <w:szCs w:val="32"/>
          <w:highlight w:val="none"/>
          <w:u w:val="single"/>
          <w:lang w:bidi="ar"/>
        </w:rPr>
        <w:t>%</w:t>
      </w:r>
      <w:r>
        <w:rPr>
          <w:rStyle w:val="19"/>
          <w:rFonts w:hint="eastAsia" w:ascii="仿宋_GB2312" w:hAnsi="仿宋_GB2312" w:eastAsia="仿宋_GB2312" w:cs="仿宋_GB2312"/>
          <w:kern w:val="0"/>
          <w:sz w:val="32"/>
          <w:szCs w:val="32"/>
          <w:highlight w:val="none"/>
          <w:u w:val="single"/>
          <w:lang w:bidi="ar"/>
        </w:rPr>
        <w:footnoteReference w:id="4"/>
      </w:r>
      <w:r>
        <w:rPr>
          <w:rFonts w:hint="eastAsia" w:ascii="仿宋_GB2312" w:hAnsi="仿宋_GB2312" w:eastAsia="仿宋_GB2312" w:cs="仿宋_GB2312"/>
          <w:kern w:val="0"/>
          <w:sz w:val="32"/>
          <w:szCs w:val="32"/>
          <w:highlight w:val="none"/>
          <w:lang w:bidi="ar"/>
        </w:rPr>
        <w:t>。</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lang w:bidi="ar"/>
        </w:rPr>
        <w:t>健全妇女心理服务和干预救治网络体系。妇女心理健康素养水平不断提升，妇女焦虑障碍、抑郁症患病率上升趋势减缓。</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w:t>
      </w:r>
      <w:r>
        <w:rPr>
          <w:rFonts w:hint="eastAsia" w:ascii="仿宋_GB2312" w:hAnsi="仿宋_GB2312" w:eastAsia="仿宋_GB2312" w:cs="仿宋_GB2312"/>
          <w:kern w:val="0"/>
          <w:sz w:val="32"/>
          <w:szCs w:val="32"/>
          <w:highlight w:val="none"/>
          <w:lang w:bidi="ar"/>
        </w:rPr>
        <w:t>普及健康知识，提高妇女健康素养水平。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w:t>
      </w:r>
      <w:r>
        <w:rPr>
          <w:rFonts w:hint="eastAsia" w:ascii="仿宋_GB2312" w:hAnsi="仿宋_GB2312" w:eastAsia="仿宋_GB2312" w:cs="仿宋_GB2312"/>
          <w:kern w:val="0"/>
          <w:sz w:val="32"/>
          <w:szCs w:val="32"/>
          <w:highlight w:val="none"/>
          <w:lang w:bidi="ar"/>
        </w:rPr>
        <w:t>改善妇女营养状况。预防和减少孕产妇贫血。</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10．</w:t>
      </w:r>
      <w:r>
        <w:rPr>
          <w:rFonts w:hint="eastAsia" w:ascii="仿宋_GB2312" w:hAnsi="仿宋_GB2312" w:eastAsia="仿宋_GB2312" w:cs="仿宋_GB2312"/>
          <w:kern w:val="0"/>
          <w:sz w:val="32"/>
          <w:szCs w:val="32"/>
          <w:highlight w:val="none"/>
          <w:lang w:bidi="ar"/>
        </w:rPr>
        <w:t>女性化妆用品抽查合格率达到95%以上。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11．</w:t>
      </w:r>
      <w:r>
        <w:rPr>
          <w:rFonts w:hint="eastAsia" w:ascii="仿宋_GB2312" w:hAnsi="仿宋_GB2312" w:eastAsia="仿宋_GB2312" w:cs="仿宋_GB2312"/>
          <w:kern w:val="0"/>
          <w:sz w:val="32"/>
          <w:szCs w:val="32"/>
          <w:highlight w:val="none"/>
          <w:lang w:bidi="ar"/>
        </w:rPr>
        <w:t>提高妇女体质测定标准合格比例，妇女经常参加体育锻炼的人数比例达到42%。</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12．</w:t>
      </w:r>
      <w:r>
        <w:rPr>
          <w:rFonts w:hint="eastAsia" w:ascii="仿宋_GB2312" w:hAnsi="仿宋_GB2312" w:eastAsia="仿宋_GB2312" w:cs="仿宋_GB2312"/>
          <w:kern w:val="0"/>
          <w:sz w:val="32"/>
          <w:szCs w:val="32"/>
          <w:highlight w:val="none"/>
          <w:lang w:bidi="ar"/>
        </w:rPr>
        <w:t>关爱老年妇女健康，65岁以上老年人城乡社区规范健康管理服务率达到65%以上。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13．</w:t>
      </w:r>
      <w:r>
        <w:rPr>
          <w:rFonts w:hint="eastAsia" w:ascii="仿宋_GB2312" w:hAnsi="仿宋_GB2312" w:eastAsia="仿宋_GB2312" w:cs="仿宋_GB2312"/>
          <w:kern w:val="0"/>
          <w:sz w:val="32"/>
          <w:szCs w:val="32"/>
          <w:highlight w:val="none"/>
          <w:lang w:bidi="ar"/>
        </w:rPr>
        <w:t>健全妇幼健康服务体系，提升妇幼健康服务能力，妇女健康水平不断提高。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bidi="ar"/>
        </w:rPr>
        <w:t>完善保障妇女健康的制度机制。认真贯彻落实“健康广东”“健康汕尾”行动，推动</w:t>
      </w:r>
      <w:r>
        <w:rPr>
          <w:rFonts w:hint="eastAsia" w:ascii="仿宋" w:hAnsi="仿宋" w:eastAsia="仿宋" w:cs="仿宋"/>
          <w:kern w:val="0"/>
          <w:sz w:val="32"/>
          <w:szCs w:val="32"/>
          <w:highlight w:val="none"/>
          <w:u w:val="single"/>
          <w:lang w:eastAsia="zh-CN" w:bidi="ar"/>
        </w:rPr>
        <w:t>“健康陆河”</w:t>
      </w:r>
      <w:r>
        <w:rPr>
          <w:rFonts w:hint="eastAsia" w:ascii="仿宋_GB2312" w:hAnsi="仿宋_GB2312" w:eastAsia="仿宋_GB2312" w:cs="仿宋_GB2312"/>
          <w:kern w:val="0"/>
          <w:sz w:val="32"/>
          <w:szCs w:val="32"/>
          <w:highlight w:val="none"/>
          <w:lang w:bidi="ar"/>
        </w:rPr>
        <w:t>建设，把保障人民健康放在优先发展的战略位置，多渠道支持妇女健康事业发展。健全政府主导、部门协同、社会参与、行业监管、科技支撑的妇女健康保障工作机制。深入推进医疗、医保、医药联动改革，统筹改革监管体制，保障妇女获得高质量、有效率、可负担的医疗和保健服务。完善公共卫生应急管理体系，健全重大疫情防控救治机制和应急物资保障体系，关注妇女的特殊需求。</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bidi="ar"/>
        </w:rPr>
        <w:t>加强妇幼健康服务体系建设。健全以妇幼保健机构为核心、以基层医疗卫生机构为基础、以医院和教学科研机构为支撑的妇幼健康服务网络，提升妇幼健康服务供给能力和水平，实现妇幼基本公共卫生服务均等化，确保建设1所政府举办、标准化妇幼保健机构。全面开展妇幼保健机构绩效考核，强化考核结果应用，保障妇女儿童享有高质量的医疗保健服务。依托现有医疗机构，全面加强县级危重孕产妇救治中心建设。强化县、镇、村三级妇幼卫生服务网络建设，完善基层网底和转诊网络。加强复合型妇幼健康人才和产科、助产等岗位急需紧缺人才的培养使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bidi="ar"/>
        </w:rPr>
        <w:t>建立完善妇女全生命周期的健康管理模式。实施妇女人群健康管理和健康风险预警。为青春期、育龄期、孕产期、更年期和老年期妇女提供全方位健康管理服务。坚持保健与临床结合，预防为主，发挥多学科协作优势，积极发挥中医药在妇幼保健和疾病防治中的作用。提高妇女健康水平和人均健康预期寿命。促进妇幼健康新业态规范发展。加强医养结合、社区护理、家庭病床、上门巡诊、家庭医生签约服务、基本公共卫生等服务能力建设，为妇女提供宣传教育、咨询指导、筛查评估、综合干预和应急救治等全方位的卫生健康服务。</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bidi="ar"/>
        </w:rPr>
        <w:t>保障孕产妇安全分娩。提倡科学备孕和适龄怀孕，保持适宜生育间隔，合理控制剖宫产率。完善医疗机构产科质量规范化管理体系。提供生育全程基本医疗保健服务，将孕产妇健康管理纳入基本公共卫生服务范围，提高孕产妇系统管理率</w:t>
      </w:r>
      <w:r>
        <w:rPr>
          <w:rFonts w:hint="eastAsia" w:ascii="仿宋_GB2312" w:hAnsi="仿宋_GB2312" w:eastAsia="仿宋_GB2312" w:cs="仿宋_GB2312"/>
          <w:kern w:val="0"/>
          <w:sz w:val="32"/>
          <w:szCs w:val="32"/>
          <w:highlight w:val="none"/>
          <w:u w:val="single"/>
          <w:lang w:eastAsia="zh-CN" w:bidi="ar"/>
        </w:rPr>
        <w:t>和孕妇产后访视率</w:t>
      </w:r>
      <w:r>
        <w:rPr>
          <w:rStyle w:val="19"/>
          <w:rFonts w:hint="eastAsia" w:ascii="仿宋_GB2312" w:hAnsi="仿宋_GB2312" w:eastAsia="仿宋_GB2312" w:cs="仿宋_GB2312"/>
          <w:kern w:val="0"/>
          <w:sz w:val="32"/>
          <w:szCs w:val="32"/>
          <w:highlight w:val="none"/>
          <w:u w:val="single"/>
          <w:lang w:eastAsia="zh-CN" w:bidi="ar"/>
        </w:rPr>
        <w:footnoteReference w:id="5"/>
      </w:r>
      <w:r>
        <w:rPr>
          <w:rFonts w:hint="eastAsia" w:ascii="仿宋_GB2312" w:hAnsi="仿宋_GB2312" w:eastAsia="仿宋_GB2312" w:cs="仿宋_GB2312"/>
          <w:kern w:val="0"/>
          <w:sz w:val="32"/>
          <w:szCs w:val="32"/>
          <w:highlight w:val="none"/>
          <w:lang w:bidi="ar"/>
        </w:rPr>
        <w:t>，加强对流动孕产妇和低收入孕产妇的管理和救助服务。持续推进高龄孕产妇等重点人群的分类管理和服务。有效运行危重孕产妇救治网络，全面落实妊娠风险筛查与评估、高危孕产妇专案管理、危急重症救治、孕产妇死亡个案报告和约谈通报制度。</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完善宫颈癌和乳腺癌综合防治体系和救助政策。普及防治知识，提高宫颈癌和乳腺癌防治知识知晓率。实施城乡妇女宫颈癌和乳腺癌免费检查项目。推进适龄女生人乳头瘤病毒（HPV）疫苗接种工作，逐步将人乳头瘤病毒（HPV）疫苗接种纳入公共卫生服务，落实基本公共卫生服务中农村妇女宫颈癌和乳腺癌检查项目，促进70%的妇女在35—45岁接受宫颈癌筛查，督促用人单位定期进行女职工宫颈癌和乳腺癌筛查。加强宫颈癌和乳腺癌筛查和诊断技术创新应用。强化筛查和后续诊治服务的衔接，宫颈癌患者治疗率达到</w:t>
      </w:r>
      <w:r>
        <w:rPr>
          <w:rFonts w:hint="eastAsia" w:ascii="仿宋_GB2312" w:hAnsi="仿宋_GB2312" w:eastAsia="仿宋_GB2312" w:cs="仿宋_GB2312"/>
          <w:kern w:val="0"/>
          <w:sz w:val="32"/>
          <w:szCs w:val="32"/>
          <w:highlight w:val="none"/>
          <w:u w:val="single"/>
          <w:lang w:val="en-US" w:eastAsia="zh-CN" w:bidi="ar"/>
        </w:rPr>
        <w:t>10</w:t>
      </w:r>
      <w:r>
        <w:rPr>
          <w:rFonts w:hint="eastAsia" w:ascii="仿宋_GB2312" w:hAnsi="仿宋_GB2312" w:eastAsia="仿宋_GB2312" w:cs="仿宋_GB2312"/>
          <w:kern w:val="0"/>
          <w:sz w:val="32"/>
          <w:szCs w:val="32"/>
          <w:highlight w:val="none"/>
          <w:u w:val="single"/>
          <w:lang w:bidi="ar"/>
        </w:rPr>
        <w:t>0%</w:t>
      </w:r>
      <w:r>
        <w:rPr>
          <w:rStyle w:val="19"/>
          <w:rFonts w:hint="eastAsia" w:ascii="仿宋_GB2312" w:hAnsi="仿宋_GB2312" w:eastAsia="仿宋_GB2312" w:cs="仿宋_GB2312"/>
          <w:kern w:val="0"/>
          <w:sz w:val="32"/>
          <w:szCs w:val="32"/>
          <w:highlight w:val="none"/>
          <w:u w:val="single"/>
          <w:lang w:bidi="ar"/>
        </w:rPr>
        <w:footnoteReference w:id="6"/>
      </w:r>
      <w:r>
        <w:rPr>
          <w:rFonts w:hint="eastAsia" w:ascii="仿宋_GB2312" w:hAnsi="仿宋_GB2312" w:eastAsia="仿宋_GB2312" w:cs="仿宋_GB2312"/>
          <w:kern w:val="0"/>
          <w:sz w:val="32"/>
          <w:szCs w:val="32"/>
          <w:highlight w:val="none"/>
          <w:lang w:bidi="ar"/>
        </w:rPr>
        <w:t>。加强对困难患者的救助。</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bidi="ar"/>
        </w:rPr>
        <w:t>提高妇女生殖健康和常见病防治水平。普及疾病防控知识，加强学生生殖健康教育，提高学生自我保护能力。倡导男女两性共担避孕责任。将生殖健康服务融入妇女健康管理全过程，保障妇女享有避孕节育知情自主选择权。落实基本避孕服务项目，加强产后和流产后避孕节育服务，预防非意愿妊娠。全面实行免费婚前孕前健康检查，</w:t>
      </w:r>
      <w:r>
        <w:rPr>
          <w:rFonts w:hint="eastAsia" w:ascii="仿宋" w:hAnsi="仿宋" w:eastAsia="仿宋" w:cs="仿宋"/>
          <w:kern w:val="0"/>
          <w:sz w:val="32"/>
          <w:szCs w:val="32"/>
          <w:highlight w:val="none"/>
          <w:u w:val="single"/>
          <w:lang w:eastAsia="zh-CN" w:bidi="ar"/>
        </w:rPr>
        <w:t>条件成熟时</w:t>
      </w:r>
      <w:r>
        <w:rPr>
          <w:rFonts w:hint="eastAsia" w:ascii="仿宋_GB2312" w:hAnsi="仿宋_GB2312" w:eastAsia="仿宋_GB2312" w:cs="仿宋_GB2312"/>
          <w:kern w:val="0"/>
          <w:sz w:val="32"/>
          <w:szCs w:val="32"/>
          <w:highlight w:val="none"/>
          <w:lang w:bidi="ar"/>
        </w:rPr>
        <w:t>建立紧邻婚姻登记处的“一站式”婚育健康医学检查场所。规范服务，提升婚前孕前保健服务质量。减少非医学需要的人工流产。规范不孕不育症诊疗服务。规范人类辅助生殖技术应用。提高妇女常见病的防治水平。健全完善妇科疾病普查普治规范化流程和妇女常见病定期筛查制度。加大女性常见恶性疾病干预救治力度。</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lang w:bidi="ar"/>
        </w:rPr>
        <w:t>加强艾滋病、梅毒和乙肝病毒母婴传播防治。全面落实预防艾滋病、梅毒和乙肝病毒母婴传播综合干预措施，加大防治宣传和防控力度。加强对妇女感染者特别是流动妇女感染者及其家庭的医疗、健康咨询、心理和社会支持等服务，提高随访率。先天梅毒报告发病率下降到15/10万活产数以下。</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w:t>
      </w:r>
      <w:r>
        <w:rPr>
          <w:rFonts w:hint="eastAsia" w:ascii="仿宋_GB2312" w:hAnsi="仿宋_GB2312" w:eastAsia="仿宋_GB2312" w:cs="仿宋_GB2312"/>
          <w:kern w:val="0"/>
          <w:sz w:val="32"/>
          <w:szCs w:val="32"/>
          <w:highlight w:val="none"/>
          <w:lang w:bidi="ar"/>
        </w:rPr>
        <w:t>促进妇女心理健康。加强心理健康知识宣传，根据妇女需要开展心理咨询、评估和指导，促进妇女掌握基本的心理调适方法，预防抑郁、焦虑等心理问题。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w:t>
      </w:r>
      <w:r>
        <w:rPr>
          <w:rFonts w:hint="eastAsia" w:ascii="仿宋_GB2312" w:hAnsi="仿宋_GB2312" w:eastAsia="仿宋_GB2312" w:cs="仿宋_GB2312"/>
          <w:kern w:val="0"/>
          <w:sz w:val="32"/>
          <w:szCs w:val="32"/>
          <w:highlight w:val="none"/>
          <w:lang w:bidi="ar"/>
        </w:rPr>
        <w:t>提升妇女健康素养。加大妇女健康知识普及力度，建立完善健康科普专家库和资源库，持续深入开展健康科普宣传教育，规范发布妇女健康信息，引导妇女树立科学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10．</w:t>
      </w:r>
      <w:r>
        <w:rPr>
          <w:rFonts w:hint="eastAsia" w:ascii="仿宋_GB2312" w:hAnsi="仿宋_GB2312" w:eastAsia="仿宋_GB2312" w:cs="仿宋_GB2312"/>
          <w:kern w:val="0"/>
          <w:sz w:val="32"/>
          <w:szCs w:val="32"/>
          <w:highlight w:val="none"/>
          <w:lang w:bidi="ar"/>
        </w:rPr>
        <w:t>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开展孕产妇营养监测和定期评估，预防和减少孕产妇缺铁性贫血。预防控制老年妇女低体重和贫血。定期为65岁及以上妇女提供生活方式和健康状况评估、体格检查、辅助检查和健康指导等服务，提供中医体质辨识和中医药保健指导。</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11．</w:t>
      </w:r>
      <w:r>
        <w:rPr>
          <w:rFonts w:hint="eastAsia" w:ascii="仿宋_GB2312" w:hAnsi="仿宋_GB2312" w:eastAsia="仿宋_GB2312" w:cs="仿宋_GB2312"/>
          <w:kern w:val="0"/>
          <w:sz w:val="32"/>
          <w:szCs w:val="32"/>
          <w:highlight w:val="none"/>
          <w:lang w:bidi="ar"/>
        </w:rPr>
        <w:t>引导妇女积极参与全民健身行动。完善全民健身公共服务体系，构建全</w:t>
      </w:r>
      <w:r>
        <w:rPr>
          <w:rFonts w:hint="eastAsia" w:ascii="仿宋_GB2312" w:hAnsi="仿宋_GB2312" w:eastAsia="仿宋_GB2312" w:cs="仿宋_GB2312"/>
          <w:kern w:val="0"/>
          <w:sz w:val="32"/>
          <w:szCs w:val="32"/>
          <w:highlight w:val="none"/>
          <w:lang w:eastAsia="zh-CN" w:bidi="ar"/>
        </w:rPr>
        <w:t>县</w:t>
      </w:r>
      <w:r>
        <w:rPr>
          <w:rFonts w:hint="eastAsia" w:ascii="仿宋_GB2312" w:hAnsi="仿宋_GB2312" w:eastAsia="仿宋_GB2312" w:cs="仿宋_GB2312"/>
          <w:kern w:val="0"/>
          <w:sz w:val="32"/>
          <w:szCs w:val="32"/>
          <w:highlight w:val="none"/>
          <w:lang w:bidi="ar"/>
        </w:rPr>
        <w:t>城乡15分钟健身圈。发展妇女喜闻乐见的健身运动项目，传承推广岭南传统体育项目，开发适合不同妇女群体、不同地域特点的特色运动项目，因地制宜开展各类户外体育活动。引导妇女有效利用全民健身场地设施，积极参与全民健身赛事活动，加入各类健身组织。提倡机关、企事业单位开展工间操。鼓励支持工会组织、社区开展妇女健身活动，为妇女提供科学健身指导服务。</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12．</w:t>
      </w:r>
      <w:r>
        <w:rPr>
          <w:rFonts w:hint="eastAsia" w:ascii="仿宋_GB2312" w:hAnsi="仿宋_GB2312" w:eastAsia="仿宋_GB2312" w:cs="仿宋_GB2312"/>
          <w:kern w:val="0"/>
          <w:sz w:val="32"/>
          <w:szCs w:val="32"/>
          <w:highlight w:val="none"/>
          <w:lang w:bidi="ar"/>
        </w:rPr>
        <w:t>保障女性健康卫生用品产品的质量。加强对女性用品的产品质量监督抽查，依法查处假冒伪劣产品，及时公开发布有关质量信息，保障妇女合法消费及健康权益。全面强化广告导向监管，组织开展食品、化妆品、服装服饰、美容等妇女重点消费领域广告监测，加强广告监管执法。</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仿宋_GB2312" w:hAnsi="仿宋_GB2312" w:eastAsia="仿宋_GB2312" w:cs="仿宋_GB2312"/>
          <w:kern w:val="0"/>
          <w:sz w:val="32"/>
          <w:szCs w:val="32"/>
          <w:highlight w:val="none"/>
          <w:lang w:val="en-US" w:eastAsia="zh-CN" w:bidi="ar"/>
        </w:rPr>
        <w:t>13．</w:t>
      </w:r>
      <w:r>
        <w:rPr>
          <w:rFonts w:hint="eastAsia" w:ascii="仿宋_GB2312" w:hAnsi="仿宋_GB2312" w:eastAsia="仿宋_GB2312" w:cs="仿宋_GB2312"/>
          <w:kern w:val="0"/>
          <w:sz w:val="32"/>
          <w:szCs w:val="32"/>
          <w:highlight w:val="none"/>
          <w:lang w:bidi="ar"/>
        </w:rPr>
        <w:t>强化妇女健康服务科技支撑。推进“互联网+妇幼健康”和“5G智慧医院”建设，促进信息技术在妇女健康领域专科医联体建设中的应用，加强医疗机构间的协作，促进分级诊疗和上下联动。健全完善妇幼保健全程信息化管理和跟踪机制，实现婚前检查、围产期管理、住院分娩、产后保健、0—6岁儿童保健管理等信息互联互通、多证联办。建立妇女儿童健康管理信息数据库，实现社区、医院与妇幼保健机构信息共享。</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7" w:name="_Toc5137"/>
      <w:r>
        <w:rPr>
          <w:rFonts w:hint="eastAsia" w:ascii="楷体_GB2312" w:hAnsi="楷体_GB2312" w:eastAsia="楷体_GB2312" w:cs="楷体_GB2312"/>
          <w:highlight w:val="none"/>
          <w:lang w:bidi="ar"/>
        </w:rPr>
        <w:t>（二）妇女与教育。</w:t>
      </w:r>
      <w:bookmarkEnd w:id="7"/>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bidi="ar"/>
        </w:rPr>
        <w:t>加强思想政治教育，增进妇女对习近平新时代中国特色社会主义思想的政治认同、思想认同、情感认同，引领妇女做伟大事业的建设者、文明风尚的倡导者、敢于追梦的奋斗者。</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bidi="ar"/>
        </w:rPr>
        <w:t>教育工作全面贯彻男女平等基本国策。大中小学性别平等教育全面推进，教师和学生的男女平等意识明显增强。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bidi="ar"/>
        </w:rPr>
        <w:t>女童平等接受学前教育，学前教育毛入园率达到100%。</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bidi="ar"/>
        </w:rPr>
        <w:t>女童平等接受义务教育，女童九年义务教育巩固率稳定在96%以上。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女性平等接受高中阶段教育，女生高中阶段教育毛入学率达到98%。</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bidi="ar"/>
        </w:rPr>
        <w:t>女性接受职业教育的水平逐步提高。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lang w:bidi="ar"/>
        </w:rPr>
        <w:t>保障女性平等接受高等教育的权利和机会。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w:t>
      </w:r>
      <w:r>
        <w:rPr>
          <w:rFonts w:hint="eastAsia" w:ascii="仿宋_GB2312" w:hAnsi="仿宋_GB2312" w:eastAsia="仿宋_GB2312" w:cs="仿宋_GB2312"/>
          <w:kern w:val="0"/>
          <w:sz w:val="32"/>
          <w:szCs w:val="32"/>
          <w:highlight w:val="none"/>
          <w:lang w:bidi="ar"/>
        </w:rPr>
        <w:t>大力培养女性科技人才。男女两性的科学素质水平差距不断缩小。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w:t>
      </w:r>
      <w:r>
        <w:rPr>
          <w:rFonts w:hint="eastAsia" w:ascii="仿宋_GB2312" w:hAnsi="仿宋_GB2312" w:eastAsia="仿宋_GB2312" w:cs="仿宋_GB2312"/>
          <w:kern w:val="0"/>
          <w:sz w:val="32"/>
          <w:szCs w:val="32"/>
          <w:highlight w:val="none"/>
          <w:lang w:bidi="ar"/>
        </w:rPr>
        <w:t>促进女性树立终身学习意识，女性接受终身教育水平不断提高。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bidi="ar"/>
        </w:rPr>
        <w:t>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到党和国家事业大局，做新时代新女性，为</w:t>
      </w:r>
      <w:r>
        <w:rPr>
          <w:rFonts w:hint="eastAsia" w:ascii="仿宋_GB2312" w:hAnsi="仿宋_GB2312" w:eastAsia="仿宋_GB2312" w:cs="仿宋_GB2312"/>
          <w:kern w:val="0"/>
          <w:sz w:val="32"/>
          <w:szCs w:val="32"/>
          <w:highlight w:val="none"/>
          <w:lang w:eastAsia="zh-CN" w:bidi="ar"/>
        </w:rPr>
        <w:t>陆河</w:t>
      </w:r>
      <w:r>
        <w:rPr>
          <w:rFonts w:hint="eastAsia" w:ascii="仿宋_GB2312" w:hAnsi="仿宋_GB2312" w:eastAsia="仿宋_GB2312" w:cs="仿宋_GB2312"/>
          <w:kern w:val="0"/>
          <w:sz w:val="32"/>
          <w:szCs w:val="32"/>
          <w:highlight w:val="none"/>
          <w:lang w:bidi="ar"/>
        </w:rPr>
        <w:t>经济社会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表彰、宣传妇女先进集体和个人，激励妇女崇尚先进、学习先进、争当先进。</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2．将</w:t>
      </w:r>
      <w:r>
        <w:rPr>
          <w:rFonts w:hint="eastAsia" w:ascii="仿宋_GB2312" w:hAnsi="仿宋_GB2312" w:eastAsia="仿宋_GB2312" w:cs="仿宋_GB2312"/>
          <w:kern w:val="0"/>
          <w:sz w:val="32"/>
          <w:szCs w:val="32"/>
          <w:highlight w:val="none"/>
          <w:lang w:bidi="ar"/>
        </w:rPr>
        <w:t>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w:t>
      </w:r>
      <w:r>
        <w:rPr>
          <w:rFonts w:hint="eastAsia" w:ascii="仿宋" w:hAnsi="仿宋" w:eastAsia="仿宋" w:cs="仿宋"/>
          <w:kern w:val="0"/>
          <w:sz w:val="32"/>
          <w:szCs w:val="32"/>
          <w:highlight w:val="none"/>
          <w:u w:val="single"/>
          <w:lang w:eastAsia="zh-CN" w:bidi="ar"/>
        </w:rPr>
        <w:t>专业</w:t>
      </w:r>
      <w:r>
        <w:rPr>
          <w:rFonts w:hint="eastAsia" w:ascii="仿宋_GB2312" w:hAnsi="仿宋_GB2312" w:eastAsia="仿宋_GB2312" w:cs="仿宋_GB2312"/>
          <w:kern w:val="0"/>
          <w:sz w:val="32"/>
          <w:szCs w:val="32"/>
          <w:highlight w:val="none"/>
          <w:lang w:bidi="ar"/>
        </w:rPr>
        <w:t>课程设置和教学、各级各类师资培训中加入性别平等内容。全面开展中小学（包括中职学校）性别平等教育工作，逐步推广到学前教育。适时出台性别平等教育工作指导意见，推动因地制宜开发性别平等课程。探索构建学校教育、家庭教育、社会教育相结合的性别平等教育模式，让性别平等成为全社会共同遵循的行为规范和价值标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bidi="ar"/>
        </w:rPr>
        <w:t>保障女童平等接受学前教育、义务教育的权利和机会。深化教育教学改革，均衡配置教育资源，统筹城乡义务教育一体化发展，确保女童平等接受公平优质的学前教育和义务教育。健全精准控辍保学长效机制，加强分类指导，督促法定监护人依法保障女童接受义务教育，切实解决义务教育女童失学辍学问题。保障</w:t>
      </w:r>
      <w:r>
        <w:rPr>
          <w:rFonts w:hint="eastAsia" w:ascii="仿宋" w:hAnsi="仿宋" w:eastAsia="仿宋" w:cs="仿宋"/>
          <w:kern w:val="0"/>
          <w:sz w:val="32"/>
          <w:szCs w:val="32"/>
          <w:highlight w:val="none"/>
          <w:u w:val="single"/>
          <w:lang w:eastAsia="zh-CN" w:bidi="ar"/>
        </w:rPr>
        <w:t>乡镇</w:t>
      </w:r>
      <w:r>
        <w:rPr>
          <w:rFonts w:hint="eastAsia" w:ascii="仿宋_GB2312" w:hAnsi="仿宋_GB2312" w:eastAsia="仿宋_GB2312" w:cs="仿宋_GB2312"/>
          <w:kern w:val="0"/>
          <w:sz w:val="32"/>
          <w:szCs w:val="32"/>
          <w:highlight w:val="none"/>
          <w:lang w:bidi="ar"/>
        </w:rPr>
        <w:t>女童、留守女童、农业转移人口随迁子女以及残疾女童的受教育权利和机会。支持学业困难女童完成义务教育，提高女童义务教育巩固率。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4．提</w:t>
      </w:r>
      <w:r>
        <w:rPr>
          <w:rFonts w:hint="eastAsia" w:ascii="仿宋_GB2312" w:hAnsi="仿宋_GB2312" w:eastAsia="仿宋_GB2312" w:cs="仿宋_GB2312"/>
          <w:kern w:val="0"/>
          <w:sz w:val="32"/>
          <w:szCs w:val="32"/>
          <w:highlight w:val="none"/>
          <w:lang w:bidi="ar"/>
        </w:rPr>
        <w:t>高女性接受普通高中教育的比例。保障女性特别是农村低收入家庭女性平等接受普通高中教育的权利和机会。推进普通高中多样化有特色发展，满足女性全面发展和个性化发展需求。有针对性地开展学科选择和职业生涯规划指导，提高女性自主选择能力，破除性别因素对女性学业和职业发展的影响。</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5．促</w:t>
      </w:r>
      <w:r>
        <w:rPr>
          <w:rFonts w:hint="eastAsia" w:ascii="仿宋_GB2312" w:hAnsi="仿宋_GB2312" w:eastAsia="仿宋_GB2312" w:cs="仿宋_GB2312"/>
          <w:kern w:val="0"/>
          <w:sz w:val="32"/>
          <w:szCs w:val="32"/>
          <w:highlight w:val="none"/>
          <w:lang w:bidi="ar"/>
        </w:rPr>
        <w:t>进女性接受高质量职业教育。完善学历教育与培训并重的现代职业教育体系，优化专业设置，提供多种学习方式，支持女性获得职业技能等级证书，培养复合型技术技能女性人才和能工巧匠、大国工匠。鼓励</w:t>
      </w:r>
      <w:r>
        <w:rPr>
          <w:rFonts w:hint="eastAsia" w:ascii="仿宋_GB2312" w:hAnsi="仿宋_GB2312" w:eastAsia="仿宋_GB2312" w:cs="仿宋_GB2312"/>
          <w:kern w:val="0"/>
          <w:sz w:val="32"/>
          <w:szCs w:val="32"/>
          <w:highlight w:val="none"/>
          <w:u w:val="single"/>
          <w:lang w:eastAsia="zh-CN" w:bidi="ar"/>
        </w:rPr>
        <w:t>中职学校面向</w:t>
      </w:r>
      <w:r>
        <w:rPr>
          <w:rFonts w:hint="eastAsia" w:ascii="仿宋" w:hAnsi="仿宋" w:eastAsia="仿宋" w:cs="仿宋"/>
          <w:kern w:val="0"/>
          <w:sz w:val="32"/>
          <w:szCs w:val="32"/>
          <w:highlight w:val="none"/>
          <w:u w:val="single"/>
          <w:lang w:eastAsia="zh-CN" w:bidi="ar"/>
        </w:rPr>
        <w:t>女初中毕业生</w:t>
      </w:r>
      <w:r>
        <w:rPr>
          <w:rFonts w:hint="eastAsia" w:ascii="仿宋_GB2312" w:hAnsi="仿宋_GB2312" w:eastAsia="仿宋_GB2312" w:cs="仿宋_GB2312"/>
          <w:kern w:val="0"/>
          <w:sz w:val="32"/>
          <w:szCs w:val="32"/>
          <w:highlight w:val="none"/>
          <w:u w:val="single"/>
          <w:lang w:bidi="ar"/>
        </w:rPr>
        <w:t>、</w:t>
      </w:r>
      <w:r>
        <w:rPr>
          <w:rFonts w:hint="eastAsia" w:ascii="仿宋_GB2312" w:hAnsi="仿宋_GB2312" w:eastAsia="仿宋_GB2312" w:cs="仿宋_GB2312"/>
          <w:kern w:val="0"/>
          <w:sz w:val="32"/>
          <w:szCs w:val="32"/>
          <w:highlight w:val="none"/>
          <w:u w:val="single"/>
          <w:lang w:eastAsia="zh-CN" w:bidi="ar"/>
        </w:rPr>
        <w:t>女</w:t>
      </w:r>
      <w:r>
        <w:rPr>
          <w:rFonts w:hint="eastAsia" w:ascii="仿宋_GB2312" w:hAnsi="仿宋_GB2312" w:eastAsia="仿宋_GB2312" w:cs="仿宋_GB2312"/>
          <w:kern w:val="0"/>
          <w:sz w:val="32"/>
          <w:szCs w:val="32"/>
          <w:highlight w:val="none"/>
          <w:u w:val="single"/>
          <w:lang w:bidi="ar"/>
        </w:rPr>
        <w:t>农民工</w:t>
      </w:r>
      <w:r>
        <w:rPr>
          <w:rFonts w:hint="eastAsia" w:ascii="仿宋_GB2312" w:hAnsi="仿宋_GB2312" w:eastAsia="仿宋_GB2312" w:cs="仿宋_GB2312"/>
          <w:kern w:val="0"/>
          <w:sz w:val="32"/>
          <w:szCs w:val="32"/>
          <w:highlight w:val="none"/>
          <w:u w:val="single"/>
          <w:lang w:eastAsia="zh-CN" w:bidi="ar"/>
        </w:rPr>
        <w:t>、女职工</w:t>
      </w:r>
      <w:r>
        <w:rPr>
          <w:rFonts w:hint="eastAsia" w:ascii="仿宋_GB2312" w:hAnsi="仿宋_GB2312" w:eastAsia="仿宋_GB2312" w:cs="仿宋_GB2312"/>
          <w:kern w:val="0"/>
          <w:sz w:val="32"/>
          <w:szCs w:val="32"/>
          <w:highlight w:val="none"/>
          <w:lang w:bidi="ar"/>
        </w:rPr>
        <w:t>等重点人群开展就业创业和职业技能培训。</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bidi="ar"/>
        </w:rPr>
        <w:t>保障女性平等接受高等教育的权利和机会。严格控制招生过程中的特殊专业范围，强化监管，建立约谈、处罚机制。采取激励措施，提高女性在科学、技术、工程、数学等学科学生中的比例，支持数理化生等基础学科基地和前沿科学中心建设，加强对基础学科拔尖女生的培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lang w:bidi="ar"/>
        </w:rPr>
        <w:t>大力提高女性科学素质，培养女性科技人才。开展全民科学素质行动，利用现代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探索建立多层次女性科技人才培养体系，完善女性科技人才评价激励机制。依托省重大人才工程、“汕尾市红海扬帆人才计划”</w:t>
      </w:r>
      <w:r>
        <w:rPr>
          <w:rFonts w:hint="eastAsia" w:ascii="仿宋" w:hAnsi="仿宋" w:eastAsia="仿宋" w:cs="仿宋"/>
          <w:kern w:val="0"/>
          <w:sz w:val="32"/>
          <w:szCs w:val="32"/>
          <w:highlight w:val="none"/>
          <w:u w:val="single"/>
          <w:lang w:eastAsia="zh-CN" w:bidi="ar"/>
        </w:rPr>
        <w:t>“陆河县人才计划”</w:t>
      </w:r>
      <w:r>
        <w:rPr>
          <w:rStyle w:val="19"/>
          <w:rFonts w:hint="eastAsia" w:ascii="仿宋" w:hAnsi="仿宋" w:eastAsia="仿宋" w:cs="仿宋"/>
          <w:kern w:val="0"/>
          <w:sz w:val="32"/>
          <w:szCs w:val="32"/>
          <w:highlight w:val="none"/>
          <w:u w:val="single"/>
          <w:lang w:eastAsia="zh-CN" w:bidi="ar"/>
        </w:rPr>
        <w:footnoteReference w:id="7"/>
      </w:r>
      <w:r>
        <w:rPr>
          <w:rFonts w:hint="eastAsia" w:ascii="仿宋_GB2312" w:hAnsi="仿宋_GB2312" w:eastAsia="仿宋_GB2312" w:cs="仿宋_GB2312"/>
          <w:kern w:val="0"/>
          <w:sz w:val="32"/>
          <w:szCs w:val="32"/>
          <w:highlight w:val="none"/>
          <w:lang w:bidi="ar"/>
        </w:rPr>
        <w:t>和</w:t>
      </w:r>
      <w:r>
        <w:rPr>
          <w:rFonts w:hint="eastAsia" w:ascii="仿宋" w:hAnsi="仿宋" w:eastAsia="仿宋" w:cs="仿宋"/>
          <w:kern w:val="0"/>
          <w:sz w:val="32"/>
          <w:szCs w:val="32"/>
          <w:highlight w:val="none"/>
          <w:u w:val="single"/>
          <w:lang w:bidi="ar"/>
        </w:rPr>
        <w:t>依托生物医药、现代农业、新能源汽车、新材料、节能环保等产业龙头企业，推动深圳、广州等粤港澳大湾区核心城市高校、科研院所到陆河布局建设创新平台，建设科技成果中试基地，</w:t>
      </w:r>
      <w:r>
        <w:rPr>
          <w:rStyle w:val="19"/>
          <w:rFonts w:hint="eastAsia" w:ascii="仿宋" w:hAnsi="仿宋" w:eastAsia="仿宋" w:cs="仿宋"/>
          <w:kern w:val="0"/>
          <w:sz w:val="32"/>
          <w:szCs w:val="32"/>
          <w:highlight w:val="none"/>
          <w:u w:val="single"/>
          <w:lang w:bidi="ar"/>
        </w:rPr>
        <w:footnoteReference w:id="8"/>
      </w:r>
      <w:r>
        <w:rPr>
          <w:rFonts w:hint="eastAsia" w:ascii="仿宋_GB2312" w:hAnsi="仿宋_GB2312" w:eastAsia="仿宋_GB2312" w:cs="仿宋_GB2312"/>
          <w:kern w:val="0"/>
          <w:sz w:val="32"/>
          <w:szCs w:val="32"/>
          <w:highlight w:val="none"/>
          <w:lang w:bidi="ar"/>
        </w:rPr>
        <w:t>增加女性科技人员在重大科研项目和重大工程项目中的参与程度，培养造就高层次女性科技人才。</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8．为</w:t>
      </w:r>
      <w:r>
        <w:rPr>
          <w:rFonts w:hint="eastAsia" w:ascii="仿宋_GB2312" w:hAnsi="仿宋_GB2312" w:eastAsia="仿宋_GB2312" w:cs="仿宋_GB2312"/>
          <w:kern w:val="0"/>
          <w:sz w:val="32"/>
          <w:szCs w:val="32"/>
          <w:highlight w:val="none"/>
          <w:lang w:bidi="ar"/>
        </w:rPr>
        <w:t>女性终身学习提供支持。建立完善更加开放灵活的终身学习体系，完善注册学习、弹性学习和继续教育制度，拓宽学历教育渠道，满足女性多样化学习需求，关注因生育中断学业和职业的女性发展需求。积极参与广东终身教育学分银行建设，推动终身教育资历框架等级标准的实践应用，促进各级各类教育沟通衔接。为女性提供便捷的社区和在线教育，为进城务工女性、女性新市民、待业女性等提供有针对性的职业技能培训。健全继续教育激励机制，支持用人单位为从业妇女提供继续教育的机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仿宋_GB2312" w:hAnsi="仿宋_GB2312" w:eastAsia="仿宋_GB2312" w:cs="仿宋_GB2312"/>
          <w:kern w:val="0"/>
          <w:sz w:val="32"/>
          <w:szCs w:val="32"/>
          <w:highlight w:val="none"/>
          <w:lang w:val="en-US" w:eastAsia="zh-CN" w:bidi="ar"/>
        </w:rPr>
        <w:t>9．构</w:t>
      </w:r>
      <w:r>
        <w:rPr>
          <w:rFonts w:hint="eastAsia" w:ascii="仿宋_GB2312" w:hAnsi="仿宋_GB2312" w:eastAsia="仿宋_GB2312" w:cs="仿宋_GB2312"/>
          <w:kern w:val="0"/>
          <w:sz w:val="32"/>
          <w:szCs w:val="32"/>
          <w:highlight w:val="none"/>
          <w:lang w:bidi="ar"/>
        </w:rPr>
        <w:t>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8" w:name="_Toc5738"/>
      <w:r>
        <w:rPr>
          <w:rFonts w:hint="eastAsia" w:ascii="楷体_GB2312" w:hAnsi="楷体_GB2312" w:eastAsia="楷体_GB2312" w:cs="楷体_GB2312"/>
          <w:highlight w:val="none"/>
          <w:lang w:bidi="ar"/>
        </w:rPr>
        <w:t>（三）妇女与经济。</w:t>
      </w:r>
      <w:bookmarkEnd w:id="8"/>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1．鼓</w:t>
      </w:r>
      <w:r>
        <w:rPr>
          <w:rFonts w:hint="eastAsia" w:ascii="仿宋_GB2312" w:hAnsi="仿宋_GB2312" w:eastAsia="仿宋_GB2312" w:cs="仿宋_GB2312"/>
          <w:kern w:val="0"/>
          <w:sz w:val="32"/>
          <w:szCs w:val="32"/>
          <w:highlight w:val="none"/>
          <w:lang w:bidi="ar"/>
        </w:rPr>
        <w:t>励支持妇女为推动经济高质量发展贡献力量，妇女平等参与经济发展的权利和机会得到保障。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2．促进</w:t>
      </w:r>
      <w:r>
        <w:rPr>
          <w:rFonts w:hint="eastAsia" w:ascii="仿宋_GB2312" w:hAnsi="仿宋_GB2312" w:eastAsia="仿宋_GB2312" w:cs="仿宋_GB2312"/>
          <w:kern w:val="0"/>
          <w:sz w:val="32"/>
          <w:szCs w:val="32"/>
          <w:highlight w:val="none"/>
          <w:lang w:bidi="ar"/>
        </w:rPr>
        <w:t>平等就业，消除就业性别歧视。就业人员中的女性比例保持在45%左右。促进女大学生充分就业。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3．优化</w:t>
      </w:r>
      <w:r>
        <w:rPr>
          <w:rFonts w:hint="eastAsia" w:ascii="仿宋_GB2312" w:hAnsi="仿宋_GB2312" w:eastAsia="仿宋_GB2312" w:cs="仿宋_GB2312"/>
          <w:kern w:val="0"/>
          <w:sz w:val="32"/>
          <w:szCs w:val="32"/>
          <w:highlight w:val="none"/>
          <w:lang w:bidi="ar"/>
        </w:rPr>
        <w:t>妇女就业结构。城镇单位就业人员中的女性比例达到42%以上。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4．促</w:t>
      </w:r>
      <w:r>
        <w:rPr>
          <w:rFonts w:hint="eastAsia" w:ascii="仿宋_GB2312" w:hAnsi="仿宋_GB2312" w:eastAsia="仿宋_GB2312" w:cs="仿宋_GB2312"/>
          <w:kern w:val="0"/>
          <w:sz w:val="32"/>
          <w:szCs w:val="32"/>
          <w:highlight w:val="none"/>
          <w:lang w:bidi="ar"/>
        </w:rPr>
        <w:t>进女性人才发展。高级专业技术人员中的女性比例达到40%。</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5．促进</w:t>
      </w:r>
      <w:r>
        <w:rPr>
          <w:rFonts w:hint="eastAsia" w:ascii="仿宋_GB2312" w:hAnsi="仿宋_GB2312" w:eastAsia="仿宋_GB2312" w:cs="仿宋_GB2312"/>
          <w:kern w:val="0"/>
          <w:sz w:val="32"/>
          <w:szCs w:val="32"/>
          <w:highlight w:val="none"/>
          <w:lang w:bidi="ar"/>
        </w:rPr>
        <w:t>女性劳动者提升技能水平。企业女职工接受职业技能培训的比例保持并巩固在95%以上，农村技能培训女性人数占总培训人数比例达50%左右。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6．保障</w:t>
      </w:r>
      <w:r>
        <w:rPr>
          <w:rFonts w:hint="eastAsia" w:ascii="仿宋_GB2312" w:hAnsi="仿宋_GB2312" w:eastAsia="仿宋_GB2312" w:cs="仿宋_GB2312"/>
          <w:kern w:val="0"/>
          <w:sz w:val="32"/>
          <w:szCs w:val="32"/>
          <w:highlight w:val="none"/>
          <w:lang w:bidi="ar"/>
        </w:rPr>
        <w:t>妇女获得公平的劳动报酬，男女收入差距明显缩小。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7．保障</w:t>
      </w:r>
      <w:r>
        <w:rPr>
          <w:rFonts w:hint="eastAsia" w:ascii="仿宋_GB2312" w:hAnsi="仿宋_GB2312" w:eastAsia="仿宋_GB2312" w:cs="仿宋_GB2312"/>
          <w:kern w:val="0"/>
          <w:sz w:val="32"/>
          <w:szCs w:val="32"/>
          <w:highlight w:val="none"/>
          <w:lang w:bidi="ar"/>
        </w:rPr>
        <w:t>女性劳动者劳动安全和健康。女职工职业病发病率明显降低。</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8．保</w:t>
      </w:r>
      <w:r>
        <w:rPr>
          <w:rFonts w:hint="eastAsia" w:ascii="仿宋_GB2312" w:hAnsi="仿宋_GB2312" w:eastAsia="仿宋_GB2312" w:cs="仿宋_GB2312"/>
          <w:kern w:val="0"/>
          <w:sz w:val="32"/>
          <w:szCs w:val="32"/>
          <w:highlight w:val="none"/>
          <w:lang w:bidi="ar"/>
        </w:rPr>
        <w:t>障农村妇女平等享有土地承包经营权、宅基地使用权等权益，平等享有农村集体经济组织收益分配、土地征收或征用安置补偿权益。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9．妇</w:t>
      </w:r>
      <w:r>
        <w:rPr>
          <w:rFonts w:hint="eastAsia" w:ascii="仿宋_GB2312" w:hAnsi="仿宋_GB2312" w:eastAsia="仿宋_GB2312" w:cs="仿宋_GB2312"/>
          <w:kern w:val="0"/>
          <w:sz w:val="32"/>
          <w:szCs w:val="32"/>
          <w:highlight w:val="none"/>
          <w:lang w:bidi="ar"/>
        </w:rPr>
        <w:t>女在实施乡村振兴战略中的作用充分发挥，农村低收入妇女群体的可持续发展能力增强。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1．完善</w:t>
      </w:r>
      <w:r>
        <w:rPr>
          <w:rFonts w:hint="eastAsia" w:ascii="仿宋_GB2312" w:hAnsi="仿宋_GB2312" w:eastAsia="仿宋_GB2312" w:cs="仿宋_GB2312"/>
          <w:kern w:val="0"/>
          <w:sz w:val="32"/>
          <w:szCs w:val="32"/>
          <w:highlight w:val="none"/>
          <w:lang w:bidi="ar"/>
        </w:rPr>
        <w:t>保障妇女平等获得经济资源、参与经济建设、享有经济发展成果的政策。制定实施支持女性科技人才在创新发展中发挥更大作用的政策措施。建立健全妇女在就业创业、职业发展、劳动报酬、职业健康与安全、职业退出、土地等方面的权益保障机制，加大新业态从业人员劳动权益保障力度，为妇女充分参与经济高质量发展创造有利条件。缩小男女两性在分享经济决策权上的差距，拓宽妇女平等参与经济决策的机会和途径，提高妇女参与经济决策及管理的水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2．加</w:t>
      </w:r>
      <w:r>
        <w:rPr>
          <w:rFonts w:hint="eastAsia" w:ascii="仿宋_GB2312" w:hAnsi="仿宋_GB2312" w:eastAsia="仿宋_GB2312" w:cs="仿宋_GB2312"/>
          <w:kern w:val="0"/>
          <w:sz w:val="32"/>
          <w:szCs w:val="32"/>
          <w:highlight w:val="none"/>
          <w:lang w:bidi="ar"/>
        </w:rPr>
        <w:t>大消除就业性别歧视的工作力度。全面落实消除就业性别歧视的法律法规政策，创造性别平等的就业机制和市场环境。对在招聘、录用职工或劳动管理过程中涉嫌性别歧视、侵害女性特殊劳动权益行为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建立企业性别平等激励机制，鼓励用人单位招录女性。发挥行业协会、商会协调监督作用，提高行业自律意识。党政机关、国有企事业单位在招录（聘）和职工晋职晋级、评定专业技术职称等方面发挥男女平等的示范引领作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3．促进</w:t>
      </w:r>
      <w:r>
        <w:rPr>
          <w:rFonts w:hint="eastAsia" w:ascii="仿宋_GB2312" w:hAnsi="仿宋_GB2312" w:eastAsia="仿宋_GB2312" w:cs="仿宋_GB2312"/>
          <w:kern w:val="0"/>
          <w:sz w:val="32"/>
          <w:szCs w:val="32"/>
          <w:highlight w:val="none"/>
          <w:lang w:bidi="ar"/>
        </w:rPr>
        <w:t>妇女就业创业。强化就业政策与经济、社会政策的衔接，做好妇女就业状况调查分析工作。优化升级援企稳岗政策，增加妇女就业岗位。壮大新动能，培育新就业增长点，扩大妇女灵活就业、新就业形态空间。完善妇女就业服务体系，丰富公共就业服务渠道，完善普惠性创业扶持政策，推进创业孵化载体建设，鼓励女性举办或参加</w:t>
      </w:r>
      <w:r>
        <w:rPr>
          <w:rFonts w:hint="eastAsia" w:ascii="仿宋" w:hAnsi="仿宋" w:eastAsia="仿宋" w:cs="仿宋"/>
          <w:kern w:val="0"/>
          <w:sz w:val="32"/>
          <w:szCs w:val="32"/>
          <w:highlight w:val="none"/>
          <w:u w:val="single"/>
          <w:lang w:eastAsia="zh-CN" w:bidi="ar"/>
        </w:rPr>
        <w:t>科技创业大赛、创业沙龙、创业大讲堂、创业训练营等创业活动</w:t>
      </w:r>
      <w:r>
        <w:rPr>
          <w:rStyle w:val="19"/>
          <w:rFonts w:hint="eastAsia" w:ascii="仿宋" w:hAnsi="仿宋" w:eastAsia="仿宋" w:cs="仿宋"/>
          <w:kern w:val="0"/>
          <w:sz w:val="32"/>
          <w:szCs w:val="32"/>
          <w:highlight w:val="none"/>
          <w:u w:val="single"/>
          <w:lang w:eastAsia="zh-CN" w:bidi="ar"/>
        </w:rPr>
        <w:footnoteReference w:id="9"/>
      </w:r>
      <w:r>
        <w:rPr>
          <w:rFonts w:hint="eastAsia" w:ascii="仿宋_GB2312" w:hAnsi="仿宋_GB2312" w:eastAsia="仿宋_GB2312" w:cs="仿宋_GB2312"/>
          <w:kern w:val="0"/>
          <w:sz w:val="32"/>
          <w:szCs w:val="32"/>
          <w:highlight w:val="none"/>
          <w:lang w:bidi="ar"/>
        </w:rPr>
        <w:t>，探索建立优秀创业项目资助制度。扩大公益性岗位安置，帮扶残疾妇女、零就业家庭成员等就业困难妇女就地就近就业。深入实施职业技能提升行动，</w:t>
      </w:r>
      <w:r>
        <w:rPr>
          <w:rFonts w:hint="eastAsia" w:ascii="仿宋" w:hAnsi="仿宋" w:eastAsia="仿宋" w:cs="仿宋"/>
          <w:kern w:val="0"/>
          <w:sz w:val="32"/>
          <w:szCs w:val="32"/>
          <w:highlight w:val="none"/>
          <w:u w:val="single"/>
          <w:lang w:bidi="ar"/>
        </w:rPr>
        <w:t>加快建设陆河县公共实训大楼“粤菜师傅”“南粤家政”培训基地、汕尾市家政服务综合服务基地陆河分基地，</w:t>
      </w:r>
      <w:r>
        <w:rPr>
          <w:rStyle w:val="19"/>
          <w:rFonts w:hint="eastAsia" w:ascii="仿宋" w:hAnsi="仿宋" w:eastAsia="仿宋" w:cs="仿宋"/>
          <w:kern w:val="0"/>
          <w:sz w:val="32"/>
          <w:szCs w:val="32"/>
          <w:highlight w:val="none"/>
          <w:u w:val="single"/>
          <w:lang w:bidi="ar"/>
        </w:rPr>
        <w:footnoteReference w:id="10"/>
      </w:r>
      <w:r>
        <w:rPr>
          <w:rFonts w:hint="eastAsia" w:ascii="仿宋_GB2312" w:hAnsi="仿宋_GB2312" w:eastAsia="仿宋_GB2312" w:cs="仿宋_GB2312"/>
          <w:kern w:val="0"/>
          <w:sz w:val="32"/>
          <w:szCs w:val="32"/>
          <w:highlight w:val="none"/>
          <w:lang w:bidi="ar"/>
        </w:rPr>
        <w:t>推进“粤菜</w:t>
      </w:r>
      <w:r>
        <w:rPr>
          <w:rFonts w:hint="eastAsia" w:ascii="仿宋" w:hAnsi="仿宋" w:eastAsia="仿宋" w:cs="仿宋"/>
          <w:kern w:val="0"/>
          <w:sz w:val="32"/>
          <w:szCs w:val="32"/>
          <w:highlight w:val="none"/>
          <w:u w:val="single"/>
          <w:lang w:eastAsia="zh-CN" w:bidi="ar"/>
        </w:rPr>
        <w:t>（客家菜）</w:t>
      </w:r>
      <w:r>
        <w:rPr>
          <w:rStyle w:val="19"/>
          <w:rFonts w:hint="eastAsia" w:ascii="仿宋" w:hAnsi="仿宋" w:eastAsia="仿宋" w:cs="仿宋"/>
          <w:kern w:val="0"/>
          <w:sz w:val="32"/>
          <w:szCs w:val="32"/>
          <w:highlight w:val="none"/>
          <w:u w:val="single"/>
          <w:lang w:eastAsia="zh-CN" w:bidi="ar"/>
        </w:rPr>
        <w:footnoteReference w:id="11"/>
      </w:r>
      <w:r>
        <w:rPr>
          <w:rFonts w:hint="eastAsia" w:ascii="仿宋_GB2312" w:hAnsi="仿宋_GB2312" w:eastAsia="仿宋_GB2312" w:cs="仿宋_GB2312"/>
          <w:kern w:val="0"/>
          <w:sz w:val="32"/>
          <w:szCs w:val="32"/>
          <w:highlight w:val="none"/>
          <w:lang w:bidi="ar"/>
        </w:rPr>
        <w:t>师傅”“广东技工”“南粤家政”三项工程高质量发展。加快培育数字经济新兴就业机会，持续提升妇女数字技能，加大对女性在互联网、大数据等高新科技领域创业的扶持力度，引导广大妇女运用电子商务、微信平台等新技术，</w:t>
      </w:r>
      <w:r>
        <w:rPr>
          <w:rFonts w:hint="eastAsia" w:ascii="仿宋" w:hAnsi="仿宋" w:eastAsia="仿宋" w:cs="仿宋"/>
          <w:kern w:val="0"/>
          <w:sz w:val="32"/>
          <w:szCs w:val="32"/>
          <w:highlight w:val="none"/>
          <w:u w:val="single"/>
          <w:lang w:bidi="ar"/>
        </w:rPr>
        <w:t>构建“农户+农村销 售合作组织+平台+网上零售商+消费者”新型的电子商务流通链</w:t>
      </w:r>
      <w:r>
        <w:rPr>
          <w:rFonts w:hint="eastAsia" w:ascii="仿宋" w:hAnsi="仿宋" w:eastAsia="仿宋" w:cs="仿宋"/>
          <w:kern w:val="0"/>
          <w:sz w:val="32"/>
          <w:szCs w:val="32"/>
          <w:highlight w:val="none"/>
          <w:u w:val="single"/>
          <w:lang w:eastAsia="zh-CN" w:bidi="ar"/>
        </w:rPr>
        <w:t>，</w:t>
      </w:r>
      <w:r>
        <w:rPr>
          <w:rStyle w:val="19"/>
          <w:rFonts w:hint="eastAsia" w:ascii="仿宋" w:hAnsi="仿宋" w:eastAsia="仿宋" w:cs="仿宋"/>
          <w:kern w:val="0"/>
          <w:sz w:val="32"/>
          <w:szCs w:val="32"/>
          <w:highlight w:val="none"/>
          <w:u w:val="single"/>
          <w:lang w:eastAsia="zh-CN" w:bidi="ar"/>
        </w:rPr>
        <w:footnoteReference w:id="12"/>
      </w:r>
      <w:r>
        <w:rPr>
          <w:rFonts w:hint="eastAsia" w:ascii="仿宋_GB2312" w:hAnsi="仿宋_GB2312" w:eastAsia="仿宋_GB2312" w:cs="仿宋_GB2312"/>
          <w:kern w:val="0"/>
          <w:sz w:val="32"/>
          <w:szCs w:val="32"/>
          <w:highlight w:val="none"/>
          <w:lang w:bidi="ar"/>
        </w:rPr>
        <w:t>拓宽妇女创业致富新空间。</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4．促</w:t>
      </w:r>
      <w:r>
        <w:rPr>
          <w:rFonts w:hint="eastAsia" w:ascii="仿宋_GB2312" w:hAnsi="仿宋_GB2312" w:eastAsia="仿宋_GB2312" w:cs="仿宋_GB2312"/>
          <w:kern w:val="0"/>
          <w:sz w:val="32"/>
          <w:szCs w:val="32"/>
          <w:highlight w:val="none"/>
          <w:lang w:bidi="ar"/>
        </w:rPr>
        <w:t>进女大学生就业创业。加强职业生涯规划指导服务，鼓励参与大学生</w:t>
      </w:r>
      <w:r>
        <w:rPr>
          <w:rFonts w:hint="eastAsia" w:ascii="仿宋" w:hAnsi="仿宋" w:eastAsia="仿宋" w:cs="仿宋"/>
          <w:kern w:val="0"/>
          <w:sz w:val="32"/>
          <w:szCs w:val="32"/>
          <w:highlight w:val="none"/>
          <w:u w:val="single"/>
          <w:lang w:eastAsia="zh-CN" w:bidi="ar"/>
        </w:rPr>
        <w:t>参与</w:t>
      </w:r>
      <w:r>
        <w:rPr>
          <w:rFonts w:hint="eastAsia" w:ascii="仿宋_GB2312" w:hAnsi="仿宋_GB2312" w:eastAsia="仿宋_GB2312" w:cs="仿宋_GB2312"/>
          <w:kern w:val="0"/>
          <w:sz w:val="32"/>
          <w:szCs w:val="32"/>
          <w:highlight w:val="none"/>
          <w:lang w:bidi="ar"/>
        </w:rPr>
        <w:t>就业创业能力提升行动，引导女大学生树立正确的择业就业观，提升就业能力。完善落实就业创业支持政策，政府提供不断线的就业服务，拓宽女大学生市场化、社会化就业渠道。鼓励女大学生到基层、中小微企业或新经济领域就业。推广女大学生创业导师制，开展女大学生创新创业大赛，</w:t>
      </w:r>
      <w:r>
        <w:rPr>
          <w:rFonts w:hint="eastAsia" w:ascii="仿宋" w:hAnsi="仿宋" w:eastAsia="仿宋" w:cs="仿宋"/>
          <w:kern w:val="0"/>
          <w:sz w:val="32"/>
          <w:szCs w:val="32"/>
          <w:highlight w:val="none"/>
          <w:u w:val="single"/>
          <w:lang w:eastAsia="zh-CN" w:bidi="ar"/>
        </w:rPr>
        <w:t>加大女大学生创业的扶持力度</w:t>
      </w:r>
      <w:r>
        <w:rPr>
          <w:rStyle w:val="19"/>
          <w:rFonts w:hint="eastAsia" w:ascii="仿宋" w:hAnsi="仿宋" w:eastAsia="仿宋" w:cs="仿宋"/>
          <w:kern w:val="0"/>
          <w:sz w:val="32"/>
          <w:szCs w:val="32"/>
          <w:highlight w:val="none"/>
          <w:u w:val="single"/>
          <w:lang w:eastAsia="zh-CN" w:bidi="ar"/>
        </w:rPr>
        <w:footnoteReference w:id="13"/>
      </w:r>
      <w:r>
        <w:rPr>
          <w:rFonts w:hint="eastAsia" w:ascii="仿宋_GB2312" w:hAnsi="仿宋_GB2312" w:eastAsia="仿宋_GB2312" w:cs="仿宋_GB2312"/>
          <w:kern w:val="0"/>
          <w:sz w:val="32"/>
          <w:szCs w:val="32"/>
          <w:highlight w:val="none"/>
          <w:lang w:bidi="ar"/>
        </w:rPr>
        <w:t>。对有就业意愿的离校未就业女毕业生实施就业帮扶。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5．改</w:t>
      </w:r>
      <w:r>
        <w:rPr>
          <w:rFonts w:hint="eastAsia" w:ascii="仿宋_GB2312" w:hAnsi="仿宋_GB2312" w:eastAsia="仿宋_GB2312" w:cs="仿宋_GB2312"/>
          <w:kern w:val="0"/>
          <w:sz w:val="32"/>
          <w:szCs w:val="32"/>
          <w:highlight w:val="none"/>
          <w:lang w:bidi="ar"/>
        </w:rPr>
        <w:t>善妇女就业结构。完善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大力支持女性科技人才创新创业，支持孕哺期女性科技人才科研。加强人才驿站建设，</w:t>
      </w:r>
      <w:bookmarkStart w:id="9" w:name="_Hlk99658911"/>
      <w:r>
        <w:rPr>
          <w:rFonts w:hint="eastAsia" w:ascii="仿宋_GB2312" w:hAnsi="仿宋_GB2312" w:eastAsia="仿宋_GB2312" w:cs="仿宋_GB2312"/>
          <w:kern w:val="0"/>
          <w:sz w:val="32"/>
          <w:szCs w:val="32"/>
          <w:highlight w:val="none"/>
          <w:lang w:bidi="ar"/>
        </w:rPr>
        <w:t>吸引女性人才来</w:t>
      </w:r>
      <w:r>
        <w:rPr>
          <w:rFonts w:hint="eastAsia" w:ascii="仿宋" w:hAnsi="仿宋" w:eastAsia="仿宋" w:cs="仿宋"/>
          <w:kern w:val="0"/>
          <w:sz w:val="32"/>
          <w:szCs w:val="32"/>
          <w:highlight w:val="none"/>
          <w:u w:val="single"/>
          <w:lang w:eastAsia="zh-CN" w:bidi="ar"/>
        </w:rPr>
        <w:t>陆河</w:t>
      </w:r>
      <w:r>
        <w:rPr>
          <w:rFonts w:hint="eastAsia" w:ascii="仿宋_GB2312" w:hAnsi="仿宋_GB2312" w:eastAsia="仿宋_GB2312" w:cs="仿宋_GB2312"/>
          <w:kern w:val="0"/>
          <w:sz w:val="32"/>
          <w:szCs w:val="32"/>
          <w:highlight w:val="none"/>
          <w:lang w:bidi="ar"/>
        </w:rPr>
        <w:t>发展</w:t>
      </w:r>
      <w:bookmarkEnd w:id="9"/>
      <w:r>
        <w:rPr>
          <w:rFonts w:hint="eastAsia" w:ascii="仿宋_GB2312" w:hAnsi="仿宋_GB2312" w:eastAsia="仿宋_GB2312" w:cs="仿宋_GB2312"/>
          <w:kern w:val="0"/>
          <w:sz w:val="32"/>
          <w:szCs w:val="32"/>
          <w:highlight w:val="none"/>
          <w:lang w:bidi="ar"/>
        </w:rPr>
        <w:t>。完善女性高级管理人才和女性技能人才统计制度。</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6．缩小</w:t>
      </w:r>
      <w:r>
        <w:rPr>
          <w:rFonts w:hint="eastAsia" w:ascii="仿宋_GB2312" w:hAnsi="仿宋_GB2312" w:eastAsia="仿宋_GB2312" w:cs="仿宋_GB2312"/>
          <w:kern w:val="0"/>
          <w:sz w:val="32"/>
          <w:szCs w:val="32"/>
          <w:highlight w:val="none"/>
          <w:lang w:bidi="ar"/>
        </w:rPr>
        <w:t>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7．改善</w:t>
      </w:r>
      <w:r>
        <w:rPr>
          <w:rFonts w:hint="eastAsia" w:ascii="仿宋_GB2312" w:hAnsi="仿宋_GB2312" w:eastAsia="仿宋_GB2312" w:cs="仿宋_GB2312"/>
          <w:kern w:val="0"/>
          <w:sz w:val="32"/>
          <w:szCs w:val="32"/>
          <w:highlight w:val="none"/>
          <w:lang w:bidi="ar"/>
        </w:rPr>
        <w:t>女性劳动者劳动安全状况。广泛开展劳动安全和健康宣传教育，将女职工劳动保护纳入职业健康和安全生产监督管理范围。督促用人单位加强对女职工经期、孕期、哺乳期的特殊保护，落实哺乳时间和产假制度，督促用人单位加强职业防护和职业健康监督保护，保障女职工在工作中免受有毒物质和危险生产工艺的危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8．保</w:t>
      </w:r>
      <w:r>
        <w:rPr>
          <w:rFonts w:hint="eastAsia" w:ascii="仿宋_GB2312" w:hAnsi="仿宋_GB2312" w:eastAsia="仿宋_GB2312" w:cs="仿宋_GB2312"/>
          <w:kern w:val="0"/>
          <w:sz w:val="32"/>
          <w:szCs w:val="32"/>
          <w:highlight w:val="none"/>
          <w:lang w:bidi="ar"/>
        </w:rPr>
        <w:t>障女职工劳动权益。严格落实女职工劳动权益保护相关法律法规，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充分发挥劳动争议调解仲裁和诉讼作用，推动有条件的劳动人事争议仲裁机构设立女职工维权仲裁庭，依法调处女职工劳动争议案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9．为</w:t>
      </w:r>
      <w:r>
        <w:rPr>
          <w:rFonts w:hint="eastAsia" w:ascii="仿宋_GB2312" w:hAnsi="仿宋_GB2312" w:eastAsia="仿宋_GB2312" w:cs="仿宋_GB2312"/>
          <w:kern w:val="0"/>
          <w:sz w:val="32"/>
          <w:szCs w:val="32"/>
          <w:highlight w:val="none"/>
          <w:lang w:bidi="ar"/>
        </w:rPr>
        <w:t>女性生育后的职业发展创造有利条件。推进人口生育政策的落实，完善相关政策。禁止用人单位因女职工怀孕、生育、哺乳而降低工资、恶意调岗、予以辞退、解除劳动（聘用）合同，推动落实生育奖励假期间的工资待遇，定期开展女职工生育权益保障专项督查。为女性生育后回归岗位或再就业提供培训等支持。</w:t>
      </w:r>
      <w:r>
        <w:rPr>
          <w:rFonts w:hint="eastAsia" w:ascii="仿宋" w:hAnsi="仿宋" w:eastAsia="仿宋" w:cs="仿宋"/>
          <w:kern w:val="0"/>
          <w:sz w:val="32"/>
          <w:szCs w:val="32"/>
          <w:highlight w:val="none"/>
          <w:u w:val="single"/>
          <w:lang w:eastAsia="zh-CN" w:bidi="ar"/>
        </w:rPr>
        <w:t>企业</w:t>
      </w:r>
      <w:r>
        <w:rPr>
          <w:rFonts w:hint="eastAsia" w:ascii="仿宋" w:hAnsi="仿宋" w:eastAsia="仿宋" w:cs="仿宋"/>
          <w:kern w:val="0"/>
          <w:sz w:val="32"/>
          <w:szCs w:val="32"/>
          <w:highlight w:val="none"/>
          <w:u w:val="none"/>
          <w:lang w:eastAsia="zh-CN" w:bidi="ar"/>
        </w:rPr>
        <w:t>、</w:t>
      </w:r>
      <w:r>
        <w:rPr>
          <w:rFonts w:hint="eastAsia" w:ascii="仿宋_GB2312" w:hAnsi="仿宋_GB2312" w:eastAsia="仿宋_GB2312" w:cs="仿宋_GB2312"/>
          <w:kern w:val="0"/>
          <w:sz w:val="32"/>
          <w:szCs w:val="32"/>
          <w:highlight w:val="none"/>
          <w:lang w:bidi="ar"/>
        </w:rPr>
        <w:t>研究机构等用人单位探索设立女性科研人员生育后科研回归基金。推动用人单位根据女职工需要建立女职工哺乳室、孕妇休息室等设施。增加优质普惠性托育服务供给，支持用人单位为职工提供福利性托育托管服务。</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10．保障</w:t>
      </w:r>
      <w:r>
        <w:rPr>
          <w:rFonts w:hint="eastAsia" w:ascii="仿宋_GB2312" w:hAnsi="仿宋_GB2312" w:eastAsia="仿宋_GB2312" w:cs="仿宋_GB2312"/>
          <w:kern w:val="0"/>
          <w:sz w:val="32"/>
          <w:szCs w:val="32"/>
          <w:highlight w:val="none"/>
          <w:lang w:bidi="ar"/>
        </w:rPr>
        <w:t>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作为农村集体经济组织成员和家庭成员在农村集体经济组织资产股权量化、权益流转和继承等各环节，平等享有知情权、参与决策权和收益权。严格遵守宪法和法律法规政策规定，清理和规范村规民约、居民公约内容，依法保障妇女特别是出嫁、离婚、丧偶妇女的正当合法权益。畅通经济权益受侵害农村妇女的维权渠道，及时处理农村妇女维权诉求。保障进城落户女农民的经济权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Arial Unicode MS"/>
          <w:highlight w:val="none"/>
          <w:lang w:eastAsia="zh-CN"/>
        </w:rPr>
      </w:pPr>
      <w:r>
        <w:rPr>
          <w:rFonts w:hint="eastAsia" w:ascii="仿宋_GB2312" w:hAnsi="仿宋_GB2312" w:eastAsia="仿宋_GB2312" w:cs="仿宋_GB2312"/>
          <w:kern w:val="0"/>
          <w:sz w:val="32"/>
          <w:szCs w:val="32"/>
          <w:highlight w:val="none"/>
          <w:lang w:val="en-US" w:eastAsia="zh-CN" w:bidi="ar"/>
        </w:rPr>
        <w:t>11．支</w:t>
      </w:r>
      <w:r>
        <w:rPr>
          <w:rFonts w:hint="eastAsia" w:ascii="仿宋_GB2312" w:hAnsi="仿宋_GB2312" w:eastAsia="仿宋_GB2312" w:cs="仿宋_GB2312"/>
          <w:kern w:val="0"/>
          <w:sz w:val="32"/>
          <w:szCs w:val="32"/>
          <w:highlight w:val="none"/>
          <w:lang w:bidi="ar"/>
        </w:rPr>
        <w:t>持妇女积极参与乡村振兴。积极发挥妇女在农村一二三产业融合发展和农业农村现代化建设中的作用。发挥农村创业创新园区（基地）、现代农业示范基地等平台作用，鼓励支持妇女创办领办</w:t>
      </w:r>
      <w:r>
        <w:rPr>
          <w:rFonts w:hint="eastAsia" w:ascii="仿宋" w:hAnsi="仿宋" w:eastAsia="仿宋" w:cs="仿宋"/>
          <w:kern w:val="0"/>
          <w:sz w:val="32"/>
          <w:szCs w:val="32"/>
          <w:highlight w:val="none"/>
          <w:u w:val="single"/>
          <w:lang w:bidi="ar"/>
        </w:rPr>
        <w:t>辐射带动能力强的龙头企业、农民专业合作社、家庭农场</w:t>
      </w:r>
      <w:r>
        <w:rPr>
          <w:rStyle w:val="19"/>
          <w:rFonts w:hint="eastAsia" w:ascii="仿宋" w:hAnsi="仿宋" w:eastAsia="仿宋" w:cs="仿宋"/>
          <w:kern w:val="0"/>
          <w:sz w:val="32"/>
          <w:szCs w:val="32"/>
          <w:highlight w:val="none"/>
          <w:u w:val="single"/>
          <w:lang w:bidi="ar"/>
        </w:rPr>
        <w:footnoteReference w:id="14"/>
      </w:r>
      <w:r>
        <w:rPr>
          <w:rFonts w:hint="eastAsia" w:ascii="仿宋_GB2312" w:hAnsi="仿宋_GB2312" w:eastAsia="仿宋_GB2312" w:cs="仿宋_GB2312"/>
          <w:kern w:val="0"/>
          <w:sz w:val="32"/>
          <w:szCs w:val="32"/>
          <w:highlight w:val="none"/>
          <w:lang w:bidi="ar"/>
        </w:rPr>
        <w:t>等新型农业经营主体和农业社会化服务组织。加强农村妇女技能培训，加强高素质女农民培育，引导女农民争做乡村工匠、文化能人、手工艺人、农技协领办人和新型农业管理经营能手。建立农村低收入人口和欠发达地区帮扶机制。健全防止返贫监测和帮扶机制。</w:t>
      </w:r>
      <w:r>
        <w:rPr>
          <w:rFonts w:hint="eastAsia" w:ascii="仿宋" w:hAnsi="仿宋" w:eastAsia="仿宋" w:cs="仿宋"/>
          <w:kern w:val="0"/>
          <w:sz w:val="32"/>
          <w:szCs w:val="32"/>
          <w:highlight w:val="none"/>
          <w:u w:val="single"/>
          <w:lang w:eastAsia="zh-CN" w:bidi="ar"/>
        </w:rPr>
        <w:t>汇聚“陆河人经济资源”</w:t>
      </w:r>
      <w:r>
        <w:rPr>
          <w:rStyle w:val="19"/>
          <w:rFonts w:hint="eastAsia" w:ascii="仿宋" w:hAnsi="仿宋" w:eastAsia="仿宋" w:cs="仿宋"/>
          <w:kern w:val="0"/>
          <w:sz w:val="32"/>
          <w:szCs w:val="32"/>
          <w:highlight w:val="none"/>
          <w:u w:val="single"/>
          <w:lang w:eastAsia="zh-CN" w:bidi="ar"/>
        </w:rPr>
        <w:footnoteReference w:id="15"/>
      </w:r>
      <w:r>
        <w:rPr>
          <w:rFonts w:hint="eastAsia" w:ascii="仿宋" w:hAnsi="仿宋" w:eastAsia="仿宋" w:cs="仿宋"/>
          <w:kern w:val="0"/>
          <w:sz w:val="32"/>
          <w:szCs w:val="32"/>
          <w:highlight w:val="none"/>
          <w:u w:val="single"/>
          <w:lang w:eastAsia="zh-CN" w:bidi="ar"/>
        </w:rPr>
        <w:t>，引进深圳知名企业参与陆河城市建设、民生项目、乡村振兴和文旅产业等领域开发，积极引进优质项目落户陆河，支持农村妇女在乡村振兴建设中共同发展富裕。</w:t>
      </w:r>
      <w:r>
        <w:rPr>
          <w:rStyle w:val="19"/>
          <w:rFonts w:hint="eastAsia" w:ascii="仿宋" w:hAnsi="仿宋" w:eastAsia="仿宋" w:cs="仿宋"/>
          <w:kern w:val="0"/>
          <w:sz w:val="32"/>
          <w:szCs w:val="32"/>
          <w:highlight w:val="none"/>
          <w:u w:val="single"/>
          <w:lang w:eastAsia="zh-CN" w:bidi="ar"/>
        </w:rPr>
        <w:footnoteReference w:id="16"/>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0" w:name="_Toc2664"/>
      <w:r>
        <w:rPr>
          <w:rFonts w:hint="eastAsia" w:ascii="楷体_GB2312" w:hAnsi="楷体_GB2312" w:eastAsia="楷体_GB2312" w:cs="楷体_GB2312"/>
          <w:highlight w:val="none"/>
          <w:lang w:bidi="ar"/>
        </w:rPr>
        <w:t>（四）妇女参与决策和管理。</w:t>
      </w:r>
      <w:bookmarkEnd w:id="10"/>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1．保障</w:t>
      </w:r>
      <w:r>
        <w:rPr>
          <w:rFonts w:hint="eastAsia" w:ascii="仿宋_GB2312" w:hAnsi="仿宋_GB2312" w:eastAsia="仿宋_GB2312" w:cs="仿宋_GB2312"/>
          <w:kern w:val="0"/>
          <w:sz w:val="32"/>
          <w:szCs w:val="32"/>
          <w:highlight w:val="none"/>
          <w:lang w:bidi="ar"/>
        </w:rPr>
        <w:t>妇女参与社会主义民主政治建设和社会治理，提升参与水平。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2．中国</w:t>
      </w:r>
      <w:r>
        <w:rPr>
          <w:rFonts w:hint="eastAsia" w:ascii="仿宋_GB2312" w:hAnsi="仿宋_GB2312" w:eastAsia="仿宋_GB2312" w:cs="仿宋_GB2312"/>
          <w:kern w:val="0"/>
          <w:sz w:val="32"/>
          <w:szCs w:val="32"/>
          <w:highlight w:val="none"/>
          <w:lang w:bidi="ar"/>
        </w:rPr>
        <w:t>共产党女党员保持合理比例。中国共产党各级党员代表大会中女党员代表比例一般不低于本地区党员总数中女性比例。</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3．各级</w:t>
      </w:r>
      <w:r>
        <w:rPr>
          <w:rFonts w:hint="eastAsia" w:ascii="仿宋_GB2312" w:hAnsi="仿宋_GB2312" w:eastAsia="仿宋_GB2312" w:cs="仿宋_GB2312"/>
          <w:kern w:val="0"/>
          <w:sz w:val="32"/>
          <w:szCs w:val="32"/>
          <w:highlight w:val="none"/>
          <w:lang w:bidi="ar"/>
        </w:rPr>
        <w:t>人大代表和常委会委员中的女性比例逐步提高。各级政协委员和常委中的女性比例逐步提高。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4．县</w:t>
      </w:r>
      <w:r>
        <w:rPr>
          <w:rFonts w:hint="eastAsia" w:ascii="仿宋_GB2312" w:hAnsi="仿宋_GB2312" w:eastAsia="仿宋_GB2312" w:cs="仿宋_GB2312"/>
          <w:kern w:val="0"/>
          <w:sz w:val="32"/>
          <w:szCs w:val="32"/>
          <w:highlight w:val="none"/>
          <w:lang w:bidi="ar"/>
        </w:rPr>
        <w:t>政府领导班子中的女干部比例逐步提高，担任正职的女干部占同级正职干部的比例逐步提高。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5．县直机关和县政府工作部门领导班子中女干部比例逐步提高，担任正职的女干部占同级正职干部的比例逐步提高。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 各级各类事业单位领导班子成员中的女性比例逐步提高。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7．企</w:t>
      </w:r>
      <w:r>
        <w:rPr>
          <w:rFonts w:hint="eastAsia" w:ascii="仿宋_GB2312" w:hAnsi="仿宋_GB2312" w:eastAsia="仿宋_GB2312" w:cs="仿宋_GB2312"/>
          <w:kern w:val="0"/>
          <w:sz w:val="32"/>
          <w:szCs w:val="32"/>
          <w:highlight w:val="none"/>
          <w:lang w:bidi="ar"/>
        </w:rPr>
        <w:t>业董事会、监事会成员及管理层中的女性比例逐步提</w:t>
      </w:r>
      <w:r>
        <w:rPr>
          <w:rFonts w:hint="eastAsia" w:ascii="仿宋_GB2312" w:hAnsi="仿宋_GB2312" w:eastAsia="仿宋_GB2312" w:cs="仿宋_GB2312"/>
          <w:kern w:val="0"/>
          <w:sz w:val="32"/>
          <w:szCs w:val="32"/>
          <w:highlight w:val="none"/>
          <w:lang w:val="en-US" w:eastAsia="zh-CN" w:bidi="ar"/>
        </w:rPr>
        <w:t>高。企事业单位职工代表大会中女性比例与女职工比例相适应。</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8．村党组织成员、村党组织书记中女性比例逐步提高。村委会成员中女性比例达到</w:t>
      </w:r>
      <w:r>
        <w:rPr>
          <w:rFonts w:hint="eastAsia" w:ascii="仿宋_GB2312" w:hAnsi="仿宋_GB2312" w:eastAsia="仿宋_GB2312" w:cs="仿宋_GB2312"/>
          <w:kern w:val="0"/>
          <w:sz w:val="32"/>
          <w:szCs w:val="32"/>
          <w:highlight w:val="none"/>
          <w:u w:val="single"/>
          <w:lang w:val="en-US" w:eastAsia="zh-CN" w:bidi="ar"/>
        </w:rPr>
        <w:t>31%</w:t>
      </w:r>
      <w:r>
        <w:rPr>
          <w:rStyle w:val="19"/>
          <w:rFonts w:hint="eastAsia" w:ascii="仿宋_GB2312" w:hAnsi="仿宋_GB2312" w:eastAsia="仿宋_GB2312" w:cs="仿宋_GB2312"/>
          <w:kern w:val="0"/>
          <w:sz w:val="32"/>
          <w:szCs w:val="32"/>
          <w:highlight w:val="none"/>
          <w:u w:val="single"/>
          <w:lang w:val="en-US" w:eastAsia="zh-CN" w:bidi="ar"/>
        </w:rPr>
        <w:footnoteReference w:id="17"/>
      </w:r>
      <w:r>
        <w:rPr>
          <w:rFonts w:hint="eastAsia" w:ascii="仿宋_GB2312" w:hAnsi="仿宋_GB2312" w:eastAsia="仿宋_GB2312" w:cs="仿宋_GB2312"/>
          <w:kern w:val="0"/>
          <w:sz w:val="32"/>
          <w:szCs w:val="32"/>
          <w:highlight w:val="none"/>
          <w:lang w:val="en-US" w:eastAsia="zh-CN" w:bidi="ar"/>
        </w:rPr>
        <w:t>以上，村委会主任中女性比例逐步提高。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9．社区党组织成员、社区党组织书记中女性比例逐步提高。社区居委会成员中女性比例保持在50%左右，社区居委会主任中女性比例达到40%以上。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10．鼓励</w:t>
      </w:r>
      <w:r>
        <w:rPr>
          <w:rFonts w:hint="eastAsia" w:ascii="仿宋_GB2312" w:hAnsi="仿宋_GB2312" w:eastAsia="仿宋_GB2312" w:cs="仿宋_GB2312"/>
          <w:kern w:val="0"/>
          <w:sz w:val="32"/>
          <w:szCs w:val="32"/>
          <w:highlight w:val="none"/>
          <w:lang w:bidi="ar"/>
        </w:rPr>
        <w:t>支持女性参与社会组织、担任社会组织负责人。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加大对妇女参与决策和管理的支持力度。充分发挥妇女在参与国家和社会事务管理中的重要作用，破除制约妇女参与决策和管理的障碍，把推动妇女参政纳入重要议程，提出目标举措。将男女平等基本国策纳入党校（行政学院）培训内容，提高各级领导干部贯彻落实男女平等基本国策的意识。采取有效措施，提升各级党委、人大、政府、政协、党政工作部门以及企事业单位、基层群众自治组织和社会组织中的女性比例。</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提高妇女参与社会事务和民主管理的意识和能力。多渠道多形式开展女性领导干部政治素质和领导能力培训。加大基层妇女骨干培训力度，鼓励妇女积极参与城乡社区议事协商。探索打造妇女网上议事平台，引导妇女积极、有序参与基层民主管理和基层民主协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重视发展中国共产党女党员。加强妇女思想政治引领，激发妇女入党的政治意愿。注重从各行各业青年女性中发展党员。在党代表候选人酝酿过程中，充分关注政治过硬、作风优良、敢于担当、实绩突出的优秀妇女，确保党员代表大会中女党员代表保持合理比例。</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加大培养选拔女干部工作力度。贯彻落实相关法规政策中关于女干部培养选拔和配备的要求，将女干部培养选拔纳入各级领导班子和干部人才队伍建设总体规划。培养忠诚干净担当的高素质专业化女干部。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女职工代表比例与事业单位女职工比例相适应。在深化事业单位改革进程中，确保妇女在岗位晋升、职员晋级、职称评聘等方面享有平等的权利和机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推动妇女广泛参与企业决策管理。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推动妇女有序参与城乡基层社会治理。注重广纳人才，培养选拔村（社区）女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0"/>
          <w:sz w:val="32"/>
          <w:szCs w:val="2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支持引导妇女参与社会组织。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1" w:name="_Toc19906"/>
      <w:r>
        <w:rPr>
          <w:rFonts w:hint="eastAsia" w:ascii="楷体_GB2312" w:hAnsi="楷体_GB2312" w:eastAsia="楷体_GB2312" w:cs="楷体_GB2312"/>
          <w:highlight w:val="none"/>
          <w:lang w:bidi="ar"/>
        </w:rPr>
        <w:t>（五）妇女与社会保障。</w:t>
      </w:r>
      <w:bookmarkEnd w:id="11"/>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1．妇女平等享有社会保障权益，保障水平不断提高。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2．完善生育保障制度。</w:t>
      </w:r>
      <w:r>
        <w:rPr>
          <w:rFonts w:hint="eastAsia" w:ascii="仿宋" w:hAnsi="仿宋" w:eastAsia="仿宋" w:cs="仿宋"/>
          <w:kern w:val="0"/>
          <w:sz w:val="32"/>
          <w:szCs w:val="32"/>
          <w:highlight w:val="none"/>
          <w:u w:val="single"/>
          <w:lang w:val="en-US" w:eastAsia="zh-CN" w:bidi="ar"/>
        </w:rPr>
        <w:t>生育保险参保率保持在</w:t>
      </w:r>
      <w:r>
        <w:rPr>
          <w:rFonts w:hint="default" w:ascii="Times New Roman" w:hAnsi="Times New Roman" w:eastAsia="仿宋" w:cs="Times New Roman"/>
          <w:kern w:val="0"/>
          <w:sz w:val="32"/>
          <w:szCs w:val="32"/>
          <w:highlight w:val="none"/>
          <w:u w:val="single"/>
          <w:lang w:val="en-US" w:eastAsia="zh-CN" w:bidi="ar"/>
        </w:rPr>
        <w:t>98%</w:t>
      </w:r>
      <w:r>
        <w:rPr>
          <w:rFonts w:hint="eastAsia" w:ascii="仿宋" w:hAnsi="仿宋" w:eastAsia="仿宋" w:cs="仿宋"/>
          <w:kern w:val="0"/>
          <w:sz w:val="32"/>
          <w:szCs w:val="32"/>
          <w:highlight w:val="none"/>
          <w:u w:val="single"/>
          <w:lang w:val="en-US" w:eastAsia="zh-CN" w:bidi="ar"/>
        </w:rPr>
        <w:t>以上</w:t>
      </w:r>
      <w:r>
        <w:rPr>
          <w:rStyle w:val="19"/>
          <w:rFonts w:hint="eastAsia" w:ascii="仿宋" w:hAnsi="仿宋" w:eastAsia="仿宋" w:cs="仿宋"/>
          <w:kern w:val="0"/>
          <w:sz w:val="32"/>
          <w:szCs w:val="32"/>
          <w:highlight w:val="none"/>
          <w:u w:val="single"/>
          <w:lang w:val="en-US" w:eastAsia="zh-CN" w:bidi="ar"/>
        </w:rPr>
        <w:footnoteReference w:id="18"/>
      </w:r>
      <w:r>
        <w:rPr>
          <w:rFonts w:hint="eastAsia" w:ascii="仿宋_GB2312" w:hAnsi="仿宋_GB2312" w:eastAsia="仿宋_GB2312" w:cs="仿宋_GB2312"/>
          <w:kern w:val="0"/>
          <w:sz w:val="32"/>
          <w:szCs w:val="32"/>
          <w:highlight w:val="none"/>
          <w:lang w:val="en-US" w:eastAsia="zh-CN" w:bidi="ar"/>
        </w:rPr>
        <w:t>。</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3．完善医疗保障体系。妇女基本医疗保险参保率稳定在</w:t>
      </w:r>
      <w:r>
        <w:rPr>
          <w:rFonts w:hint="eastAsia" w:ascii="仿宋_GB2312" w:hAnsi="仿宋_GB2312" w:eastAsia="仿宋_GB2312" w:cs="仿宋_GB2312"/>
          <w:kern w:val="0"/>
          <w:sz w:val="32"/>
          <w:szCs w:val="32"/>
          <w:highlight w:val="none"/>
          <w:u w:val="single"/>
          <w:lang w:val="en-US" w:eastAsia="zh-CN" w:bidi="ar"/>
        </w:rPr>
        <w:t>98%</w:t>
      </w:r>
      <w:r>
        <w:rPr>
          <w:rStyle w:val="19"/>
          <w:rFonts w:hint="eastAsia" w:ascii="仿宋_GB2312" w:hAnsi="仿宋_GB2312" w:eastAsia="仿宋_GB2312" w:cs="仿宋_GB2312"/>
          <w:kern w:val="0"/>
          <w:sz w:val="32"/>
          <w:szCs w:val="32"/>
          <w:highlight w:val="none"/>
          <w:u w:val="single"/>
          <w:lang w:val="en-US" w:eastAsia="zh-CN" w:bidi="ar"/>
        </w:rPr>
        <w:footnoteReference w:id="19"/>
      </w:r>
      <w:r>
        <w:rPr>
          <w:rFonts w:hint="eastAsia" w:ascii="仿宋_GB2312" w:hAnsi="仿宋_GB2312" w:eastAsia="仿宋_GB2312" w:cs="仿宋_GB2312"/>
          <w:kern w:val="0"/>
          <w:sz w:val="32"/>
          <w:szCs w:val="32"/>
          <w:highlight w:val="none"/>
          <w:lang w:val="en-US" w:eastAsia="zh-CN" w:bidi="ar"/>
        </w:rPr>
        <w:t>以上，</w:t>
      </w:r>
      <w:r>
        <w:rPr>
          <w:rFonts w:hint="eastAsia" w:ascii="仿宋" w:hAnsi="仿宋" w:eastAsia="仿宋" w:cs="仿宋"/>
          <w:kern w:val="0"/>
          <w:sz w:val="32"/>
          <w:szCs w:val="32"/>
          <w:highlight w:val="none"/>
          <w:u w:val="single"/>
          <w:lang w:val="en-US" w:eastAsia="zh-CN" w:bidi="ar"/>
        </w:rPr>
        <w:t>实施特殊困难人群</w:t>
      </w:r>
      <w:r>
        <w:rPr>
          <w:rFonts w:hint="default" w:ascii="Times New Roman" w:hAnsi="Times New Roman" w:eastAsia="仿宋" w:cs="Times New Roman"/>
          <w:kern w:val="0"/>
          <w:sz w:val="32"/>
          <w:szCs w:val="32"/>
          <w:highlight w:val="none"/>
          <w:u w:val="single"/>
          <w:lang w:val="en-US" w:eastAsia="zh-CN" w:bidi="ar"/>
        </w:rPr>
        <w:t>100%</w:t>
      </w:r>
      <w:r>
        <w:rPr>
          <w:rFonts w:hint="eastAsia" w:ascii="仿宋" w:hAnsi="仿宋" w:eastAsia="仿宋" w:cs="仿宋"/>
          <w:kern w:val="0"/>
          <w:sz w:val="32"/>
          <w:szCs w:val="32"/>
          <w:highlight w:val="none"/>
          <w:u w:val="single"/>
          <w:lang w:val="en-US" w:eastAsia="zh-CN" w:bidi="ar"/>
        </w:rPr>
        <w:t>自助参保，</w:t>
      </w:r>
      <w:r>
        <w:rPr>
          <w:rStyle w:val="19"/>
          <w:rFonts w:hint="eastAsia" w:ascii="仿宋" w:hAnsi="仿宋" w:eastAsia="仿宋" w:cs="仿宋"/>
          <w:kern w:val="0"/>
          <w:sz w:val="32"/>
          <w:szCs w:val="32"/>
          <w:highlight w:val="none"/>
          <w:u w:val="single"/>
          <w:lang w:val="en-US" w:eastAsia="zh-CN" w:bidi="ar"/>
        </w:rPr>
        <w:footnoteReference w:id="20"/>
      </w:r>
      <w:r>
        <w:rPr>
          <w:rFonts w:hint="eastAsia" w:ascii="仿宋_GB2312" w:hAnsi="仿宋_GB2312" w:eastAsia="仿宋_GB2312" w:cs="仿宋_GB2312"/>
          <w:kern w:val="0"/>
          <w:sz w:val="32"/>
          <w:szCs w:val="32"/>
          <w:highlight w:val="none"/>
          <w:lang w:val="en-US" w:eastAsia="zh-CN" w:bidi="ar"/>
        </w:rPr>
        <w:t>待遇保障公平适度。</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4．完善养老保险制度体系。妇女基本养老保险参保率提高到95%，待遇水平稳步提高。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5．完善失业保险和工伤保险制度。提高妇女失业保险和工伤保险参保人数，落实相关待遇保障。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6．健全分层分类社会救助体系。困难妇女的生活得到基本保障。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7．妇女福利待遇水平持续提高，重点向老年妇女、残疾妇女等群体倾斜。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8．建立完善多层次养老服务和长期照护保障制度。保障老年妇女享有均等可及的基本养老服务，对失能妇女的照护服务水平不断提高。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9．加强对妇女的关爱服务，重点为有困难、有需求的妇女提供帮扶。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完善惠及妇女群体的社会保障体系。在制定、修订和落实社会救助、社会保险等相关政策和健全覆盖全民的社会保障体系工作中，关切和保障妇女的特殊利益和需求。深入实施全民参保计划，对不同重点群体分类施策，持续推动社会保险参保扩面，支持灵活就业女性参加相应社会保险，实现应保尽保，提高参保缴费质量，缩小社会保障的性别差距。扩大保障范围，统筹社会保障资源在城乡、区域和社会群体之间的均衡配置，将保障范围由户籍人口逐渐扩大到常住人口。依法保障在我县就业港澳人士参保权益，落实在我县就读港澳学生参保政策。配合省</w:t>
      </w:r>
      <w:r>
        <w:rPr>
          <w:rFonts w:hint="eastAsia" w:ascii="仿宋" w:hAnsi="仿宋" w:eastAsia="仿宋" w:cs="仿宋"/>
          <w:kern w:val="0"/>
          <w:sz w:val="32"/>
          <w:szCs w:val="32"/>
          <w:highlight w:val="none"/>
          <w:u w:val="single"/>
          <w:lang w:val="en-US" w:eastAsia="zh-CN" w:bidi="ar"/>
        </w:rPr>
        <w:t>、市</w:t>
      </w:r>
      <w:r>
        <w:rPr>
          <w:rFonts w:hint="eastAsia" w:ascii="仿宋_GB2312" w:hAnsi="仿宋_GB2312" w:eastAsia="仿宋_GB2312" w:cs="仿宋_GB2312"/>
          <w:kern w:val="0"/>
          <w:sz w:val="32"/>
          <w:szCs w:val="32"/>
          <w:highlight w:val="none"/>
          <w:lang w:val="en-US" w:eastAsia="zh-CN" w:bidi="ar"/>
        </w:rPr>
        <w:t>社会保险全民参保登记信息库的相关工作，加强社会保障分性别统计、信息动态监测和管理。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2．完善覆盖城乡妇女的生育保障制度。</w:t>
      </w:r>
      <w:r>
        <w:rPr>
          <w:rFonts w:hint="eastAsia" w:ascii="仿宋" w:hAnsi="仿宋" w:eastAsia="仿宋" w:cs="仿宋"/>
          <w:kern w:val="0"/>
          <w:sz w:val="32"/>
          <w:szCs w:val="32"/>
          <w:highlight w:val="none"/>
          <w:u w:val="single"/>
          <w:lang w:val="en-US" w:eastAsia="zh-CN" w:bidi="ar"/>
        </w:rPr>
        <w:t>扩大生育保险参保率并保持在</w:t>
      </w:r>
      <w:r>
        <w:rPr>
          <w:rFonts w:hint="default" w:ascii="Times New Roman" w:hAnsi="Times New Roman" w:eastAsia="仿宋" w:cs="Times New Roman"/>
          <w:kern w:val="0"/>
          <w:sz w:val="32"/>
          <w:szCs w:val="32"/>
          <w:highlight w:val="none"/>
          <w:u w:val="single"/>
          <w:lang w:val="en-US" w:eastAsia="zh-CN" w:bidi="ar"/>
        </w:rPr>
        <w:t>98%</w:t>
      </w:r>
      <w:r>
        <w:rPr>
          <w:rFonts w:hint="eastAsia" w:ascii="仿宋" w:hAnsi="仿宋" w:eastAsia="仿宋" w:cs="仿宋"/>
          <w:kern w:val="0"/>
          <w:sz w:val="32"/>
          <w:szCs w:val="32"/>
          <w:highlight w:val="none"/>
          <w:u w:val="single"/>
          <w:lang w:val="en-US" w:eastAsia="zh-CN" w:bidi="ar"/>
        </w:rPr>
        <w:t>以上</w:t>
      </w:r>
      <w:r>
        <w:rPr>
          <w:rStyle w:val="19"/>
          <w:rFonts w:hint="eastAsia" w:ascii="仿宋" w:hAnsi="仿宋" w:eastAsia="仿宋" w:cs="仿宋"/>
          <w:kern w:val="0"/>
          <w:sz w:val="32"/>
          <w:szCs w:val="32"/>
          <w:highlight w:val="none"/>
          <w:u w:val="single"/>
          <w:lang w:val="en-US" w:eastAsia="zh-CN" w:bidi="ar"/>
        </w:rPr>
        <w:footnoteReference w:id="21"/>
      </w:r>
      <w:r>
        <w:rPr>
          <w:rFonts w:hint="eastAsia" w:ascii="仿宋_GB2312" w:hAnsi="仿宋_GB2312" w:eastAsia="仿宋_GB2312" w:cs="仿宋_GB2312"/>
          <w:kern w:val="0"/>
          <w:sz w:val="32"/>
          <w:szCs w:val="32"/>
          <w:highlight w:val="none"/>
          <w:lang w:val="en-US" w:eastAsia="zh-CN" w:bidi="ar"/>
        </w:rPr>
        <w:t>，完善生育保险生育医疗费用支付及生育津贴政策。妥善解决妇女在就业和领取失业金期间生育保障问题。提高生育保险与职工基本医疗保险合并实施成效。加强城乡居民生育医疗费用保障。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3．不断提高妇女医疗保障水平。推动女职工和城乡女性居民持续参加基本医疗保险，满足妇女基本医疗保障需求。</w:t>
      </w:r>
      <w:r>
        <w:rPr>
          <w:rFonts w:hint="eastAsia" w:ascii="仿宋" w:hAnsi="仿宋" w:eastAsia="仿宋" w:cs="仿宋"/>
          <w:kern w:val="0"/>
          <w:sz w:val="32"/>
          <w:szCs w:val="32"/>
          <w:highlight w:val="none"/>
          <w:u w:val="single"/>
          <w:lang w:val="en-US" w:eastAsia="zh-CN" w:bidi="ar"/>
        </w:rPr>
        <w:t>全面提升困难群众医疗保障能力，实施特殊困难人群100%资助参保，实现困难人员应助尽助。</w:t>
      </w:r>
      <w:r>
        <w:rPr>
          <w:rStyle w:val="19"/>
          <w:rFonts w:hint="eastAsia" w:ascii="仿宋" w:hAnsi="仿宋" w:eastAsia="仿宋" w:cs="仿宋"/>
          <w:kern w:val="0"/>
          <w:sz w:val="32"/>
          <w:szCs w:val="32"/>
          <w:highlight w:val="none"/>
          <w:u w:val="single"/>
          <w:lang w:val="en-US" w:eastAsia="zh-CN" w:bidi="ar"/>
        </w:rPr>
        <w:footnoteReference w:id="22"/>
      </w:r>
      <w:r>
        <w:rPr>
          <w:rFonts w:hint="eastAsia" w:ascii="仿宋_GB2312" w:hAnsi="仿宋_GB2312" w:eastAsia="仿宋_GB2312" w:cs="仿宋_GB2312"/>
          <w:kern w:val="0"/>
          <w:sz w:val="32"/>
          <w:szCs w:val="32"/>
          <w:highlight w:val="none"/>
          <w:lang w:val="en-US" w:eastAsia="zh-CN" w:bidi="ar"/>
        </w:rPr>
        <w:t>统筹发挥基本医保、大病保险、医疗救助三重制度综合保障作用，促进多层次医疗保障互补衔接，做好符合条件的低收入妇女医疗救助。推进建立女职工医疗互助，充分发挥商业保险对宫颈癌、乳腺癌等重大疾病的保障作用。鼓励有条件的用人单位为女职工购买商业补充医疗保险，提高女职工大病医疗保障水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促进妇女享有可持续多层次养老保险。建立健全以基本养老保险为基础、企业（职业）年金为补充、与个人储蓄性养老保险和商业养老保险相衔接的多层次、多支柱养老保险体系，按照省统一部署，配合推进城乡居民基本养老保险基金省级管理，促进与社会救助、社会福利等其他社会保障制度的配套衔接。按国家部署实施渐进式延迟法定退休年龄。督促用人单位依法及时足额缴纳基本养老保险费，不断增加妇女参加基本养老保险的人数，促进妇女依法公平享有基本养老保险权益。鼓励有条件的用人单位建立企业年金，丰富商业养老保险产品，提高妇女养老保障水平。</w:t>
      </w:r>
      <w:r>
        <w:rPr>
          <w:rFonts w:hint="eastAsia" w:ascii="仿宋" w:hAnsi="仿宋" w:eastAsia="仿宋" w:cs="仿宋"/>
          <w:kern w:val="0"/>
          <w:sz w:val="32"/>
          <w:szCs w:val="32"/>
          <w:highlight w:val="none"/>
          <w:u w:val="single"/>
          <w:lang w:val="en-US" w:eastAsia="zh-CN" w:bidi="ar"/>
        </w:rPr>
        <w:t>积极落实政府代缴、中途参保等优惠政策，确保60周岁以上贫困人员享受城乡居民基本养老保险待遇。</w:t>
      </w:r>
      <w:r>
        <w:rPr>
          <w:rStyle w:val="19"/>
          <w:rFonts w:hint="eastAsia" w:ascii="仿宋" w:hAnsi="仿宋" w:eastAsia="仿宋" w:cs="仿宋"/>
          <w:kern w:val="0"/>
          <w:sz w:val="32"/>
          <w:szCs w:val="32"/>
          <w:highlight w:val="none"/>
          <w:u w:val="single"/>
          <w:lang w:val="en-US" w:eastAsia="zh-CN" w:bidi="ar"/>
        </w:rPr>
        <w:footnoteReference w:id="23"/>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保障女性失业保险权益。扩大失业保险保障范围，提高失业保险金标准，推动失业保险从基本生活保障向进一步促进就业拓展、从事后帮扶就业向事前预防失业拓展、从参保失业人员向所有参保人员拓展。督促用人单位依法为女职工办理失业保险，提高女职工特别是女异地务工人员的参保覆盖面。保障符合条件的失业女职工按时享受失业保险待遇。强化失业保险促就业防失业功能，适时制定特殊时期失业保障政策，支持稳定就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扩大妇女工伤保险覆盖面。完善工伤保险长期待遇调整机制，推动工伤保险从单位职工向职业劳动者的广覆盖，配合完善工伤保险基金省级统筹和预防、补偿、康复“三位一体”制度。增强工伤保险预防工伤、保障生活、促进康复的功能，推进新就业形态人员职业伤害保障试点，将新业态就业妇女纳入保障范围。督促用人单位特别是高风险行业单位依法为女职工办理工伤保险，确保落实工伤保险待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强化社会救助对生活困难妇女的兜底保障。推进法律实施，强化政策衔接，建立健全分层分类的社会救助体系，健全基本生活救助制度和医疗救助、教育救助、住房救助、就业救助、受灾人员救助等专项救助制度，完善临时救助政策措施，强化急难社会救助功能，织密织牢社会救助兜底保障网。积极发展服务类社会救助，推进政府购买社会救助服务，确保符合条件的妇女应救尽救。鼓励、支持慈善组织依法依规为生活困难妇女提供救助帮扶。推动建立统一的救助信息平台，加强社会救助分性别统计、信息动态监测和管理，精准识别救助对象。</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不断满足妇女群体的社会福利需求。完善老年人津补贴制度，统筹高龄津贴、护理补贴、服务补贴等政策，完善经济困难高龄失能老年人补贴制度，落实各项补贴待遇，逐步提升老年妇女福利水平。完善残疾人补贴制度，动态调整、合理确定困难残疾人生活补贴和重度残疾人护理补贴标准，扩大适合残疾妇女特殊需要的公共服务供给。</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9．保障妇女享有基本养老服务。加快建设居家社区机构相协调、医养康养相结合的养老服务体系，</w:t>
      </w:r>
      <w:r>
        <w:rPr>
          <w:rFonts w:hint="eastAsia" w:ascii="仿宋" w:hAnsi="仿宋" w:eastAsia="仿宋" w:cs="仿宋"/>
          <w:kern w:val="0"/>
          <w:sz w:val="32"/>
          <w:szCs w:val="32"/>
          <w:highlight w:val="none"/>
          <w:u w:val="single"/>
          <w:lang w:val="en-US" w:eastAsia="zh-CN" w:bidi="ar"/>
        </w:rPr>
        <w:t>支持森林康养与保健养生、康复疗养等深度融合</w:t>
      </w:r>
      <w:r>
        <w:rPr>
          <w:rStyle w:val="19"/>
          <w:rFonts w:hint="eastAsia" w:ascii="仿宋" w:hAnsi="仿宋" w:eastAsia="仿宋" w:cs="仿宋"/>
          <w:kern w:val="0"/>
          <w:sz w:val="32"/>
          <w:szCs w:val="32"/>
          <w:highlight w:val="none"/>
          <w:u w:val="single"/>
          <w:lang w:val="en-US" w:eastAsia="zh-CN" w:bidi="ar"/>
        </w:rPr>
        <w:footnoteReference w:id="24"/>
      </w:r>
      <w:r>
        <w:rPr>
          <w:rFonts w:hint="eastAsia" w:ascii="仿宋" w:hAnsi="仿宋" w:eastAsia="仿宋" w:cs="仿宋"/>
          <w:kern w:val="0"/>
          <w:sz w:val="32"/>
          <w:szCs w:val="32"/>
          <w:highlight w:val="none"/>
          <w:u w:val="single"/>
          <w:lang w:val="en-US" w:eastAsia="zh-CN" w:bidi="ar"/>
        </w:rPr>
        <w:t>，打造“双区”休闲旅游康养基地</w:t>
      </w:r>
      <w:r>
        <w:rPr>
          <w:rStyle w:val="19"/>
          <w:rFonts w:hint="eastAsia" w:ascii="仿宋" w:hAnsi="仿宋" w:eastAsia="仿宋" w:cs="仿宋"/>
          <w:kern w:val="0"/>
          <w:sz w:val="32"/>
          <w:szCs w:val="32"/>
          <w:highlight w:val="none"/>
          <w:u w:val="single"/>
          <w:lang w:val="en-US" w:eastAsia="zh-CN" w:bidi="ar"/>
        </w:rPr>
        <w:footnoteReference w:id="25"/>
      </w:r>
      <w:r>
        <w:rPr>
          <w:rFonts w:hint="eastAsia" w:ascii="仿宋" w:hAnsi="仿宋" w:eastAsia="仿宋" w:cs="仿宋"/>
          <w:kern w:val="0"/>
          <w:sz w:val="32"/>
          <w:szCs w:val="32"/>
          <w:highlight w:val="none"/>
          <w:u w:val="single"/>
          <w:lang w:val="en-US" w:eastAsia="zh-CN" w:bidi="ar"/>
        </w:rPr>
        <w:t>，</w:t>
      </w:r>
      <w:r>
        <w:rPr>
          <w:rFonts w:hint="eastAsia" w:ascii="仿宋_GB2312" w:hAnsi="仿宋_GB2312" w:eastAsia="仿宋_GB2312" w:cs="仿宋_GB2312"/>
          <w:kern w:val="0"/>
          <w:sz w:val="32"/>
          <w:szCs w:val="32"/>
          <w:highlight w:val="none"/>
          <w:lang w:val="en-US" w:eastAsia="zh-CN" w:bidi="ar"/>
        </w:rPr>
        <w:t>大力发展普惠型养老服务，支持社会力量提供养老服务。完善社区居家养老服务网络，支持邻里之间的互助性养老，推进公共设施适老化改造，推动专业机构服务向社区和家庭延伸。坚持公办（公建民营）养老机构兜底保障核心功能，重点为经济困难的失能失智、计划生育特殊家庭老年人提供托养服务，对符合特困供养条件的老年妇女做到应养尽养。推进城乡基本养老服务协同发展，加强与珠三角地区养老服务资源对接，推动城乡基本养老服务资源共建共享，加快补齐农村养老服务短板。促进养老机构提供多元化、便利化、个性化服务，提高老年妇女生活照料、家政服务、精神慰藉、护理保健、辅具配置、紧急救援等服务水平。加大养老护理型人才培养力度，建设高素质、专业化的养老服务队伍。</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10．探索建立多层次长期照护保障制度。按国家</w:t>
      </w:r>
      <w:r>
        <w:rPr>
          <w:rFonts w:hint="eastAsia" w:ascii="仿宋" w:hAnsi="仿宋" w:eastAsia="仿宋" w:cs="仿宋"/>
          <w:kern w:val="0"/>
          <w:sz w:val="32"/>
          <w:szCs w:val="32"/>
          <w:highlight w:val="none"/>
          <w:u w:val="single"/>
          <w:lang w:val="en-US" w:eastAsia="zh-CN" w:bidi="ar"/>
        </w:rPr>
        <w:t>、省和市</w:t>
      </w:r>
      <w:r>
        <w:rPr>
          <w:rFonts w:hint="eastAsia" w:ascii="仿宋_GB2312" w:hAnsi="仿宋_GB2312" w:eastAsia="仿宋_GB2312" w:cs="仿宋_GB2312"/>
          <w:kern w:val="0"/>
          <w:sz w:val="32"/>
          <w:szCs w:val="32"/>
          <w:highlight w:val="none"/>
          <w:lang w:val="en-US" w:eastAsia="zh-CN" w:bidi="ar"/>
        </w:rPr>
        <w:t>的统一部署稳步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0"/>
          <w:sz w:val="32"/>
          <w:szCs w:val="2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11．提高对妇女的关爱服务水平。对农村留守妇女进行摸底排查，建立完善以县级为单位的信息台账，重点为生活困难、残疾、重病等妇女群体提供权益保护、生活帮扶、精神抚慰等关爱服务。积极为农村留守妇女创业发展搭建平台、提供服务。支持农村留守妇女参与乡村振兴和家庭文明建设，在乡村治理、邻里互助、留守老人儿童关爱服务中发挥积极作用。完善困境妇女定期探访关爱制度。</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2" w:name="_Toc13416"/>
      <w:r>
        <w:rPr>
          <w:rFonts w:hint="eastAsia" w:ascii="楷体_GB2312" w:hAnsi="楷体_GB2312" w:eastAsia="楷体_GB2312" w:cs="楷体_GB2312"/>
          <w:highlight w:val="none"/>
          <w:lang w:bidi="ar"/>
        </w:rPr>
        <w:t>（六）妇女与家庭建设。</w:t>
      </w:r>
      <w:bookmarkEnd w:id="12"/>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1．树立新时代家庭观，弘扬爱国爱家、相亲相爱、向上向善、共建共享的社会主义家庭文明新风尚，推动社会主义核心价值观在家庭落地生根。</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 建立完善促进男女平等和妇女全面发展的家庭政策体系，增强家庭功能，提升家庭发展能力。</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3．拓展支持家庭与妇女全面发展的公共服务，构建城市社区“15分钟生活圈”、农村社区“半小时生活圈”，千兆宽带网络家庭普及率超过30%。</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4．注重发挥家庭家教家风在基层社会治理中的重要作用。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5．充分发挥妇女在家庭生活中的独特作用，弘扬中华民族家庭美德，树立良好家风，支持妇女成为幸福安康家庭的建设者、倡导者。</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6．倡导构建男女平等、和睦、文明的婚姻家庭关系，降低婚姻家庭纠纷对妇女发展的不利影响。</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7．倡导和支持男女共担家务，缩小两性家务劳动时间差距。</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8．支持家庭承担赡养老人责任，不断提升老年妇女家庭生活质量。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9．促进夫妻共同承担未成年子女的抚养、教育、保护责任，为未成年子女身心发展创造良好家庭环境。</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10．为家庭提供优生优育服务。</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bookmarkStart w:id="13" w:name="_Hlk99661803"/>
      <w:r>
        <w:rPr>
          <w:rFonts w:hint="eastAsia" w:ascii="仿宋_GB2312" w:hAnsi="仿宋_GB2312" w:eastAsia="仿宋_GB2312" w:cs="仿宋_GB2312"/>
          <w:kern w:val="0"/>
          <w:sz w:val="32"/>
          <w:szCs w:val="32"/>
          <w:highlight w:val="none"/>
          <w:lang w:val="en-US" w:eastAsia="zh-CN" w:bidi="ar"/>
        </w:rPr>
        <w:t>11．加强家庭社会工作专业人才队伍培养，全县乡镇（街道）</w:t>
      </w:r>
      <w:bookmarkEnd w:id="13"/>
      <w:r>
        <w:rPr>
          <w:rFonts w:hint="eastAsia" w:ascii="仿宋_GB2312" w:hAnsi="仿宋_GB2312" w:eastAsia="仿宋_GB2312" w:cs="仿宋_GB2312"/>
          <w:kern w:val="0"/>
          <w:sz w:val="32"/>
          <w:szCs w:val="32"/>
          <w:highlight w:val="none"/>
          <w:lang w:val="en-US" w:eastAsia="zh-CN" w:bidi="ar"/>
        </w:rPr>
        <w:t>社会工作服务站（点）覆盖率达到100%，困难群众和特殊群众社会工作服务覆盖率达到100%。</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制定出台促进男女平等和妇女全面发展的家庭政策。完善人口生育相关政策，构建积极生育支持政策体系，推动生育政策与经济社会政策配套衔接，推动建立生育友好型社会。严格落实国家关于托育费用支出的税费优惠规定，研究制定住房等方面支持政策，减轻家庭生育、养育、教育负担。完善幼儿养育、青少年发展、老人赡养、病残照料等政策，形成支持完善家庭基本功能、促进男女平等和妇女全面发展的家庭政策体系，增强家庭发展能力。完善产假制度，落实生育奖励假制度和配偶陪产假制度，实施父母育儿假。建立促进家庭发展的政策评估机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大力发展家庭公共服务。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单亲家庭等提供支持。加大对计划生育特殊家庭的帮扶保障力度，加强对退役军人家庭的支持和保障。实现便利优质“15分钟生活圈”，城市社区综合服务设施实现全覆盖。加强社区托育服务设施建设，完善社区养老托育、家政物业等服务网络和线上平台。发展数字家庭。</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 鼓励支持妇女在家庭生活中发挥独特作用。深入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建设。</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婚俗改革和婚姻领域移风易俗，选树宣传婚事新办典型。加强对广播电视、网络等婚恋活动和服务的规范管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提升家庭社会工作专业化服务水平。深化婚姻家庭辅导服务，推进婚姻登记机关设置婚姻家庭辅导室，拓展婚姻家庭辅导模式和内涵，创新服务供给方式，搭建多层次、广覆盖、便捷化的婚姻家庭辅导服务平台。加大政府购买服务力度，开展家庭社会工作服务，对夫妻关系、亲子关系、婆媳关系等家庭关系进行专业辅导，为婚恋交友、大龄未婚和老年再婚等婚恋问题提供专业服务。培育婚姻家庭辅导机构和家庭社会服务机构，发展壮大婚姻家庭服务类专业社工、心理咨询师、律师等服务队伍。</w:t>
      </w:r>
      <w:r>
        <w:rPr>
          <w:rFonts w:hint="eastAsia" w:ascii="仿宋" w:hAnsi="仿宋" w:eastAsia="仿宋" w:cs="仿宋"/>
          <w:kern w:val="0"/>
          <w:sz w:val="32"/>
          <w:szCs w:val="32"/>
          <w:highlight w:val="none"/>
          <w:u w:val="single"/>
          <w:lang w:val="en-US" w:eastAsia="zh-CN" w:bidi="ar"/>
        </w:rPr>
        <w:t>探索</w:t>
      </w:r>
      <w:r>
        <w:rPr>
          <w:rFonts w:hint="eastAsia" w:ascii="仿宋_GB2312" w:hAnsi="仿宋_GB2312" w:eastAsia="仿宋_GB2312" w:cs="仿宋_GB2312"/>
          <w:kern w:val="0"/>
          <w:sz w:val="32"/>
          <w:szCs w:val="32"/>
          <w:highlight w:val="none"/>
          <w:lang w:val="en-US" w:eastAsia="zh-CN" w:bidi="ar"/>
        </w:rPr>
        <w:t>开展“舒心驿站”心理健康服务，有效满足困难家庭和特殊家庭的个性化、多元化、专业化服务需求。</w:t>
      </w:r>
      <w:r>
        <w:rPr>
          <w:rFonts w:hint="eastAsia" w:ascii="仿宋" w:hAnsi="仿宋" w:eastAsia="仿宋" w:cs="仿宋"/>
          <w:kern w:val="0"/>
          <w:sz w:val="32"/>
          <w:szCs w:val="32"/>
          <w:highlight w:val="none"/>
          <w:u w:val="single"/>
          <w:lang w:val="en-US" w:eastAsia="zh-CN" w:bidi="ar"/>
        </w:rPr>
        <w:t>力争</w:t>
      </w:r>
      <w:r>
        <w:rPr>
          <w:rFonts w:hint="eastAsia" w:ascii="仿宋_GB2312" w:hAnsi="仿宋_GB2312" w:eastAsia="仿宋_GB2312" w:cs="仿宋_GB2312"/>
          <w:kern w:val="0"/>
          <w:sz w:val="32"/>
          <w:szCs w:val="32"/>
          <w:highlight w:val="none"/>
          <w:lang w:val="en-US" w:eastAsia="zh-CN" w:bidi="ar"/>
        </w:rPr>
        <w:t>设立常态化婚姻家庭服务项目。</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8．加强婚姻家庭纠纷预防化解工作。健全婚姻家庭纠纷预防化解工作机制，发挥综治中心和网格化服务管理作用，强化衔接联动，加强婚姻家庭纠纷预测预防预警，健全纠纷排查调处制度。推动建立</w:t>
      </w:r>
      <w:r>
        <w:rPr>
          <w:rFonts w:hint="eastAsia" w:ascii="仿宋" w:hAnsi="仿宋" w:eastAsia="仿宋" w:cs="仿宋"/>
          <w:kern w:val="0"/>
          <w:sz w:val="32"/>
          <w:szCs w:val="32"/>
          <w:highlight w:val="none"/>
          <w:u w:val="single"/>
          <w:lang w:val="en-US" w:eastAsia="zh-CN" w:bidi="ar"/>
        </w:rPr>
        <w:t>县、镇两</w:t>
      </w:r>
      <w:r>
        <w:rPr>
          <w:rFonts w:hint="eastAsia" w:ascii="仿宋_GB2312" w:hAnsi="仿宋_GB2312" w:eastAsia="仿宋_GB2312" w:cs="仿宋_GB2312"/>
          <w:kern w:val="0"/>
          <w:sz w:val="32"/>
          <w:szCs w:val="32"/>
          <w:highlight w:val="none"/>
          <w:lang w:val="en-US" w:eastAsia="zh-CN" w:bidi="ar"/>
        </w:rPr>
        <w:t>级婚姻家庭纠纷人民调解委员会，建设人民调解员队伍，搭建“互联网+”纠纷预防化解工作平台，支持社会力量参与，提供多元便捷服务。推进家事审判制度改革，加强诉调对接平台建设，构建新型家事纠纷综合协调解决模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10．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行独生子女父母护理假制度。建立完善社区老年人关爱服务机制。发展银发经济，推进智慧健康养老，消除老年人数字鸿沟，满足老年妇女生活需要。全面建立居家社区探访制度，加强特殊困难老年妇女探访。依法保障老年妇女婚姻自由和家庭财产权利。</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11．增强父母共同承担家庭教育责任的意识和能力。实施家庭教育法律法规，促进父母共同落实家庭教育主体责任，共同参与未成年子女家庭教育，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提高陪伴质量，共同陪伴未成年子女成长。</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0"/>
          <w:sz w:val="32"/>
          <w:szCs w:val="2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12．打造智能家居，提升家庭生活品质。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4" w:name="_Toc583"/>
      <w:r>
        <w:rPr>
          <w:rFonts w:hint="eastAsia" w:ascii="楷体_GB2312" w:hAnsi="楷体_GB2312" w:eastAsia="楷体_GB2312" w:cs="楷体_GB2312"/>
          <w:highlight w:val="none"/>
          <w:lang w:bidi="ar"/>
        </w:rPr>
        <w:t>（七）妇女与环境。</w:t>
      </w:r>
      <w:bookmarkEnd w:id="14"/>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1．健全文化与传媒领域的性别平等评估和监管机制。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2．全面提升妇女的媒介素养，提高妇女利用信息技术参与新时代经济社会高质量发展的能力。</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3．提高妇女的生态文明意识，促进妇女践行绿色发展理念，做生态文明建设的推动者和践行者。</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4．减少环境污染对妇女健康的危害。农村自来水普及率巩固在99%以上，强化城市集中式饮用水水源保护。</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5．农村无害化卫生厕所实现全覆盖，城镇公共厕所男女厕位比例标准化建设与实际需求相适应。</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6．妇女应对突发事件能力不断提高，作用得到发挥，特殊需求得到满足。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w:t>
      </w:r>
      <w:r>
        <w:rPr>
          <w:rFonts w:hint="eastAsia" w:ascii="仿宋" w:hAnsi="仿宋" w:eastAsia="仿宋" w:cs="仿宋"/>
          <w:kern w:val="0"/>
          <w:sz w:val="32"/>
          <w:szCs w:val="32"/>
          <w:highlight w:val="none"/>
          <w:u w:val="single"/>
          <w:lang w:val="en-US" w:eastAsia="zh-CN" w:bidi="ar"/>
        </w:rPr>
        <w:t>全县8个镇均建成文化站，文化站设置率100%，</w:t>
      </w:r>
      <w:r>
        <w:rPr>
          <w:rStyle w:val="19"/>
          <w:rFonts w:hint="eastAsia" w:ascii="仿宋" w:hAnsi="仿宋" w:eastAsia="仿宋" w:cs="仿宋"/>
          <w:kern w:val="0"/>
          <w:sz w:val="32"/>
          <w:szCs w:val="32"/>
          <w:highlight w:val="none"/>
          <w:u w:val="single"/>
          <w:lang w:val="en-US" w:eastAsia="zh-CN" w:bidi="ar"/>
        </w:rPr>
        <w:footnoteReference w:id="26"/>
      </w:r>
      <w:r>
        <w:rPr>
          <w:rFonts w:hint="eastAsia" w:ascii="仿宋_GB2312" w:hAnsi="仿宋_GB2312" w:eastAsia="仿宋_GB2312" w:cs="仿宋_GB2312"/>
          <w:kern w:val="0"/>
          <w:sz w:val="32"/>
          <w:szCs w:val="32"/>
          <w:highlight w:val="none"/>
          <w:lang w:val="en-US" w:eastAsia="zh-CN" w:bidi="ar"/>
        </w:rPr>
        <w:t>提高基本公共文化服务的适用性，妇女享有公共文化服务水平不断提高。</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8．加强公共场所母婴室建设，实现大型公共场所母婴室全覆盖。</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9．广泛参与妇女领域的国内国际交流与合作，</w:t>
      </w:r>
      <w:bookmarkStart w:id="15" w:name="_Hlk99662093"/>
      <w:r>
        <w:rPr>
          <w:rFonts w:hint="eastAsia" w:ascii="仿宋_GB2312" w:hAnsi="仿宋_GB2312" w:eastAsia="仿宋_GB2312" w:cs="仿宋_GB2312"/>
          <w:kern w:val="0"/>
          <w:sz w:val="32"/>
          <w:szCs w:val="32"/>
          <w:highlight w:val="none"/>
          <w:lang w:val="en-US" w:eastAsia="zh-CN" w:bidi="ar"/>
        </w:rPr>
        <w:t>促进我县妇女与粤港澳大湾区妇女的交流</w:t>
      </w:r>
      <w:bookmarkEnd w:id="15"/>
      <w:r>
        <w:rPr>
          <w:rFonts w:hint="eastAsia" w:ascii="仿宋_GB2312" w:hAnsi="仿宋_GB2312" w:eastAsia="仿宋_GB2312" w:cs="仿宋_GB2312"/>
          <w:kern w:val="0"/>
          <w:sz w:val="32"/>
          <w:szCs w:val="32"/>
          <w:highlight w:val="none"/>
          <w:lang w:val="en-US" w:eastAsia="zh-CN" w:bidi="ar"/>
        </w:rPr>
        <w:t>，提升</w:t>
      </w:r>
      <w:r>
        <w:rPr>
          <w:rFonts w:hint="eastAsia" w:ascii="仿宋" w:hAnsi="仿宋" w:eastAsia="仿宋" w:cs="仿宋"/>
          <w:kern w:val="0"/>
          <w:sz w:val="32"/>
          <w:szCs w:val="32"/>
          <w:highlight w:val="none"/>
          <w:u w:val="single"/>
          <w:lang w:val="en-US" w:eastAsia="zh-CN" w:bidi="ar"/>
        </w:rPr>
        <w:t>陆河</w:t>
      </w:r>
      <w:r>
        <w:rPr>
          <w:rFonts w:hint="eastAsia" w:ascii="仿宋_GB2312" w:hAnsi="仿宋_GB2312" w:eastAsia="仿宋_GB2312" w:cs="仿宋_GB2312"/>
          <w:kern w:val="0"/>
          <w:sz w:val="32"/>
          <w:szCs w:val="32"/>
          <w:highlight w:val="none"/>
          <w:lang w:val="en-US" w:eastAsia="zh-CN" w:bidi="ar"/>
        </w:rPr>
        <w:t>妇女和妇女组织的国内国际影响力。</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1．保障妇女享有公共文化服务权益。</w:t>
      </w:r>
      <w:r>
        <w:rPr>
          <w:rFonts w:hint="eastAsia" w:ascii="仿宋" w:hAnsi="仿宋" w:eastAsia="仿宋" w:cs="仿宋"/>
          <w:kern w:val="0"/>
          <w:sz w:val="32"/>
          <w:szCs w:val="32"/>
          <w:highlight w:val="none"/>
          <w:u w:val="single"/>
          <w:lang w:val="en-US" w:eastAsia="zh-CN" w:bidi="ar"/>
        </w:rPr>
        <w:t>优化提升县城文化三 馆功能设置，加快陆河县赖少其艺术馆建设工程、陆河县图书馆 建设工程，提升文化服务效能。</w:t>
      </w:r>
      <w:r>
        <w:rPr>
          <w:rStyle w:val="19"/>
          <w:rFonts w:hint="eastAsia" w:ascii="仿宋" w:hAnsi="仿宋" w:eastAsia="仿宋" w:cs="仿宋"/>
          <w:kern w:val="0"/>
          <w:sz w:val="32"/>
          <w:szCs w:val="32"/>
          <w:highlight w:val="none"/>
          <w:u w:val="single"/>
          <w:lang w:val="en-US" w:eastAsia="zh-CN" w:bidi="ar"/>
        </w:rPr>
        <w:footnoteReference w:id="27"/>
      </w:r>
      <w:r>
        <w:rPr>
          <w:rFonts w:hint="eastAsia" w:ascii="仿宋_GB2312" w:hAnsi="仿宋_GB2312" w:eastAsia="仿宋_GB2312" w:cs="仿宋_GB2312"/>
          <w:kern w:val="0"/>
          <w:sz w:val="32"/>
          <w:szCs w:val="32"/>
          <w:highlight w:val="none"/>
          <w:lang w:val="en-US" w:eastAsia="zh-CN" w:bidi="ar"/>
        </w:rPr>
        <w:t>丰富优质文化产品和公共文化服务供给，健全城乡公共文化服务体系，</w:t>
      </w:r>
      <w:r>
        <w:rPr>
          <w:rFonts w:hint="eastAsia" w:ascii="仿宋" w:hAnsi="仿宋" w:eastAsia="仿宋" w:cs="仿宋"/>
          <w:kern w:val="0"/>
          <w:sz w:val="32"/>
          <w:szCs w:val="32"/>
          <w:highlight w:val="none"/>
          <w:u w:val="single"/>
          <w:lang w:val="en-US" w:eastAsia="zh-CN" w:bidi="ar"/>
        </w:rPr>
        <w:t>县级公共图书馆、文化馆达到国家二级馆以上标准，乡镇（街道）文化站达到省二级站以上标准，</w:t>
      </w:r>
      <w:r>
        <w:rPr>
          <w:rStyle w:val="19"/>
          <w:rFonts w:hint="eastAsia" w:ascii="仿宋" w:hAnsi="仿宋" w:eastAsia="仿宋" w:cs="仿宋"/>
          <w:kern w:val="0"/>
          <w:sz w:val="32"/>
          <w:szCs w:val="32"/>
          <w:highlight w:val="none"/>
          <w:u w:val="single"/>
          <w:lang w:val="en-US" w:eastAsia="zh-CN" w:bidi="ar"/>
        </w:rPr>
        <w:footnoteReference w:id="28"/>
      </w:r>
      <w:r>
        <w:rPr>
          <w:rFonts w:hint="eastAsia" w:ascii="仿宋_GB2312" w:hAnsi="仿宋_GB2312" w:eastAsia="仿宋_GB2312" w:cs="仿宋_GB2312"/>
          <w:kern w:val="0"/>
          <w:sz w:val="32"/>
          <w:szCs w:val="32"/>
          <w:highlight w:val="none"/>
          <w:lang w:val="en-US" w:eastAsia="zh-CN" w:bidi="ar"/>
        </w:rPr>
        <w:t>满足妇女精神文化需求。强化服务网络和妇女儿童阵地文化活动功能，</w:t>
      </w:r>
      <w:r>
        <w:rPr>
          <w:rFonts w:hint="eastAsia" w:ascii="仿宋" w:hAnsi="仿宋" w:eastAsia="仿宋" w:cs="仿宋"/>
          <w:kern w:val="0"/>
          <w:sz w:val="32"/>
          <w:szCs w:val="32"/>
          <w:highlight w:val="none"/>
          <w:u w:val="single"/>
          <w:lang w:val="en-US" w:eastAsia="zh-CN" w:bidi="ar"/>
        </w:rPr>
        <w:t>完善乡镇文体基础设施，加快建设陆河县镇级文体设施项目、陆河县村级文体设施项目，改造提升基层综合性文化服务中心，加强公共文化数字化建设，</w:t>
      </w:r>
      <w:r>
        <w:rPr>
          <w:rStyle w:val="19"/>
          <w:rFonts w:hint="eastAsia" w:ascii="仿宋" w:hAnsi="仿宋" w:eastAsia="仿宋" w:cs="仿宋"/>
          <w:kern w:val="0"/>
          <w:sz w:val="32"/>
          <w:szCs w:val="32"/>
          <w:highlight w:val="none"/>
          <w:u w:val="single"/>
          <w:lang w:val="en-US" w:eastAsia="zh-CN" w:bidi="ar"/>
        </w:rPr>
        <w:footnoteReference w:id="29"/>
      </w:r>
      <w:r>
        <w:rPr>
          <w:rFonts w:hint="eastAsia" w:ascii="仿宋_GB2312" w:hAnsi="仿宋_GB2312" w:eastAsia="仿宋_GB2312" w:cs="仿宋_GB2312"/>
          <w:kern w:val="0"/>
          <w:sz w:val="32"/>
          <w:szCs w:val="32"/>
          <w:highlight w:val="none"/>
          <w:lang w:val="en-US" w:eastAsia="zh-CN" w:bidi="ar"/>
        </w:rPr>
        <w:t>鼓励图书室设立妇女读书专栏（专柜），鼓励支持提供面向妇女的文化产品、服务和活动。</w:t>
      </w:r>
      <w:r>
        <w:rPr>
          <w:rFonts w:hint="eastAsia" w:ascii="仿宋" w:hAnsi="仿宋" w:eastAsia="仿宋" w:cs="仿宋"/>
          <w:kern w:val="0"/>
          <w:sz w:val="32"/>
          <w:szCs w:val="32"/>
          <w:highlight w:val="none"/>
          <w:u w:val="single"/>
          <w:lang w:val="en-US" w:eastAsia="zh-CN" w:bidi="ar"/>
        </w:rPr>
        <w:t>加快陆河县新田镇联安村国家级运动休闲小镇建设，鼓励社会力量建设小型体育场所，</w:t>
      </w:r>
      <w:r>
        <w:rPr>
          <w:rStyle w:val="19"/>
          <w:rFonts w:hint="eastAsia" w:ascii="仿宋" w:hAnsi="仿宋" w:eastAsia="仿宋" w:cs="仿宋"/>
          <w:kern w:val="0"/>
          <w:sz w:val="32"/>
          <w:szCs w:val="32"/>
          <w:highlight w:val="none"/>
          <w:u w:val="single"/>
          <w:lang w:val="en-US" w:eastAsia="zh-CN" w:bidi="ar"/>
        </w:rPr>
        <w:footnoteReference w:id="30"/>
      </w:r>
      <w:r>
        <w:rPr>
          <w:rFonts w:hint="eastAsia" w:ascii="仿宋_GB2312" w:hAnsi="仿宋_GB2312" w:eastAsia="仿宋_GB2312" w:cs="仿宋_GB2312"/>
          <w:kern w:val="0"/>
          <w:sz w:val="32"/>
          <w:szCs w:val="32"/>
          <w:highlight w:val="none"/>
          <w:lang w:val="en-US" w:eastAsia="zh-CN" w:bidi="ar"/>
        </w:rPr>
        <w:t>为广大妇女开展文化体育活动提供场所，</w:t>
      </w:r>
      <w:r>
        <w:rPr>
          <w:rFonts w:hint="eastAsia" w:ascii="仿宋" w:hAnsi="仿宋" w:eastAsia="仿宋" w:cs="仿宋"/>
          <w:kern w:val="0"/>
          <w:sz w:val="32"/>
          <w:szCs w:val="32"/>
          <w:highlight w:val="none"/>
          <w:u w:val="single"/>
          <w:lang w:val="en-US" w:eastAsia="zh-CN" w:bidi="ar"/>
        </w:rPr>
        <w:t>依托“中国楹联文化之乡”“广东省民间文艺艺术之乡”称号，广泛开展群众性文化活动，实施文化精品工程；</w:t>
      </w:r>
      <w:r>
        <w:rPr>
          <w:rStyle w:val="19"/>
          <w:rFonts w:hint="eastAsia" w:ascii="仿宋" w:hAnsi="仿宋" w:eastAsia="仿宋" w:cs="仿宋"/>
          <w:kern w:val="0"/>
          <w:sz w:val="32"/>
          <w:szCs w:val="32"/>
          <w:highlight w:val="none"/>
          <w:u w:val="single"/>
          <w:lang w:val="en-US" w:eastAsia="zh-CN" w:bidi="ar"/>
        </w:rPr>
        <w:footnoteReference w:id="31"/>
      </w:r>
      <w:r>
        <w:rPr>
          <w:rFonts w:hint="eastAsia" w:ascii="仿宋" w:hAnsi="仿宋" w:eastAsia="仿宋" w:cs="仿宋"/>
          <w:kern w:val="0"/>
          <w:sz w:val="32"/>
          <w:szCs w:val="32"/>
          <w:highlight w:val="none"/>
          <w:u w:val="single"/>
          <w:lang w:val="en-US" w:eastAsia="zh-CN" w:bidi="ar"/>
        </w:rPr>
        <w:t>积极举办或协办各级各类竞技体育赛事，组织乡村马拉松赛等大型文体活动，</w:t>
      </w:r>
      <w:r>
        <w:rPr>
          <w:rStyle w:val="19"/>
          <w:rFonts w:hint="eastAsia" w:ascii="仿宋" w:hAnsi="仿宋" w:eastAsia="仿宋" w:cs="仿宋"/>
          <w:kern w:val="0"/>
          <w:sz w:val="32"/>
          <w:szCs w:val="32"/>
          <w:highlight w:val="none"/>
          <w:u w:val="single"/>
          <w:lang w:val="en-US" w:eastAsia="zh-CN" w:bidi="ar"/>
        </w:rPr>
        <w:footnoteReference w:id="32"/>
      </w:r>
      <w:r>
        <w:rPr>
          <w:rFonts w:hint="eastAsia" w:ascii="仿宋_GB2312" w:hAnsi="仿宋_GB2312" w:eastAsia="仿宋_GB2312" w:cs="仿宋_GB2312"/>
          <w:kern w:val="0"/>
          <w:sz w:val="32"/>
          <w:szCs w:val="32"/>
          <w:highlight w:val="none"/>
          <w:lang w:val="en-US" w:eastAsia="zh-CN" w:bidi="ar"/>
        </w:rPr>
        <w:t>为妇女提供多种多样的服务和积极向上的文体活动。推进城乡公共文化服务体系一体建设，</w:t>
      </w:r>
      <w:r>
        <w:rPr>
          <w:rFonts w:hint="eastAsia" w:ascii="仿宋" w:hAnsi="仿宋" w:eastAsia="仿宋" w:cs="仿宋"/>
          <w:kern w:val="0"/>
          <w:sz w:val="32"/>
          <w:szCs w:val="32"/>
          <w:highlight w:val="none"/>
          <w:u w:val="single"/>
          <w:lang w:val="en-US" w:eastAsia="zh-CN" w:bidi="ar"/>
        </w:rPr>
        <w:t>推动发展文化创意产业，充分挖掘客家文化民俗底蕴，鼓励数字动漫、文化会展、数字电影、创意设计等融入客家元素，推动客家文化传承创新，</w:t>
      </w:r>
      <w:r>
        <w:rPr>
          <w:rStyle w:val="19"/>
          <w:rFonts w:hint="eastAsia" w:ascii="仿宋" w:hAnsi="仿宋" w:eastAsia="仿宋" w:cs="仿宋"/>
          <w:kern w:val="0"/>
          <w:sz w:val="32"/>
          <w:szCs w:val="32"/>
          <w:highlight w:val="none"/>
          <w:u w:val="single"/>
          <w:lang w:val="en-US" w:eastAsia="zh-CN" w:bidi="ar"/>
        </w:rPr>
        <w:footnoteReference w:id="33"/>
      </w:r>
      <w:r>
        <w:rPr>
          <w:rFonts w:hint="eastAsia" w:ascii="仿宋_GB2312" w:hAnsi="仿宋_GB2312" w:eastAsia="仿宋_GB2312" w:cs="仿宋_GB2312"/>
          <w:kern w:val="0"/>
          <w:sz w:val="32"/>
          <w:szCs w:val="32"/>
          <w:highlight w:val="none"/>
          <w:lang w:val="en-US" w:eastAsia="zh-CN" w:bidi="ar"/>
        </w:rPr>
        <w:t>实施文化惠民工程，惠及城乡妇女。</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加强文化与传媒领域性别平等培训、评估和监管。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提高媒体决策和管理者及从业人员的性别意识。逐步实现性别平等审视的制度化和常态化，为妇女发展创设友好舆论环境。</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引导妇女提高媒介素养。利用学校、妇女之家、图书馆、网络课堂、新时代文明实践中心（所、站）等开展面向妇女的媒介素养培训和指导，加强妇女网络素养教育，提升妇女对媒介信息选择、判断和有效利用的能力，提升妇女网络安全意识和能力，消除性别数字鸿沟。重点帮助老年妇女、困难妇女和残疾妇女群体掌握网络基本知识技能。开展争做“巾帼好网民”活动，推动妇女弘扬网上正能量。</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4．促进妇女共建共享城乡人居环境改善成果。</w:t>
      </w:r>
      <w:r>
        <w:rPr>
          <w:rFonts w:hint="eastAsia" w:ascii="仿宋" w:hAnsi="仿宋" w:eastAsia="仿宋" w:cs="仿宋"/>
          <w:kern w:val="0"/>
          <w:sz w:val="32"/>
          <w:szCs w:val="32"/>
          <w:highlight w:val="none"/>
          <w:u w:val="single"/>
          <w:lang w:val="en-US" w:eastAsia="zh-CN" w:bidi="ar"/>
        </w:rPr>
        <w:t>持续抓好“三清 三拆”农村人居环境整治、基础设施建设、“厕所革命”等工作，</w:t>
      </w:r>
      <w:r>
        <w:rPr>
          <w:rStyle w:val="19"/>
          <w:rFonts w:hint="eastAsia" w:ascii="仿宋" w:hAnsi="仿宋" w:eastAsia="仿宋" w:cs="仿宋"/>
          <w:kern w:val="0"/>
          <w:sz w:val="32"/>
          <w:szCs w:val="32"/>
          <w:highlight w:val="none"/>
          <w:u w:val="single"/>
          <w:lang w:val="en-US" w:eastAsia="zh-CN" w:bidi="ar"/>
        </w:rPr>
        <w:footnoteReference w:id="34"/>
      </w:r>
      <w:r>
        <w:rPr>
          <w:rFonts w:hint="eastAsia" w:ascii="仿宋_GB2312" w:hAnsi="仿宋_GB2312" w:eastAsia="仿宋_GB2312" w:cs="仿宋_GB2312"/>
          <w:kern w:val="0"/>
          <w:sz w:val="32"/>
          <w:szCs w:val="32"/>
          <w:highlight w:val="none"/>
          <w:lang w:val="en-US" w:eastAsia="zh-CN" w:bidi="ar"/>
        </w:rPr>
        <w:t>促进妇女参与文明村镇创建，主动参与农村人居环境整治提升、农村文化发展、文明乡风培育和乡村社会治理。鼓励妇女引领绿色生产生活，养成节约适度、绿色低碳、文明健康的生活方式和消费模式，使用公勺公筷，拒食野生动物，杜绝餐饮浪费，为实现碳达峰、碳中和贡献力量。支持妇女参与生态环境治理。</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改善人居环境，保障城乡妇女饮水安全。加强环境监测和健康监测，开展环境污染因素影响研究，分析评估环境政策、基础设施项目、生产生活学习环境等对妇女健康的影响，减少环境污染对妇女的危害。推进城乡生活环境治理，推进城镇污水管网全覆盖，开发利用清洁能源，系统推进垃圾分类和减量化、资源化，推广使用家用节能环保产品。</w:t>
      </w:r>
      <w:r>
        <w:rPr>
          <w:rFonts w:hint="eastAsia" w:ascii="仿宋" w:hAnsi="仿宋" w:eastAsia="仿宋" w:cs="仿宋"/>
          <w:kern w:val="0"/>
          <w:sz w:val="32"/>
          <w:szCs w:val="32"/>
          <w:highlight w:val="none"/>
          <w:u w:val="single"/>
          <w:lang w:val="en-US" w:eastAsia="zh-CN" w:bidi="ar"/>
        </w:rPr>
        <w:t>加快推行“互联网+河（库）长制”管理信息系统，</w:t>
      </w:r>
      <w:r>
        <w:rPr>
          <w:rStyle w:val="19"/>
          <w:rFonts w:hint="eastAsia" w:ascii="仿宋" w:hAnsi="仿宋" w:eastAsia="仿宋" w:cs="仿宋"/>
          <w:kern w:val="0"/>
          <w:sz w:val="32"/>
          <w:szCs w:val="32"/>
          <w:highlight w:val="none"/>
          <w:u w:val="single"/>
          <w:lang w:val="en-US" w:eastAsia="zh-CN" w:bidi="ar"/>
        </w:rPr>
        <w:footnoteReference w:id="35"/>
      </w:r>
      <w:r>
        <w:rPr>
          <w:rFonts w:hint="eastAsia" w:ascii="仿宋_GB2312" w:hAnsi="仿宋_GB2312" w:eastAsia="仿宋_GB2312" w:cs="仿宋_GB2312"/>
          <w:kern w:val="0"/>
          <w:sz w:val="32"/>
          <w:szCs w:val="32"/>
          <w:highlight w:val="none"/>
          <w:lang w:val="en-US" w:eastAsia="zh-CN" w:bidi="ar"/>
        </w:rPr>
        <w:t>引导妇女积极参与水源保护。推进城市集中式饮用水水源规范化建设，加强水源保护和水质监测，守护饮水安全命脉。推动城乡一体化和规模化农村供水工程建设，加强农村供水工程提升改造，提升水资源优化配置能力，为妇女取水、用水提供便利。引导群众特别是农村群众自觉饮用水质合格的自来水。</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加强符合妇女需求的卫生厕所建设。推进城镇公共厕所改造，完善落实城镇公共厕所设计标准，推动将男女厕位比例的规范化建设和达标率纳入文明城市、文明社区、文明村镇、文明单位、文明校园的评选标准。城镇公共厕所在新建和改建时，女厕位与男厕位的比例不小于1.5︰1，人流量较大地区不小于2︰1。分类有序推进农村厕所革命，提高卫生厕所普及率，加强厕所粪污无害化处理与资源化利用。推动旅游景区、商场、客流超过1万人次的交通枢纽和服务区等公共场所建设第三卫生间。</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加强公共场所母婴室建设。加强公共场所母婴室的标准化建设和规范化管理。在长途客运车站等公共交通运输场所，图书馆、博物馆、购物中心等公共文体服务场所，政务服务中心等公共服务机构，医疗机构，商业经营场所、旅游景区、游览娱乐等公共场所，建筑面积超过1万平方米或者日人流量超过1万人的其他场所，建设母婴室。鼓励公共场所和企事业单位（机构）设置母婴室或增加母乳喂养设施。健全母婴室运行管理制度，做好日常安全管理和维护。</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加强对有需求妇女群体的救助服务和心理疏导，面向妇女开展突发事件预防应对知识和自救互救技能指导培训，引导妇女储备和正确使用家庭必备应急物资，提高妇女防灾减灾意识和自救互救能力。引导妇女积极参与防灾减灾工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0"/>
          <w:sz w:val="32"/>
          <w:szCs w:val="2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加强与粤港澳大湾区妇女发展、妇女事务的交流合作。通过举办或参加女性论坛、交流联谊等，推动我县与粤港澳大湾区妇女组织间及妇女间的交流合作。团结引领广大女性积极投身陆河建设，共同推动区域妇女事业互利共赢。深化和各地市妇女发展的合作与交流，增进与国际妇女组织的友好往来，拓展妇女友好交往的领域和渠道，提升</w:t>
      </w:r>
      <w:r>
        <w:rPr>
          <w:rFonts w:hint="eastAsia" w:ascii="仿宋" w:hAnsi="仿宋" w:eastAsia="仿宋" w:cs="仿宋"/>
          <w:kern w:val="0"/>
          <w:sz w:val="32"/>
          <w:szCs w:val="32"/>
          <w:highlight w:val="none"/>
          <w:u w:val="single"/>
          <w:lang w:val="en-US" w:eastAsia="zh-CN" w:bidi="ar"/>
        </w:rPr>
        <w:t>陆河</w:t>
      </w:r>
      <w:r>
        <w:rPr>
          <w:rFonts w:hint="eastAsia" w:ascii="仿宋_GB2312" w:hAnsi="仿宋_GB2312" w:eastAsia="仿宋_GB2312" w:cs="仿宋_GB2312"/>
          <w:kern w:val="0"/>
          <w:sz w:val="32"/>
          <w:szCs w:val="32"/>
          <w:highlight w:val="none"/>
          <w:lang w:val="en-US" w:eastAsia="zh-CN" w:bidi="ar"/>
        </w:rPr>
        <w:t>妇女发展水平。</w:t>
      </w:r>
    </w:p>
    <w:p>
      <w:pPr>
        <w:pStyle w:val="4"/>
        <w:pageBreakBefore w:val="0"/>
        <w:kinsoku/>
        <w:wordWrap/>
        <w:overflowPunct/>
        <w:topLinePunct w:val="0"/>
        <w:bidi w:val="0"/>
        <w:adjustRightInd/>
        <w:snapToGrid/>
        <w:spacing w:line="560" w:lineRule="exact"/>
        <w:textAlignment w:val="auto"/>
        <w:rPr>
          <w:rFonts w:hint="eastAsia" w:ascii="楷体_GB2312" w:hAnsi="楷体_GB2312" w:eastAsia="楷体_GB2312" w:cs="楷体_GB2312"/>
          <w:highlight w:val="none"/>
        </w:rPr>
      </w:pPr>
      <w:bookmarkStart w:id="16" w:name="_Toc5985"/>
      <w:r>
        <w:rPr>
          <w:rFonts w:hint="eastAsia" w:ascii="楷体_GB2312" w:hAnsi="楷体_GB2312" w:eastAsia="楷体_GB2312" w:cs="楷体_GB2312"/>
          <w:highlight w:val="none"/>
          <w:lang w:bidi="ar"/>
        </w:rPr>
        <w:t>（八）妇女与法律。</w:t>
      </w:r>
      <w:bookmarkEnd w:id="16"/>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主要目标：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1．全面贯彻落实男女平等宪法原则和基本国策，健全完善保障妇女合法权益的政策体系。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 促进法规政策性别平等评估机制规范化建设和有效运行。</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3．提高妇女尊法学法守法用法的意识和能力。充分发挥妇女在法治</w:t>
      </w:r>
      <w:r>
        <w:rPr>
          <w:rFonts w:hint="eastAsia" w:ascii="仿宋" w:hAnsi="仿宋" w:eastAsia="仿宋" w:cs="仿宋"/>
          <w:kern w:val="0"/>
          <w:sz w:val="32"/>
          <w:szCs w:val="32"/>
          <w:highlight w:val="none"/>
          <w:u w:val="single"/>
          <w:lang w:val="en-US" w:eastAsia="zh-CN" w:bidi="ar"/>
        </w:rPr>
        <w:t>陆河</w:t>
      </w:r>
      <w:r>
        <w:rPr>
          <w:rFonts w:hint="eastAsia" w:ascii="仿宋_GB2312" w:hAnsi="仿宋_GB2312" w:eastAsia="仿宋_GB2312" w:cs="仿宋_GB2312"/>
          <w:kern w:val="0"/>
          <w:sz w:val="32"/>
          <w:szCs w:val="32"/>
          <w:highlight w:val="none"/>
          <w:lang w:val="en-US" w:eastAsia="zh-CN" w:bidi="ar"/>
        </w:rPr>
        <w:t>建设中的作用。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4．深入实施反家庭暴力法，预防和制止针对妇女一切形式的家庭暴力，加强受害妇女救助。设立1个以上家庭暴力庇护场所。</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5．严厉打击拐卖、性侵害妇女，卖淫嫖娼等违法犯罪行为。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6．严厉打击利用网络对妇女实施的违法犯罪行为。提高侵害妇女人身权益的刑事案件破案率和结案率。</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7．提升预防和制止性骚扰的法治意识，有效遏制针对妇女的性骚扰。</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8．保障妇女在家庭关系中的财产所有权、继承权、子女抚养权，保障妇女对婚姻家庭关系中共同财产享有知情权和平等处理权。</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9．保障妇女平等获得公共法律服务。保障遭受侵害妇女获得及时有效的司法救助。</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10．建立完善女性被害人保护救助支持体系。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策略措施：</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1．将男女平等宪法原则和基本国策贯彻落实到法治</w:t>
      </w:r>
      <w:r>
        <w:rPr>
          <w:rFonts w:hint="eastAsia" w:ascii="仿宋" w:hAnsi="仿宋" w:eastAsia="仿宋" w:cs="仿宋"/>
          <w:kern w:val="0"/>
          <w:sz w:val="32"/>
          <w:szCs w:val="32"/>
          <w:highlight w:val="none"/>
          <w:u w:val="single"/>
          <w:lang w:val="en-US" w:eastAsia="zh-CN" w:bidi="ar"/>
        </w:rPr>
        <w:t>陆河</w:t>
      </w:r>
      <w:r>
        <w:rPr>
          <w:rFonts w:hint="eastAsia" w:ascii="仿宋_GB2312" w:hAnsi="仿宋_GB2312" w:eastAsia="仿宋_GB2312" w:cs="仿宋_GB2312"/>
          <w:kern w:val="0"/>
          <w:sz w:val="32"/>
          <w:szCs w:val="32"/>
          <w:highlight w:val="none"/>
          <w:lang w:val="en-US" w:eastAsia="zh-CN" w:bidi="ar"/>
        </w:rPr>
        <w:t>建设全过程。建立健全保障妇女合法权益的政策体系。加大民法典、妇女权益保障法、反家庭暴力法等法律法规的实施力度，加强执法检查和督查督办，保障侵害妇女权益案件获得公平公正处理。促进开展妇女权益保障领域的公益诉讼。将保障妇女权益的相关内容纳入基层社会治理，纳入法治队伍建设、全民普法规划和群众性法治文化活动，增强全社会的男女平等法治意识和法治素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加强法规政策性别平等评估工作。健全县政策性别平等评估机制，明确评估主体和范围，规范评估流程，细化评估指标。加强法规政策制定前研判、决策中贯彻、实施后评估的制度化建设。开展性别平等评估相关培训，加强专业化队伍建设，将男女平等基本国策落实在规章、政策制定实施全过程各环节。</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3．提升妇女法治意识和参与法治</w:t>
      </w:r>
      <w:r>
        <w:rPr>
          <w:rFonts w:hint="eastAsia" w:ascii="仿宋" w:hAnsi="仿宋" w:eastAsia="仿宋" w:cs="仿宋"/>
          <w:kern w:val="0"/>
          <w:sz w:val="32"/>
          <w:szCs w:val="32"/>
          <w:highlight w:val="none"/>
          <w:u w:val="single"/>
          <w:lang w:val="en-US" w:eastAsia="zh-CN" w:bidi="ar"/>
        </w:rPr>
        <w:t>陆河</w:t>
      </w:r>
      <w:r>
        <w:rPr>
          <w:rFonts w:hint="eastAsia" w:ascii="仿宋_GB2312" w:hAnsi="仿宋_GB2312" w:eastAsia="仿宋_GB2312" w:cs="仿宋_GB2312"/>
          <w:kern w:val="0"/>
          <w:sz w:val="32"/>
          <w:szCs w:val="32"/>
          <w:highlight w:val="none"/>
          <w:lang w:val="en-US" w:eastAsia="zh-CN" w:bidi="ar"/>
        </w:rPr>
        <w:t>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以女性为主要服务对象的社会组织等在立法工作中的作用。</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加大反家庭暴力法律法规的实施力度。健全完善预防和制止家庭暴力多部门合作机制，建立反家庭暴力社会共治机制，发布反家庭暴力的典型案例或指导性案例。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规范加强紧急庇护场所管理，提升庇护服务水平。加强对家庭暴力受害妇女的心理抚慰和生活救助。加强对施暴者的教育警示、心理辅导和行为矫治。开展家庭暴力案件跟踪回访。加强反家庭暴力业务培训和统计。建立反家庭暴力社会支持系统，支持社会力量承接反家庭暴力服务项目。</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坚决打击拐卖妇女犯罪。完善落实集预防、打击、救助、安置、康复于一体的反拐工作长效机制。坚持预防为主、防治结合，提高全社会的反拐意识以及妇女的防范意识和能力。深入实施反对拐卖人口行动计划，打击拐卖妇女犯罪团伙。整治“买方市场”，及时解救被拐妇女并帮助其正常融入社会。打击跨国跨区域拐卖妇女犯罪。</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严厉查处涉黄娱乐服务场所。加强社会治安综合治理，建立常态化整治机制，鼓励群众监督和举报涉黄违法犯罪行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有效遏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应用性侵害违法犯罪人员信息查询系统，完善和落实从业禁止制度。加强对受害妇女的隐私保护、心理辅导和干预。</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8．预防和制止针对妇女的性骚扰。多形式多渠道传播防治性骚扰知识，提升妇女防范和制止性骚扰的意识和能力。建立健全预防和制止性骚扰工作机制，加强联防联控，发挥典型案例示范指引作用。在机关、企业、学校等单位建立相关工作机制，预防和制止工作、学习等场所发生的性骚扰。畅通救济途径。</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10．在婚姻家庭和继承案件处理中依法保障妇女的财产权益。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11．为妇女提供优质高效的公共法律服务。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0"/>
          <w:sz w:val="32"/>
          <w:szCs w:val="2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12．建立健全妇女被害人保护救助支持体系。依法保护妇女被害人隐私。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依托社会公益救助、慈善救助、关爱基金等平台，为被害妇女提供社会救助。</w:t>
      </w:r>
    </w:p>
    <w:p>
      <w:pPr>
        <w:pStyle w:val="2"/>
        <w:pageBreakBefore w:val="0"/>
        <w:kinsoku/>
        <w:wordWrap/>
        <w:overflowPunct/>
        <w:topLinePunct w:val="0"/>
        <w:bidi w:val="0"/>
        <w:adjustRightInd/>
        <w:snapToGrid/>
        <w:spacing w:line="560" w:lineRule="exact"/>
        <w:ind w:firstLine="643"/>
        <w:textAlignment w:val="auto"/>
        <w:rPr>
          <w:b w:val="0"/>
          <w:bCs/>
          <w:highlight w:val="none"/>
        </w:rPr>
      </w:pPr>
      <w:bookmarkStart w:id="17" w:name="_Toc3936"/>
      <w:r>
        <w:rPr>
          <w:rFonts w:hint="eastAsia"/>
          <w:b w:val="0"/>
          <w:bCs/>
          <w:highlight w:val="none"/>
          <w:lang w:bidi="ar"/>
        </w:rPr>
        <w:t>三、重点工程</w:t>
      </w:r>
      <w:bookmarkEnd w:id="17"/>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（一）妇幼健康保护工程。</w:t>
      </w:r>
      <w:r>
        <w:rPr>
          <w:rFonts w:hint="eastAsia" w:ascii="仿宋_GB2312" w:hAnsi="仿宋_GB2312" w:eastAsia="仿宋_GB2312" w:cs="仿宋_GB2312"/>
          <w:kern w:val="0"/>
          <w:sz w:val="32"/>
          <w:szCs w:val="32"/>
          <w:highlight w:val="none"/>
          <w:lang w:bidi="ar"/>
        </w:rPr>
        <w:t>实施消除艾滋病、梅毒和乙肝病毒母婴传播项目。适龄妇女乳腺癌人群筛查率逐步提高，宫颈癌人群筛查率达到70%以上，逐步将人乳头瘤病毒（HPV）疫苗接种纳入公共卫生服务。落实母婴安全五项制度，完善县级危重症孕产妇、新生儿救治、出生缺陷防治体系，孕产妇死亡率下降到8/10万以下。建设1所政府举办的标准化妇幼保健机构，实现每千名儿童至少拥有儿科执业（助理）医生1.12名、床位3.17张。适龄儿童免疫规划疫苗接种率以乡镇（街道）为单位保持在90%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（二）巾帼家政领跑者工程。</w:t>
      </w:r>
      <w:r>
        <w:rPr>
          <w:rFonts w:hint="eastAsia" w:ascii="仿宋_GB2312" w:hAnsi="仿宋_GB2312" w:eastAsia="仿宋_GB2312" w:cs="仿宋_GB2312"/>
          <w:kern w:val="0"/>
          <w:sz w:val="32"/>
          <w:szCs w:val="22"/>
          <w:highlight w:val="none"/>
          <w:lang w:bidi="ar"/>
        </w:rPr>
        <w:t>依托“南粤家政”工程，重点实施母婴服务、居家服务、养老服务、医护服务四大项目，推动建设培养示范、综合服务、交流合作、行业发展四大平台。大力组织女性劳动力参加家政职业技能培训，促进家政行业的就业创业。完善和落实社保补贴、吸纳就业补贴等扶持政策，推动员工制家政企业占比显著提高。进一步完善家政服务信用、标准、产业、保障体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（三）妇女就业创业支持工程。</w:t>
      </w:r>
      <w:r>
        <w:rPr>
          <w:rFonts w:hint="eastAsia" w:ascii="仿宋_GB2312" w:hAnsi="仿宋_GB2312" w:eastAsia="仿宋_GB2312" w:cs="仿宋_GB2312"/>
          <w:kern w:val="0"/>
          <w:sz w:val="32"/>
          <w:szCs w:val="22"/>
          <w:highlight w:val="none"/>
          <w:lang w:bidi="ar"/>
        </w:rPr>
        <w:t>深入推进职业教育提质扩容，优化职业教育办学体制机制，促进女性接受高质量职业教育，企业女职工接受职业技能培训的比例保持并巩固在95%以上。鼓励职业院校面向</w:t>
      </w:r>
      <w:r>
        <w:rPr>
          <w:rFonts w:hint="eastAsia" w:ascii="仿宋" w:hAnsi="仿宋" w:eastAsia="仿宋" w:cs="仿宋"/>
          <w:kern w:val="0"/>
          <w:sz w:val="32"/>
          <w:szCs w:val="22"/>
          <w:highlight w:val="none"/>
          <w:u w:val="single"/>
          <w:lang w:eastAsia="zh-CN" w:bidi="ar"/>
        </w:rPr>
        <w:t>女初中</w:t>
      </w:r>
      <w:r>
        <w:rPr>
          <w:rFonts w:hint="eastAsia" w:ascii="仿宋" w:hAnsi="仿宋" w:eastAsia="仿宋" w:cs="仿宋"/>
          <w:kern w:val="0"/>
          <w:sz w:val="32"/>
          <w:szCs w:val="22"/>
          <w:highlight w:val="none"/>
          <w:u w:val="single"/>
          <w:lang w:bidi="ar"/>
        </w:rPr>
        <w:t>毕业生</w:t>
      </w:r>
      <w:r>
        <w:rPr>
          <w:rFonts w:hint="eastAsia" w:ascii="仿宋_GB2312" w:hAnsi="仿宋_GB2312" w:eastAsia="仿宋_GB2312" w:cs="仿宋_GB2312"/>
          <w:kern w:val="0"/>
          <w:sz w:val="32"/>
          <w:szCs w:val="22"/>
          <w:highlight w:val="none"/>
          <w:lang w:bidi="ar"/>
        </w:rPr>
        <w:t>、女农民工、女职工等重点人群开展就业创业和职业技能培训。深入实施职业技能提升行动，</w:t>
      </w:r>
      <w:r>
        <w:rPr>
          <w:rFonts w:hint="eastAsia" w:ascii="仿宋" w:hAnsi="仿宋" w:eastAsia="仿宋" w:cs="仿宋"/>
          <w:kern w:val="0"/>
          <w:sz w:val="32"/>
          <w:szCs w:val="22"/>
          <w:highlight w:val="none"/>
          <w:u w:val="single"/>
          <w:lang w:bidi="ar"/>
        </w:rPr>
        <w:t>加快建设陆河县公共实训大楼“粤菜师傅”“南粤家政”培训基地、汕尾市家政服务综合服务基地陆河分基地</w:t>
      </w:r>
      <w:r>
        <w:rPr>
          <w:rFonts w:hint="eastAsia" w:ascii="仿宋" w:hAnsi="仿宋" w:eastAsia="仿宋" w:cs="仿宋"/>
          <w:kern w:val="0"/>
          <w:sz w:val="32"/>
          <w:szCs w:val="22"/>
          <w:highlight w:val="none"/>
          <w:u w:val="single"/>
          <w:lang w:eastAsia="zh-CN" w:bidi="ar"/>
        </w:rPr>
        <w:t>，</w:t>
      </w:r>
      <w:r>
        <w:rPr>
          <w:rStyle w:val="19"/>
          <w:rFonts w:hint="eastAsia" w:ascii="仿宋" w:hAnsi="仿宋" w:eastAsia="仿宋" w:cs="仿宋"/>
          <w:kern w:val="0"/>
          <w:sz w:val="32"/>
          <w:szCs w:val="22"/>
          <w:highlight w:val="none"/>
          <w:u w:val="single"/>
          <w:lang w:eastAsia="zh-CN" w:bidi="ar"/>
        </w:rPr>
        <w:footnoteReference w:id="36"/>
      </w:r>
      <w:r>
        <w:rPr>
          <w:rFonts w:hint="eastAsia" w:ascii="仿宋_GB2312" w:hAnsi="仿宋_GB2312" w:eastAsia="仿宋_GB2312" w:cs="仿宋_GB2312"/>
          <w:kern w:val="0"/>
          <w:sz w:val="32"/>
          <w:szCs w:val="22"/>
          <w:highlight w:val="none"/>
          <w:lang w:bidi="ar"/>
        </w:rPr>
        <w:t>推进“粤菜</w:t>
      </w:r>
      <w:r>
        <w:rPr>
          <w:rFonts w:hint="eastAsia" w:ascii="仿宋" w:hAnsi="仿宋" w:eastAsia="仿宋" w:cs="仿宋"/>
          <w:kern w:val="0"/>
          <w:sz w:val="32"/>
          <w:szCs w:val="22"/>
          <w:highlight w:val="none"/>
          <w:u w:val="single"/>
          <w:lang w:eastAsia="zh-CN" w:bidi="ar"/>
        </w:rPr>
        <w:t>（客家菜）</w:t>
      </w:r>
      <w:r>
        <w:rPr>
          <w:rFonts w:hint="eastAsia" w:ascii="仿宋_GB2312" w:hAnsi="仿宋_GB2312" w:eastAsia="仿宋_GB2312" w:cs="仿宋_GB2312"/>
          <w:kern w:val="0"/>
          <w:sz w:val="32"/>
          <w:szCs w:val="22"/>
          <w:highlight w:val="none"/>
          <w:lang w:bidi="ar"/>
        </w:rPr>
        <w:t>师傅”“广东技工”“南粤家政”三项工程高质量发展，促进妇女就业创业。</w:t>
      </w:r>
      <w:r>
        <w:rPr>
          <w:rFonts w:hint="eastAsia" w:ascii="仿宋" w:hAnsi="仿宋" w:eastAsia="仿宋" w:cs="仿宋"/>
          <w:kern w:val="0"/>
          <w:sz w:val="32"/>
          <w:szCs w:val="22"/>
          <w:highlight w:val="none"/>
          <w:u w:val="single"/>
          <w:lang w:bidi="ar"/>
        </w:rPr>
        <w:t>对贫困家庭子女、未升学初高中毕业生、征地村民、贫困劳动力、失业人员等实行免费职业培训</w:t>
      </w:r>
      <w:r>
        <w:rPr>
          <w:rFonts w:hint="eastAsia" w:ascii="仿宋" w:hAnsi="仿宋" w:eastAsia="仿宋" w:cs="仿宋"/>
          <w:kern w:val="0"/>
          <w:sz w:val="32"/>
          <w:szCs w:val="22"/>
          <w:highlight w:val="none"/>
          <w:u w:val="single"/>
          <w:lang w:eastAsia="zh-CN" w:bidi="ar"/>
        </w:rPr>
        <w:t>。</w:t>
      </w:r>
      <w:r>
        <w:rPr>
          <w:rStyle w:val="19"/>
          <w:rFonts w:hint="eastAsia" w:ascii="仿宋" w:hAnsi="仿宋" w:eastAsia="仿宋" w:cs="仿宋"/>
          <w:kern w:val="0"/>
          <w:sz w:val="32"/>
          <w:szCs w:val="22"/>
          <w:highlight w:val="none"/>
          <w:u w:val="single"/>
          <w:lang w:eastAsia="zh-CN" w:bidi="ar"/>
        </w:rPr>
        <w:footnoteReference w:id="37"/>
      </w:r>
      <w:r>
        <w:rPr>
          <w:rFonts w:hint="eastAsia" w:ascii="仿宋_GB2312" w:hAnsi="仿宋_GB2312" w:eastAsia="仿宋_GB2312" w:cs="仿宋_GB2312"/>
          <w:kern w:val="0"/>
          <w:sz w:val="32"/>
          <w:szCs w:val="22"/>
          <w:highlight w:val="none"/>
          <w:lang w:bidi="ar"/>
        </w:rPr>
        <w:t>优化升级援企稳岗政策，增加妇女就业岗位。落实省妇女创业小额担保贷款贴息项目，扩大受惠面，提升实施效果。</w:t>
      </w:r>
      <w:r>
        <w:rPr>
          <w:rFonts w:hint="eastAsia" w:ascii="仿宋" w:hAnsi="仿宋" w:eastAsia="仿宋" w:cs="仿宋"/>
          <w:kern w:val="0"/>
          <w:sz w:val="32"/>
          <w:szCs w:val="22"/>
          <w:highlight w:val="none"/>
          <w:u w:val="single"/>
          <w:lang w:bidi="ar"/>
        </w:rPr>
        <w:t>加大初次</w:t>
      </w:r>
      <w:r>
        <w:rPr>
          <w:rFonts w:hint="eastAsia" w:ascii="仿宋" w:hAnsi="仿宋" w:eastAsia="仿宋" w:cs="仿宋"/>
          <w:kern w:val="0"/>
          <w:sz w:val="32"/>
          <w:szCs w:val="22"/>
          <w:highlight w:val="none"/>
          <w:u w:val="single"/>
          <w:lang w:eastAsia="zh-CN" w:bidi="ar"/>
        </w:rPr>
        <w:t>女性</w:t>
      </w:r>
      <w:r>
        <w:rPr>
          <w:rFonts w:hint="eastAsia" w:ascii="仿宋" w:hAnsi="仿宋" w:eastAsia="仿宋" w:cs="仿宋"/>
          <w:kern w:val="0"/>
          <w:sz w:val="32"/>
          <w:szCs w:val="22"/>
          <w:highlight w:val="none"/>
          <w:u w:val="single"/>
          <w:lang w:bidi="ar"/>
        </w:rPr>
        <w:t>创业者、外来</w:t>
      </w:r>
      <w:r>
        <w:rPr>
          <w:rFonts w:hint="eastAsia" w:ascii="仿宋" w:hAnsi="仿宋" w:eastAsia="仿宋" w:cs="仿宋"/>
          <w:kern w:val="0"/>
          <w:sz w:val="32"/>
          <w:szCs w:val="22"/>
          <w:highlight w:val="none"/>
          <w:u w:val="single"/>
          <w:lang w:eastAsia="zh-CN" w:bidi="ar"/>
        </w:rPr>
        <w:t>女性</w:t>
      </w:r>
      <w:r>
        <w:rPr>
          <w:rFonts w:hint="eastAsia" w:ascii="仿宋" w:hAnsi="仿宋" w:eastAsia="仿宋" w:cs="仿宋"/>
          <w:kern w:val="0"/>
          <w:sz w:val="32"/>
          <w:szCs w:val="22"/>
          <w:highlight w:val="none"/>
          <w:u w:val="single"/>
          <w:lang w:bidi="ar"/>
        </w:rPr>
        <w:t>创业者，尤其大学</w:t>
      </w:r>
      <w:r>
        <w:rPr>
          <w:rFonts w:hint="eastAsia" w:ascii="仿宋" w:hAnsi="仿宋" w:eastAsia="仿宋" w:cs="仿宋"/>
          <w:kern w:val="0"/>
          <w:sz w:val="32"/>
          <w:szCs w:val="22"/>
          <w:highlight w:val="none"/>
          <w:u w:val="single"/>
          <w:lang w:eastAsia="zh-CN" w:bidi="ar"/>
        </w:rPr>
        <w:t>女</w:t>
      </w:r>
      <w:r>
        <w:rPr>
          <w:rFonts w:hint="eastAsia" w:ascii="仿宋" w:hAnsi="仿宋" w:eastAsia="仿宋" w:cs="仿宋"/>
          <w:kern w:val="0"/>
          <w:sz w:val="32"/>
          <w:szCs w:val="22"/>
          <w:highlight w:val="none"/>
          <w:u w:val="single"/>
          <w:lang w:bidi="ar"/>
        </w:rPr>
        <w:t>毕业生创业就业的扶持力度，吸引更多的</w:t>
      </w:r>
      <w:r>
        <w:rPr>
          <w:rFonts w:hint="eastAsia" w:ascii="仿宋" w:hAnsi="仿宋" w:eastAsia="仿宋" w:cs="仿宋"/>
          <w:kern w:val="0"/>
          <w:sz w:val="32"/>
          <w:szCs w:val="22"/>
          <w:highlight w:val="none"/>
          <w:u w:val="single"/>
          <w:lang w:eastAsia="zh-CN" w:bidi="ar"/>
        </w:rPr>
        <w:t>女性</w:t>
      </w:r>
      <w:r>
        <w:rPr>
          <w:rFonts w:hint="eastAsia" w:ascii="仿宋" w:hAnsi="仿宋" w:eastAsia="仿宋" w:cs="仿宋"/>
          <w:kern w:val="0"/>
          <w:sz w:val="32"/>
          <w:szCs w:val="22"/>
          <w:highlight w:val="none"/>
          <w:u w:val="single"/>
          <w:lang w:bidi="ar"/>
        </w:rPr>
        <w:t>高层次人才来我县就业创业。</w:t>
      </w:r>
      <w:r>
        <w:rPr>
          <w:rStyle w:val="19"/>
          <w:rFonts w:hint="eastAsia" w:ascii="仿宋" w:hAnsi="仿宋" w:eastAsia="仿宋" w:cs="仿宋"/>
          <w:kern w:val="0"/>
          <w:sz w:val="32"/>
          <w:szCs w:val="22"/>
          <w:highlight w:val="none"/>
          <w:u w:val="single"/>
          <w:lang w:bidi="ar"/>
        </w:rPr>
        <w:footnoteReference w:id="38"/>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（四）巾帼科技创新工程。</w:t>
      </w:r>
      <w:r>
        <w:rPr>
          <w:rFonts w:hint="eastAsia" w:ascii="仿宋_GB2312" w:hAnsi="仿宋_GB2312" w:eastAsia="仿宋_GB2312" w:cs="仿宋_GB2312"/>
          <w:kern w:val="0"/>
          <w:sz w:val="32"/>
          <w:szCs w:val="22"/>
          <w:highlight w:val="none"/>
          <w:lang w:bidi="ar"/>
        </w:rPr>
        <w:t>鼓励支持女科技工作者成为重要领域领跑者、关键技术攻关者、科技前沿开拓者。充分利用女性创新创业云服务平台的服务功能，鼓励女企业家参与完善以企业为主体的技术创新体系。</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（五）巾帼乡村振兴工程。</w:t>
      </w:r>
      <w:r>
        <w:rPr>
          <w:rFonts w:hint="eastAsia" w:ascii="仿宋_GB2312" w:hAnsi="仿宋_GB2312" w:eastAsia="仿宋_GB2312" w:cs="仿宋_GB2312"/>
          <w:kern w:val="0"/>
          <w:sz w:val="32"/>
          <w:szCs w:val="22"/>
          <w:highlight w:val="none"/>
          <w:lang w:bidi="ar"/>
        </w:rPr>
        <w:t>实施高素质女农民和“乡村振兴女致富带头人”培养计划，推动将农村妇女培训纳入政府普惠性培训计划，农村技能培训女性人数占总培训人数达50%左右。为返乡下乡创业女性提供及时便利的政策咨询、项目对接、融资牵引等服务。引领妇女积极参与农业农村现代化，巩固拓展脱贫成果。发展妇女特色产业，打造妇女手工品牌。动员妇女主动参与农村人居环境整治和乡村社会治理。增强农村低收入妇女群体的可持续发展能力。</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（六）家家幸福安康工程。</w:t>
      </w:r>
      <w:r>
        <w:rPr>
          <w:rFonts w:hint="eastAsia" w:ascii="仿宋_GB2312" w:hAnsi="仿宋_GB2312" w:eastAsia="仿宋_GB2312" w:cs="仿宋_GB2312"/>
          <w:kern w:val="0"/>
          <w:sz w:val="32"/>
          <w:szCs w:val="22"/>
          <w:highlight w:val="none"/>
          <w:lang w:bidi="ar"/>
        </w:rPr>
        <w:t>实施家庭文明创建行动、家庭教育支持行动、家庭服务提升行动、家庭研究深化行动，逐步形成家庭教育指导服务体系，构建家校社共育格局，加快普惠婴幼儿托育服务建设，提升家庭支持服务能力，关爱困难家庭。将婚姻家庭纠纷排查化解纳入综治网格管理，婚姻家庭纠纷人民调解组织实现</w:t>
      </w:r>
      <w:r>
        <w:rPr>
          <w:rFonts w:hint="eastAsia" w:ascii="仿宋" w:hAnsi="仿宋" w:eastAsia="仿宋" w:cs="仿宋"/>
          <w:kern w:val="0"/>
          <w:sz w:val="32"/>
          <w:szCs w:val="22"/>
          <w:highlight w:val="none"/>
          <w:u w:val="single"/>
          <w:lang w:bidi="ar"/>
        </w:rPr>
        <w:t>县、镇（街）</w:t>
      </w:r>
      <w:r>
        <w:rPr>
          <w:rFonts w:hint="eastAsia" w:ascii="仿宋" w:hAnsi="仿宋" w:eastAsia="仿宋" w:cs="仿宋"/>
          <w:kern w:val="0"/>
          <w:sz w:val="32"/>
          <w:szCs w:val="22"/>
          <w:highlight w:val="none"/>
          <w:u w:val="single"/>
          <w:lang w:eastAsia="zh-CN" w:bidi="ar"/>
        </w:rPr>
        <w:t>两</w:t>
      </w:r>
      <w:r>
        <w:rPr>
          <w:rFonts w:hint="eastAsia" w:ascii="仿宋" w:hAnsi="仿宋" w:eastAsia="仿宋" w:cs="仿宋"/>
          <w:kern w:val="0"/>
          <w:sz w:val="32"/>
          <w:szCs w:val="22"/>
          <w:highlight w:val="none"/>
          <w:u w:val="single"/>
          <w:lang w:bidi="ar"/>
        </w:rPr>
        <w:t>级</w:t>
      </w:r>
      <w:r>
        <w:rPr>
          <w:rFonts w:hint="eastAsia" w:ascii="仿宋_GB2312" w:hAnsi="仿宋_GB2312" w:eastAsia="仿宋_GB2312" w:cs="仿宋_GB2312"/>
          <w:kern w:val="0"/>
          <w:sz w:val="32"/>
          <w:szCs w:val="22"/>
          <w:highlight w:val="none"/>
          <w:lang w:bidi="ar"/>
        </w:rPr>
        <w:t>全覆盖，鼓励建立婚姻家庭纠纷人民调解工作室，探索设立专职调解员公益岗位。培育婚姻家庭服务专业人才。</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（七）公共场所母婴室建设工程。</w:t>
      </w:r>
      <w:r>
        <w:rPr>
          <w:rFonts w:hint="eastAsia" w:ascii="仿宋_GB2312" w:hAnsi="仿宋_GB2312" w:eastAsia="仿宋_GB2312" w:cs="仿宋_GB2312"/>
          <w:kern w:val="0"/>
          <w:sz w:val="32"/>
          <w:szCs w:val="22"/>
          <w:highlight w:val="none"/>
          <w:lang w:bidi="ar"/>
        </w:rPr>
        <w:t>加强公共场所母婴室的标准化建设和规范化管理。在日人流量大的主要公共场所建设母婴室。鼓励用人单位和其他公共场所设置母婴室或增加母乳喂养设施。全</w:t>
      </w:r>
      <w:r>
        <w:rPr>
          <w:rFonts w:hint="eastAsia" w:ascii="仿宋_GB2312" w:hAnsi="仿宋_GB2312" w:eastAsia="仿宋_GB2312" w:cs="仿宋_GB2312"/>
          <w:kern w:val="0"/>
          <w:sz w:val="32"/>
          <w:szCs w:val="22"/>
          <w:highlight w:val="none"/>
          <w:lang w:eastAsia="zh-CN" w:bidi="ar"/>
        </w:rPr>
        <w:t>县</w:t>
      </w:r>
      <w:r>
        <w:rPr>
          <w:rFonts w:hint="eastAsia" w:ascii="仿宋_GB2312" w:hAnsi="仿宋_GB2312" w:eastAsia="仿宋_GB2312" w:cs="仿宋_GB2312"/>
          <w:kern w:val="0"/>
          <w:sz w:val="32"/>
          <w:szCs w:val="22"/>
          <w:highlight w:val="none"/>
          <w:lang w:bidi="ar"/>
        </w:rPr>
        <w:t>建成母婴室</w:t>
      </w:r>
      <w:r>
        <w:rPr>
          <w:rFonts w:hint="eastAsia" w:ascii="仿宋" w:hAnsi="仿宋" w:eastAsia="仿宋" w:cs="仿宋"/>
          <w:kern w:val="0"/>
          <w:sz w:val="32"/>
          <w:szCs w:val="22"/>
          <w:highlight w:val="none"/>
          <w:u w:val="single"/>
          <w:lang w:val="en-US" w:eastAsia="zh-CN" w:bidi="ar"/>
        </w:rPr>
        <w:t>4</w:t>
      </w:r>
      <w:r>
        <w:rPr>
          <w:rFonts w:hint="eastAsia" w:ascii="仿宋" w:hAnsi="仿宋" w:eastAsia="仿宋" w:cs="仿宋"/>
          <w:kern w:val="0"/>
          <w:sz w:val="32"/>
          <w:szCs w:val="22"/>
          <w:highlight w:val="none"/>
          <w:u w:val="single"/>
          <w:lang w:bidi="ar"/>
        </w:rPr>
        <w:t>0</w:t>
      </w:r>
      <w:r>
        <w:rPr>
          <w:rFonts w:hint="eastAsia" w:ascii="仿宋_GB2312" w:hAnsi="仿宋_GB2312" w:eastAsia="仿宋_GB2312" w:cs="仿宋_GB2312"/>
          <w:kern w:val="0"/>
          <w:sz w:val="32"/>
          <w:szCs w:val="22"/>
          <w:highlight w:val="none"/>
          <w:lang w:bidi="ar"/>
        </w:rPr>
        <w:t>家以上。</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（八）巾帼志愿服务关爱工程。</w:t>
      </w:r>
      <w:r>
        <w:rPr>
          <w:rFonts w:hint="eastAsia" w:ascii="仿宋_GB2312" w:hAnsi="仿宋_GB2312" w:eastAsia="仿宋_GB2312" w:cs="仿宋_GB2312"/>
          <w:kern w:val="0"/>
          <w:sz w:val="32"/>
          <w:szCs w:val="22"/>
          <w:highlight w:val="none"/>
          <w:lang w:bidi="ar"/>
        </w:rPr>
        <w:t>健全完善巾帼志愿服务体系机制，动员引导广大妇女弘扬志愿精神，深化巾帼志愿服务关爱行动，在扶弱帮困、婚姻调适、家庭教育、纠纷调解、心灵关怀、助老助残等关爱服务中促进社会变得更加美好。每个城乡社区都有巾帼志愿服务队伍或开展巾帼志愿服务。</w:t>
      </w:r>
    </w:p>
    <w:p>
      <w:pPr>
        <w:pStyle w:val="2"/>
        <w:pageBreakBefore w:val="0"/>
        <w:kinsoku/>
        <w:wordWrap/>
        <w:overflowPunct/>
        <w:topLinePunct w:val="0"/>
        <w:bidi w:val="0"/>
        <w:adjustRightInd/>
        <w:snapToGrid/>
        <w:spacing w:line="560" w:lineRule="exact"/>
        <w:ind w:firstLine="643"/>
        <w:textAlignment w:val="auto"/>
        <w:rPr>
          <w:rFonts w:ascii="Times New Roman" w:hAnsi="Times New Roman" w:cs="Arial Unicode MS"/>
          <w:b w:val="0"/>
          <w:bCs/>
          <w:highlight w:val="none"/>
        </w:rPr>
      </w:pPr>
      <w:bookmarkStart w:id="18" w:name="_Toc10026"/>
      <w:r>
        <w:rPr>
          <w:rFonts w:hint="eastAsia"/>
          <w:b w:val="0"/>
          <w:bCs/>
          <w:highlight w:val="none"/>
          <w:lang w:bidi="ar"/>
        </w:rPr>
        <w:t>四、组织实施</w:t>
      </w:r>
      <w:bookmarkEnd w:id="18"/>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（一）坚持党的全面领导。</w:t>
      </w:r>
      <w:r>
        <w:rPr>
          <w:rFonts w:hint="eastAsia" w:ascii="仿宋_GB2312" w:hAnsi="仿宋_GB2312" w:eastAsia="仿宋_GB2312" w:cs="仿宋_GB2312"/>
          <w:kern w:val="0"/>
          <w:sz w:val="32"/>
          <w:szCs w:val="22"/>
          <w:highlight w:val="none"/>
          <w:lang w:bidi="ar"/>
        </w:rPr>
        <w:t>坚持以习近平新时代中国特色社会主义思想为指导，坚持以人民为中心的发展思想，坚持走中国特色社会主义妇女发展道路，把党的领导贯穿于规划组织实施的全过程。坚决贯彻落实党中央、国务院关于妇女事业发展的决策部署，在统筹推进“五位一体”总体布局、协调推进“四个全面”战略布局中推进规划实施；认真落实省委、省政府、</w:t>
      </w:r>
      <w:bookmarkStart w:id="19" w:name="_Hlk99664143"/>
      <w:r>
        <w:rPr>
          <w:rFonts w:hint="eastAsia" w:ascii="仿宋_GB2312" w:hAnsi="仿宋_GB2312" w:eastAsia="仿宋_GB2312" w:cs="仿宋_GB2312"/>
          <w:kern w:val="0"/>
          <w:sz w:val="32"/>
          <w:szCs w:val="22"/>
          <w:highlight w:val="none"/>
          <w:lang w:bidi="ar"/>
        </w:rPr>
        <w:t>市委、市政府</w:t>
      </w:r>
      <w:bookmarkEnd w:id="19"/>
      <w:r>
        <w:rPr>
          <w:rFonts w:hint="eastAsia" w:ascii="仿宋_GB2312" w:hAnsi="仿宋_GB2312" w:eastAsia="仿宋_GB2312" w:cs="仿宋_GB2312"/>
          <w:kern w:val="0"/>
          <w:sz w:val="32"/>
          <w:szCs w:val="22"/>
          <w:highlight w:val="none"/>
          <w:lang w:eastAsia="zh-CN" w:bidi="ar"/>
        </w:rPr>
        <w:t>、</w:t>
      </w:r>
      <w:r>
        <w:rPr>
          <w:rFonts w:hint="eastAsia" w:ascii="仿宋_GB2312" w:hAnsi="仿宋_GB2312" w:eastAsia="仿宋_GB2312" w:cs="仿宋_GB2312"/>
          <w:kern w:val="0"/>
          <w:sz w:val="32"/>
          <w:szCs w:val="22"/>
          <w:highlight w:val="none"/>
          <w:lang w:val="en-US" w:eastAsia="zh-CN" w:bidi="ar"/>
        </w:rPr>
        <w:t>县委、县政府</w:t>
      </w:r>
      <w:r>
        <w:rPr>
          <w:rFonts w:hint="eastAsia" w:ascii="仿宋_GB2312" w:hAnsi="仿宋_GB2312" w:eastAsia="仿宋_GB2312" w:cs="仿宋_GB2312"/>
          <w:kern w:val="0"/>
          <w:sz w:val="32"/>
          <w:szCs w:val="22"/>
          <w:highlight w:val="none"/>
          <w:lang w:bidi="ar"/>
        </w:rPr>
        <w:t>的有关工作要求，坚持和完善促进男女平等、妇女全面发展的制度机制。</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（二）落实规划实施责任。</w:t>
      </w:r>
      <w:r>
        <w:rPr>
          <w:rFonts w:hint="eastAsia" w:ascii="仿宋_GB2312" w:hAnsi="仿宋_GB2312" w:eastAsia="仿宋_GB2312" w:cs="仿宋_GB2312"/>
          <w:kern w:val="0"/>
          <w:sz w:val="32"/>
          <w:szCs w:val="22"/>
          <w:highlight w:val="none"/>
          <w:lang w:bidi="ar"/>
        </w:rPr>
        <w:t>完善落实党委领导、政府主责、妇女儿童工作委员会（以下简称妇儿工委）协调、多部门合作、全社会参与的规划实施工作机制。</w:t>
      </w:r>
      <w:r>
        <w:rPr>
          <w:rFonts w:hint="eastAsia" w:ascii="仿宋_GB2312" w:hAnsi="仿宋_GB2312" w:eastAsia="仿宋_GB2312" w:cs="仿宋_GB2312"/>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人民政府负责规划实施工作，</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妇儿工委负责组织、协调、指导、督促工作，</w:t>
      </w:r>
      <w:r>
        <w:rPr>
          <w:rFonts w:hint="eastAsia" w:ascii="仿宋_GB2312" w:hAnsi="仿宋_GB2312" w:eastAsia="仿宋_GB2312" w:cs="仿宋_GB2312"/>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办公室负责具体工作。有关部门、相关机构和人民团体结合职责，承担规划目标任务落实工作。在制定政策、编制规划、部署工作时贯彻落实男女平等基本国策，切实保障妇女合法权益，促进妇女全面发展。</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（三）加强规划与</w:t>
      </w:r>
      <w:r>
        <w:rPr>
          <w:rFonts w:hint="eastAsia" w:ascii="仿宋" w:hAnsi="仿宋" w:eastAsia="仿宋" w:cs="仿宋"/>
          <w:kern w:val="0"/>
          <w:sz w:val="32"/>
          <w:szCs w:val="22"/>
          <w:highlight w:val="none"/>
          <w:u w:val="single"/>
          <w:lang w:eastAsia="zh-CN" w:bidi="ar"/>
        </w:rPr>
        <w:t>陆河</w:t>
      </w:r>
      <w:r>
        <w:rPr>
          <w:rFonts w:hint="eastAsia" w:ascii="楷体_GB2312" w:hAnsi="楷体_GB2312" w:eastAsia="楷体_GB2312" w:cs="楷体_GB2312"/>
          <w:kern w:val="0"/>
          <w:sz w:val="32"/>
          <w:szCs w:val="22"/>
          <w:highlight w:val="none"/>
          <w:lang w:bidi="ar"/>
        </w:rPr>
        <w:t>经济和社会发展规划的衔接。</w:t>
      </w:r>
      <w:r>
        <w:rPr>
          <w:rFonts w:hint="eastAsia" w:ascii="仿宋_GB2312" w:hAnsi="仿宋_GB2312" w:eastAsia="仿宋_GB2312" w:cs="仿宋_GB2312"/>
          <w:kern w:val="0"/>
          <w:sz w:val="32"/>
          <w:szCs w:val="22"/>
          <w:highlight w:val="none"/>
          <w:lang w:bidi="ar"/>
        </w:rPr>
        <w:t>将规划实施以及妇女事业发展纳入经济社会发展总体规划及相关专项规划，结合经济社会发展总体规划部署要求推进规划实施工作，实现妇女事业发展与经济社会发展同步规划、同步部署、同步推进、同步落实。</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（四）制定地方妇女发展规划和部门实施方案。</w:t>
      </w:r>
      <w:r>
        <w:rPr>
          <w:rFonts w:hint="eastAsia" w:ascii="仿宋_GB2312" w:hAnsi="仿宋_GB2312" w:eastAsia="仿宋_GB2312" w:cs="仿宋_GB2312"/>
          <w:kern w:val="0"/>
          <w:sz w:val="32"/>
          <w:szCs w:val="22"/>
          <w:highlight w:val="none"/>
          <w:u w:val="single"/>
          <w:lang w:eastAsia="zh-CN" w:bidi="ar"/>
        </w:rPr>
        <w:t>县</w:t>
      </w:r>
      <w:r>
        <w:rPr>
          <w:rFonts w:hint="eastAsia" w:ascii="仿宋_GB2312" w:hAnsi="仿宋_GB2312" w:eastAsia="仿宋_GB2312" w:cs="仿宋_GB2312"/>
          <w:kern w:val="0"/>
          <w:sz w:val="32"/>
          <w:szCs w:val="22"/>
          <w:highlight w:val="none"/>
          <w:u w:val="single"/>
          <w:lang w:bidi="ar"/>
        </w:rPr>
        <w:t>直及各</w:t>
      </w:r>
      <w:r>
        <w:rPr>
          <w:rFonts w:hint="eastAsia" w:ascii="仿宋_GB2312" w:hAnsi="仿宋_GB2312" w:eastAsia="仿宋_GB2312" w:cs="仿宋_GB2312"/>
          <w:kern w:val="0"/>
          <w:sz w:val="32"/>
          <w:szCs w:val="22"/>
          <w:highlight w:val="none"/>
          <w:lang w:bidi="ar"/>
        </w:rPr>
        <w:t>承担规划目标任务的有关部门、相关机构和人民团体结合职责，按照任务分工，制定实施方案并报送</w:t>
      </w:r>
      <w:r>
        <w:rPr>
          <w:rFonts w:hint="eastAsia" w:ascii="仿宋_GB2312" w:hAnsi="仿宋_GB2312" w:eastAsia="仿宋_GB2312" w:cs="仿宋_GB2312"/>
          <w:kern w:val="0"/>
          <w:sz w:val="32"/>
          <w:szCs w:val="22"/>
          <w:highlight w:val="none"/>
          <w:lang w:val="en-US" w:eastAsia="zh-CN" w:bidi="ar"/>
        </w:rPr>
        <w:t>县</w:t>
      </w:r>
      <w:r>
        <w:rPr>
          <w:rFonts w:hint="eastAsia" w:ascii="仿宋_GB2312" w:hAnsi="仿宋_GB2312" w:eastAsia="仿宋_GB2312" w:cs="仿宋_GB2312"/>
          <w:kern w:val="0"/>
          <w:sz w:val="32"/>
          <w:szCs w:val="22"/>
          <w:highlight w:val="none"/>
          <w:lang w:bidi="ar"/>
        </w:rPr>
        <w:t>妇儿</w:t>
      </w:r>
      <w:r>
        <w:rPr>
          <w:rFonts w:hint="eastAsia" w:ascii="仿宋" w:hAnsi="仿宋" w:eastAsia="仿宋" w:cs="仿宋"/>
          <w:kern w:val="0"/>
          <w:sz w:val="32"/>
          <w:szCs w:val="22"/>
          <w:highlight w:val="none"/>
          <w:lang w:bidi="ar"/>
        </w:rPr>
        <w:t>工委办</w:t>
      </w:r>
      <w:r>
        <w:rPr>
          <w:rFonts w:hint="eastAsia" w:ascii="仿宋_GB2312" w:hAnsi="仿宋_GB2312" w:eastAsia="仿宋_GB2312" w:cs="仿宋_GB2312"/>
          <w:kern w:val="0"/>
          <w:sz w:val="32"/>
          <w:szCs w:val="22"/>
          <w:highlight w:val="none"/>
          <w:lang w:bidi="ar"/>
        </w:rPr>
        <w:t>公室。</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（五）完善实施规划的制度机制。</w:t>
      </w:r>
      <w:r>
        <w:rPr>
          <w:rFonts w:hint="eastAsia" w:ascii="仿宋_GB2312" w:hAnsi="仿宋_GB2312" w:eastAsia="仿宋_GB2312" w:cs="仿宋_GB2312"/>
          <w:kern w:val="0"/>
          <w:sz w:val="32"/>
          <w:szCs w:val="22"/>
          <w:highlight w:val="none"/>
          <w:lang w:bidi="ar"/>
        </w:rPr>
        <w:t>健全目标管理责任制，将规划实施纳入政府议事日程和考核内容，将规划目标分解到责任单位并纳入目标管理和考核内容。健全督导检查制度，定期对规划落实情况开展督查。健全报告制度，责任单位每年向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妇儿工委报告规划实施情况和下一年工作安排，</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妇儿工委每年向</w:t>
      </w:r>
      <w:r>
        <w:rPr>
          <w:rFonts w:hint="eastAsia" w:ascii="仿宋" w:hAnsi="仿宋" w:eastAsia="仿宋" w:cs="仿宋"/>
          <w:kern w:val="0"/>
          <w:sz w:val="32"/>
          <w:szCs w:val="22"/>
          <w:highlight w:val="none"/>
          <w:u w:val="single"/>
          <w:lang w:val="en-US" w:eastAsia="zh-CN" w:bidi="ar"/>
        </w:rPr>
        <w:t>市</w:t>
      </w:r>
      <w:r>
        <w:rPr>
          <w:rFonts w:hint="eastAsia" w:ascii="仿宋_GB2312" w:hAnsi="仿宋_GB2312" w:eastAsia="仿宋_GB2312" w:cs="仿宋_GB2312"/>
          <w:kern w:val="0"/>
          <w:sz w:val="32"/>
          <w:szCs w:val="22"/>
          <w:highlight w:val="none"/>
          <w:lang w:bidi="ar"/>
        </w:rPr>
        <w:t>妇儿工委报告本地区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（六）保障妇女发展经费投入。</w:t>
      </w:r>
      <w:r>
        <w:rPr>
          <w:rFonts w:hint="eastAsia" w:ascii="仿宋_GB2312" w:hAnsi="仿宋_GB2312" w:eastAsia="仿宋_GB2312" w:cs="仿宋_GB2312"/>
          <w:kern w:val="0"/>
          <w:sz w:val="32"/>
          <w:szCs w:val="22"/>
          <w:highlight w:val="none"/>
          <w:lang w:val="en-US" w:eastAsia="zh-CN" w:bidi="ar"/>
        </w:rPr>
        <w:t>县</w:t>
      </w:r>
      <w:r>
        <w:rPr>
          <w:rFonts w:hint="eastAsia" w:ascii="仿宋_GB2312" w:hAnsi="仿宋_GB2312" w:eastAsia="仿宋_GB2312" w:cs="仿宋_GB2312"/>
          <w:kern w:val="0"/>
          <w:sz w:val="32"/>
          <w:szCs w:val="22"/>
          <w:highlight w:val="none"/>
          <w:lang w:bidi="ar"/>
        </w:rPr>
        <w:t>人民政府做好实施规划所需的经费保障，实现妇女事业和经济社会同步发展。支持特殊困难妇女群体发展。动员社会力量，多渠道筹集资源，共同发展妇女事业。</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（七）坚持和创新实施规划的有效做法。</w:t>
      </w:r>
      <w:r>
        <w:rPr>
          <w:rFonts w:hint="eastAsia" w:ascii="仿宋_GB2312" w:hAnsi="仿宋_GB2312" w:eastAsia="仿宋_GB2312" w:cs="仿宋_GB2312"/>
          <w:kern w:val="0"/>
          <w:sz w:val="32"/>
          <w:szCs w:val="22"/>
          <w:highlight w:val="none"/>
          <w:lang w:bidi="ar"/>
        </w:rPr>
        <w:t>坚持问题导向、目标导向、结果导向，构建促进妇女发展的政策体系，完善妇女合法权益保障机制，实施促进妇女发展的民生项目。通过分类指导、示范先行，总结推广好做法好经验。通过政府购买服务等方式，发挥社会力量推进规划实施的作用。开展国内国际交流合作，交流互鉴经验，讲好</w:t>
      </w:r>
      <w:r>
        <w:rPr>
          <w:rFonts w:hint="eastAsia" w:ascii="仿宋" w:hAnsi="仿宋" w:eastAsia="仿宋" w:cs="仿宋"/>
          <w:kern w:val="0"/>
          <w:sz w:val="32"/>
          <w:szCs w:val="22"/>
          <w:highlight w:val="none"/>
          <w:u w:val="single"/>
          <w:lang w:eastAsia="zh-CN" w:bidi="ar"/>
        </w:rPr>
        <w:t>陆河</w:t>
      </w:r>
      <w:r>
        <w:rPr>
          <w:rFonts w:hint="eastAsia" w:ascii="仿宋_GB2312" w:hAnsi="仿宋_GB2312" w:eastAsia="仿宋_GB2312" w:cs="仿宋_GB2312"/>
          <w:kern w:val="0"/>
          <w:sz w:val="32"/>
          <w:szCs w:val="22"/>
          <w:highlight w:val="none"/>
          <w:lang w:bidi="ar"/>
        </w:rPr>
        <w:t>妇女发展故事，宣传</w:t>
      </w:r>
      <w:r>
        <w:rPr>
          <w:rFonts w:hint="eastAsia" w:ascii="仿宋" w:hAnsi="仿宋" w:eastAsia="仿宋" w:cs="仿宋"/>
          <w:kern w:val="0"/>
          <w:sz w:val="32"/>
          <w:szCs w:val="22"/>
          <w:highlight w:val="none"/>
          <w:u w:val="single"/>
          <w:lang w:eastAsia="zh-CN" w:bidi="ar"/>
        </w:rPr>
        <w:t>陆河</w:t>
      </w:r>
      <w:r>
        <w:rPr>
          <w:rFonts w:hint="eastAsia" w:ascii="仿宋_GB2312" w:hAnsi="仿宋_GB2312" w:eastAsia="仿宋_GB2312" w:cs="仿宋_GB2312"/>
          <w:kern w:val="0"/>
          <w:sz w:val="32"/>
          <w:szCs w:val="22"/>
          <w:highlight w:val="none"/>
          <w:lang w:bidi="ar"/>
        </w:rPr>
        <w:t>妇女事业发展成就。</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（八）加强实施规划能力建设。</w:t>
      </w:r>
      <w:r>
        <w:rPr>
          <w:rFonts w:hint="eastAsia" w:ascii="仿宋_GB2312" w:hAnsi="仿宋_GB2312" w:eastAsia="仿宋_GB2312" w:cs="仿宋_GB2312"/>
          <w:kern w:val="0"/>
          <w:sz w:val="32"/>
          <w:szCs w:val="22"/>
          <w:highlight w:val="none"/>
          <w:lang w:bidi="ar"/>
        </w:rPr>
        <w:t>将习近平总书记关于妇女和妇女工作的重要论述以及男女平等基本国策有关内容、相关法律法规政策纳入各级干部学习内容，将实施规划所需知识纳入培训计划，举办多层次、多形式培训与研讨，增强政府有关部门、相关机构和人员实施规划的责任意识和能力。以政治建设为统领，加强</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妇儿工委及其办公室能力建设，推进机构职能优化，为更好履职尽责提供必要的人力物力财力支持，为规划实施提供组织保障。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（九）加大实施规划宣传力度。</w:t>
      </w:r>
      <w:r>
        <w:rPr>
          <w:rFonts w:hint="eastAsia" w:ascii="仿宋_GB2312" w:hAnsi="仿宋_GB2312" w:eastAsia="仿宋_GB2312" w:cs="仿宋_GB2312"/>
          <w:kern w:val="0"/>
          <w:sz w:val="32"/>
          <w:szCs w:val="22"/>
          <w:highlight w:val="none"/>
          <w:lang w:bidi="ar"/>
        </w:rPr>
        <w:t>大力宣传习近平总书记关于妇女和妇女工作的重要论述，宣传在党的坚强领导下妇女事业发展的成就，宣传男女平等基本国策和保障妇女合法权益、促进妇女发展的法律法规政策，宣传规划内容及规划实施的经验和成效，努力营造有利于妇女发展的社会氛围。</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（十）加强妇女发展调查研究。</w:t>
      </w:r>
      <w:r>
        <w:rPr>
          <w:rFonts w:hint="eastAsia" w:ascii="仿宋_GB2312" w:hAnsi="仿宋_GB2312" w:eastAsia="仿宋_GB2312" w:cs="仿宋_GB2312"/>
          <w:kern w:val="0"/>
          <w:sz w:val="32"/>
          <w:szCs w:val="22"/>
          <w:highlight w:val="none"/>
          <w:lang w:bidi="ar"/>
        </w:rPr>
        <w:t>充分发挥</w:t>
      </w:r>
      <w:r>
        <w:rPr>
          <w:rFonts w:hint="eastAsia" w:ascii="仿宋_GB2312" w:hAnsi="仿宋_GB2312" w:eastAsia="仿宋_GB2312" w:cs="仿宋_GB2312"/>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及其办公室作用，加强妇女发展专家队伍建设，依托高校、研究机构、社会组织等建设妇女发展研究基地，培育专业研究力量，通过课题招标、联合科研基地、进行实地调研等方式开展理论及实践研究，并注重研究成果的运用和转化。</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（十一）鼓励社会各界广泛参与规划实施。</w:t>
      </w:r>
      <w:r>
        <w:rPr>
          <w:rFonts w:hint="eastAsia" w:ascii="仿宋_GB2312" w:hAnsi="仿宋_GB2312" w:eastAsia="仿宋_GB2312" w:cs="仿宋_GB2312"/>
          <w:kern w:val="0"/>
          <w:sz w:val="32"/>
          <w:szCs w:val="22"/>
          <w:highlight w:val="none"/>
          <w:lang w:bidi="ar"/>
        </w:rPr>
        <w:t>鼓励企事业单位、社会组织、慈善机构和公益人士参与保障妇女合法权益、促进妇女发展等工作。鼓励妇女参与规划实施，提高妇女在参与规划实施中实现自身全面发展的意识和能力。</w:t>
      </w:r>
    </w:p>
    <w:p>
      <w:pPr>
        <w:pStyle w:val="2"/>
        <w:pageBreakBefore w:val="0"/>
        <w:kinsoku/>
        <w:wordWrap/>
        <w:overflowPunct/>
        <w:topLinePunct w:val="0"/>
        <w:bidi w:val="0"/>
        <w:adjustRightInd/>
        <w:snapToGrid/>
        <w:spacing w:line="560" w:lineRule="exact"/>
        <w:ind w:firstLine="643"/>
        <w:textAlignment w:val="auto"/>
        <w:rPr>
          <w:b w:val="0"/>
          <w:bCs/>
          <w:highlight w:val="none"/>
        </w:rPr>
      </w:pPr>
      <w:bookmarkStart w:id="20" w:name="_Toc12135"/>
      <w:r>
        <w:rPr>
          <w:rFonts w:hint="eastAsia"/>
          <w:b w:val="0"/>
          <w:bCs/>
          <w:highlight w:val="none"/>
          <w:lang w:bidi="ar"/>
        </w:rPr>
        <w:t>五、监测评估</w:t>
      </w:r>
      <w:bookmarkEnd w:id="20"/>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（一）加强监测评估制度建设。</w:t>
      </w:r>
      <w:r>
        <w:rPr>
          <w:rFonts w:hint="eastAsia" w:ascii="仿宋_GB2312" w:hAnsi="仿宋_GB2312" w:eastAsia="仿宋_GB2312" w:cs="仿宋_GB2312"/>
          <w:kern w:val="0"/>
          <w:sz w:val="32"/>
          <w:szCs w:val="22"/>
          <w:highlight w:val="none"/>
          <w:lang w:bidi="ar"/>
        </w:rPr>
        <w:t>对规划实施情况进行年度监测、中期评估、终期评估。</w:t>
      </w:r>
      <w:r>
        <w:rPr>
          <w:rFonts w:hint="eastAsia" w:ascii="仿宋_GB2312" w:hAnsi="仿宋_GB2312" w:eastAsia="仿宋_GB2312" w:cs="仿宋_GB2312"/>
          <w:kern w:val="0"/>
          <w:sz w:val="32"/>
          <w:szCs w:val="22"/>
          <w:highlight w:val="none"/>
          <w:lang w:eastAsia="zh-CN" w:bidi="ar"/>
        </w:rPr>
        <w:t>探索建立</w:t>
      </w:r>
      <w:r>
        <w:rPr>
          <w:rFonts w:hint="eastAsia" w:ascii="仿宋_GB2312" w:hAnsi="仿宋_GB2312" w:eastAsia="仿宋_GB2312" w:cs="仿宋_GB2312"/>
          <w:kern w:val="0"/>
          <w:sz w:val="32"/>
          <w:szCs w:val="22"/>
          <w:highlight w:val="none"/>
          <w:lang w:bidi="ar"/>
        </w:rPr>
        <w:t>性别统计监测方案。健全重点统计监测制度和规划实施达标情况预警督办制度。</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统计部门牵头组织开展年度监测，</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妇儿工委成员单位、有关部门、相关机构向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统计部门报送年度监测数据，及时收集、分析反映妇女发展状况的相关数据和信息。</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妇儿工委组织开展中期和终期评估，</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妇儿工委成员单位、有关部门、相关机构向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提交中期和终期评估报告。通过评估，了解掌握规划实施进展和妇女发展状况，系统分析评价规划目标任务完成情况，评判规划策略措施的实施效果，总结经验做法，找出突出问题，预测发展趋势，提出对策建议。</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人民政府做好监测评估所需的经费保障。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kern w:val="0"/>
          <w:sz w:val="32"/>
          <w:szCs w:val="22"/>
          <w:highlight w:val="none"/>
          <w:lang w:bidi="ar"/>
        </w:rPr>
        <w:t>（二）加强监测评估工作组织领导。</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妇儿工委设立监测评估领导小组，由</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妇儿工委及相关部门负责同志组成，负责组织领导监测评估工作，审批监测评估方案，审核监测评估报告等。领导小组下设监测组和评估组。</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监测组由</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统计部门牵头，相关部门负责规划实施情况统计监测的人员参加，负责监测工作的组织、指导和培训，制定监测方案和指标体系，收集、分析数据信息，向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妇儿工委提交年度、中期和终期监测报告，</w:t>
      </w:r>
      <w:r>
        <w:rPr>
          <w:rFonts w:hint="eastAsia" w:ascii="仿宋_GB2312" w:hAnsi="仿宋_GB2312" w:eastAsia="仿宋_GB2312" w:cs="仿宋_GB2312"/>
          <w:kern w:val="0"/>
          <w:sz w:val="32"/>
          <w:szCs w:val="32"/>
          <w:highlight w:val="none"/>
          <w:lang w:eastAsia="zh-CN" w:bidi="ar"/>
        </w:rPr>
        <w:t>提供</w:t>
      </w:r>
      <w:r>
        <w:rPr>
          <w:rFonts w:hint="eastAsia" w:ascii="仿宋_GB2312" w:hAnsi="仿宋_GB2312" w:eastAsia="仿宋_GB2312" w:cs="仿宋_GB2312"/>
          <w:kern w:val="0"/>
          <w:sz w:val="32"/>
          <w:szCs w:val="32"/>
          <w:highlight w:val="none"/>
          <w:lang w:bidi="ar"/>
        </w:rPr>
        <w:t>年度妇女儿童统计资料。监测组成员负责统筹协调本部门规划实施监测、分析、数据上报、分性别分年龄指标完善等工作。</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仿宋_GB2312" w:hAnsi="仿宋_GB2312" w:eastAsia="仿宋_GB2312" w:cs="仿宋_GB2312"/>
          <w:kern w:val="0"/>
          <w:sz w:val="32"/>
          <w:szCs w:val="32"/>
          <w:highlight w:val="none"/>
          <w:lang w:bidi="ar"/>
        </w:rPr>
        <w:t>评估组由</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妇儿工委办公室牵头，相关部门负责规划实施情况统计监测的人员参加，负责评估工作的组织、指导和培训，制定评估方案，组织开展评估工作，向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妇儿工委提交中期和终期评估报告。评估组成员负责统筹协调本部门规划实施自我评估工作，参加妇儿工委组织的评估工作。支持评估组相关部门就妇女保护和发展中的突出问题开展专项调查、评估，结果可供规划中期和终期评估参考。</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cs="Arial Unicode MS"/>
          <w:highlight w:val="none"/>
        </w:rPr>
      </w:pPr>
      <w:r>
        <w:rPr>
          <w:rFonts w:hint="eastAsia" w:ascii="楷体_GB2312" w:hAnsi="楷体_GB2312" w:eastAsia="楷体_GB2312" w:cs="楷体_GB2312"/>
          <w:kern w:val="0"/>
          <w:sz w:val="32"/>
          <w:szCs w:val="22"/>
          <w:highlight w:val="none"/>
          <w:lang w:bidi="ar"/>
        </w:rPr>
        <w:t>（三）加强</w:t>
      </w:r>
      <w:r>
        <w:rPr>
          <w:rFonts w:hint="eastAsia" w:ascii="楷体_GB2312" w:hAnsi="楷体_GB2312" w:eastAsia="楷体_GB2312" w:cs="楷体_GB2312"/>
          <w:kern w:val="0"/>
          <w:sz w:val="32"/>
          <w:szCs w:val="22"/>
          <w:highlight w:val="none"/>
          <w:lang w:eastAsia="zh-CN" w:bidi="ar"/>
        </w:rPr>
        <w:t>分性别</w:t>
      </w:r>
      <w:r>
        <w:rPr>
          <w:rFonts w:hint="eastAsia" w:ascii="楷体_GB2312" w:hAnsi="楷体_GB2312" w:eastAsia="楷体_GB2312" w:cs="楷体_GB2312"/>
          <w:kern w:val="0"/>
          <w:sz w:val="32"/>
          <w:szCs w:val="22"/>
          <w:highlight w:val="none"/>
          <w:lang w:bidi="ar"/>
        </w:rPr>
        <w:t>统计监测工作。</w:t>
      </w:r>
      <w:r>
        <w:rPr>
          <w:rFonts w:hint="eastAsia" w:ascii="仿宋_GB2312" w:hAnsi="仿宋_GB2312" w:eastAsia="仿宋_GB2312" w:cs="仿宋_GB2312"/>
          <w:kern w:val="0"/>
          <w:sz w:val="32"/>
          <w:szCs w:val="22"/>
          <w:highlight w:val="none"/>
          <w:lang w:eastAsia="zh-CN" w:bidi="ar"/>
        </w:rPr>
        <w:t>探索建立</w:t>
      </w:r>
      <w:r>
        <w:rPr>
          <w:rFonts w:hint="eastAsia" w:ascii="仿宋_GB2312" w:hAnsi="仿宋_GB2312" w:eastAsia="仿宋_GB2312" w:cs="仿宋_GB2312"/>
          <w:kern w:val="0"/>
          <w:sz w:val="32"/>
          <w:szCs w:val="22"/>
          <w:highlight w:val="none"/>
          <w:lang w:bidi="ar"/>
        </w:rPr>
        <w:t>性别统计监测指标体系，发挥部门作用，根据需要调整扩充妇女发展统计指标，</w:t>
      </w:r>
      <w:r>
        <w:rPr>
          <w:rFonts w:hint="eastAsia" w:ascii="仿宋_GB2312" w:hAnsi="仿宋_GB2312" w:eastAsia="仿宋_GB2312" w:cs="仿宋_GB2312"/>
          <w:kern w:val="0"/>
          <w:sz w:val="32"/>
          <w:szCs w:val="22"/>
          <w:u w:val="none"/>
          <w:lang w:bidi="ar"/>
        </w:rPr>
        <w:t>推动纳入政府和部门常规统计</w:t>
      </w:r>
      <w:r>
        <w:rPr>
          <w:rFonts w:hint="eastAsia" w:ascii="仿宋_GB2312" w:hAnsi="仿宋_GB2312" w:eastAsia="仿宋_GB2312" w:cs="仿宋_GB2312"/>
          <w:kern w:val="0"/>
          <w:sz w:val="32"/>
          <w:szCs w:val="22"/>
          <w:u w:val="none"/>
          <w:lang w:eastAsia="zh-CN" w:bidi="ar"/>
        </w:rPr>
        <w:t>，</w:t>
      </w:r>
      <w:r>
        <w:rPr>
          <w:rFonts w:hint="eastAsia" w:ascii="仿宋_GB2312" w:hAnsi="仿宋_GB2312" w:eastAsia="仿宋_GB2312" w:cs="仿宋_GB2312"/>
          <w:kern w:val="0"/>
          <w:sz w:val="32"/>
          <w:szCs w:val="22"/>
          <w:highlight w:val="none"/>
          <w:lang w:bidi="ar"/>
        </w:rPr>
        <w:t>加强部门分性别统计工作，</w:t>
      </w:r>
      <w:r>
        <w:rPr>
          <w:rFonts w:hint="eastAsia" w:ascii="仿宋_GB2312" w:hAnsi="仿宋_GB2312" w:eastAsia="仿宋_GB2312" w:cs="仿宋_GB2312"/>
          <w:kern w:val="0"/>
          <w:sz w:val="32"/>
          <w:szCs w:val="22"/>
          <w:highlight w:val="none"/>
          <w:lang w:eastAsia="zh-CN" w:bidi="ar"/>
        </w:rPr>
        <w:t>探索研究</w:t>
      </w:r>
      <w:r>
        <w:rPr>
          <w:rFonts w:hint="eastAsia" w:ascii="仿宋_GB2312" w:hAnsi="仿宋_GB2312" w:eastAsia="仿宋_GB2312" w:cs="仿宋_GB2312"/>
          <w:kern w:val="0"/>
          <w:sz w:val="32"/>
          <w:szCs w:val="22"/>
          <w:highlight w:val="none"/>
          <w:lang w:bidi="ar"/>
        </w:rPr>
        <w:t>分性别统计监测制度化建设。加强统计监测队伍建设，加快统计监测信息化建设。健全完善</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妇女发展统计监测数据库，完善监测数据网上报送系统。鼓励支持相关部门对妇女发展缺项数据开展专项统计调查。</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22"/>
          <w:highlight w:val="none"/>
          <w:lang w:bidi="ar"/>
        </w:rPr>
      </w:pPr>
      <w:r>
        <w:rPr>
          <w:rFonts w:hint="eastAsia" w:ascii="楷体_GB2312" w:hAnsi="楷体_GB2312" w:eastAsia="楷体_GB2312" w:cs="楷体_GB2312"/>
          <w:kern w:val="0"/>
          <w:sz w:val="32"/>
          <w:szCs w:val="22"/>
          <w:highlight w:val="none"/>
          <w:lang w:bidi="ar"/>
        </w:rPr>
        <w:t>（四）提升监测评估工作能力和水平。</w:t>
      </w:r>
      <w:r>
        <w:rPr>
          <w:rFonts w:hint="eastAsia" w:ascii="仿宋_GB2312" w:hAnsi="仿宋_GB2312" w:eastAsia="仿宋_GB2312" w:cs="仿宋_GB2312"/>
          <w:kern w:val="0"/>
          <w:sz w:val="32"/>
          <w:szCs w:val="22"/>
          <w:highlight w:val="none"/>
          <w:lang w:bidi="ar"/>
        </w:rPr>
        <w:t>加强监测评估工作培训和部门协作，规范监测数据收集渠道、报送方式，提高数据质量。运用互联网和大数据等技术，丰富分性别统计信息。科学设计评估方案和评估方法。提升监测评估工作的科学化、标准化、专业化水平。以年度监测和重点指标监测相结合、全面监测和专项督导相结合、抽查督导和自查自评相结合，认真开展规划实施情况的监测评估。</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妇儿工委将规划实施中的实事项目、重点工程纳入</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22"/>
          <w:highlight w:val="none"/>
          <w:lang w:bidi="ar"/>
        </w:rPr>
        <w:t>政府专项督查，推动重点问题的解决。</w:t>
      </w:r>
    </w:p>
    <w:p>
      <w:pPr>
        <w:pageBreakBefore w:val="0"/>
        <w:kinsoku/>
        <w:wordWrap/>
        <w:overflowPunct/>
        <w:topLinePunct w:val="0"/>
        <w:autoSpaceDE w:val="0"/>
        <w:autoSpaceDN w:val="0"/>
        <w:bidi w:val="0"/>
        <w:adjustRightInd/>
        <w:snapToGrid/>
        <w:spacing w:line="560" w:lineRule="exact"/>
        <w:ind w:firstLine="640" w:firstLineChars="200"/>
        <w:textAlignment w:val="auto"/>
        <w:rPr>
          <w:highlight w:val="none"/>
        </w:rPr>
      </w:pPr>
      <w:r>
        <w:rPr>
          <w:rFonts w:hint="eastAsia" w:ascii="楷体_GB2312" w:hAnsi="楷体_GB2312" w:eastAsia="楷体_GB2312" w:cs="楷体_GB2312"/>
          <w:kern w:val="0"/>
          <w:sz w:val="32"/>
          <w:szCs w:val="22"/>
          <w:highlight w:val="none"/>
          <w:lang w:bidi="ar"/>
        </w:rPr>
        <w:t>（五）有效利用监测评估成果。</w:t>
      </w:r>
      <w:r>
        <w:rPr>
          <w:rFonts w:hint="eastAsia" w:ascii="仿宋_GB2312" w:hAnsi="仿宋_GB2312" w:eastAsia="仿宋_GB2312" w:cs="仿宋_GB2312"/>
          <w:kern w:val="0"/>
          <w:sz w:val="32"/>
          <w:szCs w:val="32"/>
          <w:highlight w:val="none"/>
          <w:lang w:bidi="ar"/>
        </w:rPr>
        <w:t>发挥监测评估结果服务决策的作用，定期向</w:t>
      </w:r>
      <w:r>
        <w:rPr>
          <w:rFonts w:hint="eastAsia" w:ascii="仿宋" w:hAnsi="仿宋" w:eastAsia="仿宋" w:cs="仿宋"/>
          <w:kern w:val="0"/>
          <w:sz w:val="32"/>
          <w:szCs w:val="22"/>
          <w:highlight w:val="none"/>
          <w:u w:val="single"/>
          <w:lang w:val="en-US" w:eastAsia="zh-CN" w:bidi="ar"/>
        </w:rPr>
        <w:t>县</w:t>
      </w:r>
      <w:r>
        <w:rPr>
          <w:rFonts w:hint="eastAsia" w:ascii="仿宋_GB2312" w:hAnsi="仿宋_GB2312" w:eastAsia="仿宋_GB2312" w:cs="仿宋_GB2312"/>
          <w:kern w:val="0"/>
          <w:sz w:val="32"/>
          <w:szCs w:val="32"/>
          <w:highlight w:val="none"/>
          <w:lang w:bidi="ar"/>
        </w:rPr>
        <w:t>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sectPr>
      <w:footerReference r:id="rId5" w:type="default"/>
      <w:pgSz w:w="11910" w:h="16840"/>
      <w:pgMar w:top="2098" w:right="1531" w:bottom="1985" w:left="1531" w:header="851" w:footer="15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F112594-3E44-45E0-9AB4-9D3ADE19E49E}"/>
  </w:font>
  <w:font w:name="楷体">
    <w:panose1 w:val="02010609060101010101"/>
    <w:charset w:val="86"/>
    <w:family w:val="modern"/>
    <w:pitch w:val="default"/>
    <w:sig w:usb0="800002BF" w:usb1="38CF7CFA" w:usb2="00000016" w:usb3="00000000" w:csb0="00040001" w:csb1="00000000"/>
    <w:embedRegular r:id="rId2" w:fontKey="{26928201-1907-4C2E-9281-0C5421A2F6A3}"/>
  </w:font>
  <w:font w:name="Arial Unicode MS">
    <w:panose1 w:val="020B0604020202020204"/>
    <w:charset w:val="86"/>
    <w:family w:val="swiss"/>
    <w:pitch w:val="default"/>
    <w:sig w:usb0="FFFFFFFF" w:usb1="E9FFFFFF" w:usb2="0000003F" w:usb3="00000000" w:csb0="603F01FF" w:csb1="FFFF0000"/>
    <w:embedRegular r:id="rId3" w:fontKey="{ABFF1635-B7E3-4A26-9B9A-B4BF2BF33232}"/>
  </w:font>
  <w:font w:name="仿宋">
    <w:panose1 w:val="02010609060101010101"/>
    <w:charset w:val="86"/>
    <w:family w:val="modern"/>
    <w:pitch w:val="default"/>
    <w:sig w:usb0="800002BF" w:usb1="38CF7CFA" w:usb2="00000016" w:usb3="00000000" w:csb0="00040001" w:csb1="00000000"/>
    <w:embedRegular r:id="rId4" w:fontKey="{DD7E65AA-8985-4AD4-B01C-C84316E8EB66}"/>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5" w:fontKey="{EA7F6DE9-0D43-4BAA-A43F-F28D25FDBD9E}"/>
  </w:font>
  <w:font w:name="方正小标宋简体">
    <w:panose1 w:val="03000509000000000000"/>
    <w:charset w:val="86"/>
    <w:family w:val="auto"/>
    <w:pitch w:val="default"/>
    <w:sig w:usb0="00000001" w:usb1="080E0000" w:usb2="00000000" w:usb3="00000000" w:csb0="00040000" w:csb1="00000000"/>
    <w:embedRegular r:id="rId6" w:fontKey="{DE4C5326-98AA-4156-BF0A-5DA08266CB5C}"/>
  </w:font>
  <w:font w:name="仿宋_GB2312">
    <w:panose1 w:val="02010609030101010101"/>
    <w:charset w:val="86"/>
    <w:family w:val="auto"/>
    <w:pitch w:val="default"/>
    <w:sig w:usb0="00000001" w:usb1="080E0000" w:usb2="00000000" w:usb3="00000000" w:csb0="00040000" w:csb1="00000000"/>
    <w:embedRegular r:id="rId7" w:fontKey="{24F8ABF6-139B-4621-9DC2-8987A33BD74D}"/>
  </w:font>
  <w:font w:name="楷体_GB2312">
    <w:panose1 w:val="02010609030101010101"/>
    <w:charset w:val="86"/>
    <w:family w:val="auto"/>
    <w:pitch w:val="default"/>
    <w:sig w:usb0="00000001" w:usb1="080E0000" w:usb2="00000000" w:usb3="00000000" w:csb0="00040000" w:csb1="00000000"/>
    <w:embedRegular r:id="rId8" w:fontKey="{43D18954-26FD-4BA4-A081-7426CEF91B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0"/>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0"/>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8">
    <w:p>
      <w:r>
        <w:separator/>
      </w:r>
    </w:p>
  </w:footnote>
  <w:footnote w:type="continuationSeparator" w:id="79">
    <w:p>
      <w:r>
        <w:continuationSeparator/>
      </w:r>
    </w:p>
  </w:footnote>
  <w:footnote w:id="0">
    <w:p>
      <w:pPr>
        <w:pStyle w:val="12"/>
        <w:snapToGrid w:val="0"/>
        <w:rPr>
          <w:rFonts w:hint="default" w:eastAsiaTheme="minorEastAsia"/>
          <w:lang w:val="en-US" w:eastAsia="zh-CN"/>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15页。</w:t>
      </w:r>
    </w:p>
  </w:footnote>
  <w:footnote w:id="1">
    <w:p>
      <w:pPr>
        <w:pStyle w:val="12"/>
        <w:snapToGrid w:val="0"/>
        <w:rPr>
          <w:rFonts w:hint="default"/>
          <w:lang w:val="en-US"/>
        </w:rPr>
      </w:pPr>
      <w:r>
        <w:rPr>
          <w:rStyle w:val="19"/>
        </w:rPr>
        <w:footnoteRef/>
      </w:r>
      <w:r>
        <w:t xml:space="preserve"> </w:t>
      </w:r>
      <w:r>
        <w:rPr>
          <w:rFonts w:hint="eastAsia"/>
          <w:lang w:eastAsia="zh-CN"/>
        </w:rPr>
        <w:t>根据陆河县卫健局意见</w:t>
      </w:r>
      <w:r>
        <w:rPr>
          <w:rFonts w:hint="eastAsia"/>
          <w:lang w:val="en-US" w:eastAsia="zh-CN"/>
        </w:rPr>
        <w:t>修改。</w:t>
      </w:r>
    </w:p>
  </w:footnote>
  <w:footnote w:id="2">
    <w:p>
      <w:pPr>
        <w:pStyle w:val="12"/>
        <w:snapToGrid w:val="0"/>
        <w:rPr>
          <w:rFonts w:hint="eastAsia" w:eastAsiaTheme="minorEastAsia"/>
          <w:lang w:eastAsia="zh-CN"/>
        </w:rPr>
      </w:pPr>
      <w:r>
        <w:rPr>
          <w:rStyle w:val="19"/>
        </w:rPr>
        <w:footnoteRef/>
      </w:r>
      <w:r>
        <w:t xml:space="preserve"> </w:t>
      </w:r>
      <w:r>
        <w:rPr>
          <w:rFonts w:hint="eastAsia"/>
          <w:lang w:eastAsia="zh-CN"/>
        </w:rPr>
        <w:t>根据陆河县卫健局意见增加，为本规划特色指标。</w:t>
      </w:r>
    </w:p>
  </w:footnote>
  <w:footnote w:id="3">
    <w:p>
      <w:pPr>
        <w:pStyle w:val="12"/>
        <w:snapToGrid w:val="0"/>
      </w:pPr>
      <w:r>
        <w:rPr>
          <w:rStyle w:val="19"/>
        </w:rPr>
        <w:footnoteRef/>
      </w:r>
      <w:r>
        <w:t xml:space="preserve"> </w:t>
      </w:r>
      <w:r>
        <w:rPr>
          <w:rFonts w:hint="eastAsia"/>
          <w:lang w:eastAsia="zh-CN"/>
        </w:rPr>
        <w:t>据陆河县卫健局意见</w:t>
      </w:r>
      <w:r>
        <w:rPr>
          <w:rFonts w:hint="eastAsia"/>
          <w:lang w:val="en-US" w:eastAsia="zh-CN"/>
        </w:rPr>
        <w:t>修改。</w:t>
      </w:r>
    </w:p>
  </w:footnote>
  <w:footnote w:id="4">
    <w:p>
      <w:pPr>
        <w:pStyle w:val="12"/>
        <w:snapToGrid w:val="0"/>
      </w:pPr>
      <w:r>
        <w:rPr>
          <w:rStyle w:val="19"/>
        </w:rPr>
        <w:footnoteRef/>
      </w:r>
      <w:r>
        <w:t xml:space="preserve"> </w:t>
      </w:r>
      <w:r>
        <w:rPr>
          <w:rFonts w:hint="eastAsia"/>
          <w:lang w:eastAsia="zh-CN"/>
        </w:rPr>
        <w:t>据陆河县卫健局意见</w:t>
      </w:r>
      <w:r>
        <w:rPr>
          <w:rFonts w:hint="eastAsia"/>
          <w:lang w:val="en-US" w:eastAsia="zh-CN"/>
        </w:rPr>
        <w:t>修改。</w:t>
      </w:r>
    </w:p>
  </w:footnote>
  <w:footnote w:id="5">
    <w:p>
      <w:pPr>
        <w:pStyle w:val="12"/>
        <w:snapToGrid w:val="0"/>
        <w:rPr>
          <w:rFonts w:hint="eastAsia" w:eastAsiaTheme="minorEastAsia"/>
          <w:lang w:eastAsia="zh-CN"/>
        </w:rPr>
      </w:pPr>
      <w:r>
        <w:rPr>
          <w:rStyle w:val="19"/>
        </w:rPr>
        <w:footnoteRef/>
      </w:r>
      <w:r>
        <w:t xml:space="preserve"> </w:t>
      </w:r>
      <w:r>
        <w:rPr>
          <w:rFonts w:hint="eastAsia"/>
          <w:lang w:eastAsia="zh-CN"/>
        </w:rPr>
        <w:t>根据陆河县卫健局意见</w:t>
      </w:r>
      <w:r>
        <w:rPr>
          <w:rFonts w:hint="eastAsia"/>
          <w:lang w:val="en-US" w:eastAsia="zh-CN"/>
        </w:rPr>
        <w:t>增</w:t>
      </w:r>
      <w:r>
        <w:rPr>
          <w:rFonts w:hint="eastAsia"/>
          <w:lang w:eastAsia="zh-CN"/>
        </w:rPr>
        <w:t>加。</w:t>
      </w:r>
    </w:p>
  </w:footnote>
  <w:footnote w:id="6">
    <w:p>
      <w:pPr>
        <w:pStyle w:val="12"/>
        <w:snapToGrid w:val="0"/>
      </w:pPr>
      <w:r>
        <w:rPr>
          <w:rStyle w:val="19"/>
        </w:rPr>
        <w:footnoteRef/>
      </w:r>
      <w:r>
        <w:t xml:space="preserve"> </w:t>
      </w:r>
      <w:r>
        <w:rPr>
          <w:rFonts w:hint="eastAsia"/>
          <w:lang w:eastAsia="zh-CN"/>
        </w:rPr>
        <w:t>据陆河县卫健局意见</w:t>
      </w:r>
      <w:r>
        <w:rPr>
          <w:rFonts w:hint="eastAsia"/>
          <w:lang w:val="en-US" w:eastAsia="zh-CN"/>
        </w:rPr>
        <w:t>修改。</w:t>
      </w:r>
    </w:p>
  </w:footnote>
  <w:footnote w:id="7">
    <w:p>
      <w:pPr>
        <w:pStyle w:val="12"/>
        <w:snapToGrid w:val="0"/>
        <w:rPr>
          <w:rFonts w:hint="default" w:eastAsiaTheme="minorEastAsia"/>
          <w:lang w:val="en-US" w:eastAsia="zh-CN"/>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30页。</w:t>
      </w:r>
    </w:p>
  </w:footnote>
  <w:footnote w:id="8">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28页。</w:t>
      </w:r>
    </w:p>
  </w:footnote>
  <w:footnote w:id="9">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32页。</w:t>
      </w:r>
    </w:p>
  </w:footnote>
  <w:footnote w:id="10">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95页。</w:t>
      </w:r>
    </w:p>
  </w:footnote>
  <w:footnote w:id="11">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24页。</w:t>
      </w:r>
    </w:p>
  </w:footnote>
  <w:footnote w:id="12">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41页。</w:t>
      </w:r>
    </w:p>
  </w:footnote>
  <w:footnote w:id="13">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96页。</w:t>
      </w:r>
    </w:p>
  </w:footnote>
  <w:footnote w:id="14">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53页。</w:t>
      </w:r>
    </w:p>
  </w:footnote>
  <w:footnote w:id="15">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79页。</w:t>
      </w:r>
    </w:p>
  </w:footnote>
  <w:footnote w:id="16">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23页。</w:t>
      </w:r>
    </w:p>
  </w:footnote>
  <w:footnote w:id="17">
    <w:p>
      <w:pPr>
        <w:pStyle w:val="12"/>
        <w:snapToGrid w:val="0"/>
      </w:pPr>
      <w:r>
        <w:rPr>
          <w:rStyle w:val="19"/>
        </w:rPr>
        <w:footnoteRef/>
      </w:r>
      <w:r>
        <w:t xml:space="preserve"> </w:t>
      </w:r>
      <w:r>
        <w:rPr>
          <w:rFonts w:hint="eastAsia"/>
          <w:lang w:eastAsia="zh-CN"/>
        </w:rPr>
        <w:t>据陆河县卫健局意见</w:t>
      </w:r>
      <w:r>
        <w:rPr>
          <w:rFonts w:hint="eastAsia"/>
          <w:lang w:val="en-US" w:eastAsia="zh-CN"/>
        </w:rPr>
        <w:t>修改。</w:t>
      </w:r>
    </w:p>
  </w:footnote>
  <w:footnote w:id="18">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103页，为本规划特色指标。</w:t>
      </w:r>
    </w:p>
  </w:footnote>
  <w:footnote w:id="19">
    <w:p>
      <w:pPr>
        <w:pStyle w:val="12"/>
        <w:snapToGrid w:val="0"/>
        <w:rPr>
          <w:rFonts w:hint="eastAsia" w:eastAsiaTheme="minorEastAsia"/>
          <w:lang w:eastAsia="zh-CN"/>
        </w:rPr>
      </w:pPr>
      <w:r>
        <w:rPr>
          <w:rStyle w:val="19"/>
        </w:rPr>
        <w:footnoteRef/>
      </w:r>
      <w:r>
        <w:t xml:space="preserve"> </w:t>
      </w:r>
      <w:r>
        <w:rPr>
          <w:rFonts w:hint="eastAsia"/>
          <w:lang w:eastAsia="zh-CN"/>
        </w:rPr>
        <w:t>根据陆河县卫健局意见修改，《汕尾市妇女发展规划（</w:t>
      </w:r>
      <w:r>
        <w:rPr>
          <w:rFonts w:hint="eastAsia"/>
          <w:lang w:val="en-US" w:eastAsia="zh-CN"/>
        </w:rPr>
        <w:t>2021-2030年</w:t>
      </w:r>
      <w:r>
        <w:rPr>
          <w:rFonts w:hint="eastAsia"/>
          <w:lang w:eastAsia="zh-CN"/>
        </w:rPr>
        <w:t>）》该指标为</w:t>
      </w:r>
      <w:r>
        <w:rPr>
          <w:rFonts w:hint="eastAsia"/>
          <w:lang w:val="en-US" w:eastAsia="zh-CN"/>
        </w:rPr>
        <w:t>95%</w:t>
      </w:r>
      <w:r>
        <w:rPr>
          <w:rFonts w:hint="eastAsia"/>
          <w:lang w:eastAsia="zh-CN"/>
        </w:rPr>
        <w:t>。</w:t>
      </w:r>
    </w:p>
  </w:footnote>
  <w:footnote w:id="20">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108页，为本规划特色指标。</w:t>
      </w:r>
    </w:p>
  </w:footnote>
  <w:footnote w:id="21">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103页。</w:t>
      </w:r>
    </w:p>
  </w:footnote>
  <w:footnote w:id="22">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103页。</w:t>
      </w:r>
    </w:p>
  </w:footnote>
  <w:footnote w:id="23">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104页。</w:t>
      </w:r>
    </w:p>
  </w:footnote>
  <w:footnote w:id="24">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41页。</w:t>
      </w:r>
    </w:p>
  </w:footnote>
  <w:footnote w:id="25">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40页。</w:t>
      </w:r>
    </w:p>
  </w:footnote>
  <w:footnote w:id="26">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6页，为本规划特色指标。</w:t>
      </w:r>
    </w:p>
  </w:footnote>
  <w:footnote w:id="27">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108页。</w:t>
      </w:r>
    </w:p>
  </w:footnote>
  <w:footnote w:id="28">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108页。</w:t>
      </w:r>
    </w:p>
  </w:footnote>
  <w:footnote w:id="29">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108页。</w:t>
      </w:r>
    </w:p>
  </w:footnote>
  <w:footnote w:id="30">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110页。</w:t>
      </w:r>
    </w:p>
  </w:footnote>
  <w:footnote w:id="31">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108页。</w:t>
      </w:r>
    </w:p>
  </w:footnote>
  <w:footnote w:id="32">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110页。</w:t>
      </w:r>
    </w:p>
  </w:footnote>
  <w:footnote w:id="33">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42页。</w:t>
      </w:r>
    </w:p>
  </w:footnote>
  <w:footnote w:id="34">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86页。</w:t>
      </w:r>
    </w:p>
  </w:footnote>
  <w:footnote w:id="35">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81页。</w:t>
      </w:r>
    </w:p>
  </w:footnote>
  <w:footnote w:id="36">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95页。</w:t>
      </w:r>
    </w:p>
  </w:footnote>
  <w:footnote w:id="37">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95页。</w:t>
      </w:r>
    </w:p>
  </w:footnote>
  <w:footnote w:id="38">
    <w:p>
      <w:pPr>
        <w:pStyle w:val="12"/>
        <w:snapToGrid w:val="0"/>
        <w:rPr>
          <w:rFonts w:hint="default"/>
          <w:lang w:val="en-US"/>
        </w:rPr>
      </w:pPr>
      <w:r>
        <w:rPr>
          <w:rStyle w:val="19"/>
        </w:rPr>
        <w:footnoteRef/>
      </w:r>
      <w:r>
        <w:t xml:space="preserve"> </w:t>
      </w:r>
      <w:r>
        <w:rPr>
          <w:rFonts w:hint="eastAsia"/>
          <w:lang w:eastAsia="zh-CN"/>
        </w:rPr>
        <w:t>参考《陆河县国民经济和社会发展第十四个五年规划和二〇三五年远景目标纲要》第</w:t>
      </w:r>
      <w:r>
        <w:rPr>
          <w:rFonts w:hint="eastAsia"/>
          <w:lang w:val="en-US" w:eastAsia="zh-CN"/>
        </w:rPr>
        <w:t>96页。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78"/>
    <w:footnote w:id="79"/>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2ZhMzVkNDcyYzA4Njc5Y2Q3YjMxYTkwNjg1YzAifQ=="/>
  </w:docVars>
  <w:rsids>
    <w:rsidRoot w:val="748A49EB"/>
    <w:rsid w:val="00093C18"/>
    <w:rsid w:val="00095BC0"/>
    <w:rsid w:val="000B72C0"/>
    <w:rsid w:val="001021DD"/>
    <w:rsid w:val="00111CA3"/>
    <w:rsid w:val="0011678E"/>
    <w:rsid w:val="00124A4B"/>
    <w:rsid w:val="00164983"/>
    <w:rsid w:val="00176958"/>
    <w:rsid w:val="001C0349"/>
    <w:rsid w:val="001E336E"/>
    <w:rsid w:val="001F19F6"/>
    <w:rsid w:val="0021389B"/>
    <w:rsid w:val="0021782B"/>
    <w:rsid w:val="00233A9E"/>
    <w:rsid w:val="00233E18"/>
    <w:rsid w:val="0026436E"/>
    <w:rsid w:val="002675BA"/>
    <w:rsid w:val="00272B10"/>
    <w:rsid w:val="0029478C"/>
    <w:rsid w:val="003250EC"/>
    <w:rsid w:val="00356468"/>
    <w:rsid w:val="003A0A09"/>
    <w:rsid w:val="003A3934"/>
    <w:rsid w:val="003B5B69"/>
    <w:rsid w:val="003D6118"/>
    <w:rsid w:val="003D730D"/>
    <w:rsid w:val="00475ECE"/>
    <w:rsid w:val="0048360D"/>
    <w:rsid w:val="00551C83"/>
    <w:rsid w:val="00603B36"/>
    <w:rsid w:val="006400AC"/>
    <w:rsid w:val="006477B8"/>
    <w:rsid w:val="006603FB"/>
    <w:rsid w:val="006811CC"/>
    <w:rsid w:val="006B0342"/>
    <w:rsid w:val="006D0F1F"/>
    <w:rsid w:val="006E4EDB"/>
    <w:rsid w:val="0072504A"/>
    <w:rsid w:val="00732898"/>
    <w:rsid w:val="007365BC"/>
    <w:rsid w:val="0077445C"/>
    <w:rsid w:val="007A24E1"/>
    <w:rsid w:val="007E1944"/>
    <w:rsid w:val="007E7D70"/>
    <w:rsid w:val="007F0691"/>
    <w:rsid w:val="00801FAF"/>
    <w:rsid w:val="00817F1B"/>
    <w:rsid w:val="0083429D"/>
    <w:rsid w:val="009812F7"/>
    <w:rsid w:val="00986821"/>
    <w:rsid w:val="009F6C06"/>
    <w:rsid w:val="00A7072E"/>
    <w:rsid w:val="00A72619"/>
    <w:rsid w:val="00A80E94"/>
    <w:rsid w:val="00A81C09"/>
    <w:rsid w:val="00AB16B0"/>
    <w:rsid w:val="00AB3EA8"/>
    <w:rsid w:val="00AF31AE"/>
    <w:rsid w:val="00B45399"/>
    <w:rsid w:val="00BA0ED6"/>
    <w:rsid w:val="00BA51E2"/>
    <w:rsid w:val="00BC2F89"/>
    <w:rsid w:val="00C8198C"/>
    <w:rsid w:val="00C96282"/>
    <w:rsid w:val="00CB3A06"/>
    <w:rsid w:val="00CF39DB"/>
    <w:rsid w:val="00D47A24"/>
    <w:rsid w:val="00D64739"/>
    <w:rsid w:val="00DC7EA6"/>
    <w:rsid w:val="00E024E5"/>
    <w:rsid w:val="00E51BB9"/>
    <w:rsid w:val="00EA2947"/>
    <w:rsid w:val="00EC061C"/>
    <w:rsid w:val="00EC183B"/>
    <w:rsid w:val="00EE2325"/>
    <w:rsid w:val="00EF2C1E"/>
    <w:rsid w:val="00F06194"/>
    <w:rsid w:val="00F151D2"/>
    <w:rsid w:val="00F255DD"/>
    <w:rsid w:val="00F82A5C"/>
    <w:rsid w:val="00F97371"/>
    <w:rsid w:val="00FD5039"/>
    <w:rsid w:val="089C240B"/>
    <w:rsid w:val="08A264B6"/>
    <w:rsid w:val="115F5538"/>
    <w:rsid w:val="12010F2E"/>
    <w:rsid w:val="14CD18FF"/>
    <w:rsid w:val="16C14C18"/>
    <w:rsid w:val="20DD1608"/>
    <w:rsid w:val="244A57EB"/>
    <w:rsid w:val="26313B4E"/>
    <w:rsid w:val="29E57CD7"/>
    <w:rsid w:val="2BBE761A"/>
    <w:rsid w:val="2BE45EAF"/>
    <w:rsid w:val="30BB7E51"/>
    <w:rsid w:val="33977AEB"/>
    <w:rsid w:val="34B237AA"/>
    <w:rsid w:val="354C0832"/>
    <w:rsid w:val="3632276E"/>
    <w:rsid w:val="36A05654"/>
    <w:rsid w:val="37754E57"/>
    <w:rsid w:val="3B0525DF"/>
    <w:rsid w:val="3B665CE4"/>
    <w:rsid w:val="3DF033C9"/>
    <w:rsid w:val="469B0698"/>
    <w:rsid w:val="47092679"/>
    <w:rsid w:val="49A4517F"/>
    <w:rsid w:val="49E1174C"/>
    <w:rsid w:val="4A7F11C7"/>
    <w:rsid w:val="4C4F42F4"/>
    <w:rsid w:val="4EC2157C"/>
    <w:rsid w:val="4F486D3E"/>
    <w:rsid w:val="57797F61"/>
    <w:rsid w:val="58B7457C"/>
    <w:rsid w:val="59BC3607"/>
    <w:rsid w:val="5A805FB6"/>
    <w:rsid w:val="5B9B58DF"/>
    <w:rsid w:val="5C2532A9"/>
    <w:rsid w:val="5CE8227F"/>
    <w:rsid w:val="5F146D78"/>
    <w:rsid w:val="63C46DE2"/>
    <w:rsid w:val="642A0B30"/>
    <w:rsid w:val="662A23BA"/>
    <w:rsid w:val="6AAD27C7"/>
    <w:rsid w:val="6B306335"/>
    <w:rsid w:val="708218D9"/>
    <w:rsid w:val="714574C2"/>
    <w:rsid w:val="72AF3897"/>
    <w:rsid w:val="746067FF"/>
    <w:rsid w:val="748A49EB"/>
    <w:rsid w:val="77CD0FAD"/>
    <w:rsid w:val="785E3194"/>
    <w:rsid w:val="7A941E2A"/>
    <w:rsid w:val="7D6E1E3B"/>
    <w:rsid w:val="7DC9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qFormat="1"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spacing w:line="576" w:lineRule="auto"/>
      <w:outlineLvl w:val="0"/>
    </w:pPr>
    <w:rPr>
      <w:rFonts w:eastAsia="黑体"/>
      <w:b/>
      <w:kern w:val="44"/>
      <w:sz w:val="32"/>
    </w:rPr>
  </w:style>
  <w:style w:type="paragraph" w:styleId="4">
    <w:name w:val="heading 2"/>
    <w:basedOn w:val="5"/>
    <w:next w:val="5"/>
    <w:link w:val="26"/>
    <w:unhideWhenUsed/>
    <w:qFormat/>
    <w:uiPriority w:val="0"/>
    <w:pPr>
      <w:keepNext/>
      <w:keepLines/>
      <w:spacing w:after="0" w:line="413" w:lineRule="auto"/>
      <w:outlineLvl w:val="1"/>
    </w:pPr>
    <w:rPr>
      <w:rFonts w:ascii="Arial" w:hAnsi="Arial" w:eastAsia="楷体"/>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firstLineChars="200"/>
    </w:pPr>
  </w:style>
  <w:style w:type="paragraph" w:styleId="5">
    <w:name w:val="Body Text Indent"/>
    <w:basedOn w:val="1"/>
    <w:link w:val="25"/>
    <w:qFormat/>
    <w:uiPriority w:val="0"/>
    <w:pPr>
      <w:spacing w:after="120"/>
      <w:ind w:left="420" w:leftChars="200"/>
    </w:pPr>
  </w:style>
  <w:style w:type="paragraph" w:styleId="6">
    <w:name w:val="Body Text"/>
    <w:basedOn w:val="1"/>
    <w:link w:val="22"/>
    <w:qFormat/>
    <w:uiPriority w:val="0"/>
    <w:pPr>
      <w:spacing w:after="120"/>
    </w:pPr>
  </w:style>
  <w:style w:type="paragraph" w:styleId="7">
    <w:name w:val="Body Text Indent 2"/>
    <w:basedOn w:val="1"/>
    <w:link w:val="23"/>
    <w:qFormat/>
    <w:uiPriority w:val="0"/>
    <w:pPr>
      <w:spacing w:after="120" w:line="480" w:lineRule="auto"/>
      <w:ind w:left="420" w:leftChars="200"/>
    </w:pPr>
  </w:style>
  <w:style w:type="paragraph" w:styleId="8">
    <w:name w:val="Balloon Text"/>
    <w:basedOn w:val="1"/>
    <w:link w:val="27"/>
    <w:qFormat/>
    <w:uiPriority w:val="0"/>
    <w:rPr>
      <w:sz w:val="18"/>
    </w:rPr>
  </w:style>
  <w:style w:type="paragraph" w:styleId="9">
    <w:name w:val="footer"/>
    <w:basedOn w:val="1"/>
    <w:link w:val="21"/>
    <w:qFormat/>
    <w:uiPriority w:val="0"/>
    <w:pPr>
      <w:tabs>
        <w:tab w:val="center" w:pos="4153"/>
        <w:tab w:val="right" w:pos="8306"/>
      </w:tabs>
      <w:snapToGrid w:val="0"/>
      <w:jc w:val="left"/>
    </w:pPr>
    <w:rPr>
      <w:sz w:val="18"/>
    </w:rPr>
  </w:style>
  <w:style w:type="paragraph" w:styleId="10">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paragraph" w:styleId="12">
    <w:name w:val="footnote text"/>
    <w:basedOn w:val="1"/>
    <w:link w:val="30"/>
    <w:semiHidden/>
    <w:unhideWhenUsed/>
    <w:qFormat/>
    <w:uiPriority w:val="0"/>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Body Text First Indent"/>
    <w:basedOn w:val="6"/>
    <w:link w:val="32"/>
    <w:semiHidden/>
    <w:unhideWhenUsed/>
    <w:qFormat/>
    <w:uiPriority w:val="0"/>
    <w:pPr>
      <w:ind w:firstLine="420" w:firstLineChars="100"/>
    </w:pPr>
  </w:style>
  <w:style w:type="paragraph" w:styleId="15">
    <w:name w:val="Body Text First Indent 2"/>
    <w:basedOn w:val="5"/>
    <w:link w:val="24"/>
    <w:qFormat/>
    <w:uiPriority w:val="0"/>
    <w:pPr>
      <w:ind w:firstLine="420" w:firstLineChars="200"/>
    </w:p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footnote reference"/>
    <w:basedOn w:val="17"/>
    <w:semiHidden/>
    <w:unhideWhenUsed/>
    <w:qFormat/>
    <w:uiPriority w:val="0"/>
    <w:rPr>
      <w:vertAlign w:val="superscript"/>
    </w:rPr>
  </w:style>
  <w:style w:type="character" w:customStyle="1" w:styleId="20">
    <w:name w:val="标题 1 字符"/>
    <w:basedOn w:val="17"/>
    <w:link w:val="2"/>
    <w:qFormat/>
    <w:uiPriority w:val="0"/>
    <w:rPr>
      <w:rFonts w:eastAsia="黑体" w:asciiTheme="minorHAnsi" w:hAnsiTheme="minorHAnsi" w:cstheme="minorBidi"/>
      <w:b/>
      <w:kern w:val="44"/>
      <w:sz w:val="32"/>
      <w:szCs w:val="24"/>
    </w:rPr>
  </w:style>
  <w:style w:type="character" w:customStyle="1" w:styleId="21">
    <w:name w:val="页脚 字符"/>
    <w:basedOn w:val="17"/>
    <w:link w:val="9"/>
    <w:qFormat/>
    <w:uiPriority w:val="0"/>
    <w:rPr>
      <w:rFonts w:hint="eastAsia" w:ascii="Arial Unicode MS" w:hAnsi="Arial Unicode MS" w:eastAsia="仿宋" w:cs="Arial Unicode MS"/>
      <w:sz w:val="18"/>
      <w:szCs w:val="18"/>
    </w:rPr>
  </w:style>
  <w:style w:type="character" w:customStyle="1" w:styleId="22">
    <w:name w:val="正文文本 字符"/>
    <w:basedOn w:val="17"/>
    <w:link w:val="6"/>
    <w:qFormat/>
    <w:uiPriority w:val="0"/>
    <w:rPr>
      <w:rFonts w:hint="eastAsia" w:ascii="Arial Unicode MS" w:hAnsi="Arial Unicode MS" w:eastAsia="仿宋" w:cs="Arial Unicode MS"/>
      <w:sz w:val="29"/>
      <w:szCs w:val="29"/>
    </w:rPr>
  </w:style>
  <w:style w:type="character" w:customStyle="1" w:styleId="23">
    <w:name w:val="正文文本缩进 2 字符"/>
    <w:basedOn w:val="17"/>
    <w:link w:val="7"/>
    <w:qFormat/>
    <w:uiPriority w:val="0"/>
    <w:rPr>
      <w:rFonts w:hint="eastAsia" w:ascii="Arial Unicode MS" w:hAnsi="Arial Unicode MS" w:eastAsia="仿宋" w:cs="Arial Unicode MS"/>
      <w:sz w:val="32"/>
      <w:szCs w:val="22"/>
    </w:rPr>
  </w:style>
  <w:style w:type="character" w:customStyle="1" w:styleId="24">
    <w:name w:val="正文文本首行缩进 2 字符"/>
    <w:basedOn w:val="25"/>
    <w:link w:val="15"/>
    <w:qFormat/>
    <w:uiPriority w:val="0"/>
    <w:rPr>
      <w:rFonts w:hint="eastAsia" w:ascii="Arial Unicode MS" w:hAnsi="Arial Unicode MS" w:eastAsia="仿宋" w:cs="Arial Unicode MS"/>
      <w:sz w:val="32"/>
      <w:szCs w:val="22"/>
    </w:rPr>
  </w:style>
  <w:style w:type="character" w:customStyle="1" w:styleId="25">
    <w:name w:val="正文文本缩进 字符"/>
    <w:basedOn w:val="17"/>
    <w:link w:val="5"/>
    <w:qFormat/>
    <w:uiPriority w:val="0"/>
    <w:rPr>
      <w:rFonts w:hint="eastAsia" w:ascii="Arial Unicode MS" w:hAnsi="Arial Unicode MS" w:eastAsia="仿宋" w:cs="Arial Unicode MS"/>
      <w:sz w:val="32"/>
      <w:szCs w:val="22"/>
    </w:rPr>
  </w:style>
  <w:style w:type="character" w:customStyle="1" w:styleId="26">
    <w:name w:val="标题 2 字符"/>
    <w:basedOn w:val="17"/>
    <w:link w:val="4"/>
    <w:qFormat/>
    <w:uiPriority w:val="0"/>
    <w:rPr>
      <w:rFonts w:ascii="Arial" w:hAnsi="Arial" w:eastAsia="楷体" w:cstheme="minorBidi"/>
      <w:kern w:val="2"/>
      <w:sz w:val="32"/>
      <w:szCs w:val="24"/>
    </w:rPr>
  </w:style>
  <w:style w:type="character" w:customStyle="1" w:styleId="27">
    <w:name w:val="批注框文本 字符"/>
    <w:basedOn w:val="17"/>
    <w:link w:val="8"/>
    <w:qFormat/>
    <w:uiPriority w:val="0"/>
    <w:rPr>
      <w:rFonts w:hint="eastAsia" w:ascii="Arial Unicode MS" w:hAnsi="Arial Unicode MS" w:eastAsia="仿宋" w:cs="Arial Unicode MS"/>
      <w:sz w:val="18"/>
      <w:szCs w:val="18"/>
    </w:rPr>
  </w:style>
  <w:style w:type="character" w:customStyle="1" w:styleId="28">
    <w:name w:val="页眉 字符"/>
    <w:basedOn w:val="17"/>
    <w:link w:val="10"/>
    <w:qFormat/>
    <w:uiPriority w:val="0"/>
    <w:rPr>
      <w:rFonts w:hint="eastAsia" w:ascii="Arial Unicode MS" w:hAnsi="Arial Unicode MS" w:eastAsia="仿宋" w:cs="Arial Unicode MS"/>
      <w:sz w:val="18"/>
      <w:szCs w:val="18"/>
    </w:rPr>
  </w:style>
  <w:style w:type="table" w:customStyle="1" w:styleId="29">
    <w:name w:val="Table Normal"/>
    <w:basedOn w:val="16"/>
    <w:semiHidden/>
    <w:qFormat/>
    <w:uiPriority w:val="0"/>
    <w:rPr>
      <w:rFonts w:cs="Times New Roman"/>
    </w:rPr>
    <w:tblPr>
      <w:tblCellMar>
        <w:left w:w="0" w:type="dxa"/>
        <w:right w:w="0" w:type="dxa"/>
      </w:tblCellMar>
    </w:tblPr>
  </w:style>
  <w:style w:type="character" w:customStyle="1" w:styleId="30">
    <w:name w:val="脚注文本 字符"/>
    <w:basedOn w:val="17"/>
    <w:link w:val="12"/>
    <w:semiHidden/>
    <w:qFormat/>
    <w:uiPriority w:val="0"/>
    <w:rPr>
      <w:rFonts w:asciiTheme="minorHAnsi" w:hAnsiTheme="minorHAnsi" w:eastAsiaTheme="minorEastAsia" w:cstheme="minorBidi"/>
      <w:kern w:val="2"/>
      <w:sz w:val="18"/>
      <w:szCs w:val="18"/>
    </w:rPr>
  </w:style>
  <w:style w:type="paragraph" w:customStyle="1" w:styleId="31">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32">
    <w:name w:val="正文文本首行缩进 字符"/>
    <w:basedOn w:val="22"/>
    <w:link w:val="14"/>
    <w:semiHidden/>
    <w:qFormat/>
    <w:uiPriority w:val="0"/>
    <w:rPr>
      <w:rFonts w:hint="eastAsia" w:asciiTheme="minorHAnsi" w:hAnsiTheme="minorHAnsi" w:eastAsiaTheme="minorEastAsia" w:cstheme="minorBidi"/>
      <w:kern w:val="2"/>
      <w:sz w:val="21"/>
      <w:szCs w:val="24"/>
    </w:rPr>
  </w:style>
  <w:style w:type="paragraph" w:customStyle="1" w:styleId="33">
    <w:name w:val="WPSOffice手动目录 1"/>
    <w:qFormat/>
    <w:uiPriority w:val="0"/>
    <w:pPr>
      <w:ind w:leftChars="0"/>
    </w:pPr>
    <w:rPr>
      <w:rFonts w:ascii="Calibri" w:hAnsi="Calibri" w:eastAsia="宋体" w:cs="Calibri"/>
      <w:sz w:val="20"/>
      <w:szCs w:val="20"/>
    </w:rPr>
  </w:style>
  <w:style w:type="paragraph" w:customStyle="1" w:styleId="34">
    <w:name w:val="WPSOffice手动目录 2"/>
    <w:qFormat/>
    <w:uiPriority w:val="0"/>
    <w:pPr>
      <w:ind w:leftChars="2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D08DF-232E-4BB6-99B8-4C7F154140C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53</Pages>
  <Words>27457</Words>
  <Characters>27640</Characters>
  <Lines>200</Lines>
  <Paragraphs>56</Paragraphs>
  <TotalTime>2</TotalTime>
  <ScaleCrop>false</ScaleCrop>
  <LinksUpToDate>false</LinksUpToDate>
  <CharactersWithSpaces>27697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2022-03-16T01:17:00Z</dcterms:created>
  <dc:creator>陈ZY</dc:creator>
  <cp:lastModifiedBy>峰梦</cp:lastModifiedBy>
  <cp:lastPrinted>2022-04-26T08:23:00Z</cp:lastPrinted>
  <dcterms:modified xsi:type="dcterms:W3CDTF">2022-05-17T08:58:58Z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6B609C091F254F4BA1969B54701E5FC6</vt:lpwstr>
  </property>
</Properties>
</file>