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陆河县国家级电子商务进农村综合示范项目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0"/>
          <w:highlight w:val="none"/>
        </w:rPr>
      </w:pPr>
      <w:r>
        <w:rPr>
          <w:rFonts w:hint="eastAsia" w:ascii="方正小标宋简体" w:hAnsi="方正小标宋简体" w:eastAsia="方正小标宋简体" w:cs="方正小标宋简体"/>
          <w:sz w:val="44"/>
          <w:szCs w:val="44"/>
          <w:highlight w:val="none"/>
          <w:lang w:val="en-US" w:eastAsia="zh-CN"/>
        </w:rPr>
        <w:t>（尾款）实施方案（征求意见稿）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为</w:t>
      </w:r>
      <w:r>
        <w:rPr>
          <w:rFonts w:hint="eastAsia" w:ascii="仿宋_GB2312" w:hAnsi="仿宋_GB2312" w:cs="仿宋_GB2312"/>
          <w:kern w:val="0"/>
          <w:highlight w:val="none"/>
          <w:lang w:val="en-US" w:eastAsia="zh-CN"/>
        </w:rPr>
        <w:t>深入推进</w:t>
      </w:r>
      <w:r>
        <w:rPr>
          <w:rFonts w:hint="eastAsia" w:ascii="仿宋_GB2312" w:hAnsi="仿宋_GB2312" w:eastAsia="仿宋_GB2312" w:cs="仿宋_GB2312"/>
          <w:kern w:val="0"/>
          <w:highlight w:val="none"/>
        </w:rPr>
        <w:t>电子商务进农村，进一步优化农村电子商务发展环境,完善农村电子商务服务体系，提升农村商贸流通现代化水平，持续推进农村一二三产业融合发展</w:t>
      </w:r>
      <w:r>
        <w:rPr>
          <w:rFonts w:hint="eastAsia" w:ascii="仿宋_GB2312" w:hAnsi="仿宋_GB2312" w:cs="仿宋_GB2312"/>
          <w:kern w:val="0"/>
          <w:highlight w:val="none"/>
          <w:lang w:eastAsia="zh-CN"/>
        </w:rPr>
        <w:t>，</w:t>
      </w:r>
      <w:r>
        <w:rPr>
          <w:rFonts w:hint="eastAsia" w:ascii="仿宋_GB2312" w:hAnsi="仿宋_GB2312" w:eastAsia="仿宋_GB2312" w:cs="仿宋_GB2312"/>
          <w:kern w:val="0"/>
          <w:highlight w:val="none"/>
        </w:rPr>
        <w:t>助力乡村振兴取得实效，根据《财政部办公厅 商务部办公厅 国务院扶贫办综合司关于</w:t>
      </w:r>
      <w:r>
        <w:rPr>
          <w:rFonts w:hint="eastAsia" w:ascii="仿宋_GB2312" w:hAnsi="仿宋_GB2312" w:cs="仿宋_GB2312"/>
          <w:kern w:val="0"/>
          <w:highlight w:val="none"/>
          <w:lang w:val="en-US" w:eastAsia="zh-CN"/>
        </w:rPr>
        <w:t>做好</w:t>
      </w:r>
      <w:r>
        <w:rPr>
          <w:rFonts w:hint="eastAsia" w:ascii="仿宋_GB2312" w:hAnsi="仿宋_GB2312" w:eastAsia="仿宋_GB2312" w:cs="仿宋_GB2312"/>
          <w:kern w:val="0"/>
          <w:highlight w:val="none"/>
        </w:rPr>
        <w:t>20</w:t>
      </w:r>
      <w:r>
        <w:rPr>
          <w:rFonts w:hint="eastAsia" w:ascii="仿宋_GB2312" w:hAnsi="仿宋_GB2312" w:eastAsia="仿宋_GB2312" w:cs="仿宋_GB2312"/>
          <w:kern w:val="0"/>
          <w:highlight w:val="none"/>
          <w:lang w:val="en-US" w:eastAsia="zh-CN"/>
        </w:rPr>
        <w:t>20</w:t>
      </w:r>
      <w:r>
        <w:rPr>
          <w:rFonts w:hint="eastAsia" w:ascii="仿宋_GB2312" w:hAnsi="仿宋_GB2312" w:eastAsia="仿宋_GB2312" w:cs="仿宋_GB2312"/>
          <w:kern w:val="0"/>
          <w:highlight w:val="none"/>
        </w:rPr>
        <w:t>年电子商务进农村综合示范工作的通知》（财办建〔20</w:t>
      </w:r>
      <w:r>
        <w:rPr>
          <w:rFonts w:hint="eastAsia" w:ascii="仿宋_GB2312" w:hAnsi="仿宋_GB2312" w:eastAsia="仿宋_GB2312" w:cs="仿宋_GB2312"/>
          <w:kern w:val="0"/>
          <w:highlight w:val="none"/>
          <w:lang w:val="en-US" w:eastAsia="zh-CN"/>
        </w:rPr>
        <w:t>20</w:t>
      </w:r>
      <w:r>
        <w:rPr>
          <w:rFonts w:hint="eastAsia" w:ascii="仿宋_GB2312" w:hAnsi="仿宋_GB2312" w:eastAsia="仿宋_GB2312" w:cs="仿宋_GB2312"/>
          <w:kern w:val="0"/>
          <w:highlight w:val="none"/>
        </w:rPr>
        <w:t>〕</w:t>
      </w:r>
      <w:r>
        <w:rPr>
          <w:rFonts w:hint="eastAsia" w:ascii="仿宋_GB2312" w:hAnsi="仿宋_GB2312" w:eastAsia="仿宋_GB2312" w:cs="仿宋_GB2312"/>
          <w:kern w:val="0"/>
          <w:highlight w:val="none"/>
          <w:lang w:val="en-US" w:eastAsia="zh-CN"/>
        </w:rPr>
        <w:t>4</w:t>
      </w:r>
      <w:r>
        <w:rPr>
          <w:rFonts w:hint="eastAsia" w:ascii="仿宋_GB2312" w:hAnsi="仿宋_GB2312" w:eastAsia="仿宋_GB2312" w:cs="仿宋_GB2312"/>
          <w:kern w:val="0"/>
          <w:highlight w:val="none"/>
        </w:rPr>
        <w:t>8号）</w:t>
      </w:r>
      <w:r>
        <w:rPr>
          <w:rFonts w:hint="eastAsia" w:ascii="仿宋_GB2312" w:hAnsi="仿宋_GB2312" w:cs="仿宋_GB2312"/>
          <w:kern w:val="0"/>
          <w:highlight w:val="none"/>
          <w:lang w:eastAsia="zh-CN"/>
        </w:rPr>
        <w:t>、</w:t>
      </w:r>
      <w:r>
        <w:rPr>
          <w:rFonts w:hint="eastAsia" w:ascii="仿宋_GB2312" w:hAnsi="仿宋_GB2312" w:eastAsia="仿宋_GB2312" w:cs="仿宋_GB2312"/>
          <w:kern w:val="0"/>
          <w:highlight w:val="none"/>
        </w:rPr>
        <w:t>《广东省商务厅 广东省财政厅关于</w:t>
      </w:r>
      <w:r>
        <w:rPr>
          <w:rFonts w:hint="eastAsia" w:ascii="仿宋_GB2312" w:hAnsi="仿宋_GB2312" w:cs="仿宋_GB2312"/>
          <w:kern w:val="0"/>
          <w:highlight w:val="none"/>
          <w:lang w:val="en-US" w:eastAsia="zh-CN"/>
        </w:rPr>
        <w:t>印发&lt;</w:t>
      </w:r>
      <w:r>
        <w:rPr>
          <w:rFonts w:hint="eastAsia" w:ascii="仿宋_GB2312" w:hAnsi="仿宋_GB2312" w:eastAsia="仿宋_GB2312" w:cs="仿宋_GB2312"/>
          <w:kern w:val="0"/>
          <w:highlight w:val="none"/>
        </w:rPr>
        <w:t>广东省</w:t>
      </w:r>
      <w:r>
        <w:rPr>
          <w:rFonts w:hint="eastAsia" w:ascii="仿宋_GB2312" w:hAnsi="仿宋_GB2312" w:eastAsia="仿宋_GB2312" w:cs="仿宋_GB2312"/>
          <w:kern w:val="0"/>
          <w:highlight w:val="none"/>
          <w:lang w:val="en-US" w:eastAsia="zh-CN"/>
        </w:rPr>
        <w:t>2020</w:t>
      </w:r>
      <w:r>
        <w:rPr>
          <w:rFonts w:hint="eastAsia" w:ascii="仿宋_GB2312" w:hAnsi="仿宋_GB2312" w:eastAsia="仿宋_GB2312" w:cs="仿宋_GB2312"/>
          <w:kern w:val="0"/>
          <w:highlight w:val="none"/>
        </w:rPr>
        <w:t>年国家电子商务进农村综合示范项目建设和资金使用工作指引</w:t>
      </w:r>
      <w:r>
        <w:rPr>
          <w:rFonts w:hint="eastAsia" w:ascii="仿宋_GB2312" w:hAnsi="仿宋_GB2312" w:cs="仿宋_GB2312"/>
          <w:kern w:val="0"/>
          <w:highlight w:val="none"/>
          <w:lang w:val="en-US" w:eastAsia="zh-CN"/>
        </w:rPr>
        <w:t>&gt;的通知</w:t>
      </w:r>
      <w:r>
        <w:rPr>
          <w:rFonts w:hint="eastAsia" w:ascii="仿宋_GB2312" w:hAnsi="仿宋_GB2312" w:eastAsia="仿宋_GB2312" w:cs="仿宋_GB2312"/>
          <w:kern w:val="0"/>
          <w:highlight w:val="none"/>
        </w:rPr>
        <w:t>》（粤商务电函〔20</w:t>
      </w:r>
      <w:r>
        <w:rPr>
          <w:rFonts w:hint="eastAsia" w:ascii="仿宋_GB2312" w:hAnsi="仿宋_GB2312" w:eastAsia="仿宋_GB2312" w:cs="仿宋_GB2312"/>
          <w:kern w:val="0"/>
          <w:highlight w:val="none"/>
          <w:lang w:val="en-US" w:eastAsia="zh-CN"/>
        </w:rPr>
        <w:t>20</w:t>
      </w:r>
      <w:r>
        <w:rPr>
          <w:rFonts w:hint="eastAsia" w:ascii="仿宋_GB2312" w:hAnsi="仿宋_GB2312" w:eastAsia="仿宋_GB2312" w:cs="仿宋_GB2312"/>
          <w:kern w:val="0"/>
          <w:highlight w:val="none"/>
        </w:rPr>
        <w:t>〕</w:t>
      </w:r>
      <w:r>
        <w:rPr>
          <w:rFonts w:hint="eastAsia" w:ascii="仿宋_GB2312" w:hAnsi="仿宋_GB2312" w:eastAsia="仿宋_GB2312" w:cs="仿宋_GB2312"/>
          <w:kern w:val="0"/>
          <w:highlight w:val="none"/>
          <w:lang w:val="en-US" w:eastAsia="zh-CN"/>
        </w:rPr>
        <w:t>102</w:t>
      </w:r>
      <w:r>
        <w:rPr>
          <w:rFonts w:hint="eastAsia" w:ascii="仿宋_GB2312" w:hAnsi="仿宋_GB2312" w:eastAsia="仿宋_GB2312" w:cs="仿宋_GB2312"/>
          <w:kern w:val="0"/>
          <w:highlight w:val="none"/>
        </w:rPr>
        <w:t>号）等文件</w:t>
      </w:r>
      <w:r>
        <w:rPr>
          <w:rFonts w:hint="eastAsia" w:ascii="仿宋_GB2312" w:hAnsi="仿宋_GB2312" w:cs="仿宋_GB2312"/>
          <w:kern w:val="0"/>
          <w:highlight w:val="none"/>
          <w:lang w:val="en-US" w:eastAsia="zh-CN"/>
        </w:rPr>
        <w:t>要求</w:t>
      </w:r>
      <w:r>
        <w:rPr>
          <w:rFonts w:hint="eastAsia" w:ascii="仿宋_GB2312" w:hAnsi="仿宋_GB2312" w:eastAsia="仿宋_GB2312" w:cs="仿宋_GB2312"/>
          <w:kern w:val="0"/>
          <w:highlight w:val="none"/>
        </w:rPr>
        <w:t>，</w:t>
      </w:r>
      <w:r>
        <w:rPr>
          <w:rFonts w:hint="eastAsia" w:ascii="仿宋_GB2312" w:hAnsi="仿宋_GB2312" w:eastAsia="仿宋_GB2312" w:cs="仿宋_GB2312"/>
          <w:highlight w:val="none"/>
        </w:rPr>
        <w:t>结合我县实际，特制定本实施方案。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sz w:val="32"/>
          <w:highlight w:val="none"/>
        </w:rPr>
      </w:pPr>
      <w:r>
        <w:rPr>
          <w:rFonts w:hint="eastAsia" w:ascii="黑体" w:hAnsi="黑体" w:eastAsia="黑体" w:cs="黑体"/>
          <w:b w:val="0"/>
          <w:bCs/>
          <w:sz w:val="32"/>
          <w:highlight w:val="none"/>
        </w:rPr>
        <w:t>一、指导思想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以习近平新时代中国特色社会主义思想为指导，全面贯彻党的十九大和十九届</w:t>
      </w:r>
      <w:r>
        <w:rPr>
          <w:rFonts w:hint="eastAsia" w:ascii="仿宋_GB2312" w:hAnsi="仿宋_GB2312" w:eastAsia="仿宋_GB2312" w:cs="仿宋_GB2312"/>
          <w:sz w:val="32"/>
          <w:highlight w:val="none"/>
          <w:lang w:val="en-US" w:eastAsia="zh-CN"/>
        </w:rPr>
        <w:t>历次</w:t>
      </w:r>
      <w:r>
        <w:rPr>
          <w:rFonts w:hint="eastAsia" w:ascii="仿宋_GB2312" w:hAnsi="仿宋_GB2312" w:eastAsia="仿宋_GB2312" w:cs="仿宋_GB2312"/>
          <w:sz w:val="32"/>
          <w:highlight w:val="none"/>
        </w:rPr>
        <w:t>全会精神，落实2022年中央一号文件</w:t>
      </w:r>
      <w:r>
        <w:rPr>
          <w:rFonts w:hint="eastAsia" w:ascii="仿宋_GB2312" w:hAnsi="仿宋_GB2312" w:eastAsia="仿宋_GB2312" w:cs="仿宋_GB2312"/>
          <w:sz w:val="32"/>
          <w:highlight w:val="none"/>
          <w:lang w:eastAsia="zh-CN"/>
        </w:rPr>
        <w:t>《中共中央</w:t>
      </w:r>
      <w:r>
        <w:rPr>
          <w:rFonts w:hint="eastAsia" w:ascii="仿宋_GB2312" w:hAnsi="仿宋_GB2312" w:eastAsia="仿宋_GB2312" w:cs="仿宋_GB2312"/>
          <w:sz w:val="32"/>
          <w:highlight w:val="none"/>
          <w:lang w:val="en-US" w:eastAsia="zh-CN"/>
        </w:rPr>
        <w:t xml:space="preserve"> </w:t>
      </w:r>
      <w:r>
        <w:rPr>
          <w:rFonts w:hint="eastAsia" w:ascii="仿宋_GB2312" w:hAnsi="仿宋_GB2312" w:eastAsia="仿宋_GB2312" w:cs="仿宋_GB2312"/>
          <w:sz w:val="32"/>
          <w:highlight w:val="none"/>
          <w:lang w:eastAsia="zh-CN"/>
        </w:rPr>
        <w:t>国务院关于做好2022年全面推进乡村振兴重点工作的意见》</w:t>
      </w:r>
      <w:r>
        <w:rPr>
          <w:rFonts w:hint="eastAsia" w:ascii="仿宋_GB2312" w:hAnsi="仿宋_GB2312" w:eastAsia="仿宋_GB2312" w:cs="仿宋_GB2312"/>
          <w:sz w:val="32"/>
          <w:highlight w:val="none"/>
        </w:rPr>
        <w:t>部署要求，实施“数商兴农”工程，推进电子商务进乡村</w:t>
      </w:r>
      <w:r>
        <w:rPr>
          <w:rFonts w:hint="eastAsia" w:ascii="仿宋_GB2312" w:hAnsi="仿宋_GB2312" w:eastAsia="仿宋_GB2312" w:cs="仿宋_GB2312"/>
          <w:sz w:val="32"/>
          <w:highlight w:val="none"/>
          <w:lang w:eastAsia="zh-CN"/>
        </w:rPr>
        <w:t>。坚持以人民为中心的发展思想，</w:t>
      </w:r>
      <w:r>
        <w:rPr>
          <w:rFonts w:hint="eastAsia" w:ascii="仿宋_GB2312" w:hAnsi="仿宋_GB2312" w:eastAsia="仿宋_GB2312" w:cs="仿宋_GB2312"/>
          <w:sz w:val="32"/>
          <w:highlight w:val="none"/>
        </w:rPr>
        <w:t>以电子商务进农村综合示范</w:t>
      </w:r>
      <w:r>
        <w:rPr>
          <w:rFonts w:hint="eastAsia" w:ascii="仿宋_GB2312" w:hAnsi="仿宋_GB2312" w:eastAsia="仿宋_GB2312" w:cs="仿宋_GB2312"/>
          <w:sz w:val="32"/>
          <w:highlight w:val="none"/>
          <w:lang w:val="en-US" w:eastAsia="zh-CN"/>
        </w:rPr>
        <w:t>创建</w:t>
      </w:r>
      <w:r>
        <w:rPr>
          <w:rFonts w:hint="eastAsia" w:ascii="仿宋_GB2312" w:hAnsi="仿宋_GB2312" w:eastAsia="仿宋_GB2312" w:cs="仿宋_GB2312"/>
          <w:sz w:val="32"/>
          <w:highlight w:val="none"/>
        </w:rPr>
        <w:t>工作为抓手，以农村产品上行为重点，以农村流通现代化为基础，以市场化、信息化带动农村传统产业转型升级为目标，紧紧围绕农村</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发展短板，重点完善县</w:t>
      </w:r>
      <w:r>
        <w:rPr>
          <w:rFonts w:hint="eastAsia" w:ascii="仿宋_GB2312" w:hAnsi="仿宋_GB2312" w:eastAsia="仿宋_GB2312" w:cs="仿宋_GB2312"/>
          <w:sz w:val="32"/>
          <w:highlight w:val="none"/>
          <w:lang w:val="en-US" w:eastAsia="zh-CN"/>
        </w:rPr>
        <w:t>域</w:t>
      </w:r>
      <w:r>
        <w:rPr>
          <w:rFonts w:hint="eastAsia" w:ascii="仿宋_GB2312" w:hAnsi="仿宋_GB2312" w:eastAsia="仿宋_GB2312" w:cs="仿宋_GB2312"/>
          <w:sz w:val="32"/>
          <w:highlight w:val="none"/>
        </w:rPr>
        <w:t>农村电子商务公共服务体系，夯实农村物流设施设备基础</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培育壮大农村电子商务经营主体，</w:t>
      </w:r>
      <w:r>
        <w:rPr>
          <w:rFonts w:hint="eastAsia" w:ascii="仿宋_GB2312" w:hAnsi="仿宋_GB2312" w:eastAsia="仿宋_GB2312" w:cs="仿宋_GB2312"/>
          <w:sz w:val="32"/>
          <w:highlight w:val="none"/>
          <w:lang w:val="en-US" w:eastAsia="zh-CN"/>
        </w:rPr>
        <w:t>畅通农产品进城和工业品下乡双向流通渠道</w:t>
      </w:r>
      <w:r>
        <w:rPr>
          <w:rFonts w:hint="eastAsia" w:ascii="仿宋_GB2312" w:hAnsi="仿宋_GB2312" w:eastAsia="仿宋_GB2312" w:cs="仿宋_GB2312"/>
          <w:sz w:val="32"/>
          <w:highlight w:val="none"/>
        </w:rPr>
        <w:t>，满足农村</w:t>
      </w:r>
      <w:r>
        <w:rPr>
          <w:rFonts w:hint="eastAsia" w:ascii="仿宋_GB2312" w:hAnsi="仿宋_GB2312" w:eastAsia="仿宋_GB2312" w:cs="仿宋_GB2312"/>
          <w:sz w:val="32"/>
          <w:highlight w:val="none"/>
          <w:lang w:val="en-US" w:eastAsia="zh-CN"/>
        </w:rPr>
        <w:t>群众的</w:t>
      </w:r>
      <w:r>
        <w:rPr>
          <w:rFonts w:hint="eastAsia" w:ascii="仿宋_GB2312" w:hAnsi="仿宋_GB2312" w:eastAsia="仿宋_GB2312" w:cs="仿宋_GB2312"/>
          <w:sz w:val="32"/>
          <w:highlight w:val="none"/>
        </w:rPr>
        <w:t>美好生活需求。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黑体" w:hAnsi="黑体" w:eastAsia="黑体" w:cs="黑体"/>
          <w:bCs/>
          <w:sz w:val="32"/>
          <w:highlight w:val="none"/>
        </w:rPr>
      </w:pPr>
      <w:r>
        <w:rPr>
          <w:rFonts w:hint="eastAsia" w:ascii="黑体" w:hAnsi="黑体" w:eastAsia="黑体" w:cs="黑体"/>
          <w:bCs/>
          <w:sz w:val="32"/>
          <w:highlight w:val="none"/>
        </w:rPr>
        <w:t>二、基本原则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（一）政府引导，市场主导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突出企业的主体地位，</w:t>
      </w:r>
      <w:r>
        <w:rPr>
          <w:rFonts w:hint="eastAsia" w:ascii="仿宋_GB2312" w:hAnsi="仿宋_GB2312" w:eastAsia="仿宋_GB2312" w:cs="仿宋_GB2312"/>
          <w:b w:val="0"/>
          <w:bCs w:val="0"/>
          <w:sz w:val="32"/>
          <w:highlight w:val="none"/>
          <w:lang w:val="en-US" w:eastAsia="zh-CN"/>
        </w:rPr>
        <w:t>充分</w:t>
      </w:r>
      <w:r>
        <w:rPr>
          <w:rFonts w:hint="eastAsia" w:ascii="仿宋_GB2312" w:hAnsi="仿宋_GB2312" w:eastAsia="仿宋_GB2312" w:cs="仿宋_GB2312"/>
          <w:b w:val="0"/>
          <w:bCs w:val="0"/>
          <w:sz w:val="32"/>
          <w:highlight w:val="none"/>
        </w:rPr>
        <w:t>发挥市场在资源配置中的决定性作用，激发市场主体活力和内生动力</w:t>
      </w:r>
      <w:r>
        <w:rPr>
          <w:rFonts w:hint="eastAsia" w:ascii="仿宋_GB2312" w:hAnsi="仿宋_GB2312" w:eastAsia="仿宋_GB2312" w:cs="仿宋_GB2312"/>
          <w:b w:val="0"/>
          <w:bCs w:val="0"/>
          <w:sz w:val="32"/>
          <w:highlight w:val="none"/>
          <w:lang w:eastAsia="zh-CN"/>
        </w:rPr>
        <w:t>，</w:t>
      </w:r>
      <w:r>
        <w:rPr>
          <w:rFonts w:hint="eastAsia" w:ascii="仿宋_GB2312" w:hAnsi="仿宋_GB2312" w:eastAsia="仿宋_GB2312" w:cs="仿宋_GB2312"/>
          <w:b w:val="0"/>
          <w:bCs w:val="0"/>
          <w:sz w:val="32"/>
          <w:highlight w:val="none"/>
        </w:rPr>
        <w:t>广泛调动社会资源参与的积极性和创造性，提高农村</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的可持续发展能力。加快转变政府职能，做好引导和扶持工作，加强基础设施建设，促进资源统筹协作，建立完善农村电子商务公共服务体系，为农村</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发展营造公平营商环境和放心消费环境。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lang w:val="en-US" w:eastAsia="zh-CN"/>
        </w:rPr>
        <w:t>（二）加强统筹</w:t>
      </w: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创新发展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加强部门协作，不断完善顶层设计和政策支持体系。结合实际细化工作措施，加强绩效管理，强化组织领导和责任监督，层层抓好落实。切实发挥</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对促进经济增长、产业升级和乡村振兴的作用，带动大众创业</w:t>
      </w:r>
      <w:r>
        <w:rPr>
          <w:rFonts w:hint="eastAsia" w:ascii="仿宋_GB2312" w:hAnsi="仿宋_GB2312" w:eastAsia="仿宋_GB2312" w:cs="仿宋_GB2312"/>
          <w:b w:val="0"/>
          <w:bCs w:val="0"/>
          <w:sz w:val="32"/>
          <w:highlight w:val="none"/>
          <w:lang w:eastAsia="zh-CN"/>
        </w:rPr>
        <w:t>、</w:t>
      </w:r>
      <w:r>
        <w:rPr>
          <w:rFonts w:hint="eastAsia" w:ascii="仿宋_GB2312" w:hAnsi="仿宋_GB2312" w:eastAsia="仿宋_GB2312" w:cs="仿宋_GB2312"/>
          <w:b w:val="0"/>
          <w:bCs w:val="0"/>
          <w:sz w:val="32"/>
          <w:highlight w:val="none"/>
        </w:rPr>
        <w:t>万众创新，加快培育新动能。以创新商业模式，推动管理创新和体制创新，不断改造传统商业的业务流程，提升农村流通现代化水平，促进产业融合发展。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lang w:val="en-US" w:eastAsia="zh-CN"/>
        </w:rPr>
      </w:pPr>
      <w:r>
        <w:rPr>
          <w:rFonts w:hint="eastAsia" w:ascii="楷体" w:hAnsi="楷体" w:eastAsia="楷体" w:cs="楷体"/>
          <w:b/>
          <w:bCs w:val="0"/>
          <w:sz w:val="32"/>
          <w:highlight w:val="none"/>
          <w:lang w:val="en-US" w:eastAsia="zh-CN"/>
        </w:rPr>
        <w:t>（三）因地制宜，突出特色</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b w:val="0"/>
          <w:bCs w:val="0"/>
          <w:sz w:val="32"/>
          <w:highlight w:val="none"/>
        </w:rPr>
        <w:t>紧密结合本地的产业特色和地域优势，扶持优势产业，不断提升示范效应</w:t>
      </w:r>
      <w:r>
        <w:rPr>
          <w:rFonts w:hint="eastAsia" w:ascii="仿宋_GB2312" w:hAnsi="仿宋_GB2312" w:eastAsia="仿宋_GB2312" w:cs="仿宋_GB2312"/>
          <w:b w:val="0"/>
          <w:bCs w:val="0"/>
          <w:sz w:val="32"/>
          <w:highlight w:val="none"/>
          <w:lang w:eastAsia="zh-CN"/>
        </w:rPr>
        <w:t>，</w:t>
      </w:r>
      <w:r>
        <w:rPr>
          <w:rFonts w:hint="eastAsia" w:ascii="仿宋_GB2312" w:hAnsi="仿宋_GB2312" w:eastAsia="仿宋_GB2312" w:cs="仿宋_GB2312"/>
          <w:b w:val="0"/>
          <w:bCs w:val="0"/>
          <w:sz w:val="32"/>
          <w:highlight w:val="none"/>
        </w:rPr>
        <w:t>推进农村</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与</w:t>
      </w:r>
      <w:r>
        <w:rPr>
          <w:rFonts w:hint="eastAsia" w:ascii="仿宋_GB2312" w:hAnsi="仿宋_GB2312" w:eastAsia="仿宋_GB2312" w:cs="仿宋_GB2312"/>
          <w:sz w:val="32"/>
          <w:highlight w:val="none"/>
        </w:rPr>
        <w:t>乡村振兴有机结合。鼓励各镇从资源禀赋、产业特色、发展水平等条件出发，挖掘产业、人文、生态等资源潜力，因地制宜发展农副、旅游、餐饮、民俗等多元化</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供应链，培育区域公共品牌，提升推广商业价值，释放</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对农村经济发展的放大、叠加作用。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lang w:val="en-US" w:eastAsia="zh-CN"/>
        </w:rPr>
      </w:pPr>
      <w:r>
        <w:rPr>
          <w:rFonts w:hint="eastAsia" w:ascii="楷体" w:hAnsi="楷体" w:eastAsia="楷体" w:cs="楷体"/>
          <w:b/>
          <w:bCs w:val="0"/>
          <w:sz w:val="32"/>
          <w:highlight w:val="none"/>
          <w:lang w:val="en-US" w:eastAsia="zh-CN"/>
        </w:rPr>
        <w:t>（四）聚焦短板，巩固提升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推动资源要素向农村市场倾斜，补齐</w:t>
      </w:r>
      <w:r>
        <w:rPr>
          <w:rFonts w:hint="eastAsia" w:ascii="仿宋_GB2312" w:hAnsi="仿宋_GB2312" w:eastAsia="仿宋_GB2312" w:cs="仿宋_GB2312"/>
          <w:b w:val="0"/>
          <w:bCs w:val="0"/>
          <w:sz w:val="32"/>
          <w:highlight w:val="none"/>
          <w:lang w:val="en-US" w:eastAsia="zh-CN"/>
        </w:rPr>
        <w:t>商贸</w:t>
      </w:r>
      <w:r>
        <w:rPr>
          <w:rFonts w:hint="eastAsia" w:ascii="仿宋_GB2312" w:hAnsi="仿宋_GB2312" w:eastAsia="仿宋_GB2312" w:cs="仿宋_GB2312"/>
          <w:b w:val="0"/>
          <w:bCs w:val="0"/>
          <w:sz w:val="32"/>
          <w:highlight w:val="none"/>
        </w:rPr>
        <w:t>流通短板。统筹衔接</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、物流、商流、信息等现有资源，推动农村流通设施和服务融入现代流通体系。围绕农村</w:t>
      </w:r>
      <w:r>
        <w:rPr>
          <w:rFonts w:hint="eastAsia" w:ascii="仿宋_GB2312" w:hAnsi="仿宋_GB2312" w:eastAsia="仿宋_GB2312" w:cs="仿宋_GB2312"/>
          <w:b w:val="0"/>
          <w:bCs w:val="0"/>
          <w:sz w:val="32"/>
          <w:highlight w:val="none"/>
          <w:lang w:eastAsia="zh-CN"/>
        </w:rPr>
        <w:t>电子商务</w:t>
      </w:r>
      <w:r>
        <w:rPr>
          <w:rFonts w:hint="eastAsia" w:ascii="仿宋_GB2312" w:hAnsi="仿宋_GB2312" w:eastAsia="仿宋_GB2312" w:cs="仿宋_GB2312"/>
          <w:b w:val="0"/>
          <w:bCs w:val="0"/>
          <w:sz w:val="32"/>
          <w:highlight w:val="none"/>
        </w:rPr>
        <w:t>发展的关键问题和薄弱环节，紧密结合我县的产业特色和地域优势，集中力量研究解决物流、人才、</w:t>
      </w:r>
      <w:r>
        <w:rPr>
          <w:rFonts w:hint="eastAsia" w:ascii="仿宋_GB2312" w:hAnsi="仿宋_GB2312" w:eastAsia="仿宋_GB2312" w:cs="仿宋_GB2312"/>
          <w:b w:val="0"/>
          <w:bCs w:val="0"/>
          <w:sz w:val="32"/>
          <w:highlight w:val="none"/>
          <w:lang w:val="en-US" w:eastAsia="zh-CN"/>
        </w:rPr>
        <w:t>服务等方面的制约因素，总结经验，不断提升示范效应，形成联动机制。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黑体" w:hAnsi="黑体" w:eastAsia="黑体" w:cs="黑体"/>
          <w:b w:val="0"/>
          <w:bCs/>
          <w:sz w:val="32"/>
          <w:highlight w:val="none"/>
        </w:rPr>
        <w:t>三、发展目标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val="en-US" w:eastAsia="zh-CN"/>
        </w:rPr>
        <w:t>通过补充完善电商中心服务功能、直播基地、公共云仓、农产品上行、品牌推广、工业品下行、人才培训等建设，做好财政补贴和市场化转接，2024年逐步实现电商服务体系市场化运营</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力争</w:t>
      </w:r>
      <w:r>
        <w:rPr>
          <w:rFonts w:hint="eastAsia" w:ascii="仿宋_GB2312" w:hAnsi="仿宋_GB2312" w:eastAsia="仿宋_GB2312" w:cs="仿宋_GB2312"/>
          <w:sz w:val="32"/>
          <w:highlight w:val="none"/>
        </w:rPr>
        <w:t>到202</w:t>
      </w:r>
      <w:r>
        <w:rPr>
          <w:rFonts w:hint="eastAsia" w:ascii="仿宋_GB2312" w:hAnsi="仿宋_GB2312" w:eastAsia="仿宋_GB2312" w:cs="仿宋_GB2312"/>
          <w:sz w:val="32"/>
          <w:highlight w:val="none"/>
          <w:lang w:val="en-US" w:eastAsia="zh-CN"/>
        </w:rPr>
        <w:t>3</w:t>
      </w:r>
      <w:r>
        <w:rPr>
          <w:rFonts w:hint="eastAsia" w:ascii="仿宋_GB2312" w:hAnsi="仿宋_GB2312" w:eastAsia="仿宋_GB2312" w:cs="仿宋_GB2312"/>
          <w:sz w:val="32"/>
          <w:highlight w:val="none"/>
        </w:rPr>
        <w:t>年</w:t>
      </w:r>
      <w:r>
        <w:rPr>
          <w:rFonts w:hint="eastAsia" w:ascii="仿宋_GB2312" w:hAnsi="仿宋_GB2312" w:eastAsia="仿宋_GB2312" w:cs="仿宋_GB2312"/>
          <w:sz w:val="32"/>
          <w:highlight w:val="none"/>
          <w:lang w:val="en-US" w:eastAsia="zh-CN"/>
        </w:rPr>
        <w:t>底</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eastAsia="zh-CN"/>
        </w:rPr>
        <w:t>县镇村三级物流配送体系持续完善，农村网购网销实现快速发展，农产品进城与工业品下乡流通体系高效运营，农村商品物流配送能力和农产品商品化率大幅提高；</w:t>
      </w:r>
      <w:r>
        <w:rPr>
          <w:rFonts w:hint="eastAsia" w:ascii="仿宋_GB2312" w:hAnsi="仿宋_GB2312" w:eastAsia="仿宋_GB2312" w:cs="仿宋_GB2312"/>
          <w:sz w:val="32"/>
          <w:highlight w:val="none"/>
        </w:rPr>
        <w:t>实现县域农村网络零售额同比增速</w:t>
      </w:r>
      <w:r>
        <w:rPr>
          <w:rFonts w:hint="eastAsia" w:ascii="仿宋_GB2312" w:hAnsi="仿宋_GB2312" w:eastAsia="仿宋_GB2312" w:cs="仿宋_GB2312"/>
          <w:sz w:val="32"/>
          <w:highlight w:val="none"/>
          <w:lang w:val="en-US" w:eastAsia="zh-CN"/>
        </w:rPr>
        <w:t>5</w:t>
      </w:r>
      <w:r>
        <w:rPr>
          <w:rFonts w:hint="eastAsia" w:ascii="仿宋_GB2312" w:hAnsi="仿宋_GB2312" w:eastAsia="仿宋_GB2312" w:cs="仿宋_GB2312"/>
          <w:sz w:val="32"/>
          <w:highlight w:val="none"/>
        </w:rPr>
        <w:t>%以上</w:t>
      </w:r>
      <w:r>
        <w:rPr>
          <w:rFonts w:hint="eastAsia" w:ascii="仿宋_GB2312" w:hAnsi="仿宋_GB2312" w:eastAsia="仿宋_GB2312" w:cs="仿宋_GB2312"/>
          <w:sz w:val="32"/>
          <w:highlight w:val="none"/>
          <w:lang w:eastAsia="zh-CN"/>
        </w:rPr>
        <w:t>、农产品网络零售额同比增速</w:t>
      </w:r>
      <w:r>
        <w:rPr>
          <w:rFonts w:hint="eastAsia" w:ascii="仿宋_GB2312" w:hAnsi="仿宋_GB2312" w:eastAsia="仿宋_GB2312" w:cs="仿宋_GB2312"/>
          <w:sz w:val="32"/>
          <w:highlight w:val="none"/>
          <w:lang w:val="en-US" w:eastAsia="zh-CN"/>
        </w:rPr>
        <w:t>10</w:t>
      </w:r>
      <w:r>
        <w:rPr>
          <w:rFonts w:hint="eastAsia" w:ascii="仿宋_GB2312" w:hAnsi="仿宋_GB2312" w:eastAsia="仿宋_GB2312" w:cs="仿宋_GB2312"/>
          <w:sz w:val="32"/>
          <w:highlight w:val="none"/>
        </w:rPr>
        <w:t>%以上</w:t>
      </w:r>
      <w:r>
        <w:rPr>
          <w:rFonts w:hint="eastAsia" w:ascii="仿宋_GB2312" w:hAnsi="仿宋_GB2312" w:eastAsia="仿宋_GB2312" w:cs="仿宋_GB2312"/>
          <w:sz w:val="32"/>
          <w:highlight w:val="none"/>
          <w:lang w:eastAsia="zh-CN"/>
        </w:rPr>
        <w:t>；电子商务物流成本逐年下降，农村流通现代化水平显著提高，形成“一网多用、城乡互动、双向流通、融合一体”的农村现代流通体系，电子商务产业成集聚效应，推动农村电子商务成为陆河县农业现代化的新动能、新引擎。</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黑体" w:hAnsi="黑体" w:eastAsia="黑体" w:cs="黑体"/>
          <w:bCs/>
          <w:sz w:val="32"/>
          <w:highlight w:val="none"/>
        </w:rPr>
      </w:pPr>
      <w:r>
        <w:rPr>
          <w:rFonts w:hint="eastAsia" w:ascii="黑体" w:hAnsi="黑体" w:eastAsia="黑体" w:cs="黑体"/>
          <w:bCs/>
          <w:sz w:val="32"/>
          <w:highlight w:val="none"/>
          <w:lang w:val="en-US" w:eastAsia="zh-CN"/>
        </w:rPr>
        <w:t>四、</w:t>
      </w:r>
      <w:r>
        <w:rPr>
          <w:rFonts w:hint="eastAsia" w:ascii="黑体" w:hAnsi="黑体" w:eastAsia="黑体" w:cs="黑体"/>
          <w:bCs/>
          <w:sz w:val="32"/>
          <w:highlight w:val="none"/>
        </w:rPr>
        <w:t>建设内容</w:t>
      </w:r>
    </w:p>
    <w:p>
      <w:pPr>
        <w:keepNext w:val="0"/>
        <w:keepLines w:val="0"/>
        <w:pageBreakBefore w:val="0"/>
        <w:widowControl w:val="0"/>
        <w:tabs>
          <w:tab w:val="left" w:pos="127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highlight w:val="none"/>
        </w:rPr>
      </w:pPr>
      <w:r>
        <w:rPr>
          <w:rFonts w:hint="eastAsia" w:ascii="仿宋_GB2312" w:hAnsi="仿宋_GB2312" w:eastAsia="仿宋_GB2312" w:cs="仿宋_GB2312"/>
          <w:b w:val="0"/>
          <w:bCs/>
          <w:sz w:val="32"/>
          <w:highlight w:val="none"/>
        </w:rPr>
        <w:t>整合</w:t>
      </w:r>
      <w:r>
        <w:rPr>
          <w:rFonts w:hint="eastAsia" w:ascii="仿宋_GB2312" w:hAnsi="仿宋_GB2312" w:eastAsia="仿宋_GB2312" w:cs="仿宋_GB2312"/>
          <w:b w:val="0"/>
          <w:bCs/>
          <w:sz w:val="32"/>
          <w:highlight w:val="none"/>
          <w:lang w:val="en-US" w:eastAsia="zh-CN"/>
        </w:rPr>
        <w:t>县域</w:t>
      </w:r>
      <w:r>
        <w:rPr>
          <w:rFonts w:hint="eastAsia" w:ascii="仿宋_GB2312" w:hAnsi="仿宋_GB2312" w:eastAsia="仿宋_GB2312" w:cs="仿宋_GB2312"/>
          <w:b w:val="0"/>
          <w:bCs/>
          <w:sz w:val="32"/>
          <w:highlight w:val="none"/>
        </w:rPr>
        <w:t>农</w:t>
      </w:r>
      <w:r>
        <w:rPr>
          <w:rFonts w:hint="eastAsia" w:ascii="仿宋_GB2312" w:hAnsi="仿宋_GB2312" w:eastAsia="仿宋_GB2312" w:cs="仿宋_GB2312"/>
          <w:b w:val="0"/>
          <w:bCs/>
          <w:sz w:val="32"/>
          <w:highlight w:val="none"/>
          <w:lang w:val="en-US" w:eastAsia="zh-CN"/>
        </w:rPr>
        <w:t>村</w:t>
      </w:r>
      <w:r>
        <w:rPr>
          <w:rFonts w:hint="eastAsia" w:ascii="仿宋_GB2312" w:hAnsi="仿宋_GB2312" w:eastAsia="仿宋_GB2312" w:cs="仿宋_GB2312"/>
          <w:b w:val="0"/>
          <w:bCs/>
          <w:sz w:val="32"/>
          <w:highlight w:val="none"/>
        </w:rPr>
        <w:t>特色产业、产品进行培育，以品牌化促进</w:t>
      </w:r>
      <w:r>
        <w:rPr>
          <w:rFonts w:hint="eastAsia" w:ascii="仿宋_GB2312" w:hAnsi="仿宋_GB2312" w:eastAsia="仿宋_GB2312" w:cs="仿宋_GB2312"/>
          <w:b w:val="0"/>
          <w:bCs/>
          <w:sz w:val="32"/>
          <w:highlight w:val="none"/>
          <w:lang w:val="en-US" w:eastAsia="zh-CN"/>
        </w:rPr>
        <w:t>电商</w:t>
      </w:r>
      <w:r>
        <w:rPr>
          <w:rFonts w:hint="eastAsia" w:ascii="仿宋_GB2312" w:hAnsi="仿宋_GB2312" w:eastAsia="仿宋_GB2312" w:cs="仿宋_GB2312"/>
          <w:b w:val="0"/>
          <w:bCs/>
          <w:sz w:val="32"/>
          <w:highlight w:val="none"/>
        </w:rPr>
        <w:t>销售，以市场化带动产业发展，以信息化</w:t>
      </w:r>
      <w:r>
        <w:rPr>
          <w:rFonts w:hint="eastAsia" w:ascii="仿宋_GB2312" w:hAnsi="仿宋_GB2312" w:eastAsia="仿宋_GB2312" w:cs="仿宋_GB2312"/>
          <w:b w:val="0"/>
          <w:bCs/>
          <w:sz w:val="32"/>
          <w:highlight w:val="none"/>
          <w:lang w:val="en-US" w:eastAsia="zh-CN"/>
        </w:rPr>
        <w:t>作</w:t>
      </w:r>
      <w:r>
        <w:rPr>
          <w:rFonts w:hint="eastAsia" w:ascii="仿宋_GB2312" w:hAnsi="仿宋_GB2312" w:eastAsia="仿宋_GB2312" w:cs="仿宋_GB2312"/>
          <w:b w:val="0"/>
          <w:bCs/>
          <w:sz w:val="32"/>
          <w:highlight w:val="none"/>
        </w:rPr>
        <w:t>为支撑保障，以服务化</w:t>
      </w:r>
      <w:r>
        <w:rPr>
          <w:rFonts w:hint="eastAsia" w:ascii="仿宋_GB2312" w:hAnsi="仿宋_GB2312" w:eastAsia="仿宋_GB2312" w:cs="仿宋_GB2312"/>
          <w:b w:val="0"/>
          <w:bCs/>
          <w:sz w:val="32"/>
          <w:highlight w:val="none"/>
          <w:lang w:val="en-US" w:eastAsia="zh-CN"/>
        </w:rPr>
        <w:t>增加</w:t>
      </w:r>
      <w:r>
        <w:rPr>
          <w:rFonts w:hint="eastAsia" w:ascii="仿宋_GB2312" w:hAnsi="仿宋_GB2312" w:eastAsia="仿宋_GB2312" w:cs="仿宋_GB2312"/>
          <w:b w:val="0"/>
          <w:bCs/>
          <w:sz w:val="32"/>
          <w:highlight w:val="none"/>
        </w:rPr>
        <w:t>发展动力，打造以“</w:t>
      </w:r>
      <w:r>
        <w:rPr>
          <w:rFonts w:hint="eastAsia" w:ascii="仿宋_GB2312" w:hAnsi="仿宋_GB2312" w:eastAsia="仿宋_GB2312" w:cs="仿宋_GB2312"/>
          <w:b w:val="0"/>
          <w:bCs/>
          <w:sz w:val="32"/>
          <w:highlight w:val="none"/>
          <w:lang w:val="en-US" w:eastAsia="zh-CN"/>
        </w:rPr>
        <w:t>陆河</w:t>
      </w:r>
      <w:r>
        <w:rPr>
          <w:rFonts w:hint="eastAsia" w:ascii="仿宋_GB2312" w:hAnsi="仿宋_GB2312" w:eastAsia="仿宋_GB2312" w:cs="仿宋_GB2312"/>
          <w:b w:val="0"/>
          <w:bCs/>
          <w:sz w:val="32"/>
          <w:highlight w:val="none"/>
        </w:rPr>
        <w:t>县电子商务公共服务中心”为核心枢纽，县镇村三级物流共同配送、农产品进城公共服务、工业品下乡流通、农村电子商务培训</w:t>
      </w:r>
      <w:r>
        <w:rPr>
          <w:rFonts w:hint="eastAsia" w:ascii="仿宋_GB2312" w:hAnsi="仿宋_GB2312" w:eastAsia="仿宋_GB2312" w:cs="仿宋_GB2312"/>
          <w:b w:val="0"/>
          <w:bCs/>
          <w:sz w:val="32"/>
          <w:highlight w:val="none"/>
          <w:lang w:val="en-US" w:eastAsia="zh-CN"/>
        </w:rPr>
        <w:t>等体系</w:t>
      </w:r>
      <w:r>
        <w:rPr>
          <w:rFonts w:hint="eastAsia" w:ascii="仿宋_GB2312" w:hAnsi="仿宋_GB2312" w:eastAsia="仿宋_GB2312" w:cs="仿宋_GB2312"/>
          <w:b w:val="0"/>
          <w:bCs/>
          <w:sz w:val="32"/>
          <w:highlight w:val="none"/>
        </w:rPr>
        <w:t>为一体的“升级版”电子商务进农村综合示范</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rPr>
        <w:t>逐步改变改善农村交易方式和消费环境，有效促进农业增效、农民增收和农村繁荣。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楷体" w:hAnsi="楷体" w:eastAsia="楷体" w:cs="仿宋"/>
          <w:b/>
          <w:bCs w:val="0"/>
          <w:sz w:val="32"/>
          <w:highlight w:val="none"/>
          <w:lang w:val="en-US" w:eastAsia="zh-CN"/>
        </w:rPr>
      </w:pPr>
      <w:r>
        <w:rPr>
          <w:rFonts w:hint="eastAsia" w:ascii="楷体" w:hAnsi="楷体" w:eastAsia="楷体" w:cs="仿宋"/>
          <w:b/>
          <w:bCs w:val="0"/>
          <w:sz w:val="32"/>
          <w:highlight w:val="none"/>
        </w:rPr>
        <w:t>（</w:t>
      </w:r>
      <w:r>
        <w:rPr>
          <w:rFonts w:hint="eastAsia" w:ascii="楷体" w:hAnsi="楷体" w:eastAsia="楷体" w:cs="仿宋"/>
          <w:b/>
          <w:bCs w:val="0"/>
          <w:sz w:val="32"/>
          <w:highlight w:val="none"/>
          <w:lang w:val="en-US" w:eastAsia="zh-CN"/>
        </w:rPr>
        <w:t>一</w:t>
      </w:r>
      <w:r>
        <w:rPr>
          <w:rFonts w:hint="eastAsia" w:ascii="楷体" w:hAnsi="楷体" w:eastAsia="楷体" w:cs="仿宋"/>
          <w:b/>
          <w:bCs w:val="0"/>
          <w:sz w:val="32"/>
          <w:highlight w:val="none"/>
        </w:rPr>
        <w:t>）</w:t>
      </w:r>
      <w:r>
        <w:rPr>
          <w:rFonts w:hint="eastAsia" w:ascii="楷体" w:hAnsi="楷体" w:eastAsia="楷体" w:cs="仿宋"/>
          <w:b/>
          <w:bCs w:val="0"/>
          <w:sz w:val="32"/>
          <w:highlight w:val="none"/>
          <w:lang w:eastAsia="zh-CN"/>
        </w:rPr>
        <w:t>推动电商中心服务精细化，</w:t>
      </w:r>
      <w:r>
        <w:rPr>
          <w:rFonts w:hint="eastAsia" w:ascii="楷体" w:hAnsi="楷体" w:eastAsia="楷体" w:cs="仿宋"/>
          <w:b/>
          <w:bCs w:val="0"/>
          <w:sz w:val="32"/>
          <w:highlight w:val="none"/>
          <w:lang w:val="en-US" w:eastAsia="zh-CN"/>
        </w:rPr>
        <w:t>持续提升指挥中枢效能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1.全面优化县</w:t>
      </w:r>
      <w:r>
        <w:rPr>
          <w:rFonts w:hint="eastAsia" w:ascii="仿宋_GB2312" w:hAnsi="仿宋_GB2312" w:eastAsia="仿宋_GB2312" w:cs="仿宋_GB2312"/>
          <w:b/>
          <w:bCs/>
          <w:sz w:val="32"/>
          <w:highlight w:val="none"/>
        </w:rPr>
        <w:t>电子商务公共服务中心</w:t>
      </w:r>
      <w:r>
        <w:rPr>
          <w:rFonts w:hint="eastAsia" w:ascii="仿宋_GB2312" w:hAnsi="仿宋_GB2312" w:eastAsia="仿宋_GB2312" w:cs="仿宋_GB2312"/>
          <w:b/>
          <w:bCs/>
          <w:sz w:val="32"/>
          <w:highlight w:val="none"/>
          <w:lang w:val="en-US" w:eastAsia="zh-CN"/>
        </w:rPr>
        <w:t>服务功能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持续运营县电子商务公共服务中心两年以上，拓宽县电子商务公共服务中心功能区域、配套服务，注重“宣传展示、资源对接、营销推广、美工摄影、活动策划、政策咨询、培训孵化、网红直播带货、品牌培育、产品质量追溯”等服务的实际效果，提升服务中心品牌形象。探索服务中心盈利模式，增强“造血”功能，保障服务中心日常运营，推动服务中心持续化、市场化运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优化陆河县电子商务信息服务系统，加强对县域整体电商数据的采集。定期对县域的网销数据、网销主体交易额、前十名产品交易额、物流信息数据等数据进行统计分析，构建大数据资源库。为项目主管部门的宏观管理奠定电商数据统计分析基础，为政府部门及企业制定电商相关策略、规范电商运行机制、指导市场发展方向等提供数据支撑。推动加快乡村产业数字化转型，适应数字经济形态，实现“数商兴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进一步强化电商扶贫、产销对接等举措落实，开展品牌推介洽谈活动、电商实操培训，加大力度动员和组织电商企业、大型农产品批发市场、公益性农产品示范市场、物流企业等与贫困地区积极对接，切实解决扶贫农畜牧产品滞销问题，多渠道解决农产品卖难问题。</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2.打造10个村级示范站点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对现有镇、村电商服务站点进行巩固和优化，进一步增加完善服务站点公共服务职能，增强可持续发展能力。新增20个镇村站点，使站点覆盖70%以上行政村。重点升级改造50个村级站点，作为农产品上行、工业品下行示范站点，充分发挥带头示范效应。改变站点负责人传统老旧经营理念，培育新型经营主体，在此前已有服务的基础上，力争将50个站点建设成为供应链体系中的“村站合伙人”，初步实现“小空间、大服务”“群众办事不出村、购物不赶集、卖货不出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对镇、村电商服务站点每季度开展一次农村电商主题培训和线上线下活动、每月发布一次运营简报和运营数据通报。建立服务站点的利益共享机制，针对镇、村电商服务站点短板，围绕薄弱环节，探索服务站点的盈利模式，保障服务站点的日常运营，推动服务站点的持续化、市场化运营。完善电商服务站点运营奖补方案，定期淘汰不能充分发挥效能的站点并进行增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3.深化区域公共品牌和营销体系建设</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在已建好品牌的基础上，大力推广区域“吉康有礼”品牌，加强品牌运用，扩大品牌影响力。力争与5家以上企业达成合作，市场化推广运用“吉康有礼”品牌。引导农产品销售个体户和企业</w:t>
      </w:r>
      <w:r>
        <w:rPr>
          <w:rFonts w:hint="eastAsia" w:ascii="仿宋_GB2312" w:hAnsi="仿宋_GB2312" w:eastAsia="仿宋_GB2312" w:cs="仿宋_GB2312"/>
          <w:sz w:val="32"/>
          <w:highlight w:val="none"/>
          <w:lang w:val="en-US" w:eastAsia="zh-CN"/>
        </w:rPr>
        <w:t>开展农村产品质量认证，应用国家和省级溯源体系</w:t>
      </w:r>
      <w:r>
        <w:rPr>
          <w:rFonts w:hint="eastAsia" w:ascii="仿宋_GB2312" w:hAnsi="仿宋_GB2312" w:eastAsia="仿宋_GB2312" w:cs="仿宋_GB2312"/>
          <w:b w:val="0"/>
          <w:bCs w:val="0"/>
          <w:sz w:val="32"/>
          <w:highlight w:val="none"/>
          <w:lang w:val="en-US" w:eastAsia="zh-CN"/>
        </w:rPr>
        <w:t>，规范化、品牌化发展。以公用品牌主品牌“吉康有礼”为主，旗下各类子品牌为辅，通过线上线下营销策划和宣传推广的方式组织开展农产品产销对接活动，拓宽农产品销售渠道和增加销量，助力乡村振兴。</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加强品牌营销，推动农产品上行提质增效。提升陆河特色馆影响力，销售产品以陆河当地农特产品为主。加强“三品一标”“一村一品”等基础数据库对接，协助企业根据实际需求及产品属性开展农产品“三品一标”“一村一品”等认证申请申报。协助企业通过走访市场、了解各类网络销售平台定位产品的特点、了解用户需求、定位消费痛点形成数据表格，为稳固原有产品市场、推广新产品赋能，并提供VI品牌形象设计、产品商标注册、产品LOGO设计、店铺设计、产品的包装设计、社交平台的内容运营，开发打造适销对路的网货。</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加强宣传推介，探索“电商+文旅”。结合乡村振兴战略，挖掘陆河美丽乡村特色，围绕优势文旅资源，制作宣传效果佳的宣传视频一部以上，积极争取国家、省、市级媒体对陆河县电商进农村工作进行宣传报道各2次以上，充分展示陆河特色产业，提高公众对陆河本土产品的认知度和美誉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lang w:eastAsia="zh-CN"/>
        </w:rPr>
      </w:pPr>
      <w:r>
        <w:rPr>
          <w:rFonts w:hint="eastAsia" w:ascii="仿宋_GB2312" w:hAnsi="仿宋_GB2312" w:eastAsia="仿宋_GB2312" w:cs="仿宋_GB2312"/>
          <w:b/>
          <w:bCs/>
          <w:sz w:val="32"/>
          <w:highlight w:val="none"/>
          <w:lang w:val="en-US" w:eastAsia="zh-CN"/>
        </w:rPr>
        <w:t>4.推动</w:t>
      </w:r>
      <w:r>
        <w:rPr>
          <w:rFonts w:hint="eastAsia" w:ascii="仿宋_GB2312" w:hAnsi="仿宋_GB2312" w:eastAsia="仿宋_GB2312" w:cs="仿宋_GB2312"/>
          <w:b/>
          <w:bCs/>
          <w:sz w:val="32"/>
          <w:highlight w:val="none"/>
          <w:lang w:eastAsia="zh-CN"/>
        </w:rPr>
        <w:t>工业品下乡流通服务体系提质增效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sz w:val="32"/>
          <w:highlight w:val="none"/>
          <w:lang w:eastAsia="zh-CN"/>
        </w:rPr>
      </w:pPr>
      <w:r>
        <w:rPr>
          <w:rFonts w:hint="eastAsia" w:ascii="仿宋_GB2312" w:hAnsi="仿宋_GB2312" w:eastAsia="仿宋_GB2312" w:cs="仿宋_GB2312"/>
          <w:b w:val="0"/>
          <w:bCs/>
          <w:sz w:val="32"/>
          <w:highlight w:val="none"/>
          <w:lang w:eastAsia="zh-CN"/>
        </w:rPr>
        <w:t>在已建成工业品下乡流通服务体系的基础上，继续推动商业经营模式创新，着力下沉供应链，实现线上线下融合发展，建立本地化、连锁化、信息化的商品流通网络，为广大农村地区提供更为优质的商品和服务，有效提升工业品下乡流通服务效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sz w:val="32"/>
          <w:highlight w:val="none"/>
          <w:lang w:eastAsia="zh-CN"/>
        </w:rPr>
      </w:pPr>
      <w:r>
        <w:rPr>
          <w:rFonts w:hint="eastAsia" w:ascii="仿宋_GB2312" w:hAnsi="仿宋_GB2312" w:eastAsia="仿宋_GB2312" w:cs="仿宋_GB2312"/>
          <w:b w:val="0"/>
          <w:bCs/>
          <w:sz w:val="32"/>
          <w:highlight w:val="none"/>
          <w:lang w:eastAsia="zh-CN"/>
        </w:rPr>
        <w:t>结合商超，利用镇村服务站点，依托“陆河特色馆”平台，全面推开覆盖全县的日百快消、农资等电商下行体系，继续推动陆河特色馆工业品下乡销售额每年不低于</w:t>
      </w:r>
      <w:r>
        <w:rPr>
          <w:rFonts w:hint="eastAsia" w:ascii="仿宋_GB2312" w:hAnsi="仿宋_GB2312" w:eastAsia="仿宋_GB2312" w:cs="仿宋_GB2312"/>
          <w:b w:val="0"/>
          <w:bCs/>
          <w:sz w:val="32"/>
          <w:highlight w:val="none"/>
          <w:lang w:val="en-US" w:eastAsia="zh-CN"/>
        </w:rPr>
        <w:t>1</w:t>
      </w:r>
      <w:r>
        <w:rPr>
          <w:rFonts w:hint="eastAsia" w:ascii="仿宋_GB2312" w:hAnsi="仿宋_GB2312" w:eastAsia="仿宋_GB2312" w:cs="仿宋_GB2312"/>
          <w:b w:val="0"/>
          <w:bCs/>
          <w:sz w:val="32"/>
          <w:highlight w:val="none"/>
          <w:lang w:eastAsia="zh-CN"/>
        </w:rPr>
        <w:t>00万元。</w:t>
      </w:r>
      <w:r>
        <w:rPr>
          <w:rFonts w:hint="eastAsia" w:ascii="仿宋_GB2312" w:hAnsi="仿宋_GB2312" w:eastAsia="仿宋_GB2312" w:cs="仿宋_GB2312"/>
          <w:b w:val="0"/>
          <w:bCs/>
          <w:sz w:val="32"/>
          <w:highlight w:val="none"/>
          <w:lang w:val="en-US" w:eastAsia="zh-CN"/>
        </w:rPr>
        <w:t>增加3</w:t>
      </w:r>
      <w:r>
        <w:rPr>
          <w:rFonts w:hint="eastAsia" w:ascii="仿宋_GB2312" w:hAnsi="仿宋_GB2312" w:eastAsia="仿宋_GB2312" w:cs="仿宋_GB2312"/>
          <w:b w:val="0"/>
          <w:bCs/>
          <w:sz w:val="32"/>
          <w:highlight w:val="none"/>
          <w:lang w:eastAsia="zh-CN"/>
        </w:rPr>
        <w:t>家</w:t>
      </w:r>
      <w:r>
        <w:rPr>
          <w:rFonts w:hint="eastAsia" w:ascii="仿宋_GB2312" w:hAnsi="仿宋_GB2312" w:eastAsia="仿宋_GB2312" w:cs="仿宋_GB2312"/>
          <w:b w:val="0"/>
          <w:bCs/>
          <w:sz w:val="32"/>
          <w:highlight w:val="none"/>
          <w:lang w:val="en-US" w:eastAsia="zh-CN"/>
        </w:rPr>
        <w:t>以上</w:t>
      </w:r>
      <w:r>
        <w:rPr>
          <w:rFonts w:hint="eastAsia" w:ascii="仿宋_GB2312" w:hAnsi="仿宋_GB2312" w:eastAsia="仿宋_GB2312" w:cs="仿宋_GB2312"/>
          <w:b w:val="0"/>
          <w:bCs/>
          <w:sz w:val="32"/>
          <w:highlight w:val="none"/>
          <w:lang w:eastAsia="zh-CN"/>
        </w:rPr>
        <w:t>传统商贸流通企业的数字化转型升级，推进其电子商务的发展，协助传统商贸流通企业</w:t>
      </w:r>
      <w:r>
        <w:rPr>
          <w:rFonts w:hint="eastAsia" w:ascii="仿宋_GB2312" w:hAnsi="仿宋_GB2312" w:eastAsia="仿宋_GB2312" w:cs="仿宋_GB2312"/>
          <w:b w:val="0"/>
          <w:bCs/>
          <w:sz w:val="32"/>
          <w:highlight w:val="none"/>
          <w:lang w:val="en-US" w:eastAsia="zh-CN"/>
        </w:rPr>
        <w:t>每年</w:t>
      </w:r>
      <w:r>
        <w:rPr>
          <w:rFonts w:hint="eastAsia" w:ascii="仿宋_GB2312" w:hAnsi="仿宋_GB2312" w:eastAsia="仿宋_GB2312" w:cs="仿宋_GB2312"/>
          <w:b w:val="0"/>
          <w:bCs/>
          <w:sz w:val="32"/>
          <w:highlight w:val="none"/>
          <w:lang w:eastAsia="zh-CN"/>
        </w:rPr>
        <w:t>开展</w:t>
      </w:r>
      <w:r>
        <w:rPr>
          <w:rFonts w:hint="eastAsia" w:ascii="仿宋_GB2312" w:hAnsi="仿宋_GB2312" w:eastAsia="仿宋_GB2312" w:cs="仿宋_GB2312"/>
          <w:b w:val="0"/>
          <w:bCs/>
          <w:sz w:val="32"/>
          <w:highlight w:val="none"/>
          <w:lang w:val="en-US" w:eastAsia="zh-CN"/>
        </w:rPr>
        <w:t>4</w:t>
      </w:r>
      <w:r>
        <w:rPr>
          <w:rFonts w:hint="eastAsia" w:ascii="仿宋_GB2312" w:hAnsi="仿宋_GB2312" w:eastAsia="仿宋_GB2312" w:cs="仿宋_GB2312"/>
          <w:b w:val="0"/>
          <w:bCs/>
          <w:sz w:val="32"/>
          <w:highlight w:val="none"/>
          <w:lang w:eastAsia="zh-CN"/>
        </w:rPr>
        <w:t>场</w:t>
      </w:r>
      <w:r>
        <w:rPr>
          <w:rFonts w:hint="eastAsia" w:ascii="仿宋_GB2312" w:hAnsi="仿宋_GB2312" w:eastAsia="仿宋_GB2312" w:cs="仿宋_GB2312"/>
          <w:b w:val="0"/>
          <w:bCs/>
          <w:sz w:val="32"/>
          <w:highlight w:val="none"/>
          <w:lang w:val="en-US" w:eastAsia="zh-CN"/>
        </w:rPr>
        <w:t>以上</w:t>
      </w:r>
      <w:r>
        <w:rPr>
          <w:rFonts w:hint="eastAsia" w:ascii="仿宋_GB2312" w:hAnsi="仿宋_GB2312" w:eastAsia="仿宋_GB2312" w:cs="仿宋_GB2312"/>
          <w:b w:val="0"/>
          <w:bCs/>
          <w:sz w:val="32"/>
          <w:highlight w:val="none"/>
          <w:lang w:eastAsia="zh-CN"/>
        </w:rPr>
        <w:t>线上线下促销活动，以乡镇为重点下沉供应链，开展集中采购、线上购买、同城配送、直供直销等业务。</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仿宋"/>
          <w:b/>
          <w:bCs w:val="0"/>
          <w:sz w:val="32"/>
          <w:highlight w:val="none"/>
          <w:lang w:val="en-US" w:eastAsia="zh-CN"/>
        </w:rPr>
      </w:pPr>
      <w:r>
        <w:rPr>
          <w:rFonts w:hint="eastAsia" w:ascii="楷体" w:hAnsi="楷体" w:eastAsia="楷体" w:cs="仿宋"/>
          <w:b/>
          <w:bCs w:val="0"/>
          <w:sz w:val="32"/>
          <w:highlight w:val="none"/>
          <w:lang w:eastAsia="zh-CN"/>
        </w:rPr>
        <w:t>（</w:t>
      </w:r>
      <w:r>
        <w:rPr>
          <w:rFonts w:hint="eastAsia" w:ascii="楷体" w:hAnsi="楷体" w:eastAsia="楷体" w:cs="仿宋"/>
          <w:b/>
          <w:bCs w:val="0"/>
          <w:sz w:val="32"/>
          <w:highlight w:val="none"/>
          <w:lang w:val="en-US" w:eastAsia="zh-CN"/>
        </w:rPr>
        <w:t>二）升级电商直播体系，促进电商消费提速</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以直播电商为突破口，打造覆盖农业企业、农户、电商平台的直播体系，着力推动陆河电商氛围再上新台阶。</w:t>
      </w:r>
      <w:r>
        <w:rPr>
          <w:rFonts w:hint="default" w:ascii="仿宋_GB2312" w:hAnsi="仿宋_GB2312" w:eastAsia="仿宋_GB2312" w:cs="仿宋_GB2312"/>
          <w:b w:val="0"/>
          <w:bCs w:val="0"/>
          <w:sz w:val="32"/>
          <w:highlight w:val="none"/>
          <w:lang w:val="en-US" w:eastAsia="zh-CN"/>
        </w:rPr>
        <w:t>在</w:t>
      </w:r>
      <w:r>
        <w:rPr>
          <w:rFonts w:hint="eastAsia" w:ascii="仿宋_GB2312" w:hAnsi="仿宋_GB2312" w:eastAsia="仿宋_GB2312" w:cs="仿宋_GB2312"/>
          <w:b w:val="0"/>
          <w:bCs w:val="0"/>
          <w:sz w:val="32"/>
          <w:highlight w:val="none"/>
          <w:lang w:val="en-US" w:eastAsia="zh-CN"/>
        </w:rPr>
        <w:t>县电商产业园</w:t>
      </w:r>
      <w:r>
        <w:rPr>
          <w:rFonts w:hint="default" w:ascii="仿宋_GB2312" w:hAnsi="仿宋_GB2312" w:eastAsia="仿宋_GB2312" w:cs="仿宋_GB2312"/>
          <w:b w:val="0"/>
          <w:bCs w:val="0"/>
          <w:sz w:val="32"/>
          <w:highlight w:val="none"/>
          <w:lang w:val="en-US" w:eastAsia="zh-CN"/>
        </w:rPr>
        <w:t>原有基础上扩建电商直播基地</w:t>
      </w:r>
      <w:r>
        <w:rPr>
          <w:rFonts w:hint="eastAsia" w:ascii="仿宋_GB2312" w:hAnsi="仿宋_GB2312" w:eastAsia="仿宋_GB2312" w:cs="仿宋_GB2312"/>
          <w:b w:val="0"/>
          <w:bCs w:val="0"/>
          <w:sz w:val="32"/>
          <w:highlight w:val="none"/>
          <w:lang w:val="en-US" w:eastAsia="zh-CN"/>
        </w:rPr>
        <w:t>，打造陆河县一站式直播电商服务体系，为本地品牌宣传推广、直播运营、主播培训等提供解决方案，打造陆河农产品直播经济发展新高地。建立一支专业的电商运营团队，依托“直播平台+网红培训孵化+直播电商+基地”于一体的线上线下结合、上中下游全链条的直播电商模式，打造陆河特色直播品牌。</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增加电商直播间至5个以上，在“陆河电商”“吉康有礼”抖音、快手、淘宝、微信视频号平台等开设农特产品直播，为县域企业提供直播运营、社群运营、直播带货等技能指导、代运营等服务，形成创业孵化、创客空间、人才培训等多功能、多业态融合的电商基地。同时，建立县域农产品企业电商直播间10个以上，为每个直播间培训主播1人以上，通过孵化具备零售服务意识、产品服务能力强的电商直播人才，带动县域企业农特产品销售业务的增长；建立10家站点共享直播间，培育站点业务人员学以致用，推动项目发展，弥补县域农村电商人才的不足，壮大县域电商直播人才队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仿宋"/>
          <w:b/>
          <w:bCs w:val="0"/>
          <w:sz w:val="32"/>
          <w:highlight w:val="none"/>
          <w:lang w:val="en-US" w:eastAsia="zh-CN"/>
        </w:rPr>
      </w:pPr>
      <w:r>
        <w:rPr>
          <w:rFonts w:hint="eastAsia" w:ascii="楷体" w:hAnsi="楷体" w:eastAsia="楷体" w:cs="仿宋"/>
          <w:b/>
          <w:bCs w:val="0"/>
          <w:sz w:val="32"/>
          <w:highlight w:val="none"/>
          <w:lang w:val="en-US" w:eastAsia="zh-CN"/>
        </w:rPr>
        <w:t>（三）打造县域公共云仓，提升双向流通效率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27" w:firstLineChars="196"/>
        <w:jc w:val="both"/>
        <w:textAlignment w:val="auto"/>
        <w:rPr>
          <w:rFonts w:hint="eastAsia" w:ascii="仿宋_GB2312" w:hAnsi="仿宋_GB2312" w:eastAsia="仿宋_GB2312" w:cs="仿宋_GB2312"/>
          <w:b w:val="0"/>
          <w:bCs/>
          <w:sz w:val="32"/>
          <w:highlight w:val="none"/>
          <w:lang w:eastAsia="zh-CN"/>
        </w:rPr>
      </w:pPr>
      <w:r>
        <w:rPr>
          <w:rFonts w:hint="eastAsia" w:ascii="仿宋_GB2312" w:hAnsi="仿宋_GB2312" w:eastAsia="仿宋_GB2312" w:cs="仿宋_GB2312"/>
          <w:b w:val="0"/>
          <w:bCs/>
          <w:sz w:val="32"/>
          <w:highlight w:val="none"/>
          <w:lang w:eastAsia="zh-CN"/>
        </w:rPr>
        <w:t>持续运营县镇村</w:t>
      </w:r>
      <w:r>
        <w:rPr>
          <w:rFonts w:hint="eastAsia" w:ascii="仿宋_GB2312" w:hAnsi="仿宋_GB2312" w:eastAsia="仿宋_GB2312" w:cs="仿宋_GB2312"/>
          <w:b w:val="0"/>
          <w:bCs/>
          <w:sz w:val="32"/>
          <w:highlight w:val="none"/>
        </w:rPr>
        <w:t>三级物流</w:t>
      </w:r>
      <w:r>
        <w:rPr>
          <w:rFonts w:hint="eastAsia" w:ascii="仿宋_GB2312" w:hAnsi="仿宋_GB2312" w:eastAsia="仿宋_GB2312" w:cs="仿宋_GB2312"/>
          <w:b w:val="0"/>
          <w:bCs/>
          <w:sz w:val="32"/>
          <w:highlight w:val="none"/>
          <w:lang w:val="en-US" w:eastAsia="zh-CN"/>
        </w:rPr>
        <w:t>共同配送</w:t>
      </w:r>
      <w:r>
        <w:rPr>
          <w:rFonts w:hint="eastAsia" w:ascii="仿宋_GB2312" w:hAnsi="仿宋_GB2312" w:eastAsia="仿宋_GB2312" w:cs="仿宋_GB2312"/>
          <w:b w:val="0"/>
          <w:bCs/>
          <w:sz w:val="32"/>
          <w:highlight w:val="none"/>
        </w:rPr>
        <w:t>体系</w:t>
      </w:r>
      <w:r>
        <w:rPr>
          <w:rFonts w:hint="eastAsia" w:ascii="仿宋_GB2312" w:hAnsi="仿宋_GB2312" w:eastAsia="仿宋_GB2312" w:cs="仿宋_GB2312"/>
          <w:b w:val="0"/>
          <w:bCs/>
          <w:sz w:val="32"/>
          <w:highlight w:val="none"/>
          <w:lang w:eastAsia="zh-CN"/>
        </w:rPr>
        <w:t>，</w:t>
      </w:r>
      <w:r>
        <w:rPr>
          <w:rFonts w:hint="eastAsia" w:ascii="仿宋_GB2312" w:hAnsi="黑体" w:eastAsia="仿宋_GB2312"/>
          <w:sz w:val="32"/>
          <w:szCs w:val="32"/>
          <w:lang w:eastAsia="zh-CN"/>
        </w:rPr>
        <w:t>服务期限不低于两年</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rPr>
        <w:t>强化县域农村物资下行配送和农</w:t>
      </w:r>
      <w:r>
        <w:rPr>
          <w:rFonts w:hint="eastAsia" w:ascii="仿宋_GB2312" w:hAnsi="仿宋_GB2312" w:eastAsia="仿宋_GB2312" w:cs="仿宋_GB2312"/>
          <w:b w:val="0"/>
          <w:bCs/>
          <w:sz w:val="32"/>
          <w:highlight w:val="none"/>
          <w:lang w:val="en-US" w:eastAsia="zh-CN"/>
        </w:rPr>
        <w:t>村</w:t>
      </w:r>
      <w:r>
        <w:rPr>
          <w:rFonts w:hint="eastAsia" w:ascii="仿宋_GB2312" w:hAnsi="仿宋_GB2312" w:eastAsia="仿宋_GB2312" w:cs="仿宋_GB2312"/>
          <w:b w:val="0"/>
          <w:bCs/>
          <w:sz w:val="32"/>
          <w:highlight w:val="none"/>
        </w:rPr>
        <w:t>产品上行的物流服务能力</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rPr>
        <w:t>全面提</w:t>
      </w:r>
      <w:r>
        <w:rPr>
          <w:rFonts w:hint="eastAsia" w:ascii="仿宋_GB2312" w:hAnsi="仿宋_GB2312" w:eastAsia="仿宋_GB2312" w:cs="仿宋_GB2312"/>
          <w:b w:val="0"/>
          <w:bCs/>
          <w:sz w:val="32"/>
          <w:highlight w:val="none"/>
          <w:lang w:val="en-US" w:eastAsia="zh-CN"/>
        </w:rPr>
        <w:t>升配送</w:t>
      </w:r>
      <w:r>
        <w:rPr>
          <w:rFonts w:hint="eastAsia" w:ascii="仿宋_GB2312" w:hAnsi="仿宋_GB2312" w:eastAsia="仿宋_GB2312" w:cs="仿宋_GB2312"/>
          <w:b w:val="0"/>
          <w:bCs/>
          <w:sz w:val="32"/>
          <w:highlight w:val="none"/>
        </w:rPr>
        <w:t>速</w:t>
      </w:r>
      <w:r>
        <w:rPr>
          <w:rFonts w:hint="eastAsia" w:ascii="仿宋_GB2312" w:hAnsi="仿宋_GB2312" w:eastAsia="仿宋_GB2312" w:cs="仿宋_GB2312"/>
          <w:b w:val="0"/>
          <w:bCs/>
          <w:sz w:val="32"/>
          <w:highlight w:val="none"/>
          <w:lang w:val="en-US" w:eastAsia="zh-CN"/>
        </w:rPr>
        <w:t>率</w:t>
      </w:r>
      <w:r>
        <w:rPr>
          <w:rFonts w:hint="eastAsia" w:ascii="仿宋_GB2312" w:hAnsi="仿宋_GB2312" w:eastAsia="仿宋_GB2312" w:cs="仿宋_GB2312"/>
          <w:b w:val="0"/>
          <w:bCs/>
          <w:sz w:val="32"/>
          <w:highlight w:val="none"/>
        </w:rPr>
        <w:t>，确保物流服务站每日至少</w:t>
      </w:r>
      <w:r>
        <w:rPr>
          <w:rFonts w:hint="eastAsia" w:ascii="仿宋_GB2312" w:hAnsi="仿宋_GB2312" w:eastAsia="仿宋_GB2312" w:cs="仿宋_GB2312"/>
          <w:b w:val="0"/>
          <w:bCs/>
          <w:sz w:val="32"/>
          <w:highlight w:val="none"/>
          <w:lang w:val="en-US" w:eastAsia="zh-CN"/>
        </w:rPr>
        <w:t>1</w:t>
      </w:r>
      <w:r>
        <w:rPr>
          <w:rFonts w:hint="eastAsia" w:ascii="仿宋_GB2312" w:hAnsi="仿宋_GB2312" w:eastAsia="仿宋_GB2312" w:cs="仿宋_GB2312"/>
          <w:b w:val="0"/>
          <w:bCs/>
          <w:sz w:val="32"/>
          <w:highlight w:val="none"/>
        </w:rPr>
        <w:t>个有效运输</w:t>
      </w:r>
      <w:r>
        <w:rPr>
          <w:rFonts w:hint="eastAsia" w:ascii="仿宋_GB2312" w:hAnsi="仿宋_GB2312" w:eastAsia="仿宋_GB2312" w:cs="仿宋_GB2312"/>
          <w:b w:val="0"/>
          <w:bCs/>
          <w:sz w:val="32"/>
          <w:highlight w:val="none"/>
          <w:lang w:val="en-US" w:eastAsia="zh-CN"/>
        </w:rPr>
        <w:t>上</w:t>
      </w:r>
      <w:r>
        <w:rPr>
          <w:rFonts w:hint="eastAsia" w:ascii="仿宋_GB2312" w:hAnsi="仿宋_GB2312" w:eastAsia="仿宋_GB2312" w:cs="仿宋_GB2312"/>
          <w:b w:val="0"/>
          <w:bCs/>
          <w:sz w:val="32"/>
          <w:highlight w:val="none"/>
        </w:rPr>
        <w:t>下行频次</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rPr>
        <w:t>实现县级中心到村站点</w:t>
      </w:r>
      <w:r>
        <w:rPr>
          <w:rFonts w:hint="eastAsia" w:ascii="仿宋_GB2312" w:hAnsi="仿宋_GB2312" w:eastAsia="仿宋_GB2312" w:cs="仿宋_GB2312"/>
          <w:b w:val="0"/>
          <w:bCs/>
          <w:sz w:val="32"/>
          <w:highlight w:val="none"/>
          <w:lang w:val="en-US" w:eastAsia="zh-CN"/>
        </w:rPr>
        <w:t>交互</w:t>
      </w:r>
      <w:r>
        <w:rPr>
          <w:rFonts w:hint="eastAsia" w:ascii="仿宋_GB2312" w:hAnsi="仿宋_GB2312" w:eastAsia="仿宋_GB2312" w:cs="仿宋_GB2312"/>
          <w:b w:val="0"/>
          <w:bCs/>
          <w:sz w:val="32"/>
          <w:highlight w:val="none"/>
        </w:rPr>
        <w:t>配送48小时内完成</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lang w:val="en-US" w:eastAsia="zh-CN"/>
        </w:rPr>
        <w:t>利用</w:t>
      </w:r>
      <w:r>
        <w:rPr>
          <w:rFonts w:hint="eastAsia" w:ascii="仿宋_GB2312" w:hAnsi="仿宋_GB2312" w:eastAsia="仿宋_GB2312" w:cs="仿宋_GB2312"/>
          <w:b w:val="0"/>
          <w:bCs/>
          <w:sz w:val="32"/>
          <w:highlight w:val="none"/>
        </w:rPr>
        <w:t>“为农村村通”智慧物流系统数据赋能</w:t>
      </w:r>
      <w:r>
        <w:rPr>
          <w:rFonts w:hint="eastAsia" w:ascii="仿宋_GB2312" w:hAnsi="仿宋_GB2312" w:eastAsia="仿宋_GB2312" w:cs="仿宋_GB2312"/>
          <w:b w:val="0"/>
          <w:bCs/>
          <w:sz w:val="32"/>
          <w:highlight w:val="none"/>
          <w:lang w:eastAsia="zh-CN"/>
        </w:rPr>
        <w:t>，</w:t>
      </w:r>
      <w:r>
        <w:rPr>
          <w:rFonts w:hint="eastAsia" w:ascii="仿宋_GB2312" w:hAnsi="仿宋_GB2312" w:eastAsia="仿宋_GB2312" w:cs="仿宋_GB2312"/>
          <w:b w:val="0"/>
          <w:bCs/>
          <w:sz w:val="32"/>
          <w:highlight w:val="none"/>
        </w:rPr>
        <w:t>促进农村各类物流资源及时高效调配，提升县镇村三级物流配送体系运营效能</w:t>
      </w:r>
      <w:r>
        <w:rPr>
          <w:rFonts w:hint="eastAsia" w:ascii="仿宋_GB2312" w:hAnsi="仿宋_GB2312" w:eastAsia="仿宋_GB2312" w:cs="仿宋_GB2312"/>
          <w:b w:val="0"/>
          <w:bCs/>
          <w:sz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27" w:firstLineChars="196"/>
        <w:jc w:val="both"/>
        <w:textAlignment w:val="auto"/>
        <w:rPr>
          <w:rFonts w:hint="eastAsia" w:ascii="仿宋_GB2312" w:hAnsi="仿宋_GB2312" w:eastAsia="仿宋_GB2312" w:cs="仿宋_GB2312"/>
          <w:b w:val="0"/>
          <w:bCs/>
          <w:sz w:val="32"/>
          <w:highlight w:val="none"/>
          <w:lang w:val="en-US" w:eastAsia="zh-CN"/>
        </w:rPr>
      </w:pPr>
      <w:r>
        <w:rPr>
          <w:rFonts w:hint="eastAsia" w:ascii="仿宋_GB2312" w:hAnsi="仿宋_GB2312" w:eastAsia="仿宋_GB2312" w:cs="仿宋_GB2312"/>
          <w:b w:val="0"/>
          <w:bCs/>
          <w:sz w:val="32"/>
          <w:highlight w:val="none"/>
          <w:lang w:val="en-US" w:eastAsia="zh-CN"/>
        </w:rPr>
        <w:t>整合各方资源，依托现有县镇村三级物流配送网络，按照“云仓+服务中心+站点+基地+农户”的一体化运营模式,建设分级分拣、冷藏保鲜、快递包裹仓储、物流配送等功能的公共云仓，服务城乡双向流通，提供供应链仓配一体化服务。组建专业团队对云仓进行运营管理，有效连接电商企业、快递物流企业、加工企业、电商站点、合作社及农户，整合全县农特产品及物流资源，建立“乡村集货、云仓集单、数据互通、统仓共配”的电商供应链体系，通过线上线下多渠道推动陆河农特产品上行、工业品下乡,提高工业品下乡、农产品进城的双向流通效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27" w:firstLineChars="196"/>
        <w:jc w:val="both"/>
        <w:textAlignment w:val="auto"/>
        <w:rPr>
          <w:rFonts w:hint="eastAsia" w:ascii="仿宋_GB2312" w:hAnsi="仿宋_GB2312" w:eastAsia="仿宋_GB2312" w:cs="仿宋_GB2312"/>
          <w:b w:val="0"/>
          <w:bCs/>
          <w:sz w:val="32"/>
          <w:highlight w:val="none"/>
          <w:lang w:val="en-US" w:eastAsia="zh-CN"/>
        </w:rPr>
      </w:pPr>
      <w:r>
        <w:rPr>
          <w:rFonts w:hint="eastAsia" w:ascii="仿宋_GB2312" w:hAnsi="仿宋_GB2312" w:eastAsia="仿宋_GB2312" w:cs="仿宋_GB2312"/>
          <w:b w:val="0"/>
          <w:bCs/>
          <w:sz w:val="32"/>
          <w:highlight w:val="none"/>
          <w:lang w:val="en-US" w:eastAsia="zh-CN"/>
        </w:rPr>
        <w:t>在农产品上行方面，围绕陆河县青梅、红柚、茶叶等特色农产品，为农业生产企业、农户、商贸流通企业等市场主体提供包装、冷链、仓储、物流等服务，</w:t>
      </w:r>
      <w:r>
        <w:rPr>
          <w:rFonts w:hint="eastAsia" w:ascii="仿宋_GB2312" w:hAnsi="仿宋_GB2312" w:eastAsia="仿宋_GB2312" w:cs="仿宋_GB2312"/>
          <w:b w:val="0"/>
          <w:bCs/>
          <w:sz w:val="32"/>
          <w:highlight w:val="none"/>
          <w:lang w:eastAsia="zh-CN"/>
        </w:rPr>
        <w:t>形成从仓储到发货一站式服务，</w:t>
      </w:r>
      <w:r>
        <w:rPr>
          <w:rFonts w:hint="eastAsia" w:ascii="仿宋_GB2312" w:hAnsi="仿宋_GB2312" w:eastAsia="仿宋_GB2312" w:cs="仿宋_GB2312"/>
          <w:b w:val="0"/>
          <w:bCs/>
          <w:sz w:val="32"/>
          <w:highlight w:val="none"/>
          <w:lang w:val="en-US" w:eastAsia="zh-CN"/>
        </w:rPr>
        <w:t>降低物流供应链成本。在工业品下乡方面，借助自动化装备和信息化系统，实现高时效精细化管理，提高农村消费者购买的便利性。</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lang w:val="en-US"/>
        </w:rPr>
      </w:pPr>
      <w:r>
        <w:rPr>
          <w:rFonts w:hint="eastAsia" w:ascii="仿宋_GB2312" w:hAnsi="仿宋_GB2312" w:eastAsia="仿宋_GB2312" w:cs="仿宋_GB2312"/>
          <w:b/>
          <w:bCs/>
          <w:sz w:val="32"/>
          <w:highlight w:val="none"/>
          <w:lang w:val="en-US" w:eastAsia="zh-CN"/>
        </w:rPr>
        <w:t>（四）精准培训， 推动转化率再上新台阶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1.</w:t>
      </w:r>
      <w:r>
        <w:rPr>
          <w:rFonts w:hint="eastAsia" w:ascii="仿宋_GB2312" w:hAnsi="仿宋_GB2312" w:eastAsia="仿宋_GB2312" w:cs="仿宋_GB2312"/>
          <w:b/>
          <w:bCs/>
          <w:sz w:val="32"/>
          <w:highlight w:val="none"/>
        </w:rPr>
        <w:t>培育</w:t>
      </w:r>
      <w:r>
        <w:rPr>
          <w:rFonts w:hint="eastAsia" w:ascii="仿宋_GB2312" w:hAnsi="仿宋_GB2312" w:eastAsia="仿宋_GB2312" w:cs="仿宋_GB2312"/>
          <w:b/>
          <w:bCs/>
          <w:sz w:val="32"/>
          <w:highlight w:val="none"/>
          <w:lang w:val="en-US" w:eastAsia="zh-CN"/>
        </w:rPr>
        <w:t>电商</w:t>
      </w:r>
      <w:r>
        <w:rPr>
          <w:rFonts w:hint="eastAsia" w:ascii="仿宋_GB2312" w:hAnsi="仿宋_GB2312" w:eastAsia="仿宋_GB2312" w:cs="仿宋_GB2312"/>
          <w:b/>
          <w:bCs/>
          <w:sz w:val="32"/>
          <w:highlight w:val="none"/>
        </w:rPr>
        <w:t>直播人员</w:t>
      </w:r>
      <w:r>
        <w:rPr>
          <w:rFonts w:hint="eastAsia" w:ascii="仿宋_GB2312" w:hAnsi="仿宋_GB2312" w:eastAsia="仿宋_GB2312" w:cs="仿宋_GB2312"/>
          <w:b/>
          <w:bCs/>
          <w:sz w:val="32"/>
          <w:highlight w:val="none"/>
          <w:lang w:val="en-US" w:eastAsia="zh-CN"/>
        </w:rPr>
        <w:t>队伍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eastAsia="zh-CN"/>
        </w:rPr>
        <w:t>以直播基地为基础，培育本土直播人才。</w:t>
      </w:r>
      <w:r>
        <w:rPr>
          <w:rFonts w:hint="eastAsia" w:ascii="仿宋_GB2312" w:hAnsi="仿宋_GB2312" w:eastAsia="仿宋_GB2312" w:cs="仿宋_GB2312"/>
          <w:sz w:val="32"/>
          <w:highlight w:val="none"/>
        </w:rPr>
        <w:t>采取现场授课、线上授课、集中授课、参观学习、直播比赛等形式开展不同层次的电商培训</w:t>
      </w:r>
      <w:r>
        <w:rPr>
          <w:rFonts w:hint="eastAsia" w:ascii="仿宋_GB2312" w:hAnsi="仿宋_GB2312" w:eastAsia="仿宋_GB2312" w:cs="仿宋_GB2312"/>
          <w:sz w:val="32"/>
          <w:highlight w:val="none"/>
          <w:lang w:eastAsia="zh-CN"/>
        </w:rPr>
        <w:t>，以</w:t>
      </w:r>
      <w:r>
        <w:rPr>
          <w:rFonts w:hint="eastAsia" w:ascii="仿宋_GB2312" w:hAnsi="仿宋_GB2312" w:eastAsia="仿宋_GB2312" w:cs="仿宋_GB2312"/>
          <w:sz w:val="32"/>
          <w:highlight w:val="none"/>
        </w:rPr>
        <w:t>掌握直播电商系统化运营知识</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提升学员直播核心能力</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实现直播带货</w:t>
      </w:r>
      <w:r>
        <w:rPr>
          <w:rFonts w:hint="eastAsia" w:ascii="仿宋_GB2312" w:hAnsi="仿宋_GB2312" w:eastAsia="仿宋_GB2312" w:cs="仿宋_GB2312"/>
          <w:sz w:val="32"/>
          <w:highlight w:val="none"/>
          <w:lang w:eastAsia="zh-CN"/>
        </w:rPr>
        <w:t>为</w:t>
      </w:r>
      <w:r>
        <w:rPr>
          <w:rFonts w:hint="eastAsia" w:ascii="仿宋_GB2312" w:hAnsi="仿宋_GB2312" w:eastAsia="仿宋_GB2312" w:cs="仿宋_GB2312"/>
          <w:sz w:val="32"/>
          <w:highlight w:val="none"/>
        </w:rPr>
        <w:t>目标，培养</w:t>
      </w:r>
      <w:r>
        <w:rPr>
          <w:rFonts w:hint="eastAsia" w:ascii="仿宋_GB2312" w:hAnsi="仿宋_GB2312" w:eastAsia="仿宋_GB2312" w:cs="仿宋_GB2312"/>
          <w:sz w:val="32"/>
          <w:highlight w:val="none"/>
          <w:lang w:val="en-US" w:eastAsia="zh-CN"/>
        </w:rPr>
        <w:t>学员</w:t>
      </w:r>
      <w:r>
        <w:rPr>
          <w:rFonts w:hint="eastAsia" w:ascii="仿宋_GB2312" w:hAnsi="仿宋_GB2312" w:eastAsia="仿宋_GB2312" w:cs="仿宋_GB2312"/>
          <w:sz w:val="32"/>
          <w:highlight w:val="none"/>
        </w:rPr>
        <w:t>直播团队，做到有方向、有规划、有策略地运营视频电商。</w:t>
      </w:r>
      <w:r>
        <w:rPr>
          <w:rFonts w:hint="eastAsia" w:ascii="仿宋_GB2312" w:hAnsi="仿宋_GB2312" w:eastAsia="仿宋_GB2312" w:cs="仿宋_GB2312"/>
          <w:sz w:val="32"/>
          <w:highlight w:val="none"/>
          <w:lang w:eastAsia="zh-CN"/>
        </w:rPr>
        <w:t>完成不低于</w:t>
      </w:r>
      <w:r>
        <w:rPr>
          <w:rFonts w:hint="eastAsia" w:ascii="仿宋_GB2312" w:hAnsi="仿宋_GB2312" w:eastAsia="仿宋_GB2312" w:cs="仿宋_GB2312"/>
          <w:sz w:val="32"/>
          <w:highlight w:val="none"/>
          <w:lang w:val="en-US" w:eastAsia="zh-CN"/>
        </w:rPr>
        <w:t>10个直播团队的培育。</w:t>
      </w:r>
      <w:r>
        <w:rPr>
          <w:rFonts w:hint="eastAsia" w:ascii="仿宋_GB2312" w:hAnsi="仿宋_GB2312" w:eastAsia="仿宋_GB2312" w:cs="仿宋_GB2312"/>
          <w:sz w:val="32"/>
          <w:highlight w:val="none"/>
        </w:rPr>
        <w:t>组织对新人主播进行个性化包装设计，开展直播销售相关知识、线上营销策划、直播相关技巧、产品物流配送等相关内容的培训，突出直播销售实操技能的培训</w:t>
      </w:r>
      <w:r>
        <w:rPr>
          <w:rFonts w:hint="eastAsia" w:ascii="仿宋_GB2312" w:hAnsi="仿宋_GB2312" w:eastAsia="仿宋_GB2312" w:cs="仿宋_GB2312"/>
          <w:sz w:val="32"/>
          <w:highlight w:val="none"/>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rPr>
      </w:pPr>
      <w:r>
        <w:rPr>
          <w:rFonts w:hint="eastAsia" w:ascii="仿宋_GB2312" w:hAnsi="仿宋_GB2312" w:eastAsia="仿宋_GB2312" w:cs="仿宋_GB2312"/>
          <w:b/>
          <w:bCs/>
          <w:sz w:val="32"/>
          <w:highlight w:val="none"/>
          <w:lang w:val="en-US" w:eastAsia="zh-CN"/>
        </w:rPr>
        <w:t>2.</w:t>
      </w:r>
      <w:r>
        <w:rPr>
          <w:rFonts w:hint="eastAsia" w:ascii="仿宋_GB2312" w:hAnsi="仿宋_GB2312" w:eastAsia="仿宋_GB2312" w:cs="仿宋_GB2312"/>
          <w:b/>
          <w:bCs/>
          <w:sz w:val="32"/>
          <w:highlight w:val="none"/>
        </w:rPr>
        <w:t>强化镇村站点负责人培训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提升镇村级站点电商工作的带动能力</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提升站点负责人对电商运营技巧、各大电商平台的购销模式、社区电商运作模式的了解，结合当地实际，向各站点负责人推广可持续发展的电商模式，保障站点日常良好运作，带动农产品上行，为服务村民打好基础，让村民们能通过电商服务站享受网上购物的实惠。</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3.加强针对性培训跟踪服务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lang w:val="en-US" w:eastAsia="zh-CN"/>
        </w:rPr>
        <w:t>以“实现培训转化率”为目标，培育更多电商人才。在上一轮培训的基础上筛选出有意向从事电商或提升电商能力的人员，建档立卡，针对其需求开展个性化培训服务，继续提供2年以上跟踪服务。</w:t>
      </w:r>
      <w:r>
        <w:rPr>
          <w:rFonts w:hint="eastAsia" w:ascii="仿宋_GB2312" w:hAnsi="仿宋_GB2312" w:eastAsia="仿宋_GB2312" w:cs="仿宋_GB2312"/>
          <w:sz w:val="32"/>
          <w:highlight w:val="none"/>
        </w:rPr>
        <w:t>通过</w:t>
      </w:r>
      <w:r>
        <w:rPr>
          <w:rFonts w:hint="eastAsia" w:ascii="仿宋_GB2312" w:hAnsi="仿宋_GB2312" w:eastAsia="仿宋_GB2312" w:cs="仿宋_GB2312"/>
          <w:sz w:val="32"/>
          <w:highlight w:val="none"/>
          <w:lang w:eastAsia="zh-CN"/>
        </w:rPr>
        <w:t>培训</w:t>
      </w:r>
      <w:r>
        <w:rPr>
          <w:rFonts w:hint="eastAsia" w:ascii="仿宋_GB2312" w:hAnsi="仿宋_GB2312" w:eastAsia="仿宋_GB2312" w:cs="仿宋_GB2312"/>
          <w:sz w:val="32"/>
          <w:highlight w:val="none"/>
        </w:rPr>
        <w:t>孵化具备零售服务意识、产品服务能力强的电商人才，带动农特产品销售业务的增长。</w:t>
      </w:r>
      <w:r>
        <w:rPr>
          <w:rFonts w:hint="eastAsia" w:ascii="仿宋_GB2312" w:hAnsi="仿宋_GB2312" w:eastAsia="仿宋_GB2312" w:cs="仿宋_GB2312"/>
          <w:sz w:val="32"/>
          <w:highlight w:val="none"/>
          <w:lang w:val="en-US" w:eastAsia="zh-CN"/>
        </w:rPr>
        <w:t>培训</w:t>
      </w:r>
      <w:r>
        <w:rPr>
          <w:rFonts w:hint="eastAsia" w:ascii="仿宋_GB2312" w:hAnsi="仿宋_GB2312" w:eastAsia="仿宋_GB2312" w:cs="仿宋_GB2312"/>
          <w:sz w:val="32"/>
          <w:highlight w:val="none"/>
        </w:rPr>
        <w:t>孵化电商企业达</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rPr>
        <w:t>家以上、孵化学员达</w:t>
      </w:r>
      <w:r>
        <w:rPr>
          <w:rFonts w:hint="eastAsia" w:ascii="仿宋_GB2312" w:hAnsi="仿宋_GB2312" w:eastAsia="仿宋_GB2312" w:cs="仿宋_GB2312"/>
          <w:sz w:val="32"/>
          <w:highlight w:val="none"/>
          <w:lang w:val="en-US" w:eastAsia="zh-CN"/>
        </w:rPr>
        <w:t>20</w:t>
      </w:r>
      <w:r>
        <w:rPr>
          <w:rFonts w:hint="eastAsia" w:ascii="仿宋_GB2312" w:hAnsi="仿宋_GB2312" w:eastAsia="仿宋_GB2312" w:cs="仿宋_GB2312"/>
          <w:sz w:val="32"/>
          <w:highlight w:val="none"/>
        </w:rPr>
        <w:t>人以上、孵化培训及各项服务人次达</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rPr>
        <w:t>00次以上，指导入驻个人及企业通过各网商平台</w:t>
      </w:r>
      <w:r>
        <w:rPr>
          <w:rFonts w:hint="eastAsia" w:ascii="仿宋_GB2312" w:hAnsi="仿宋_GB2312" w:eastAsia="仿宋_GB2312" w:cs="仿宋_GB2312"/>
          <w:sz w:val="32"/>
          <w:highlight w:val="none"/>
          <w:lang w:val="en-US" w:eastAsia="zh-CN"/>
        </w:rPr>
        <w:t>年</w:t>
      </w:r>
      <w:r>
        <w:rPr>
          <w:rFonts w:hint="eastAsia" w:ascii="仿宋_GB2312" w:hAnsi="仿宋_GB2312" w:eastAsia="仿宋_GB2312" w:cs="仿宋_GB2312"/>
          <w:sz w:val="32"/>
          <w:highlight w:val="none"/>
        </w:rPr>
        <w:t>销售总额达</w:t>
      </w:r>
      <w:r>
        <w:rPr>
          <w:rFonts w:hint="eastAsia" w:ascii="仿宋_GB2312" w:hAnsi="仿宋_GB2312" w:eastAsia="仿宋_GB2312" w:cs="仿宋_GB2312"/>
          <w:sz w:val="32"/>
          <w:highlight w:val="none"/>
          <w:lang w:val="en-US" w:eastAsia="zh-CN"/>
        </w:rPr>
        <w:t>5</w:t>
      </w:r>
      <w:r>
        <w:rPr>
          <w:rFonts w:hint="eastAsia" w:ascii="仿宋_GB2312" w:hAnsi="仿宋_GB2312" w:eastAsia="仿宋_GB2312" w:cs="仿宋_GB2312"/>
          <w:sz w:val="32"/>
          <w:highlight w:val="none"/>
        </w:rPr>
        <w:t>0万元以上。</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sz w:val="32"/>
          <w:highlight w:val="none"/>
          <w:lang w:val="en-US" w:eastAsia="zh-CN"/>
        </w:rPr>
      </w:pPr>
      <w:r>
        <w:rPr>
          <w:rFonts w:hint="eastAsia" w:ascii="仿宋_GB2312" w:hAnsi="仿宋_GB2312" w:eastAsia="仿宋_GB2312" w:cs="仿宋_GB2312"/>
          <w:b/>
          <w:bCs/>
          <w:sz w:val="32"/>
          <w:highlight w:val="none"/>
          <w:lang w:val="en-US" w:eastAsia="zh-CN"/>
        </w:rPr>
        <w:t>4.加强线上培训力度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sz w:val="32"/>
          <w:highlight w:val="none"/>
          <w:lang w:val="en-US" w:eastAsia="zh-CN"/>
        </w:rPr>
      </w:pPr>
      <w:r>
        <w:rPr>
          <w:rFonts w:hint="eastAsia" w:ascii="仿宋_GB2312" w:hAnsi="仿宋_GB2312" w:eastAsia="仿宋_GB2312" w:cs="仿宋_GB2312"/>
          <w:bCs/>
          <w:sz w:val="32"/>
          <w:highlight w:val="none"/>
          <w:lang w:val="en-US" w:eastAsia="zh-CN"/>
        </w:rPr>
        <w:t>引进国内优秀线上培训课程，选择具备学习管理能力、支持学员在线选课、在线查看学习进度，能生成整体学员的培训报告、提供每位学员的在线学习档案（包括选课内容、学习时长等）等功能的学习软件，免费提供给县域学员通过公众号/小程序/APP等形式，进入电商线上学习专区，学习包含新媒体类、电商运营类知识课程以及提升农业从业者经营水平的农商类知识课程，线上培训课程内容库不少于60个学时（每个学时45分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、实施步骤</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（一）</w:t>
      </w:r>
      <w:r>
        <w:rPr>
          <w:rFonts w:hint="eastAsia" w:ascii="楷体" w:hAnsi="楷体" w:eastAsia="楷体" w:cs="楷体"/>
          <w:b/>
          <w:bCs w:val="0"/>
          <w:sz w:val="32"/>
          <w:highlight w:val="none"/>
          <w:lang w:val="en-US" w:eastAsia="zh-CN"/>
        </w:rPr>
        <w:t>前期</w:t>
      </w:r>
      <w:r>
        <w:rPr>
          <w:rFonts w:hint="eastAsia" w:ascii="楷体" w:hAnsi="楷体" w:eastAsia="楷体" w:cs="楷体"/>
          <w:b/>
          <w:bCs w:val="0"/>
          <w:sz w:val="32"/>
          <w:highlight w:val="none"/>
        </w:rPr>
        <w:t>筹备阶段（20</w:t>
      </w:r>
      <w:r>
        <w:rPr>
          <w:rFonts w:hint="eastAsia" w:ascii="楷体" w:hAnsi="楷体" w:eastAsia="楷体" w:cs="楷体"/>
          <w:b/>
          <w:bCs w:val="0"/>
          <w:sz w:val="32"/>
          <w:highlight w:val="none"/>
          <w:lang w:val="en-US" w:eastAsia="zh-CN"/>
        </w:rPr>
        <w:t>22</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1</w:t>
      </w:r>
      <w:r>
        <w:rPr>
          <w:rFonts w:hint="eastAsia" w:ascii="楷体" w:hAnsi="楷体" w:eastAsia="楷体" w:cs="楷体"/>
          <w:b/>
          <w:bCs w:val="0"/>
          <w:sz w:val="32"/>
          <w:highlight w:val="none"/>
        </w:rPr>
        <w:t>月-20</w:t>
      </w:r>
      <w:r>
        <w:rPr>
          <w:rFonts w:hint="eastAsia" w:ascii="楷体" w:hAnsi="楷体" w:eastAsia="楷体" w:cs="楷体"/>
          <w:b/>
          <w:bCs w:val="0"/>
          <w:sz w:val="32"/>
          <w:highlight w:val="none"/>
          <w:lang w:val="en-US" w:eastAsia="zh-CN"/>
        </w:rPr>
        <w:t>22</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6</w:t>
      </w:r>
      <w:r>
        <w:rPr>
          <w:rFonts w:hint="eastAsia" w:ascii="楷体" w:hAnsi="楷体" w:eastAsia="楷体" w:cs="楷体"/>
          <w:b/>
          <w:bCs w:val="0"/>
          <w:sz w:val="32"/>
          <w:highlight w:val="none"/>
        </w:rPr>
        <w:t>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开展项目实施前期调研，按照商务部和省商务厅相关文件的要求，拟定切实可行的《</w:t>
      </w:r>
      <w:r>
        <w:rPr>
          <w:rFonts w:hint="eastAsia" w:ascii="仿宋_GB2312" w:hAnsi="仿宋_GB2312" w:eastAsia="仿宋_GB2312" w:cs="仿宋_GB2312"/>
          <w:sz w:val="32"/>
          <w:highlight w:val="none"/>
          <w:lang w:val="en-US" w:eastAsia="zh-CN"/>
        </w:rPr>
        <w:t>陆河县国家级电子商务进农村综合示范项目（尾款）工作实施方案</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待</w:t>
      </w:r>
      <w:r>
        <w:rPr>
          <w:rFonts w:hint="eastAsia" w:ascii="仿宋_GB2312" w:hAnsi="仿宋_GB2312" w:eastAsia="仿宋_GB2312" w:cs="仿宋_GB2312"/>
          <w:sz w:val="32"/>
          <w:highlight w:val="none"/>
        </w:rPr>
        <w:t>县政府常务会议通过</w:t>
      </w:r>
      <w:r>
        <w:rPr>
          <w:rFonts w:hint="eastAsia" w:ascii="仿宋_GB2312" w:hAnsi="仿宋_GB2312" w:eastAsia="仿宋_GB2312" w:cs="仿宋_GB2312"/>
          <w:sz w:val="32"/>
          <w:highlight w:val="none"/>
          <w:lang w:val="en-US" w:eastAsia="zh-CN"/>
        </w:rPr>
        <w:t>后</w:t>
      </w:r>
      <w:r>
        <w:rPr>
          <w:rFonts w:hint="eastAsia" w:ascii="仿宋_GB2312" w:hAnsi="仿宋_GB2312" w:eastAsia="仿宋_GB2312" w:cs="仿宋_GB2312"/>
          <w:sz w:val="32"/>
          <w:highlight w:val="none"/>
        </w:rPr>
        <w:t>予以执行。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（二）</w:t>
      </w:r>
      <w:r>
        <w:rPr>
          <w:rFonts w:hint="eastAsia" w:ascii="楷体" w:hAnsi="楷体" w:eastAsia="楷体" w:cs="楷体"/>
          <w:b/>
          <w:bCs w:val="0"/>
          <w:sz w:val="32"/>
          <w:highlight w:val="none"/>
          <w:lang w:val="en-US" w:eastAsia="zh-CN"/>
        </w:rPr>
        <w:t>重点</w:t>
      </w:r>
      <w:r>
        <w:rPr>
          <w:rFonts w:hint="eastAsia" w:ascii="楷体" w:hAnsi="楷体" w:eastAsia="楷体" w:cs="楷体"/>
          <w:b/>
          <w:bCs w:val="0"/>
          <w:sz w:val="32"/>
          <w:highlight w:val="none"/>
        </w:rPr>
        <w:t>实施阶段（20</w:t>
      </w:r>
      <w:r>
        <w:rPr>
          <w:rFonts w:hint="eastAsia" w:ascii="楷体" w:hAnsi="楷体" w:eastAsia="楷体" w:cs="楷体"/>
          <w:b/>
          <w:bCs w:val="0"/>
          <w:sz w:val="32"/>
          <w:highlight w:val="none"/>
          <w:lang w:val="en-US" w:eastAsia="zh-CN"/>
        </w:rPr>
        <w:t>22</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6</w:t>
      </w:r>
      <w:r>
        <w:rPr>
          <w:rFonts w:hint="eastAsia" w:ascii="楷体" w:hAnsi="楷体" w:eastAsia="楷体" w:cs="楷体"/>
          <w:b/>
          <w:bCs w:val="0"/>
          <w:sz w:val="32"/>
          <w:highlight w:val="none"/>
        </w:rPr>
        <w:t>月-202</w:t>
      </w:r>
      <w:r>
        <w:rPr>
          <w:rFonts w:hint="eastAsia" w:ascii="楷体" w:hAnsi="楷体" w:eastAsia="楷体" w:cs="楷体"/>
          <w:b/>
          <w:bCs w:val="0"/>
          <w:sz w:val="32"/>
          <w:highlight w:val="none"/>
          <w:lang w:val="en-US" w:eastAsia="zh-CN"/>
        </w:rPr>
        <w:t>3</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12</w:t>
      </w:r>
      <w:r>
        <w:rPr>
          <w:rFonts w:hint="eastAsia" w:ascii="楷体" w:hAnsi="楷体" w:eastAsia="楷体" w:cs="楷体"/>
          <w:b/>
          <w:bCs w:val="0"/>
          <w:sz w:val="32"/>
          <w:highlight w:val="none"/>
        </w:rPr>
        <w:t>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Cs/>
          <w:sz w:val="32"/>
          <w:highlight w:val="none"/>
        </w:rPr>
      </w:pPr>
      <w:r>
        <w:rPr>
          <w:rFonts w:hint="eastAsia" w:ascii="仿宋_GB2312" w:hAnsi="仿宋_GB2312" w:eastAsia="仿宋_GB2312" w:cs="仿宋_GB2312"/>
          <w:sz w:val="32"/>
          <w:highlight w:val="none"/>
        </w:rPr>
        <w:t>严格遵守政府采购程序，开展项目招标工作</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选取承办单位</w:t>
      </w:r>
      <w:r>
        <w:rPr>
          <w:rFonts w:hint="eastAsia" w:ascii="仿宋_GB2312" w:hAnsi="仿宋_GB2312" w:eastAsia="仿宋_GB2312" w:cs="仿宋_GB2312"/>
          <w:sz w:val="32"/>
          <w:highlight w:val="none"/>
        </w:rPr>
        <w:t>。在</w:t>
      </w:r>
      <w:r>
        <w:rPr>
          <w:rFonts w:hint="eastAsia" w:ascii="仿宋_GB2312" w:hAnsi="仿宋_GB2312" w:eastAsia="仿宋_GB2312" w:cs="仿宋_GB2312"/>
          <w:sz w:val="32"/>
          <w:highlight w:val="none"/>
          <w:lang w:val="en-US" w:eastAsia="zh-CN"/>
        </w:rPr>
        <w:t>陆河</w:t>
      </w:r>
      <w:r>
        <w:rPr>
          <w:rFonts w:hint="eastAsia" w:ascii="仿宋_GB2312" w:hAnsi="仿宋_GB2312" w:eastAsia="仿宋_GB2312" w:cs="仿宋_GB2312"/>
          <w:sz w:val="32"/>
          <w:highlight w:val="none"/>
        </w:rPr>
        <w:t>县电子商务进农村工作领导小组的</w:t>
      </w:r>
      <w:r>
        <w:rPr>
          <w:rFonts w:hint="eastAsia" w:ascii="仿宋_GB2312" w:hAnsi="仿宋_GB2312" w:eastAsia="仿宋_GB2312" w:cs="仿宋_GB2312"/>
          <w:sz w:val="32"/>
          <w:highlight w:val="none"/>
          <w:lang w:val="en-US" w:eastAsia="zh-CN"/>
        </w:rPr>
        <w:t>指</w:t>
      </w:r>
      <w:r>
        <w:rPr>
          <w:rFonts w:hint="eastAsia" w:ascii="仿宋_GB2312" w:hAnsi="仿宋_GB2312" w:eastAsia="仿宋_GB2312" w:cs="仿宋_GB2312"/>
          <w:sz w:val="32"/>
          <w:highlight w:val="none"/>
        </w:rPr>
        <w:t>导和监督下，各</w:t>
      </w:r>
      <w:r>
        <w:rPr>
          <w:rFonts w:hint="eastAsia" w:ascii="仿宋_GB2312" w:hAnsi="仿宋_GB2312" w:eastAsia="仿宋_GB2312" w:cs="仿宋_GB2312"/>
          <w:sz w:val="32"/>
          <w:highlight w:val="none"/>
          <w:lang w:val="en-US" w:eastAsia="zh-CN"/>
        </w:rPr>
        <w:t>领导小组成员单位和</w:t>
      </w:r>
      <w:r>
        <w:rPr>
          <w:rFonts w:hint="eastAsia" w:ascii="仿宋_GB2312" w:hAnsi="仿宋_GB2312" w:eastAsia="仿宋_GB2312" w:cs="仿宋_GB2312"/>
          <w:sz w:val="32"/>
          <w:highlight w:val="none"/>
        </w:rPr>
        <w:t>项目承办单位根据方案内容，按照项目目标要求，铺开项目建设工作</w:t>
      </w:r>
      <w:r>
        <w:rPr>
          <w:rFonts w:hint="eastAsia" w:ascii="仿宋_GB2312" w:hAnsi="仿宋_GB2312" w:eastAsia="仿宋_GB2312" w:cs="仿宋_GB2312"/>
          <w:sz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三</w:t>
      </w: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绩效</w:t>
      </w:r>
      <w:r>
        <w:rPr>
          <w:rFonts w:hint="eastAsia" w:ascii="楷体" w:hAnsi="楷体" w:eastAsia="楷体" w:cs="楷体"/>
          <w:b/>
          <w:bCs w:val="0"/>
          <w:sz w:val="32"/>
          <w:highlight w:val="none"/>
        </w:rPr>
        <w:t>验收阶段（202</w:t>
      </w:r>
      <w:r>
        <w:rPr>
          <w:rFonts w:hint="eastAsia" w:ascii="楷体" w:hAnsi="楷体" w:eastAsia="楷体" w:cs="楷体"/>
          <w:b/>
          <w:bCs w:val="0"/>
          <w:sz w:val="32"/>
          <w:highlight w:val="none"/>
          <w:lang w:val="en-US" w:eastAsia="zh-CN"/>
        </w:rPr>
        <w:t>3</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11</w:t>
      </w:r>
      <w:r>
        <w:rPr>
          <w:rFonts w:hint="eastAsia" w:ascii="楷体" w:hAnsi="楷体" w:eastAsia="楷体" w:cs="楷体"/>
          <w:b/>
          <w:bCs w:val="0"/>
          <w:sz w:val="32"/>
          <w:highlight w:val="none"/>
        </w:rPr>
        <w:t>月</w:t>
      </w:r>
      <w:r>
        <w:rPr>
          <w:rFonts w:hint="eastAsia" w:ascii="楷体" w:hAnsi="楷体" w:eastAsia="楷体" w:cs="楷体"/>
          <w:b/>
          <w:bCs w:val="0"/>
          <w:sz w:val="32"/>
          <w:highlight w:val="none"/>
          <w:lang w:val="en-US" w:eastAsia="zh-CN"/>
        </w:rPr>
        <w:t>-</w:t>
      </w:r>
      <w:r>
        <w:rPr>
          <w:rFonts w:hint="eastAsia" w:ascii="楷体" w:hAnsi="楷体" w:eastAsia="楷体" w:cs="楷体"/>
          <w:b/>
          <w:bCs w:val="0"/>
          <w:sz w:val="32"/>
          <w:highlight w:val="none"/>
        </w:rPr>
        <w:t>202</w:t>
      </w:r>
      <w:r>
        <w:rPr>
          <w:rFonts w:hint="eastAsia" w:ascii="楷体" w:hAnsi="楷体" w:eastAsia="楷体" w:cs="楷体"/>
          <w:b/>
          <w:bCs w:val="0"/>
          <w:sz w:val="32"/>
          <w:highlight w:val="none"/>
          <w:lang w:val="en-US" w:eastAsia="zh-CN"/>
        </w:rPr>
        <w:t>3</w:t>
      </w:r>
      <w:r>
        <w:rPr>
          <w:rFonts w:hint="eastAsia" w:ascii="楷体" w:hAnsi="楷体" w:eastAsia="楷体" w:cs="楷体"/>
          <w:b/>
          <w:bCs w:val="0"/>
          <w:sz w:val="32"/>
          <w:highlight w:val="none"/>
        </w:rPr>
        <w:t>年</w:t>
      </w:r>
      <w:r>
        <w:rPr>
          <w:rFonts w:hint="eastAsia" w:ascii="楷体" w:hAnsi="楷体" w:eastAsia="楷体" w:cs="楷体"/>
          <w:b/>
          <w:bCs w:val="0"/>
          <w:sz w:val="32"/>
          <w:highlight w:val="none"/>
          <w:lang w:val="en-US" w:eastAsia="zh-CN"/>
        </w:rPr>
        <w:t>12</w:t>
      </w:r>
      <w:r>
        <w:rPr>
          <w:rFonts w:hint="eastAsia" w:ascii="楷体" w:hAnsi="楷体" w:eastAsia="楷体" w:cs="楷体"/>
          <w:b/>
          <w:bCs w:val="0"/>
          <w:sz w:val="32"/>
          <w:highlight w:val="none"/>
        </w:rPr>
        <w:t>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各</w:t>
      </w:r>
      <w:r>
        <w:rPr>
          <w:rFonts w:hint="eastAsia" w:ascii="仿宋_GB2312" w:hAnsi="仿宋_GB2312" w:eastAsia="仿宋_GB2312" w:cs="仿宋_GB2312"/>
          <w:sz w:val="32"/>
          <w:highlight w:val="none"/>
          <w:lang w:val="en-US" w:eastAsia="zh-CN"/>
        </w:rPr>
        <w:t>领导小组成员单位和</w:t>
      </w:r>
      <w:r>
        <w:rPr>
          <w:rFonts w:hint="eastAsia" w:ascii="仿宋_GB2312" w:hAnsi="仿宋_GB2312" w:eastAsia="仿宋_GB2312" w:cs="仿宋_GB2312"/>
          <w:sz w:val="32"/>
          <w:highlight w:val="none"/>
        </w:rPr>
        <w:t>项目承办单位按要求整理、汇总项目相关资料</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接受上级部门组织的绩效评价</w:t>
      </w:r>
      <w:r>
        <w:rPr>
          <w:rFonts w:hint="eastAsia" w:ascii="仿宋_GB2312" w:hAnsi="仿宋_GB2312" w:eastAsia="仿宋_GB2312" w:cs="仿宋_GB2312"/>
          <w:sz w:val="32"/>
          <w:highlight w:val="none"/>
        </w:rPr>
        <w:t>。并根据评价结果，做好整改工作，继续开展示范项目创建工作，不断总结示范经验和成果。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四</w:t>
      </w: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持续运营</w:t>
      </w:r>
      <w:r>
        <w:rPr>
          <w:rFonts w:hint="eastAsia" w:ascii="楷体" w:hAnsi="楷体" w:eastAsia="楷体" w:cs="楷体"/>
          <w:b/>
          <w:bCs w:val="0"/>
          <w:sz w:val="32"/>
          <w:highlight w:val="none"/>
        </w:rPr>
        <w:t>阶段（</w:t>
      </w:r>
      <w:r>
        <w:rPr>
          <w:rFonts w:hint="eastAsia" w:ascii="楷体" w:hAnsi="楷体" w:eastAsia="楷体" w:cs="楷体"/>
          <w:b/>
          <w:bCs w:val="0"/>
          <w:sz w:val="32"/>
          <w:highlight w:val="none"/>
          <w:lang w:val="en-US" w:eastAsia="zh-CN"/>
        </w:rPr>
        <w:t>绩效评价以后</w:t>
      </w:r>
      <w:r>
        <w:rPr>
          <w:rFonts w:hint="eastAsia" w:ascii="楷体" w:hAnsi="楷体" w:eastAsia="楷体" w:cs="楷体"/>
          <w:b/>
          <w:bCs w:val="0"/>
          <w:sz w:val="32"/>
          <w:highlight w:val="none"/>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项目进入全面持续运营。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黑体" w:hAnsi="黑体" w:eastAsia="黑体" w:cs="黑体"/>
          <w:bCs/>
          <w:kern w:val="0"/>
          <w:sz w:val="32"/>
          <w:szCs w:val="24"/>
          <w:highlight w:val="none"/>
          <w:lang w:val="en-US" w:eastAsia="zh-CN" w:bidi="ar-SA"/>
        </w:rPr>
      </w:pPr>
      <w:r>
        <w:rPr>
          <w:rFonts w:hint="eastAsia" w:ascii="黑体" w:hAnsi="黑体" w:eastAsia="黑体" w:cs="仿宋"/>
          <w:sz w:val="32"/>
          <w:highlight w:val="none"/>
        </w:rPr>
        <w:t>五、</w:t>
      </w:r>
      <w:r>
        <w:rPr>
          <w:rFonts w:hint="eastAsia" w:ascii="黑体" w:hAnsi="黑体" w:eastAsia="黑体" w:cs="仿宋"/>
          <w:sz w:val="32"/>
          <w:highlight w:val="none"/>
          <w:lang w:val="en-US" w:eastAsia="zh-CN"/>
        </w:rPr>
        <w:t>使用计划</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陆河县国家级电子商务进农村综合示范项目（尾款）</w:t>
      </w:r>
      <w:r>
        <w:rPr>
          <w:rFonts w:hint="eastAsia" w:ascii="仿宋_GB2312" w:hAnsi="仿宋_GB2312" w:eastAsia="仿宋_GB2312" w:cs="仿宋_GB2312"/>
          <w:kern w:val="0"/>
          <w:sz w:val="32"/>
          <w:szCs w:val="32"/>
        </w:rPr>
        <w:t>预算总投资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1150</w:t>
      </w:r>
      <w:r>
        <w:rPr>
          <w:rFonts w:hint="eastAsia" w:ascii="仿宋_GB2312" w:hAnsi="仿宋_GB2312" w:eastAsia="仿宋_GB2312" w:cs="仿宋_GB2312"/>
          <w:kern w:val="0"/>
          <w:sz w:val="32"/>
          <w:szCs w:val="32"/>
        </w:rPr>
        <w:t>万元，其中，中央财政专项资金</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省财政专项资金500万元</w:t>
      </w:r>
      <w:r>
        <w:rPr>
          <w:rFonts w:hint="eastAsia" w:ascii="仿宋_GB2312" w:hAnsi="仿宋_GB2312" w:eastAsia="仿宋_GB2312" w:cs="仿宋_GB2312"/>
          <w:kern w:val="0"/>
          <w:sz w:val="32"/>
          <w:szCs w:val="32"/>
        </w:rPr>
        <w:t>，县财政配套资金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150</w:t>
      </w:r>
      <w:r>
        <w:rPr>
          <w:rFonts w:hint="eastAsia" w:ascii="仿宋_GB2312" w:hAnsi="仿宋_GB2312" w:eastAsia="仿宋_GB2312" w:cs="仿宋_GB2312"/>
          <w:kern w:val="0"/>
          <w:sz w:val="32"/>
          <w:szCs w:val="32"/>
        </w:rPr>
        <w:t>万元，具体资金使用计划详见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附件：</w:t>
      </w:r>
      <w:r>
        <w:rPr>
          <w:rFonts w:hint="eastAsia" w:ascii="仿宋_GB2312" w:hAnsi="仿宋_GB2312" w:eastAsia="仿宋_GB2312" w:cs="仿宋_GB2312"/>
          <w:kern w:val="0"/>
          <w:sz w:val="32"/>
          <w:szCs w:val="32"/>
          <w:lang w:eastAsia="zh-CN"/>
        </w:rPr>
        <w:t>陆河</w:t>
      </w:r>
      <w:r>
        <w:rPr>
          <w:rFonts w:hint="eastAsia" w:ascii="仿宋_GB2312" w:hAnsi="仿宋_GB2312" w:eastAsia="仿宋_GB2312" w:cs="仿宋_GB2312"/>
          <w:kern w:val="0"/>
          <w:sz w:val="32"/>
          <w:szCs w:val="32"/>
        </w:rPr>
        <w:t>县国家级电子商务进农村综合示范项目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尾款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资金使用概算表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黑体" w:hAnsi="黑体" w:eastAsia="黑体" w:cs="仿宋"/>
          <w:sz w:val="32"/>
          <w:highlight w:val="none"/>
        </w:rPr>
      </w:pPr>
      <w:r>
        <w:rPr>
          <w:rFonts w:hint="eastAsia" w:ascii="黑体" w:hAnsi="黑体" w:eastAsia="黑体" w:cs="仿宋"/>
          <w:sz w:val="32"/>
          <w:highlight w:val="none"/>
          <w:lang w:val="en-US" w:eastAsia="zh-CN"/>
        </w:rPr>
        <w:t>六、</w:t>
      </w:r>
      <w:r>
        <w:rPr>
          <w:rFonts w:hint="eastAsia" w:ascii="黑体" w:hAnsi="黑体" w:eastAsia="黑体" w:cs="仿宋"/>
          <w:sz w:val="32"/>
          <w:highlight w:val="none"/>
        </w:rPr>
        <w:t>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highlight w:val="none"/>
        </w:rPr>
      </w:pPr>
      <w:r>
        <w:rPr>
          <w:rFonts w:hint="eastAsia" w:ascii="楷体" w:hAnsi="楷体" w:eastAsia="楷体" w:cs="楷体"/>
          <w:b/>
          <w:bCs w:val="0"/>
          <w:highlight w:val="none"/>
        </w:rPr>
        <w:t>（一）强化组织领导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sz w:val="32"/>
          <w:szCs w:val="32"/>
          <w:highlight w:val="none"/>
          <w:lang w:val="en-US" w:eastAsia="zh-CN"/>
        </w:rPr>
      </w:pPr>
      <w:r>
        <w:rPr>
          <w:rFonts w:hint="eastAsia" w:ascii="仿宋_GB2312" w:hAnsi="仿宋_GB2312" w:cs="仿宋_GB2312"/>
          <w:bCs/>
          <w:sz w:val="32"/>
          <w:szCs w:val="32"/>
          <w:highlight w:val="none"/>
          <w:lang w:val="en-US" w:eastAsia="zh-CN"/>
        </w:rPr>
        <w:t>根据</w:t>
      </w:r>
      <w:r>
        <w:rPr>
          <w:rFonts w:hint="eastAsia" w:ascii="仿宋_GB2312" w:hAnsi="仿宋_GB2312" w:eastAsia="仿宋_GB2312" w:cs="仿宋_GB2312"/>
          <w:bCs/>
          <w:sz w:val="32"/>
          <w:szCs w:val="32"/>
          <w:highlight w:val="none"/>
          <w:lang w:val="en-US" w:eastAsia="zh-CN"/>
        </w:rPr>
        <w:t>陆河</w:t>
      </w:r>
      <w:r>
        <w:rPr>
          <w:rFonts w:hint="eastAsia" w:ascii="仿宋_GB2312" w:hAnsi="仿宋_GB2312" w:eastAsia="仿宋_GB2312" w:cs="仿宋_GB2312"/>
          <w:sz w:val="32"/>
          <w:szCs w:val="32"/>
          <w:highlight w:val="none"/>
        </w:rPr>
        <w:t>县电子商务进农村综合示范工作领导小组</w:t>
      </w:r>
      <w:r>
        <w:rPr>
          <w:rFonts w:hint="eastAsia" w:ascii="仿宋_GB2312" w:hAnsi="仿宋_GB2312" w:cs="仿宋_GB2312"/>
          <w:sz w:val="32"/>
          <w:szCs w:val="32"/>
          <w:highlight w:val="none"/>
          <w:lang w:val="en-US" w:eastAsia="zh-CN"/>
        </w:rPr>
        <w:t>工作安排，</w:t>
      </w:r>
      <w:r>
        <w:rPr>
          <w:rFonts w:hint="eastAsia" w:ascii="仿宋_GB2312" w:hAnsi="仿宋_GB2312" w:eastAsia="仿宋_GB2312" w:cs="仿宋_GB2312"/>
          <w:sz w:val="32"/>
          <w:szCs w:val="32"/>
          <w:highlight w:val="none"/>
        </w:rPr>
        <w:t>领导小组下设办公室，办公室设在县</w:t>
      </w:r>
      <w:r>
        <w:rPr>
          <w:rFonts w:hint="eastAsia" w:ascii="仿宋_GB2312" w:hAnsi="仿宋_GB2312" w:eastAsia="仿宋_GB2312" w:cs="仿宋_GB2312"/>
          <w:sz w:val="32"/>
          <w:szCs w:val="32"/>
          <w:highlight w:val="none"/>
          <w:lang w:val="en-US" w:eastAsia="zh-CN"/>
        </w:rPr>
        <w:t>科工</w:t>
      </w:r>
      <w:r>
        <w:rPr>
          <w:rFonts w:hint="eastAsia" w:ascii="仿宋_GB2312" w:hAnsi="仿宋_GB2312" w:eastAsia="仿宋_GB2312" w:cs="仿宋_GB2312"/>
          <w:sz w:val="32"/>
          <w:szCs w:val="32"/>
          <w:highlight w:val="none"/>
        </w:rPr>
        <w:t>局，负责统筹协调</w:t>
      </w:r>
      <w:r>
        <w:rPr>
          <w:rFonts w:hint="eastAsia" w:ascii="仿宋_GB2312" w:hAnsi="仿宋_GB2312" w:cs="仿宋_GB2312"/>
          <w:sz w:val="32"/>
          <w:szCs w:val="32"/>
          <w:highlight w:val="none"/>
          <w:lang w:val="en-US" w:eastAsia="zh-CN"/>
        </w:rPr>
        <w:t>推进</w:t>
      </w:r>
      <w:r>
        <w:rPr>
          <w:rFonts w:hint="eastAsia" w:ascii="仿宋_GB2312" w:hAnsi="仿宋_GB2312" w:eastAsia="仿宋_GB2312" w:cs="仿宋_GB2312"/>
          <w:sz w:val="32"/>
          <w:szCs w:val="32"/>
          <w:highlight w:val="none"/>
        </w:rPr>
        <w:t>县国家级电子商务进农村综合示范项目（尾款）</w:t>
      </w:r>
      <w:r>
        <w:rPr>
          <w:rFonts w:hint="eastAsia" w:ascii="仿宋_GB2312" w:hAnsi="仿宋_GB2312" w:cs="仿宋_GB2312"/>
          <w:sz w:val="32"/>
          <w:szCs w:val="32"/>
          <w:highlight w:val="none"/>
          <w:lang w:val="en-US" w:eastAsia="zh-CN"/>
        </w:rPr>
        <w:t>各项工作</w:t>
      </w:r>
      <w:r>
        <w:rPr>
          <w:rFonts w:hint="eastAsia" w:ascii="仿宋_GB2312" w:hAnsi="仿宋_GB2312" w:eastAsia="仿宋_GB2312" w:cs="仿宋_GB2312"/>
          <w:sz w:val="32"/>
          <w:szCs w:val="32"/>
          <w:highlight w:val="none"/>
        </w:rPr>
        <w:t>。</w:t>
      </w:r>
      <w:r>
        <w:rPr>
          <w:rFonts w:hint="eastAsia" w:ascii="仿宋_GB2312" w:hAnsi="仿宋_GB2312" w:cs="仿宋_GB2312"/>
          <w:b w:val="0"/>
          <w:bCs/>
          <w:sz w:val="32"/>
          <w:szCs w:val="32"/>
          <w:highlight w:val="none"/>
          <w:lang w:val="en-US" w:eastAsia="zh-CN"/>
        </w:rPr>
        <w:t>领导小组定期或不定期召开电子商务进农村综合示范项目推进工作会议，定期或不定期召开电子商务企业、行业协会和运营商座谈会，研究电子商务发展模式，解决电子商务进农村综合示范创建和农村电子商务发展过程中遇到的痛点、堵点、盲点和难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firstLineChars="150"/>
        <w:jc w:val="both"/>
        <w:textAlignment w:val="auto"/>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rPr>
        <w:t>（二）</w:t>
      </w:r>
      <w:r>
        <w:rPr>
          <w:rFonts w:hint="eastAsia" w:ascii="楷体" w:hAnsi="楷体" w:eastAsia="楷体" w:cs="楷体"/>
          <w:b/>
          <w:bCs w:val="0"/>
          <w:sz w:val="32"/>
          <w:szCs w:val="32"/>
          <w:highlight w:val="none"/>
          <w:lang w:val="en-US" w:eastAsia="zh-CN"/>
        </w:rPr>
        <w:t>明确职责分工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0" w:firstLineChars="150"/>
        <w:jc w:val="both"/>
        <w:textAlignment w:val="auto"/>
        <w:rPr>
          <w:rFonts w:hint="eastAsia" w:ascii="仿宋_GB2312" w:hAnsi="仿宋_GB2312" w:eastAsia="仿宋_GB2312" w:cs="仿宋_GB2312"/>
          <w:b w:val="0"/>
          <w:bCs/>
          <w:sz w:val="32"/>
          <w:highlight w:val="none"/>
        </w:rPr>
      </w:pPr>
      <w:r>
        <w:rPr>
          <w:rFonts w:hint="eastAsia" w:ascii="仿宋_GB2312" w:hAnsi="仿宋_GB2312" w:eastAsia="仿宋_GB2312" w:cs="仿宋_GB2312"/>
          <w:b w:val="0"/>
          <w:bCs/>
          <w:sz w:val="32"/>
          <w:highlight w:val="none"/>
        </w:rPr>
        <w:t>各</w:t>
      </w:r>
      <w:r>
        <w:rPr>
          <w:rFonts w:hint="eastAsia" w:ascii="仿宋_GB2312" w:hAnsi="仿宋_GB2312" w:eastAsia="仿宋_GB2312" w:cs="仿宋_GB2312"/>
          <w:b w:val="0"/>
          <w:bCs/>
          <w:sz w:val="32"/>
          <w:highlight w:val="none"/>
          <w:lang w:val="en-US" w:eastAsia="zh-CN"/>
        </w:rPr>
        <w:t>领导小组</w:t>
      </w:r>
      <w:r>
        <w:rPr>
          <w:rFonts w:hint="eastAsia" w:ascii="仿宋_GB2312" w:hAnsi="仿宋_GB2312" w:eastAsia="仿宋_GB2312" w:cs="仿宋_GB2312"/>
          <w:b w:val="0"/>
          <w:bCs/>
          <w:sz w:val="32"/>
          <w:highlight w:val="none"/>
        </w:rPr>
        <w:t>成员单位要明确职责分工，</w:t>
      </w:r>
      <w:r>
        <w:rPr>
          <w:rFonts w:hint="eastAsia" w:ascii="仿宋_GB2312" w:hAnsi="仿宋_GB2312" w:eastAsia="仿宋_GB2312" w:cs="仿宋_GB2312"/>
          <w:b w:val="0"/>
          <w:bCs/>
          <w:sz w:val="32"/>
          <w:highlight w:val="none"/>
          <w:lang w:val="en-US" w:eastAsia="zh-CN"/>
        </w:rPr>
        <w:t>严格按照《陆河县人民政府办公室关于印发陆河县国家级电子商务进农村综合示范工作实施方案的通知》文件任务分工，</w:t>
      </w:r>
      <w:r>
        <w:rPr>
          <w:rFonts w:hint="eastAsia" w:ascii="仿宋_GB2312" w:hAnsi="仿宋_GB2312" w:eastAsia="仿宋_GB2312" w:cs="仿宋_GB2312"/>
          <w:b w:val="0"/>
          <w:bCs/>
          <w:sz w:val="32"/>
          <w:highlight w:val="none"/>
        </w:rPr>
        <w:t>成立相应工作机构，建立由主要领导亲自抓、分管领导具体抓、职能股室主动抓的工作机制，并结合本实施方案，细化工作措施，明确目标任务，落实工作责任，确保综合示范</w:t>
      </w:r>
      <w:r>
        <w:rPr>
          <w:rFonts w:hint="eastAsia" w:ascii="仿宋_GB2312" w:hAnsi="仿宋_GB2312" w:eastAsia="仿宋_GB2312" w:cs="仿宋_GB2312"/>
          <w:b w:val="0"/>
          <w:bCs/>
          <w:sz w:val="32"/>
          <w:highlight w:val="none"/>
          <w:lang w:val="en-US" w:eastAsia="zh-CN"/>
        </w:rPr>
        <w:t>项目创建</w:t>
      </w:r>
      <w:r>
        <w:rPr>
          <w:rFonts w:hint="eastAsia" w:ascii="仿宋_GB2312" w:hAnsi="仿宋_GB2312" w:eastAsia="仿宋_GB2312" w:cs="仿宋_GB2312"/>
          <w:b w:val="0"/>
          <w:bCs/>
          <w:sz w:val="32"/>
          <w:highlight w:val="none"/>
        </w:rPr>
        <w:t>如期推进，顺利通过国家验收。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firstLineChars="150"/>
        <w:jc w:val="both"/>
        <w:textAlignment w:val="auto"/>
        <w:rPr>
          <w:rFonts w:hint="default"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rPr>
        <w:t>（</w:t>
      </w:r>
      <w:r>
        <w:rPr>
          <w:rFonts w:hint="eastAsia" w:ascii="楷体" w:hAnsi="楷体" w:eastAsia="楷体" w:cs="楷体"/>
          <w:b/>
          <w:bCs w:val="0"/>
          <w:sz w:val="32"/>
          <w:szCs w:val="32"/>
          <w:highlight w:val="none"/>
          <w:lang w:val="en-US" w:eastAsia="zh-CN"/>
        </w:rPr>
        <w:t>三</w:t>
      </w:r>
      <w:r>
        <w:rPr>
          <w:rFonts w:hint="eastAsia" w:ascii="楷体" w:hAnsi="楷体" w:eastAsia="楷体" w:cs="楷体"/>
          <w:b/>
          <w:bCs w:val="0"/>
          <w:sz w:val="32"/>
          <w:szCs w:val="32"/>
          <w:highlight w:val="none"/>
        </w:rPr>
        <w:t>）</w:t>
      </w:r>
      <w:r>
        <w:rPr>
          <w:rFonts w:hint="eastAsia" w:ascii="楷体" w:hAnsi="楷体" w:eastAsia="楷体" w:cs="楷体"/>
          <w:b/>
          <w:bCs w:val="0"/>
          <w:sz w:val="32"/>
          <w:szCs w:val="32"/>
          <w:highlight w:val="none"/>
          <w:lang w:val="en-US" w:eastAsia="zh-CN"/>
        </w:rPr>
        <w:t>加强资金保障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0" w:firstLineChars="15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lang w:val="en-US" w:eastAsia="zh-CN"/>
        </w:rPr>
        <w:t>在项目实施过程中，严格按照《广东省财政厅关于提前下达中央财政2022年服务业发展专项资金（电子商务进农村综合示范项目）的通知》（粤财工〔2021〕105号）、《广东省商务厅关于下达2022年促进经济高质量发展专项资金发展内贸促消费方向（农村电商非典型激励项目、农村电商典型激励项目）项目计划的通知》（粤商务电函〔2022〕28号）等文件要求和上级部门项目专项资金使用管理有关规定，切实履行审批程序，使用好专项资金</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val="en-US" w:eastAsia="zh-CN"/>
        </w:rPr>
        <w:t>同时，</w:t>
      </w:r>
      <w:r>
        <w:rPr>
          <w:rFonts w:hint="eastAsia" w:ascii="仿宋_GB2312" w:hAnsi="仿宋_GB2312" w:eastAsia="仿宋_GB2312" w:cs="仿宋_GB2312"/>
          <w:sz w:val="32"/>
          <w:highlight w:val="none"/>
          <w:lang w:eastAsia="zh-CN"/>
        </w:rPr>
        <w:t>根据实际需要</w:t>
      </w:r>
      <w:r>
        <w:rPr>
          <w:rFonts w:hint="eastAsia" w:ascii="仿宋_GB2312" w:hAnsi="仿宋_GB2312" w:eastAsia="仿宋_GB2312" w:cs="仿宋_GB2312"/>
          <w:sz w:val="32"/>
          <w:highlight w:val="none"/>
        </w:rPr>
        <w:t>县财政配套</w:t>
      </w:r>
      <w:r>
        <w:rPr>
          <w:rFonts w:hint="eastAsia" w:ascii="仿宋_GB2312" w:hAnsi="仿宋_GB2312" w:eastAsia="仿宋_GB2312" w:cs="仿宋_GB2312"/>
          <w:sz w:val="32"/>
          <w:highlight w:val="none"/>
          <w:lang w:val="en-US" w:eastAsia="zh-CN"/>
        </w:rPr>
        <w:t>150万元</w:t>
      </w:r>
      <w:r>
        <w:rPr>
          <w:rFonts w:hint="eastAsia" w:ascii="仿宋_GB2312" w:hAnsi="仿宋_GB2312" w:eastAsia="仿宋_GB2312" w:cs="仿宋_GB2312"/>
          <w:sz w:val="32"/>
          <w:highlight w:val="none"/>
          <w:lang w:eastAsia="zh-CN"/>
        </w:rPr>
        <w:t>资金，</w:t>
      </w:r>
      <w:r>
        <w:rPr>
          <w:rFonts w:hint="eastAsia" w:ascii="仿宋_GB2312" w:hAnsi="仿宋_GB2312" w:eastAsia="仿宋_GB2312" w:cs="仿宋_GB2312"/>
          <w:sz w:val="32"/>
          <w:highlight w:val="none"/>
        </w:rPr>
        <w:t>用于</w:t>
      </w:r>
      <w:r>
        <w:rPr>
          <w:rFonts w:hint="eastAsia" w:ascii="仿宋_GB2312" w:hAnsi="仿宋_GB2312" w:eastAsia="仿宋_GB2312" w:cs="仿宋_GB2312"/>
          <w:sz w:val="32"/>
          <w:highlight w:val="none"/>
          <w:lang w:eastAsia="zh-CN"/>
        </w:rPr>
        <w:t>保障</w:t>
      </w:r>
      <w:r>
        <w:rPr>
          <w:rFonts w:hint="eastAsia" w:ascii="仿宋_GB2312" w:hAnsi="仿宋_GB2312" w:eastAsia="仿宋_GB2312" w:cs="仿宋_GB2312"/>
          <w:sz w:val="32"/>
          <w:highlight w:val="none"/>
        </w:rPr>
        <w:t>示范项目建设。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firstLineChars="150"/>
        <w:jc w:val="both"/>
        <w:textAlignment w:val="auto"/>
        <w:rPr>
          <w:rFonts w:hint="eastAsia" w:ascii="楷体" w:hAnsi="楷体" w:eastAsia="楷体" w:cs="楷体"/>
          <w:b/>
          <w:bCs w:val="0"/>
          <w:sz w:val="32"/>
          <w:highlight w:val="none"/>
        </w:rPr>
      </w:pP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四</w:t>
      </w:r>
      <w:r>
        <w:rPr>
          <w:rFonts w:hint="eastAsia" w:ascii="楷体" w:hAnsi="楷体" w:eastAsia="楷体" w:cs="楷体"/>
          <w:b/>
          <w:bCs w:val="0"/>
          <w:sz w:val="32"/>
          <w:highlight w:val="none"/>
        </w:rPr>
        <w:t>）</w:t>
      </w:r>
      <w:r>
        <w:rPr>
          <w:rFonts w:hint="eastAsia" w:ascii="楷体" w:hAnsi="楷体" w:eastAsia="楷体" w:cs="楷体"/>
          <w:b/>
          <w:bCs w:val="0"/>
          <w:sz w:val="32"/>
          <w:highlight w:val="none"/>
          <w:lang w:val="en-US" w:eastAsia="zh-CN"/>
        </w:rPr>
        <w:t>广泛宣传动员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0" w:firstLineChars="150"/>
        <w:jc w:val="both"/>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rPr>
        <w:t>充分利用政府门户网站、微博、微信等新兴媒体和广播、电视、报刊、杂志等传统媒体，多渠道、多形式、多频率的开展县电子商务进农村综合示范工作政策宣传。广泛调动各级政府部门、工业企业、商贸企业、种</w:t>
      </w:r>
      <w:r>
        <w:rPr>
          <w:rFonts w:hint="eastAsia" w:ascii="仿宋_GB2312" w:hAnsi="仿宋_GB2312" w:eastAsia="仿宋_GB2312" w:cs="仿宋_GB2312"/>
          <w:sz w:val="32"/>
          <w:highlight w:val="none"/>
          <w:lang w:val="en-US" w:eastAsia="zh-CN"/>
        </w:rPr>
        <w:t>植</w:t>
      </w:r>
      <w:r>
        <w:rPr>
          <w:rFonts w:hint="eastAsia" w:ascii="仿宋_GB2312" w:hAnsi="仿宋_GB2312" w:eastAsia="仿宋_GB2312" w:cs="仿宋_GB2312"/>
          <w:sz w:val="32"/>
          <w:highlight w:val="none"/>
        </w:rPr>
        <w:t>养殖大户、社会团体和民间组织参与电子商务进农村综合示范工作积极性和主动性，增强企业投资电子商务、应用电子商务的信心和决心。发挥行业协会等民间组织的桥梁纽带作用，举办形式多样的研讨会、座谈会、</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沙龙、</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讲座等活动，营造政府、企业以及社会各界共同参与推动电子商务进农村综合示范工作的良好氛围。及时发现和认真总结示范工作中出现的典型经验与做法，加强与媒体合作，通过整体策划、专题活动、定期宣传等方式，及时总结推广成功的运营模式，树立一批农村电子商务先进典型。对农村青年创业创新、农村产品网销、农村物流解决方案、</w:t>
      </w:r>
      <w:r>
        <w:rPr>
          <w:rFonts w:hint="eastAsia" w:ascii="仿宋_GB2312" w:hAnsi="仿宋_GB2312" w:eastAsia="仿宋_GB2312" w:cs="仿宋_GB2312"/>
          <w:sz w:val="32"/>
          <w:highlight w:val="none"/>
          <w:lang w:eastAsia="zh-CN"/>
        </w:rPr>
        <w:t>电子商务</w:t>
      </w:r>
      <w:r>
        <w:rPr>
          <w:rFonts w:hint="eastAsia" w:ascii="仿宋_GB2312" w:hAnsi="仿宋_GB2312" w:eastAsia="仿宋_GB2312" w:cs="仿宋_GB2312"/>
          <w:sz w:val="32"/>
          <w:highlight w:val="none"/>
        </w:rPr>
        <w:t>精准扶贫、企业运营模式等典型案例及时汇总、归纳和上报，加大宣传推广，促进相互借鉴和交流合作。</w:t>
      </w:r>
    </w:p>
    <w:p>
      <w:pPr>
        <w:pStyle w:val="14"/>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textAlignment w:val="auto"/>
        <w:rPr>
          <w:rFonts w:hint="eastAsia" w:ascii="仿宋_GB2312" w:hAnsi="仿宋_GB2312" w:eastAsia="仿宋_GB2312" w:cs="仿宋_GB2312"/>
          <w:kern w:val="0"/>
          <w:sz w:val="32"/>
          <w:szCs w:val="24"/>
          <w:highlight w:val="none"/>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textAlignment w:val="auto"/>
        <w:rPr>
          <w:rFonts w:hint="eastAsia" w:ascii="仿宋_GB2312" w:hAnsi="仿宋_GB2312" w:eastAsia="仿宋_GB2312" w:cs="仿宋_GB2312"/>
          <w:kern w:val="0"/>
          <w:sz w:val="32"/>
          <w:szCs w:val="24"/>
          <w:highlight w:val="none"/>
          <w:lang w:val="en-US" w:eastAsia="zh-CN" w:bidi="ar-SA"/>
        </w:rPr>
      </w:pPr>
      <w:r>
        <w:rPr>
          <w:rFonts w:hint="eastAsia" w:ascii="仿宋_GB2312" w:hAnsi="仿宋_GB2312" w:eastAsia="仿宋_GB2312" w:cs="仿宋_GB2312"/>
          <w:kern w:val="0"/>
          <w:sz w:val="32"/>
          <w:szCs w:val="24"/>
          <w:highlight w:val="none"/>
          <w:lang w:val="en-US" w:eastAsia="zh-CN" w:bidi="ar-SA"/>
        </w:rPr>
        <w:t>附件：陆河县国家级电子商务进农村综合示范项目（尾款）资金使用概算表</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64"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50"/>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03"/>
    <w:rsid w:val="00000939"/>
    <w:rsid w:val="00003E6D"/>
    <w:rsid w:val="00024861"/>
    <w:rsid w:val="00036D1D"/>
    <w:rsid w:val="000719E1"/>
    <w:rsid w:val="00075437"/>
    <w:rsid w:val="000A1BEB"/>
    <w:rsid w:val="000B301E"/>
    <w:rsid w:val="000E62CA"/>
    <w:rsid w:val="000F450D"/>
    <w:rsid w:val="001034B3"/>
    <w:rsid w:val="00105D46"/>
    <w:rsid w:val="00173914"/>
    <w:rsid w:val="00176ED0"/>
    <w:rsid w:val="00183D5C"/>
    <w:rsid w:val="001853A2"/>
    <w:rsid w:val="001A04E7"/>
    <w:rsid w:val="001A2397"/>
    <w:rsid w:val="001A3F8A"/>
    <w:rsid w:val="001B3703"/>
    <w:rsid w:val="001B441C"/>
    <w:rsid w:val="001C0221"/>
    <w:rsid w:val="001E4A8F"/>
    <w:rsid w:val="001E5575"/>
    <w:rsid w:val="00201BE3"/>
    <w:rsid w:val="00212010"/>
    <w:rsid w:val="00213107"/>
    <w:rsid w:val="002135DB"/>
    <w:rsid w:val="00224D26"/>
    <w:rsid w:val="00235E9A"/>
    <w:rsid w:val="00240A55"/>
    <w:rsid w:val="002412F5"/>
    <w:rsid w:val="00250E88"/>
    <w:rsid w:val="002957BC"/>
    <w:rsid w:val="002A779A"/>
    <w:rsid w:val="002E1EFC"/>
    <w:rsid w:val="0030515D"/>
    <w:rsid w:val="0030585A"/>
    <w:rsid w:val="00320FE6"/>
    <w:rsid w:val="00322370"/>
    <w:rsid w:val="00323096"/>
    <w:rsid w:val="0032405D"/>
    <w:rsid w:val="00324DB2"/>
    <w:rsid w:val="003262FC"/>
    <w:rsid w:val="00327DB0"/>
    <w:rsid w:val="003316B2"/>
    <w:rsid w:val="0035083B"/>
    <w:rsid w:val="00355744"/>
    <w:rsid w:val="0037309A"/>
    <w:rsid w:val="00385D49"/>
    <w:rsid w:val="0039314B"/>
    <w:rsid w:val="00394393"/>
    <w:rsid w:val="003950C9"/>
    <w:rsid w:val="003C20B4"/>
    <w:rsid w:val="003F5775"/>
    <w:rsid w:val="00403490"/>
    <w:rsid w:val="004039E5"/>
    <w:rsid w:val="00404ED3"/>
    <w:rsid w:val="00412E69"/>
    <w:rsid w:val="00425D92"/>
    <w:rsid w:val="004436C1"/>
    <w:rsid w:val="0045214D"/>
    <w:rsid w:val="00473D28"/>
    <w:rsid w:val="00474105"/>
    <w:rsid w:val="0049409D"/>
    <w:rsid w:val="004B589F"/>
    <w:rsid w:val="004B7D13"/>
    <w:rsid w:val="004C0BC4"/>
    <w:rsid w:val="004D370B"/>
    <w:rsid w:val="004E0DC8"/>
    <w:rsid w:val="005246C8"/>
    <w:rsid w:val="00571FD3"/>
    <w:rsid w:val="005850AA"/>
    <w:rsid w:val="005C4550"/>
    <w:rsid w:val="005C4B3C"/>
    <w:rsid w:val="005C6558"/>
    <w:rsid w:val="005D1D49"/>
    <w:rsid w:val="005E4670"/>
    <w:rsid w:val="00604251"/>
    <w:rsid w:val="00616AC8"/>
    <w:rsid w:val="006202FC"/>
    <w:rsid w:val="00640C29"/>
    <w:rsid w:val="00643EC2"/>
    <w:rsid w:val="006449F9"/>
    <w:rsid w:val="0067296C"/>
    <w:rsid w:val="0069117B"/>
    <w:rsid w:val="006A6BDD"/>
    <w:rsid w:val="006A6D3B"/>
    <w:rsid w:val="006B298C"/>
    <w:rsid w:val="006C278E"/>
    <w:rsid w:val="006C3254"/>
    <w:rsid w:val="006D460D"/>
    <w:rsid w:val="006E3CA6"/>
    <w:rsid w:val="006F30D5"/>
    <w:rsid w:val="007165C7"/>
    <w:rsid w:val="00723AE5"/>
    <w:rsid w:val="007303CB"/>
    <w:rsid w:val="00731C66"/>
    <w:rsid w:val="00740439"/>
    <w:rsid w:val="00744E0D"/>
    <w:rsid w:val="00755CB6"/>
    <w:rsid w:val="0076295B"/>
    <w:rsid w:val="00764AC4"/>
    <w:rsid w:val="0076567A"/>
    <w:rsid w:val="00765841"/>
    <w:rsid w:val="007666AC"/>
    <w:rsid w:val="00780D8B"/>
    <w:rsid w:val="00786F60"/>
    <w:rsid w:val="007A15BE"/>
    <w:rsid w:val="007A477B"/>
    <w:rsid w:val="007D51A4"/>
    <w:rsid w:val="007E3FFB"/>
    <w:rsid w:val="007F13A6"/>
    <w:rsid w:val="007F1420"/>
    <w:rsid w:val="007F6F57"/>
    <w:rsid w:val="0080173B"/>
    <w:rsid w:val="00803F93"/>
    <w:rsid w:val="00806003"/>
    <w:rsid w:val="00810834"/>
    <w:rsid w:val="0081723E"/>
    <w:rsid w:val="00827215"/>
    <w:rsid w:val="008349FB"/>
    <w:rsid w:val="00843A41"/>
    <w:rsid w:val="008447FC"/>
    <w:rsid w:val="00861794"/>
    <w:rsid w:val="0086228D"/>
    <w:rsid w:val="00870D27"/>
    <w:rsid w:val="0087263A"/>
    <w:rsid w:val="00880C07"/>
    <w:rsid w:val="00891250"/>
    <w:rsid w:val="008A504B"/>
    <w:rsid w:val="008B6271"/>
    <w:rsid w:val="008C2AF6"/>
    <w:rsid w:val="008C7CB2"/>
    <w:rsid w:val="008D62BE"/>
    <w:rsid w:val="008E24B2"/>
    <w:rsid w:val="008E3E48"/>
    <w:rsid w:val="008E481D"/>
    <w:rsid w:val="0090080F"/>
    <w:rsid w:val="00927566"/>
    <w:rsid w:val="00937DD8"/>
    <w:rsid w:val="00947A40"/>
    <w:rsid w:val="00952F97"/>
    <w:rsid w:val="00985B82"/>
    <w:rsid w:val="009964C5"/>
    <w:rsid w:val="00996D8F"/>
    <w:rsid w:val="009A4138"/>
    <w:rsid w:val="009A4D48"/>
    <w:rsid w:val="009C71B7"/>
    <w:rsid w:val="009D597F"/>
    <w:rsid w:val="009E04D5"/>
    <w:rsid w:val="009E252A"/>
    <w:rsid w:val="009E4474"/>
    <w:rsid w:val="009F3A54"/>
    <w:rsid w:val="009F7D2D"/>
    <w:rsid w:val="00A12B91"/>
    <w:rsid w:val="00A13D09"/>
    <w:rsid w:val="00A15D8B"/>
    <w:rsid w:val="00A1657F"/>
    <w:rsid w:val="00A305E8"/>
    <w:rsid w:val="00A34EB4"/>
    <w:rsid w:val="00A45058"/>
    <w:rsid w:val="00A47F11"/>
    <w:rsid w:val="00A543BF"/>
    <w:rsid w:val="00A563DD"/>
    <w:rsid w:val="00A6430A"/>
    <w:rsid w:val="00A65E6E"/>
    <w:rsid w:val="00A81343"/>
    <w:rsid w:val="00A859C4"/>
    <w:rsid w:val="00A934FC"/>
    <w:rsid w:val="00AB3BBB"/>
    <w:rsid w:val="00AE3116"/>
    <w:rsid w:val="00AE3FA0"/>
    <w:rsid w:val="00B073A3"/>
    <w:rsid w:val="00B23634"/>
    <w:rsid w:val="00B370DF"/>
    <w:rsid w:val="00B40B30"/>
    <w:rsid w:val="00B63AA9"/>
    <w:rsid w:val="00B763F0"/>
    <w:rsid w:val="00B94AB0"/>
    <w:rsid w:val="00BA03FA"/>
    <w:rsid w:val="00BA0C51"/>
    <w:rsid w:val="00BB34EC"/>
    <w:rsid w:val="00BE4209"/>
    <w:rsid w:val="00BE71B6"/>
    <w:rsid w:val="00BF4FFA"/>
    <w:rsid w:val="00C031F1"/>
    <w:rsid w:val="00C077D1"/>
    <w:rsid w:val="00C114DF"/>
    <w:rsid w:val="00C31534"/>
    <w:rsid w:val="00C41515"/>
    <w:rsid w:val="00C55C7D"/>
    <w:rsid w:val="00C57287"/>
    <w:rsid w:val="00C6028E"/>
    <w:rsid w:val="00C6140C"/>
    <w:rsid w:val="00C71C90"/>
    <w:rsid w:val="00C71F13"/>
    <w:rsid w:val="00C82F91"/>
    <w:rsid w:val="00C83A3A"/>
    <w:rsid w:val="00C90C4B"/>
    <w:rsid w:val="00CA08F6"/>
    <w:rsid w:val="00CB05BA"/>
    <w:rsid w:val="00CB78A7"/>
    <w:rsid w:val="00CC4FDA"/>
    <w:rsid w:val="00CD1425"/>
    <w:rsid w:val="00D037B1"/>
    <w:rsid w:val="00D12089"/>
    <w:rsid w:val="00D20AF5"/>
    <w:rsid w:val="00D54114"/>
    <w:rsid w:val="00D9191D"/>
    <w:rsid w:val="00D96E44"/>
    <w:rsid w:val="00DA1673"/>
    <w:rsid w:val="00DA4A1E"/>
    <w:rsid w:val="00DB15C0"/>
    <w:rsid w:val="00DB26C8"/>
    <w:rsid w:val="00DC7CAD"/>
    <w:rsid w:val="00DD19DD"/>
    <w:rsid w:val="00DD54CC"/>
    <w:rsid w:val="00DF1BED"/>
    <w:rsid w:val="00DF2EC1"/>
    <w:rsid w:val="00E23DC9"/>
    <w:rsid w:val="00E274AA"/>
    <w:rsid w:val="00E6720D"/>
    <w:rsid w:val="00E700AA"/>
    <w:rsid w:val="00E7249A"/>
    <w:rsid w:val="00E84F8D"/>
    <w:rsid w:val="00E92F64"/>
    <w:rsid w:val="00E95DB3"/>
    <w:rsid w:val="00EA4066"/>
    <w:rsid w:val="00EB637C"/>
    <w:rsid w:val="00EC3B15"/>
    <w:rsid w:val="00F01867"/>
    <w:rsid w:val="00F2094A"/>
    <w:rsid w:val="00F30A32"/>
    <w:rsid w:val="00F30CF4"/>
    <w:rsid w:val="00F328E8"/>
    <w:rsid w:val="00F528C8"/>
    <w:rsid w:val="00F55621"/>
    <w:rsid w:val="00F5694C"/>
    <w:rsid w:val="00F71855"/>
    <w:rsid w:val="00F72987"/>
    <w:rsid w:val="00F732CE"/>
    <w:rsid w:val="00FA0FFC"/>
    <w:rsid w:val="00FB5E7E"/>
    <w:rsid w:val="00FC1B7A"/>
    <w:rsid w:val="00FC30FE"/>
    <w:rsid w:val="00FC6DE7"/>
    <w:rsid w:val="00FF3F67"/>
    <w:rsid w:val="00FF6F91"/>
    <w:rsid w:val="01485C37"/>
    <w:rsid w:val="016254D1"/>
    <w:rsid w:val="01A16BCD"/>
    <w:rsid w:val="01EE3253"/>
    <w:rsid w:val="01F17BFD"/>
    <w:rsid w:val="025226A3"/>
    <w:rsid w:val="02854B8C"/>
    <w:rsid w:val="03C96BDA"/>
    <w:rsid w:val="03FD1E30"/>
    <w:rsid w:val="04CB741A"/>
    <w:rsid w:val="04CF0565"/>
    <w:rsid w:val="04F96314"/>
    <w:rsid w:val="05021888"/>
    <w:rsid w:val="06110760"/>
    <w:rsid w:val="06691B21"/>
    <w:rsid w:val="06CD37B0"/>
    <w:rsid w:val="06E31DD2"/>
    <w:rsid w:val="07314F2E"/>
    <w:rsid w:val="074D27BA"/>
    <w:rsid w:val="0771035A"/>
    <w:rsid w:val="077B1A36"/>
    <w:rsid w:val="078401E7"/>
    <w:rsid w:val="07901F84"/>
    <w:rsid w:val="08130108"/>
    <w:rsid w:val="08825557"/>
    <w:rsid w:val="08EC5969"/>
    <w:rsid w:val="094B41E6"/>
    <w:rsid w:val="097C4D2D"/>
    <w:rsid w:val="097E55C9"/>
    <w:rsid w:val="099C1F41"/>
    <w:rsid w:val="09B17900"/>
    <w:rsid w:val="0A17128A"/>
    <w:rsid w:val="0ACC1924"/>
    <w:rsid w:val="0B28778E"/>
    <w:rsid w:val="0B3153E9"/>
    <w:rsid w:val="0B3B7E8F"/>
    <w:rsid w:val="0B8C76BF"/>
    <w:rsid w:val="0B946F52"/>
    <w:rsid w:val="0BE8536E"/>
    <w:rsid w:val="0BF21CC4"/>
    <w:rsid w:val="0C0820B8"/>
    <w:rsid w:val="0C492C3D"/>
    <w:rsid w:val="0CBE0CCD"/>
    <w:rsid w:val="0CC139D1"/>
    <w:rsid w:val="0CFD06C9"/>
    <w:rsid w:val="0D963F25"/>
    <w:rsid w:val="0E257BCD"/>
    <w:rsid w:val="0E2C07AF"/>
    <w:rsid w:val="0E663C54"/>
    <w:rsid w:val="0EBE3E30"/>
    <w:rsid w:val="0EDE609C"/>
    <w:rsid w:val="0F9F36C4"/>
    <w:rsid w:val="0FC018D1"/>
    <w:rsid w:val="0FD97236"/>
    <w:rsid w:val="0FF375A3"/>
    <w:rsid w:val="10746954"/>
    <w:rsid w:val="10813D77"/>
    <w:rsid w:val="10927FF6"/>
    <w:rsid w:val="110609B2"/>
    <w:rsid w:val="111325B4"/>
    <w:rsid w:val="11875416"/>
    <w:rsid w:val="1212130A"/>
    <w:rsid w:val="121B6B9B"/>
    <w:rsid w:val="132D6578"/>
    <w:rsid w:val="134E3A2A"/>
    <w:rsid w:val="13AE6D03"/>
    <w:rsid w:val="13BE35BA"/>
    <w:rsid w:val="13CE790D"/>
    <w:rsid w:val="13DF7EA3"/>
    <w:rsid w:val="13F1709D"/>
    <w:rsid w:val="149A0886"/>
    <w:rsid w:val="14AA456B"/>
    <w:rsid w:val="14F21C2A"/>
    <w:rsid w:val="15A416DD"/>
    <w:rsid w:val="15E52517"/>
    <w:rsid w:val="160B5C4B"/>
    <w:rsid w:val="167450D3"/>
    <w:rsid w:val="168C3487"/>
    <w:rsid w:val="16A137F6"/>
    <w:rsid w:val="16A90D21"/>
    <w:rsid w:val="16BD755D"/>
    <w:rsid w:val="16EC06B9"/>
    <w:rsid w:val="172E52D6"/>
    <w:rsid w:val="180B3ECA"/>
    <w:rsid w:val="18190873"/>
    <w:rsid w:val="18730011"/>
    <w:rsid w:val="187B444E"/>
    <w:rsid w:val="188872E1"/>
    <w:rsid w:val="192470FD"/>
    <w:rsid w:val="1A2A0A33"/>
    <w:rsid w:val="1A2D1056"/>
    <w:rsid w:val="1A534F25"/>
    <w:rsid w:val="1A912C6B"/>
    <w:rsid w:val="1AE97928"/>
    <w:rsid w:val="1B7B3D35"/>
    <w:rsid w:val="1BD03120"/>
    <w:rsid w:val="1BD926BA"/>
    <w:rsid w:val="1C8009A6"/>
    <w:rsid w:val="1CA05CAA"/>
    <w:rsid w:val="1D22298F"/>
    <w:rsid w:val="1DAB38B6"/>
    <w:rsid w:val="1E013DAA"/>
    <w:rsid w:val="1F2E3A16"/>
    <w:rsid w:val="1F825789"/>
    <w:rsid w:val="1FA63BAF"/>
    <w:rsid w:val="1FA769B3"/>
    <w:rsid w:val="1FD07E48"/>
    <w:rsid w:val="2095099A"/>
    <w:rsid w:val="20B67F7D"/>
    <w:rsid w:val="216F5C24"/>
    <w:rsid w:val="217F4283"/>
    <w:rsid w:val="219D0492"/>
    <w:rsid w:val="21E4267E"/>
    <w:rsid w:val="229E741F"/>
    <w:rsid w:val="22A458AF"/>
    <w:rsid w:val="236945BF"/>
    <w:rsid w:val="23BE5662"/>
    <w:rsid w:val="2468605A"/>
    <w:rsid w:val="24A20911"/>
    <w:rsid w:val="253204DB"/>
    <w:rsid w:val="254C023D"/>
    <w:rsid w:val="256740BB"/>
    <w:rsid w:val="25D23810"/>
    <w:rsid w:val="260A11FA"/>
    <w:rsid w:val="26F626EB"/>
    <w:rsid w:val="279F780B"/>
    <w:rsid w:val="27D130B8"/>
    <w:rsid w:val="2810090A"/>
    <w:rsid w:val="286D1458"/>
    <w:rsid w:val="28AB132A"/>
    <w:rsid w:val="29446181"/>
    <w:rsid w:val="29590D06"/>
    <w:rsid w:val="295F1F3C"/>
    <w:rsid w:val="29931B29"/>
    <w:rsid w:val="29F74C88"/>
    <w:rsid w:val="2A81570A"/>
    <w:rsid w:val="2A957F84"/>
    <w:rsid w:val="2ABC1A5A"/>
    <w:rsid w:val="2B0734F0"/>
    <w:rsid w:val="2B656690"/>
    <w:rsid w:val="2BB60F91"/>
    <w:rsid w:val="2BC90976"/>
    <w:rsid w:val="2BF10D11"/>
    <w:rsid w:val="2C0A0FD2"/>
    <w:rsid w:val="2C1C2B04"/>
    <w:rsid w:val="2C230EAE"/>
    <w:rsid w:val="2C390858"/>
    <w:rsid w:val="2C4D5492"/>
    <w:rsid w:val="2C8745F2"/>
    <w:rsid w:val="2CA10CAA"/>
    <w:rsid w:val="2CB41437"/>
    <w:rsid w:val="2CE347BB"/>
    <w:rsid w:val="2CF36A7F"/>
    <w:rsid w:val="2D567D9F"/>
    <w:rsid w:val="2D6F52BA"/>
    <w:rsid w:val="2D9B70D0"/>
    <w:rsid w:val="2D9F7DBF"/>
    <w:rsid w:val="2E604DE4"/>
    <w:rsid w:val="2EA1779F"/>
    <w:rsid w:val="2FDE6A30"/>
    <w:rsid w:val="30024255"/>
    <w:rsid w:val="30A74091"/>
    <w:rsid w:val="30C84879"/>
    <w:rsid w:val="31466340"/>
    <w:rsid w:val="31D91CDB"/>
    <w:rsid w:val="32336E04"/>
    <w:rsid w:val="329137A4"/>
    <w:rsid w:val="32BC31BF"/>
    <w:rsid w:val="32BD0AEE"/>
    <w:rsid w:val="33E00FED"/>
    <w:rsid w:val="34404AAD"/>
    <w:rsid w:val="3447133A"/>
    <w:rsid w:val="34971A15"/>
    <w:rsid w:val="34BC7A46"/>
    <w:rsid w:val="35367E4E"/>
    <w:rsid w:val="35451135"/>
    <w:rsid w:val="3549756A"/>
    <w:rsid w:val="35684C6D"/>
    <w:rsid w:val="35D41117"/>
    <w:rsid w:val="35F60BB2"/>
    <w:rsid w:val="371F7C0E"/>
    <w:rsid w:val="37230399"/>
    <w:rsid w:val="37B43B31"/>
    <w:rsid w:val="380B4809"/>
    <w:rsid w:val="388C3AFC"/>
    <w:rsid w:val="38F96838"/>
    <w:rsid w:val="39DC7ED6"/>
    <w:rsid w:val="3A4B113F"/>
    <w:rsid w:val="3A8C12FD"/>
    <w:rsid w:val="3AEE53E3"/>
    <w:rsid w:val="3B0A0EA6"/>
    <w:rsid w:val="3B1E45CA"/>
    <w:rsid w:val="3B282167"/>
    <w:rsid w:val="3BBA494A"/>
    <w:rsid w:val="3BD24B60"/>
    <w:rsid w:val="3C023CC8"/>
    <w:rsid w:val="3C6443BC"/>
    <w:rsid w:val="3CB525C7"/>
    <w:rsid w:val="3CEE072D"/>
    <w:rsid w:val="3D9C49E2"/>
    <w:rsid w:val="3DF91F11"/>
    <w:rsid w:val="3E205508"/>
    <w:rsid w:val="3EBB3F6F"/>
    <w:rsid w:val="3EC92F85"/>
    <w:rsid w:val="3F5E7283"/>
    <w:rsid w:val="3F845723"/>
    <w:rsid w:val="41971627"/>
    <w:rsid w:val="421339A1"/>
    <w:rsid w:val="427263EE"/>
    <w:rsid w:val="42D50111"/>
    <w:rsid w:val="42FC493E"/>
    <w:rsid w:val="43776EEC"/>
    <w:rsid w:val="438B65F1"/>
    <w:rsid w:val="43BF79B9"/>
    <w:rsid w:val="43C837AC"/>
    <w:rsid w:val="43D10655"/>
    <w:rsid w:val="44C65474"/>
    <w:rsid w:val="45E65C13"/>
    <w:rsid w:val="45ED7AF7"/>
    <w:rsid w:val="46A86A90"/>
    <w:rsid w:val="46AE408F"/>
    <w:rsid w:val="46B82C68"/>
    <w:rsid w:val="46BD45A7"/>
    <w:rsid w:val="46E225D0"/>
    <w:rsid w:val="47391244"/>
    <w:rsid w:val="47776525"/>
    <w:rsid w:val="47BA16A8"/>
    <w:rsid w:val="48054347"/>
    <w:rsid w:val="48603FA7"/>
    <w:rsid w:val="496A5537"/>
    <w:rsid w:val="49A46D09"/>
    <w:rsid w:val="4A065484"/>
    <w:rsid w:val="4A6A0E61"/>
    <w:rsid w:val="4B42708F"/>
    <w:rsid w:val="4CD163CD"/>
    <w:rsid w:val="4D0A54DF"/>
    <w:rsid w:val="4D166AEC"/>
    <w:rsid w:val="4E9A6525"/>
    <w:rsid w:val="4E9C6CA2"/>
    <w:rsid w:val="4F2C597B"/>
    <w:rsid w:val="4F4A5C3F"/>
    <w:rsid w:val="50026AE0"/>
    <w:rsid w:val="502127FB"/>
    <w:rsid w:val="50232EF6"/>
    <w:rsid w:val="50302A52"/>
    <w:rsid w:val="507607A5"/>
    <w:rsid w:val="50FC5981"/>
    <w:rsid w:val="51214235"/>
    <w:rsid w:val="516124BD"/>
    <w:rsid w:val="51644B31"/>
    <w:rsid w:val="51D33B6C"/>
    <w:rsid w:val="51FA3C14"/>
    <w:rsid w:val="524733E9"/>
    <w:rsid w:val="529B0B52"/>
    <w:rsid w:val="52B031ED"/>
    <w:rsid w:val="52DB4E19"/>
    <w:rsid w:val="531B07E1"/>
    <w:rsid w:val="53C70103"/>
    <w:rsid w:val="53E9590A"/>
    <w:rsid w:val="540D7432"/>
    <w:rsid w:val="54375C5E"/>
    <w:rsid w:val="54410E08"/>
    <w:rsid w:val="54705511"/>
    <w:rsid w:val="54E0277E"/>
    <w:rsid w:val="555D73DA"/>
    <w:rsid w:val="55A84A69"/>
    <w:rsid w:val="55BB186E"/>
    <w:rsid w:val="56641679"/>
    <w:rsid w:val="56714C6D"/>
    <w:rsid w:val="56CC51F9"/>
    <w:rsid w:val="57391074"/>
    <w:rsid w:val="575C0F36"/>
    <w:rsid w:val="576F020F"/>
    <w:rsid w:val="57C85542"/>
    <w:rsid w:val="58837624"/>
    <w:rsid w:val="5888554C"/>
    <w:rsid w:val="59842858"/>
    <w:rsid w:val="599925E5"/>
    <w:rsid w:val="5A632BE8"/>
    <w:rsid w:val="5A6E5406"/>
    <w:rsid w:val="5AAD5648"/>
    <w:rsid w:val="5AC45C83"/>
    <w:rsid w:val="5B2630D2"/>
    <w:rsid w:val="5B891A61"/>
    <w:rsid w:val="5BAB507C"/>
    <w:rsid w:val="5C9D5E10"/>
    <w:rsid w:val="5CA410F0"/>
    <w:rsid w:val="5CC807C1"/>
    <w:rsid w:val="5CFA2D50"/>
    <w:rsid w:val="5D062D99"/>
    <w:rsid w:val="5D2B0FD1"/>
    <w:rsid w:val="5D4B6853"/>
    <w:rsid w:val="5D8251E8"/>
    <w:rsid w:val="5E542FD3"/>
    <w:rsid w:val="5EAA02DF"/>
    <w:rsid w:val="5EFF7702"/>
    <w:rsid w:val="5F2C3495"/>
    <w:rsid w:val="5F6146EB"/>
    <w:rsid w:val="60A4301C"/>
    <w:rsid w:val="612A23FF"/>
    <w:rsid w:val="619446E2"/>
    <w:rsid w:val="62334869"/>
    <w:rsid w:val="62A14CA5"/>
    <w:rsid w:val="62AD77AC"/>
    <w:rsid w:val="62BB3B65"/>
    <w:rsid w:val="63183A5E"/>
    <w:rsid w:val="6327677E"/>
    <w:rsid w:val="63935A90"/>
    <w:rsid w:val="63CB1F08"/>
    <w:rsid w:val="63F301BE"/>
    <w:rsid w:val="64105F5C"/>
    <w:rsid w:val="6449399F"/>
    <w:rsid w:val="64923580"/>
    <w:rsid w:val="64D11F25"/>
    <w:rsid w:val="64F55C77"/>
    <w:rsid w:val="655E3EBB"/>
    <w:rsid w:val="66565CC9"/>
    <w:rsid w:val="66F55011"/>
    <w:rsid w:val="67527BFC"/>
    <w:rsid w:val="686237CB"/>
    <w:rsid w:val="687063C0"/>
    <w:rsid w:val="68BB2EBC"/>
    <w:rsid w:val="68C6597F"/>
    <w:rsid w:val="68C74C34"/>
    <w:rsid w:val="690605C4"/>
    <w:rsid w:val="695C737D"/>
    <w:rsid w:val="69A107B8"/>
    <w:rsid w:val="6A0F7975"/>
    <w:rsid w:val="6A290F89"/>
    <w:rsid w:val="6A7955B7"/>
    <w:rsid w:val="6AD11F57"/>
    <w:rsid w:val="6B0C02CA"/>
    <w:rsid w:val="6B3C2268"/>
    <w:rsid w:val="6BAC13B4"/>
    <w:rsid w:val="6C69261A"/>
    <w:rsid w:val="6C8B2122"/>
    <w:rsid w:val="6D521449"/>
    <w:rsid w:val="6D7E11EB"/>
    <w:rsid w:val="6D8C1934"/>
    <w:rsid w:val="6DC52AAF"/>
    <w:rsid w:val="6DC9680A"/>
    <w:rsid w:val="6DF6412C"/>
    <w:rsid w:val="6E4847CC"/>
    <w:rsid w:val="6E586079"/>
    <w:rsid w:val="6F2F5233"/>
    <w:rsid w:val="6F5C067D"/>
    <w:rsid w:val="6FB708B5"/>
    <w:rsid w:val="70531DFF"/>
    <w:rsid w:val="70FB0688"/>
    <w:rsid w:val="71664E22"/>
    <w:rsid w:val="71D86946"/>
    <w:rsid w:val="71D95BD3"/>
    <w:rsid w:val="720858EB"/>
    <w:rsid w:val="721807DA"/>
    <w:rsid w:val="724933A6"/>
    <w:rsid w:val="72580A12"/>
    <w:rsid w:val="73C55C9F"/>
    <w:rsid w:val="74F60E1E"/>
    <w:rsid w:val="7576557F"/>
    <w:rsid w:val="75CC7BFF"/>
    <w:rsid w:val="76330942"/>
    <w:rsid w:val="76E14DB3"/>
    <w:rsid w:val="77A93CAB"/>
    <w:rsid w:val="77F41F85"/>
    <w:rsid w:val="78A62CB4"/>
    <w:rsid w:val="78E32E67"/>
    <w:rsid w:val="791155F5"/>
    <w:rsid w:val="7935138C"/>
    <w:rsid w:val="7995733F"/>
    <w:rsid w:val="79D7040D"/>
    <w:rsid w:val="7A260934"/>
    <w:rsid w:val="7A9B69B5"/>
    <w:rsid w:val="7AC154CD"/>
    <w:rsid w:val="7AE05412"/>
    <w:rsid w:val="7AEE31F2"/>
    <w:rsid w:val="7AF21DE8"/>
    <w:rsid w:val="7C4E5FFF"/>
    <w:rsid w:val="7CCA23CF"/>
    <w:rsid w:val="7CFB676E"/>
    <w:rsid w:val="7DA404B6"/>
    <w:rsid w:val="7DA84C63"/>
    <w:rsid w:val="7E6A2A3C"/>
    <w:rsid w:val="7E8E2C85"/>
    <w:rsid w:val="7EC67BBE"/>
    <w:rsid w:val="7ED32B80"/>
    <w:rsid w:val="7FDD6D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nhideWhenUsed="0" w:uiPriority="0" w:semiHidden="0" w:name="List Bullet 3"/>
    <w:lsdException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page number"/>
    <w:qFormat/>
    <w:uiPriority w:val="0"/>
    <w:rPr>
      <w:rFonts w:ascii="Times New Roman" w:hAnsi="Times New Roman" w:eastAsia="宋体" w:cs="Times New Roman"/>
    </w:rPr>
  </w:style>
  <w:style w:type="character" w:styleId="10">
    <w:name w:val="Hyperlink"/>
    <w:unhideWhenUsed/>
    <w:qFormat/>
    <w:uiPriority w:val="0"/>
    <w:rPr>
      <w:color w:val="0563C1"/>
      <w:u w:val="single"/>
    </w:rPr>
  </w:style>
  <w:style w:type="paragraph" w:customStyle="1" w:styleId="11">
    <w:name w:val="样式1"/>
    <w:basedOn w:val="12"/>
    <w:qFormat/>
    <w:uiPriority w:val="0"/>
  </w:style>
  <w:style w:type="paragraph" w:customStyle="1" w:styleId="12">
    <w:name w:val="正文1"/>
    <w:basedOn w:val="1"/>
    <w:qFormat/>
    <w:uiPriority w:val="99"/>
    <w:pPr>
      <w:ind w:firstLine="708" w:firstLineChars="236"/>
    </w:pPr>
    <w:rPr>
      <w:rFonts w:ascii="仿宋_GB2312" w:cs="仿宋_GB2312"/>
      <w:sz w:val="30"/>
      <w:szCs w:val="30"/>
    </w:rPr>
  </w:style>
  <w:style w:type="character" w:customStyle="1" w:styleId="13">
    <w:name w:val="未处理的提及"/>
    <w:unhideWhenUsed/>
    <w:qFormat/>
    <w:uiPriority w:val="99"/>
    <w:rPr>
      <w:color w:val="605E5C"/>
      <w:shd w:val="clear" w:color="auto" w:fill="E1DFDD"/>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Char Char Char"/>
    <w:basedOn w:val="1"/>
    <w:qFormat/>
    <w:uiPriority w:val="0"/>
    <w:pPr>
      <w:adjustRightInd w:val="0"/>
      <w:spacing w:line="360" w:lineRule="auto"/>
    </w:pPr>
    <w:rPr>
      <w:rFonts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2090</Words>
  <Characters>11914</Characters>
  <Lines>99</Lines>
  <Paragraphs>27</Paragraphs>
  <TotalTime>28</TotalTime>
  <ScaleCrop>false</ScaleCrop>
  <LinksUpToDate>false</LinksUpToDate>
  <CharactersWithSpaces>13977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2019-12-06T00:16:00Z</dcterms:created>
  <dc:creator>乔</dc:creator>
  <cp:lastModifiedBy>Lz</cp:lastModifiedBy>
  <cp:lastPrinted>2022-03-31T15:09:00Z</cp:lastPrinted>
  <dcterms:modified xsi:type="dcterms:W3CDTF">2022-05-11T03:44:58Z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1385A64FF5DD44279DE0D42645B64A98</vt:lpwstr>
  </property>
</Properties>
</file>