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方正小标宋简体" w:cs="Times New Roman"/>
          <w:sz w:val="32"/>
          <w:szCs w:val="32"/>
        </w:rPr>
      </w:pPr>
      <w:bookmarkStart w:id="0" w:name="_GoBack"/>
      <w:bookmarkEnd w:id="0"/>
      <w:r>
        <w:rPr>
          <w:rFonts w:hint="eastAsia" w:ascii="Times New Roman" w:hAnsi="Times New Roman" w:eastAsia="方正小标宋简体" w:cs="Times New Roman"/>
          <w:sz w:val="32"/>
          <w:szCs w:val="32"/>
        </w:rPr>
        <w:t>陆河县</w:t>
      </w:r>
      <w:r>
        <w:rPr>
          <w:rFonts w:ascii="Times New Roman" w:hAnsi="Times New Roman" w:eastAsia="方正小标宋简体" w:cs="Times New Roman"/>
          <w:sz w:val="32"/>
          <w:szCs w:val="32"/>
        </w:rPr>
        <w:t>市场监督管理局</w:t>
      </w:r>
      <w:r>
        <w:rPr>
          <w:rFonts w:hint="eastAsia" w:ascii="Times New Roman" w:hAnsi="Times New Roman" w:eastAsia="方正小标宋简体" w:cs="Times New Roman"/>
          <w:sz w:val="32"/>
          <w:szCs w:val="32"/>
        </w:rPr>
        <w:t>塑料编织袋</w:t>
      </w:r>
      <w:r>
        <w:rPr>
          <w:rFonts w:ascii="Times New Roman" w:hAnsi="Times New Roman" w:eastAsia="方正小标宋简体" w:cs="Times New Roman"/>
          <w:sz w:val="32"/>
          <w:szCs w:val="32"/>
        </w:rPr>
        <w:t>产品质量</w:t>
      </w:r>
    </w:p>
    <w:p>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监督抽查实施细则</w:t>
      </w:r>
    </w:p>
    <w:p>
      <w:pPr>
        <w:adjustRightInd w:val="0"/>
        <w:snapToGrid w:val="0"/>
        <w:spacing w:line="360" w:lineRule="auto"/>
        <w:rPr>
          <w:rFonts w:ascii="Times New Roman" w:hAnsi="Times New Roman" w:eastAsia="黑体" w:cs="Times New Roman"/>
          <w:szCs w:val="21"/>
        </w:rPr>
      </w:pPr>
    </w:p>
    <w:p>
      <w:pPr>
        <w:adjustRightInd w:val="0"/>
        <w:snapToGrid w:val="0"/>
        <w:spacing w:line="360" w:lineRule="auto"/>
        <w:rPr>
          <w:rFonts w:ascii="Times New Roman" w:hAnsi="Times New Roman" w:eastAsia="黑体" w:cs="Times New Roman"/>
          <w:szCs w:val="21"/>
        </w:rPr>
      </w:pPr>
      <w:r>
        <w:rPr>
          <w:rFonts w:ascii="Times New Roman" w:hAnsi="Times New Roman" w:eastAsia="黑体" w:cs="Times New Roman"/>
          <w:szCs w:val="21"/>
        </w:rPr>
        <w:t>1 抽样方法</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在</w:t>
      </w:r>
      <w:r>
        <w:rPr>
          <w:rFonts w:hint="eastAsia" w:ascii="Times New Roman" w:hAnsi="Times New Roman"/>
          <w:color w:val="000000"/>
          <w:szCs w:val="21"/>
        </w:rPr>
        <w:t>被抽样生产者、销售者的</w:t>
      </w:r>
      <w:r>
        <w:rPr>
          <w:rFonts w:ascii="Times New Roman" w:hAnsi="Times New Roman" w:cs="Times New Roman"/>
          <w:szCs w:val="21"/>
        </w:rPr>
        <w:t>待销产品中随机抽取有产品质量检验合格证明或者以其他形式表明合格的、近期生产的产品。</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抽查样品基数满足抽样数量即可。</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每批次产品抽取样品</w:t>
      </w:r>
      <w:r>
        <w:rPr>
          <w:rFonts w:hint="eastAsia" w:ascii="Times New Roman" w:hAnsi="Times New Roman" w:cs="Times New Roman"/>
          <w:color w:val="000000"/>
          <w:szCs w:val="21"/>
        </w:rPr>
        <w:t>24条</w:t>
      </w:r>
      <w:r>
        <w:rPr>
          <w:rFonts w:ascii="Times New Roman" w:hAnsi="Times New Roman" w:cs="Times New Roman"/>
          <w:color w:val="000000"/>
          <w:szCs w:val="21"/>
        </w:rPr>
        <w:t>，其中</w:t>
      </w:r>
      <w:r>
        <w:rPr>
          <w:rFonts w:hint="eastAsia" w:ascii="Times New Roman" w:hAnsi="Times New Roman" w:cs="Times New Roman"/>
          <w:color w:val="000000"/>
          <w:szCs w:val="21"/>
        </w:rPr>
        <w:t>12条</w:t>
      </w:r>
      <w:r>
        <w:rPr>
          <w:rFonts w:ascii="Times New Roman" w:hAnsi="Times New Roman" w:cs="Times New Roman"/>
          <w:color w:val="000000"/>
          <w:szCs w:val="21"/>
        </w:rPr>
        <w:t>作为检验样品，</w:t>
      </w:r>
      <w:r>
        <w:rPr>
          <w:rFonts w:hint="eastAsia" w:ascii="Times New Roman" w:hAnsi="Times New Roman" w:cs="Times New Roman"/>
          <w:color w:val="000000"/>
          <w:szCs w:val="21"/>
        </w:rPr>
        <w:t>12条</w:t>
      </w:r>
      <w:r>
        <w:rPr>
          <w:rFonts w:ascii="Times New Roman" w:hAnsi="Times New Roman" w:cs="Times New Roman"/>
          <w:color w:val="000000"/>
          <w:szCs w:val="21"/>
        </w:rPr>
        <w:t>作为备用样品。</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随机数一般可使用随机数表、随机数骰子或扑克牌等方法产生。</w:t>
      </w:r>
    </w:p>
    <w:p>
      <w:pPr>
        <w:adjustRightInd w:val="0"/>
        <w:snapToGrid w:val="0"/>
        <w:spacing w:line="360" w:lineRule="auto"/>
        <w:rPr>
          <w:rFonts w:ascii="Times New Roman" w:hAnsi="Times New Roman" w:cs="Times New Roman"/>
        </w:rPr>
      </w:pPr>
    </w:p>
    <w:p>
      <w:pPr>
        <w:adjustRightInd w:val="0"/>
        <w:snapToGrid w:val="0"/>
        <w:spacing w:line="360" w:lineRule="auto"/>
        <w:rPr>
          <w:rFonts w:ascii="Times New Roman" w:hAnsi="Times New Roman" w:eastAsia="黑体" w:cs="Times New Roman"/>
          <w:szCs w:val="21"/>
        </w:rPr>
      </w:pPr>
      <w:r>
        <w:rPr>
          <w:rFonts w:ascii="Times New Roman" w:hAnsi="Times New Roman" w:eastAsia="黑体" w:cs="Times New Roman"/>
          <w:szCs w:val="21"/>
        </w:rPr>
        <w:t>2 检验依据</w:t>
      </w:r>
    </w:p>
    <w:p>
      <w:pPr>
        <w:adjustRightInd w:val="0"/>
        <w:snapToGrid w:val="0"/>
        <w:spacing w:line="360" w:lineRule="auto"/>
        <w:ind w:firstLine="420"/>
        <w:rPr>
          <w:rFonts w:ascii="Times New Roman" w:hAnsi="Times New Roman" w:cs="Times New Roman"/>
          <w:szCs w:val="21"/>
        </w:rPr>
      </w:pPr>
      <w:r>
        <w:rPr>
          <w:rFonts w:ascii="Times New Roman" w:hAnsi="Times New Roman" w:cs="Times New Roman"/>
          <w:szCs w:val="21"/>
        </w:rPr>
        <w:t>本次抽查检验项目和检验方法依据见表1。</w:t>
      </w:r>
    </w:p>
    <w:p>
      <w:pPr>
        <w:adjustRightInd w:val="0"/>
        <w:snapToGrid w:val="0"/>
        <w:spacing w:line="360" w:lineRule="auto"/>
        <w:jc w:val="center"/>
        <w:rPr>
          <w:rFonts w:ascii="Times New Roman" w:hAnsi="Times New Roman" w:cs="Times New Roman"/>
          <w:szCs w:val="21"/>
        </w:rPr>
      </w:pPr>
      <w:r>
        <w:rPr>
          <w:rFonts w:ascii="Times New Roman" w:hAnsi="Times New Roman" w:cs="Times New Roman"/>
          <w:bCs/>
          <w:szCs w:val="21"/>
        </w:rPr>
        <w:t xml:space="preserve">表1 </w:t>
      </w:r>
      <w:r>
        <w:rPr>
          <w:rFonts w:ascii="Times New Roman" w:hAnsi="Times New Roman" w:cs="Times New Roman"/>
          <w:szCs w:val="21"/>
        </w:rPr>
        <w:t>检验项目</w:t>
      </w:r>
    </w:p>
    <w:tbl>
      <w:tblPr>
        <w:tblStyle w:val="4"/>
        <w:tblW w:w="8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679"/>
        <w:gridCol w:w="2201"/>
        <w:gridCol w:w="2242"/>
        <w:gridCol w:w="73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vMerge w:val="restart"/>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79" w:type="dxa"/>
            <w:vMerge w:val="restart"/>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检验项目</w:t>
            </w:r>
          </w:p>
        </w:tc>
        <w:tc>
          <w:tcPr>
            <w:tcW w:w="2201" w:type="dxa"/>
            <w:vMerge w:val="restart"/>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检验依据</w:t>
            </w:r>
          </w:p>
        </w:tc>
        <w:tc>
          <w:tcPr>
            <w:tcW w:w="2242" w:type="dxa"/>
            <w:vMerge w:val="restart"/>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检验方法</w:t>
            </w:r>
          </w:p>
        </w:tc>
        <w:tc>
          <w:tcPr>
            <w:tcW w:w="1529" w:type="dxa"/>
            <w:gridSpan w:val="2"/>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vMerge w:val="continue"/>
            <w:vAlign w:val="center"/>
          </w:tcPr>
          <w:p>
            <w:pPr>
              <w:adjustRightInd w:val="0"/>
              <w:snapToGrid w:val="0"/>
              <w:spacing w:line="360" w:lineRule="auto"/>
              <w:jc w:val="center"/>
              <w:rPr>
                <w:rFonts w:ascii="Times New Roman" w:hAnsi="Times New Roman" w:cs="Times New Roman"/>
                <w:szCs w:val="21"/>
              </w:rPr>
            </w:pPr>
          </w:p>
        </w:tc>
        <w:tc>
          <w:tcPr>
            <w:tcW w:w="1679" w:type="dxa"/>
            <w:vMerge w:val="continue"/>
            <w:vAlign w:val="center"/>
          </w:tcPr>
          <w:p>
            <w:pPr>
              <w:adjustRightInd w:val="0"/>
              <w:snapToGrid w:val="0"/>
              <w:spacing w:line="360" w:lineRule="auto"/>
              <w:jc w:val="center"/>
              <w:rPr>
                <w:rFonts w:ascii="Times New Roman" w:hAnsi="Times New Roman" w:cs="Times New Roman"/>
                <w:szCs w:val="21"/>
              </w:rPr>
            </w:pPr>
          </w:p>
        </w:tc>
        <w:tc>
          <w:tcPr>
            <w:tcW w:w="2201" w:type="dxa"/>
            <w:vMerge w:val="continue"/>
            <w:vAlign w:val="center"/>
          </w:tcPr>
          <w:p>
            <w:pPr>
              <w:adjustRightInd w:val="0"/>
              <w:snapToGrid w:val="0"/>
              <w:spacing w:line="360" w:lineRule="auto"/>
              <w:jc w:val="center"/>
              <w:rPr>
                <w:rFonts w:ascii="Times New Roman" w:hAnsi="Times New Roman" w:cs="Times New Roman"/>
                <w:szCs w:val="21"/>
              </w:rPr>
            </w:pPr>
          </w:p>
        </w:tc>
        <w:tc>
          <w:tcPr>
            <w:tcW w:w="2242" w:type="dxa"/>
            <w:vMerge w:val="continue"/>
            <w:vAlign w:val="center"/>
          </w:tcPr>
          <w:p>
            <w:pPr>
              <w:adjustRightInd w:val="0"/>
              <w:snapToGrid w:val="0"/>
              <w:spacing w:line="360" w:lineRule="auto"/>
              <w:jc w:val="center"/>
              <w:rPr>
                <w:rFonts w:ascii="Times New Roman" w:hAnsi="Times New Roman" w:cs="Times New Roman"/>
                <w:szCs w:val="21"/>
              </w:rPr>
            </w:pPr>
          </w:p>
        </w:tc>
        <w:tc>
          <w:tcPr>
            <w:tcW w:w="733" w:type="dxa"/>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A类</w:t>
            </w:r>
          </w:p>
        </w:tc>
        <w:tc>
          <w:tcPr>
            <w:tcW w:w="796" w:type="dxa"/>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vAlign w:val="center"/>
          </w:tcPr>
          <w:p>
            <w:pPr>
              <w:numPr>
                <w:ilvl w:val="0"/>
                <w:numId w:val="1"/>
              </w:numPr>
              <w:adjustRightInd w:val="0"/>
              <w:snapToGrid w:val="0"/>
              <w:spacing w:line="360" w:lineRule="auto"/>
              <w:jc w:val="center"/>
              <w:rPr>
                <w:rFonts w:ascii="Times New Roman" w:hAnsi="Times New Roman" w:cs="Times New Roman"/>
                <w:szCs w:val="21"/>
              </w:rPr>
            </w:pPr>
          </w:p>
        </w:tc>
        <w:tc>
          <w:tcPr>
            <w:tcW w:w="1679"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拉伸负荷</w:t>
            </w:r>
          </w:p>
        </w:tc>
        <w:tc>
          <w:tcPr>
            <w:tcW w:w="2201"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2242"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733" w:type="dxa"/>
            <w:vAlign w:val="center"/>
          </w:tcPr>
          <w:p>
            <w:pPr>
              <w:adjustRightInd w:val="0"/>
              <w:snapToGrid w:val="0"/>
              <w:spacing w:line="360" w:lineRule="auto"/>
              <w:jc w:val="center"/>
              <w:rPr>
                <w:rFonts w:ascii="Times New Roman" w:hAnsi="Times New Roman" w:cs="Times New Roman"/>
                <w:szCs w:val="21"/>
              </w:rPr>
            </w:pPr>
          </w:p>
        </w:tc>
        <w:tc>
          <w:tcPr>
            <w:tcW w:w="796" w:type="dxa"/>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vAlign w:val="center"/>
          </w:tcPr>
          <w:p>
            <w:pPr>
              <w:numPr>
                <w:ilvl w:val="0"/>
                <w:numId w:val="1"/>
              </w:numPr>
              <w:adjustRightInd w:val="0"/>
              <w:snapToGrid w:val="0"/>
              <w:spacing w:line="360" w:lineRule="auto"/>
              <w:jc w:val="center"/>
              <w:rPr>
                <w:rFonts w:ascii="Times New Roman" w:hAnsi="Times New Roman" w:cs="Times New Roman"/>
                <w:szCs w:val="21"/>
              </w:rPr>
            </w:pPr>
          </w:p>
        </w:tc>
        <w:tc>
          <w:tcPr>
            <w:tcW w:w="1679"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涂膜袋和复膜袋的剥离力</w:t>
            </w:r>
          </w:p>
        </w:tc>
        <w:tc>
          <w:tcPr>
            <w:tcW w:w="2201"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2242"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733" w:type="dxa"/>
            <w:vAlign w:val="center"/>
          </w:tcPr>
          <w:p>
            <w:pPr>
              <w:adjustRightInd w:val="0"/>
              <w:snapToGrid w:val="0"/>
              <w:spacing w:line="360" w:lineRule="auto"/>
              <w:jc w:val="center"/>
              <w:rPr>
                <w:rFonts w:ascii="Times New Roman" w:hAnsi="Times New Roman" w:cs="Times New Roman"/>
                <w:szCs w:val="21"/>
              </w:rPr>
            </w:pPr>
          </w:p>
        </w:tc>
        <w:tc>
          <w:tcPr>
            <w:tcW w:w="796" w:type="dxa"/>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vAlign w:val="center"/>
          </w:tcPr>
          <w:p>
            <w:pPr>
              <w:numPr>
                <w:ilvl w:val="0"/>
                <w:numId w:val="1"/>
              </w:numPr>
              <w:adjustRightInd w:val="0"/>
              <w:snapToGrid w:val="0"/>
              <w:spacing w:line="360" w:lineRule="auto"/>
              <w:jc w:val="center"/>
              <w:rPr>
                <w:rFonts w:ascii="Times New Roman" w:hAnsi="Times New Roman" w:cs="Times New Roman"/>
                <w:szCs w:val="21"/>
              </w:rPr>
            </w:pPr>
          </w:p>
        </w:tc>
        <w:tc>
          <w:tcPr>
            <w:tcW w:w="1679"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耐热性能</w:t>
            </w:r>
          </w:p>
        </w:tc>
        <w:tc>
          <w:tcPr>
            <w:tcW w:w="2201"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2242"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733" w:type="dxa"/>
            <w:vAlign w:val="center"/>
          </w:tcPr>
          <w:p>
            <w:pPr>
              <w:adjustRightInd w:val="0"/>
              <w:snapToGrid w:val="0"/>
              <w:spacing w:line="360" w:lineRule="auto"/>
              <w:jc w:val="center"/>
              <w:rPr>
                <w:rFonts w:ascii="Times New Roman" w:hAnsi="Times New Roman" w:cs="Times New Roman"/>
                <w:szCs w:val="21"/>
              </w:rPr>
            </w:pPr>
          </w:p>
        </w:tc>
        <w:tc>
          <w:tcPr>
            <w:tcW w:w="796" w:type="dxa"/>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vAlign w:val="center"/>
          </w:tcPr>
          <w:p>
            <w:pPr>
              <w:numPr>
                <w:ilvl w:val="0"/>
                <w:numId w:val="1"/>
              </w:numPr>
              <w:adjustRightInd w:val="0"/>
              <w:snapToGrid w:val="0"/>
              <w:spacing w:line="360" w:lineRule="auto"/>
              <w:jc w:val="center"/>
              <w:rPr>
                <w:rFonts w:ascii="Times New Roman" w:hAnsi="Times New Roman" w:cs="Times New Roman"/>
                <w:szCs w:val="21"/>
              </w:rPr>
            </w:pPr>
          </w:p>
        </w:tc>
        <w:tc>
          <w:tcPr>
            <w:tcW w:w="1679"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跌落性能</w:t>
            </w:r>
          </w:p>
        </w:tc>
        <w:tc>
          <w:tcPr>
            <w:tcW w:w="2201"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2242" w:type="dxa"/>
            <w:vAlign w:val="center"/>
          </w:tcPr>
          <w:p>
            <w:pPr>
              <w:adjustRightInd w:val="0"/>
              <w:snapToGrid w:val="0"/>
              <w:spacing w:line="360" w:lineRule="auto"/>
              <w:jc w:val="center"/>
              <w:rPr>
                <w:rFonts w:ascii="Times New Roman" w:hAnsi="Times New Roman" w:cs="Times New Roman"/>
                <w:szCs w:val="21"/>
              </w:rPr>
            </w:pPr>
            <w:r>
              <w:rPr>
                <w:rFonts w:hint="eastAsia" w:ascii="Times New Roman" w:hAnsi="Times New Roman" w:cs="Times New Roman"/>
                <w:szCs w:val="21"/>
              </w:rPr>
              <w:t>GB/T 8946-2013</w:t>
            </w:r>
          </w:p>
        </w:tc>
        <w:tc>
          <w:tcPr>
            <w:tcW w:w="733" w:type="dxa"/>
            <w:vAlign w:val="center"/>
          </w:tcPr>
          <w:p>
            <w:pPr>
              <w:adjustRightInd w:val="0"/>
              <w:snapToGrid w:val="0"/>
              <w:spacing w:line="360" w:lineRule="auto"/>
              <w:jc w:val="center"/>
              <w:rPr>
                <w:rFonts w:ascii="Times New Roman" w:hAnsi="Times New Roman" w:cs="Times New Roman"/>
                <w:szCs w:val="21"/>
              </w:rPr>
            </w:pPr>
          </w:p>
        </w:tc>
        <w:tc>
          <w:tcPr>
            <w:tcW w:w="796" w:type="dxa"/>
            <w:vAlign w:val="center"/>
          </w:tcPr>
          <w:p>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8271" w:type="dxa"/>
            <w:gridSpan w:val="6"/>
            <w:vAlign w:val="center"/>
          </w:tcPr>
          <w:p>
            <w:pPr>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备注：A类——极重要质量项目，B类——重要质量项目</w:t>
            </w:r>
          </w:p>
        </w:tc>
      </w:tr>
    </w:tbl>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凡是注日期的文件，其随后所有的修改单（不包括勘误的内容）或修订版不适用于本细则。凡是不注日期的文件，其最新版本适用于本细则。</w:t>
      </w:r>
    </w:p>
    <w:p>
      <w:pPr>
        <w:adjustRightInd w:val="0"/>
        <w:snapToGrid w:val="0"/>
        <w:spacing w:line="360" w:lineRule="auto"/>
        <w:ind w:firstLine="420" w:firstLineChars="200"/>
        <w:rPr>
          <w:rFonts w:ascii="Times New Roman" w:hAnsi="Times New Roman" w:cs="Times New Roman"/>
          <w:szCs w:val="21"/>
        </w:rPr>
      </w:pPr>
    </w:p>
    <w:p>
      <w:pPr>
        <w:adjustRightInd w:val="0"/>
        <w:snapToGrid w:val="0"/>
        <w:spacing w:line="360" w:lineRule="auto"/>
        <w:rPr>
          <w:rFonts w:ascii="Times New Roman" w:hAnsi="Times New Roman" w:eastAsia="黑体" w:cs="Times New Roman"/>
          <w:szCs w:val="21"/>
        </w:rPr>
      </w:pPr>
      <w:r>
        <w:rPr>
          <w:rFonts w:ascii="Times New Roman" w:hAnsi="Times New Roman" w:eastAsia="黑体" w:cs="Times New Roman"/>
          <w:szCs w:val="21"/>
        </w:rPr>
        <w:t>3 判定规则</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3.1依据标准</w:t>
      </w:r>
    </w:p>
    <w:p>
      <w:pPr>
        <w:adjustRightInd w:val="0"/>
        <w:snapToGrid w:val="0"/>
        <w:spacing w:line="360" w:lineRule="auto"/>
        <w:rPr>
          <w:rFonts w:ascii="Times New Roman" w:hAnsi="Times New Roman" w:eastAsia="宋体" w:cs="Times New Roman"/>
          <w:szCs w:val="21"/>
        </w:rPr>
      </w:pPr>
      <w:r>
        <w:rPr>
          <w:rFonts w:hint="eastAsia" w:ascii="Times New Roman" w:hAnsi="Times New Roman" w:cs="Times New Roman"/>
          <w:szCs w:val="21"/>
        </w:rPr>
        <w:t xml:space="preserve">    GB/T 8946-2013《塑料编织袋通用技术要求》</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相关的法律、行政法规、部门规章、规范性文件</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现行有效的企业标准、团体标准、地方标准及产品明示质量要求</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3.2判定原则</w:t>
      </w:r>
    </w:p>
    <w:p>
      <w:pPr>
        <w:adjustRightInd w:val="0"/>
        <w:snapToGrid w:val="0"/>
        <w:spacing w:line="360" w:lineRule="auto"/>
        <w:ind w:firstLine="417" w:firstLineChars="199"/>
        <w:rPr>
          <w:rFonts w:ascii="Times New Roman" w:hAnsi="Times New Roman" w:cs="Times New Roman"/>
          <w:szCs w:val="21"/>
        </w:rPr>
      </w:pPr>
      <w:r>
        <w:rPr>
          <w:rFonts w:ascii="Times New Roman" w:hAnsi="Times New Roman" w:cs="Times New Roman"/>
          <w:szCs w:val="21"/>
        </w:rPr>
        <w:t>经检验，所检验项目全部符合标准要求，判定为被抽查产品未发现不合格；检验项目中任一项或一项以上不合格，判定为被抽查产品不合格。当产品存在A类项目不合格时，属于严重不合格。</w:t>
      </w:r>
    </w:p>
    <w:p>
      <w:pPr>
        <w:adjustRightInd w:val="0"/>
        <w:snapToGrid w:val="0"/>
        <w:spacing w:line="360" w:lineRule="auto"/>
        <w:ind w:firstLine="417" w:firstLineChars="199"/>
        <w:rPr>
          <w:rFonts w:ascii="Times New Roman" w:hAnsi="Times New Roman" w:cs="Times New Roman"/>
          <w:szCs w:val="21"/>
        </w:rPr>
      </w:pPr>
      <w:r>
        <w:rPr>
          <w:rFonts w:ascii="Times New Roman" w:hAnsi="Times New Roman" w:cs="Times New Roman"/>
          <w:szCs w:val="21"/>
        </w:rPr>
        <w:t>若被检产品明示的质量要求高于本细则中检验项目依据的标准要求时，应按被检产品明示的质量要求判定。</w:t>
      </w:r>
    </w:p>
    <w:p>
      <w:pPr>
        <w:adjustRightInd w:val="0"/>
        <w:snapToGrid w:val="0"/>
        <w:spacing w:line="360" w:lineRule="auto"/>
        <w:ind w:firstLine="417" w:firstLineChars="199"/>
        <w:rPr>
          <w:rFonts w:ascii="Times New Roman" w:hAnsi="Times New Roman" w:cs="Times New Roman"/>
          <w:szCs w:val="21"/>
        </w:rPr>
      </w:pPr>
      <w:r>
        <w:rPr>
          <w:rFonts w:ascii="Times New Roman" w:hAnsi="Times New Roman" w:cs="Times New Roman"/>
          <w:szCs w:val="21"/>
        </w:rPr>
        <w:t>若被检产品明示的质量要求低于本细则中检验项目依据的强制性标准要求时，应按照强制性标准要求判定。</w:t>
      </w:r>
    </w:p>
    <w:p>
      <w:pPr>
        <w:adjustRightInd w:val="0"/>
        <w:snapToGrid w:val="0"/>
        <w:spacing w:line="360" w:lineRule="auto"/>
        <w:ind w:firstLine="417" w:firstLineChars="199"/>
        <w:rPr>
          <w:rFonts w:ascii="Times New Roman" w:hAnsi="Times New Roman" w:cs="Times New Roman"/>
          <w:szCs w:val="21"/>
        </w:rPr>
      </w:pPr>
      <w:r>
        <w:rPr>
          <w:rFonts w:ascii="Times New Roman" w:hAnsi="Times New Roman" w:cs="Times New Roman"/>
          <w:szCs w:val="21"/>
        </w:rPr>
        <w:t>若被检产品明示的质量要求低于或包含本细则中检验项目依据的推荐性标准要求时，应以被检产品明示的质量要求判定，但应在检验报告备注中进行说明。</w:t>
      </w:r>
    </w:p>
    <w:p>
      <w:pPr>
        <w:adjustRightInd w:val="0"/>
        <w:snapToGrid w:val="0"/>
        <w:spacing w:line="360" w:lineRule="auto"/>
        <w:ind w:firstLine="417" w:firstLineChars="199"/>
        <w:rPr>
          <w:rFonts w:ascii="Times New Roman" w:hAnsi="Times New Roman" w:cs="Times New Roman"/>
          <w:szCs w:val="21"/>
        </w:rPr>
      </w:pPr>
      <w:r>
        <w:rPr>
          <w:rFonts w:ascii="Times New Roman" w:hAnsi="Times New Roman" w:cs="Times New Roman"/>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Times New Roman" w:hAnsi="Times New Roman" w:cs="Times New Roman"/>
          <w:szCs w:val="21"/>
        </w:rPr>
      </w:pPr>
      <w:r>
        <w:rPr>
          <w:rFonts w:ascii="Times New Roman" w:hAnsi="Times New Roman" w:cs="Times New Roman"/>
          <w:szCs w:val="21"/>
        </w:rPr>
        <w:t>若被检产品明示的质量要求缺少本细则中检验项目依据的推荐性标准要求时，该项目不参与判定，但应在检验报告备注中进行说明。</w:t>
      </w:r>
    </w:p>
    <w:p>
      <w:pPr>
        <w:adjustRightInd w:val="0"/>
        <w:snapToGrid w:val="0"/>
        <w:spacing w:line="360" w:lineRule="auto"/>
        <w:rPr>
          <w:rFonts w:ascii="Times New Roman" w:hAnsi="Times New Roman" w:cs="Times New Roman"/>
          <w:szCs w:val="21"/>
        </w:rPr>
      </w:pPr>
    </w:p>
    <w:p>
      <w:pPr>
        <w:adjustRightInd w:val="0"/>
        <w:snapToGrid w:val="0"/>
        <w:spacing w:line="360" w:lineRule="auto"/>
        <w:ind w:firstLine="420"/>
        <w:rPr>
          <w:rFonts w:ascii="Times New Roman" w:hAnsi="Times New Roman" w:cs="Times New Roman"/>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CB007"/>
    <w:multiLevelType w:val="singleLevel"/>
    <w:tmpl w:val="5ECCB007"/>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510BB"/>
    <w:rsid w:val="008B552B"/>
    <w:rsid w:val="00C838DC"/>
    <w:rsid w:val="00C93BC6"/>
    <w:rsid w:val="00FF1C32"/>
    <w:rsid w:val="019C4B55"/>
    <w:rsid w:val="09F510BB"/>
    <w:rsid w:val="292B25E2"/>
    <w:rsid w:val="2CC64F24"/>
    <w:rsid w:val="5A7A4B45"/>
    <w:rsid w:val="61E879F0"/>
    <w:rsid w:val="63421677"/>
    <w:rsid w:val="68FA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144</Words>
  <Characters>824</Characters>
  <Lines>6</Lines>
  <Paragraphs>1</Paragraphs>
  <TotalTime>0</TotalTime>
  <ScaleCrop>false</ScaleCrop>
  <LinksUpToDate>false</LinksUpToDate>
  <CharactersWithSpaces>967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2021-04-28T07:40:00Z</dcterms:created>
  <dc:creator>JS</dc:creator>
  <cp:lastModifiedBy>YWB</cp:lastModifiedBy>
  <dcterms:modified xsi:type="dcterms:W3CDTF">2021-04-30T02:53:26Z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