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w:t>
      </w:r>
      <w:r>
        <w:rPr>
          <w:rFonts w:hint="eastAsia" w:ascii="仿宋" w:hAnsi="仿宋" w:eastAsia="仿宋" w:cs="仿宋"/>
          <w:sz w:val="32"/>
          <w:szCs w:val="32"/>
          <w:u w:val="single"/>
          <w:lang w:val="en-US" w:eastAsia="zh-CN"/>
        </w:rPr>
        <w:t>31</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keepNext w:val="0"/>
        <w:keepLines w:val="0"/>
        <w:pageBreakBefore w:val="0"/>
        <w:kinsoku/>
        <w:wordWrap/>
        <w:overflowPunct/>
        <w:topLinePunct w:val="0"/>
        <w:bidi w:val="0"/>
        <w:snapToGrid/>
        <w:spacing w:line="44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范美凤</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4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4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92441523MA4W3FN4XY</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4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陆河县河口镇综合市场内</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4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lang w:eastAsia="zh-CN"/>
        </w:rPr>
        <w:t>范美凤</w:t>
      </w:r>
      <w:r>
        <w:rPr>
          <w:rFonts w:hint="eastAsia" w:ascii="仿宋" w:hAnsi="仿宋" w:eastAsia="仿宋" w:cs="仿宋"/>
          <w:bCs/>
          <w:sz w:val="32"/>
          <w:szCs w:val="32"/>
          <w:u w:val="single"/>
        </w:rPr>
        <w:t xml:space="preserve">                </w:t>
      </w: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u w:val="single"/>
          <w:lang w:eastAsia="zh-CN"/>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lang w:eastAsia="zh-CN"/>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eastAsia="zh-CN"/>
        </w:rPr>
        <w:t xml:space="preserve">     </w:t>
      </w:r>
    </w:p>
    <w:p>
      <w:pPr>
        <w:keepNext w:val="0"/>
        <w:keepLines w:val="0"/>
        <w:pageBreakBefore w:val="0"/>
        <w:kinsoku/>
        <w:wordWrap/>
        <w:overflowPunct/>
        <w:topLinePunct w:val="0"/>
        <w:bidi w:val="0"/>
        <w:snapToGrid/>
        <w:spacing w:line="44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kinsoku/>
        <w:wordWrap/>
        <w:overflowPunct/>
        <w:topLinePunct w:val="0"/>
        <w:bidi w:val="0"/>
        <w:snapToGrid/>
        <w:spacing w:line="440" w:lineRule="exact"/>
        <w:jc w:val="left"/>
        <w:textAlignment w:val="auto"/>
        <w:rPr>
          <w:rStyle w:val="13"/>
          <w:rFonts w:hint="eastAsia" w:ascii="仿宋" w:hAnsi="仿宋" w:eastAsia="仿宋"/>
          <w:u w:val="single"/>
        </w:rPr>
      </w:pPr>
      <w:r>
        <w:rPr>
          <w:rFonts w:hint="eastAsia" w:ascii="仿宋" w:hAnsi="仿宋" w:eastAsia="仿宋" w:cs="仿宋"/>
          <w:bCs/>
          <w:sz w:val="32"/>
          <w:szCs w:val="32"/>
        </w:rPr>
        <w:t>联系地址：</w:t>
      </w:r>
      <w:r>
        <w:rPr>
          <w:rStyle w:val="13"/>
          <w:rFonts w:hint="eastAsia" w:ascii="仿宋" w:hAnsi="仿宋" w:eastAsia="仿宋"/>
          <w:u w:val="single"/>
          <w:lang w:eastAsia="zh-CN"/>
        </w:rPr>
        <w:t>陆河县河口镇北龙甘坪村11号</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p>
    <w:p>
      <w:pPr>
        <w:keepNext w:val="0"/>
        <w:keepLines w:val="0"/>
        <w:pageBreakBefore w:val="0"/>
        <w:widowControl w:val="0"/>
        <w:kinsoku/>
        <w:wordWrap/>
        <w:overflowPunct/>
        <w:topLinePunct w:val="0"/>
        <w:bidi w:val="0"/>
        <w:snapToGrid/>
        <w:spacing w:line="430" w:lineRule="exact"/>
        <w:jc w:val="left"/>
        <w:textAlignment w:val="auto"/>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2020年8月26日，汕尾市市场监督管理局委托广东省汕尾市质量计量监督检测所到你处进行抽检，抽取的“海蟹”（购进日期：2020.8.26）经检验，检验结论为该批次的“海蟹”镉项目不符合GB 2762-2017《食品安全国家标准 食品中污染物限量》，检验结果为不合格（报告编号：汕检字SP2020-SJ1651号）。</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经查，你于2020年8月26日购进了18斤海蟹，购进价格为16元/斤。除了被抽检4斤，剩余的均未销售，该批次海蟹的货值金额为288元，违法所得为0元。截止至调查终结，未收到消费者因食用上述不合格批次海蟹造成身体健康损害的报告。你采购该批次海蟹时未履行进货查验义务，没有留存供货方的营业执照复印件和购货凭证。                                          </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你的上述行为违反了《中华人民共和国农产品质量安全法》第三十三条第（二）项的规定。                        </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案违法行为轻微，涉案货值金额少，违法所得少，社会危害较小，未造成消费者身体健康的损害，且当事人属初次违法，积极配合市场监管部门调查，如实陈述违法事实，你对所销售的海蟹不符合农产品质量安全标准确实不知情，并且因现实的购进渠道限制，批发市场环节没有规范管理，一定程度上造成该批次海蟹不能完成溯源，非主观故意,符合《市场监管总局关于规范市场监督管理行政处罚裁量权的指导意见》的“</w:t>
      </w:r>
      <w:r>
        <w:rPr>
          <w:rFonts w:hint="default" w:ascii="仿宋" w:hAnsi="仿宋" w:eastAsia="仿宋" w:cs="仿宋"/>
          <w:sz w:val="32"/>
          <w:szCs w:val="32"/>
          <w:lang w:val="en-US" w:eastAsia="zh-CN"/>
        </w:rPr>
        <w:t>3. 有下列情形之一的，可以依法从轻或者减轻行政处罚：（1）积极配合市场监管部门调查，如实陈述违法事实并主动提供证据材料的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（2）违法行为轻微，社会危害性较小的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（5）当事人有充分证据证明不存在主观故意或者重大过失的</w:t>
      </w:r>
      <w:r>
        <w:rPr>
          <w:rFonts w:hint="eastAsia" w:ascii="仿宋" w:hAnsi="仿宋" w:eastAsia="仿宋" w:cs="仿宋"/>
          <w:sz w:val="32"/>
          <w:szCs w:val="32"/>
          <w:lang w:val="en-US" w:eastAsia="zh-CN"/>
        </w:rPr>
        <w:t>。”的规定可以从轻</w:t>
      </w:r>
      <w:r>
        <w:rPr>
          <w:rFonts w:hint="default" w:ascii="仿宋" w:hAnsi="仿宋" w:eastAsia="仿宋" w:cs="仿宋"/>
          <w:sz w:val="32"/>
          <w:szCs w:val="32"/>
          <w:lang w:val="en-US" w:eastAsia="zh-CN"/>
        </w:rPr>
        <w:t>处罚</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依据《中华人民共和国农产品质量安全法》第五十条第二款的规定，我局对你作出以下行政处罚：处罚款2000元（人民币贰仟元整）。</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上述事实，主要有以下证据证明：1.《检验报告》（编号：汕检字SP2020-SJ1651号）；2.现场检查笔录；3.对黎雪蚕的询问调查笔录；4.当事人《营业执照》、负责人范美凤身份证，证明当事人主体资格。             </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ascii="仿宋" w:hAnsi="仿宋" w:eastAsia="仿宋" w:cs="仿宋"/>
          <w:bCs/>
          <w:sz w:val="32"/>
          <w:szCs w:val="32"/>
        </w:rPr>
      </w:pPr>
      <w:r>
        <w:rPr>
          <w:rFonts w:hint="eastAsia" w:ascii="仿宋" w:hAnsi="仿宋" w:eastAsia="仿宋" w:cs="仿宋"/>
          <w:sz w:val="32"/>
          <w:szCs w:val="32"/>
          <w:lang w:val="en-US" w:eastAsia="zh-CN"/>
        </w:rPr>
        <w:t xml:space="preserve">我局已于2020年11月5日告知当事人拟作出的行政处罚，当事人未提出陈述、申辩及听证要求。     </w:t>
      </w:r>
      <w:r>
        <w:rPr>
          <w:rFonts w:hint="eastAsia" w:ascii="仿宋" w:hAnsi="仿宋" w:eastAsia="仿宋" w:cs="仿宋"/>
          <w:b w:val="0"/>
          <w:bCs/>
          <w:sz w:val="32"/>
          <w:szCs w:val="32"/>
          <w:u w:val="none"/>
          <w:lang w:val="en-US" w:eastAsia="zh-CN"/>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43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43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bidi w:val="0"/>
        <w:snapToGrid/>
        <w:spacing w:line="430" w:lineRule="exact"/>
        <w:jc w:val="left"/>
        <w:textAlignment w:val="auto"/>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430" w:lineRule="exact"/>
        <w:ind w:firstLine="4480" w:firstLineChars="1400"/>
        <w:jc w:val="left"/>
        <w:textAlignment w:val="auto"/>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bidi w:val="0"/>
        <w:snapToGrid/>
        <w:spacing w:line="430" w:lineRule="exact"/>
        <w:jc w:val="left"/>
        <w:textAlignment w:val="auto"/>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bidi w:val="0"/>
        <w:snapToGrid/>
        <w:spacing w:line="430" w:lineRule="exact"/>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2020年</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1月1</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日</w:t>
      </w:r>
    </w:p>
    <w:p>
      <w:pPr>
        <w:keepNext w:val="0"/>
        <w:keepLines w:val="0"/>
        <w:pageBreakBefore w:val="0"/>
        <w:widowControl w:val="0"/>
        <w:kinsoku/>
        <w:wordWrap/>
        <w:overflowPunct/>
        <w:topLinePunct w:val="0"/>
        <w:bidi w:val="0"/>
        <w:snapToGrid/>
        <w:spacing w:line="430" w:lineRule="exact"/>
        <w:jc w:val="left"/>
        <w:textAlignment w:val="auto"/>
        <w:rPr>
          <w:rFonts w:hint="eastAsia" w:ascii="仿宋" w:hAnsi="仿宋" w:eastAsia="仿宋" w:cs="仿宋"/>
          <w:sz w:val="32"/>
          <w:szCs w:val="32"/>
          <w:lang w:eastAsia="zh-CN"/>
        </w:rPr>
      </w:pP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30" w:lineRule="exact"/>
        <w:jc w:val="left"/>
        <w:textAlignment w:val="auto"/>
        <w:outlineLvl w:val="9"/>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-120650</wp:posOffset>
                </wp:positionH>
                <wp:positionV relativeFrom="paragraph">
                  <wp:posOffset>13970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9.5pt;margin-top:1.1pt;height:0.05pt;width:442.2pt;z-index:251735040;mso-width-relative:page;mso-height-relative:page;" filled="f" stroked="t" coordsize="21600,21600" o:gfxdata="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Rp5fV1QAAAAcBAAAPAAAAAAAAAAEAIAAAACIAAABkcnMv&#10;ZG93bnJldi54bWxQSwECFAAUAAAACACHTuJA1WVhMs0BAABfAwAADgAAAAAAAAABACAAAAAkAQAA&#10;ZHJzL2Uyb0RvYy54bWxQSwUGAAAAAAYABgBZAQAAYwUAAAAA&#10;">
                <v:fill on="f" focussize="0,0"/>
                <v:stroke weight="1.5pt" color="#000000" joinstyle="round"/>
                <v:imagedata o:title=""/>
                <o:lock v:ext="edit" aspectratio="f"/>
              </v:line>
            </w:pict>
          </mc:Fallback>
        </mc:AlternateContent>
      </w: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C521BD"/>
    <w:rsid w:val="03123099"/>
    <w:rsid w:val="03370C0C"/>
    <w:rsid w:val="03417ADA"/>
    <w:rsid w:val="040E7FEB"/>
    <w:rsid w:val="04393749"/>
    <w:rsid w:val="04656F73"/>
    <w:rsid w:val="0488409C"/>
    <w:rsid w:val="04A13191"/>
    <w:rsid w:val="0505216E"/>
    <w:rsid w:val="05843A33"/>
    <w:rsid w:val="06176EC8"/>
    <w:rsid w:val="06806BC8"/>
    <w:rsid w:val="06B9742D"/>
    <w:rsid w:val="06DB422C"/>
    <w:rsid w:val="07030029"/>
    <w:rsid w:val="077E44C3"/>
    <w:rsid w:val="08CF3EF8"/>
    <w:rsid w:val="097C75C6"/>
    <w:rsid w:val="0AB029D7"/>
    <w:rsid w:val="0B7166B7"/>
    <w:rsid w:val="0B8C347D"/>
    <w:rsid w:val="0BB9168E"/>
    <w:rsid w:val="0C076E68"/>
    <w:rsid w:val="0CA862F1"/>
    <w:rsid w:val="0D2E683A"/>
    <w:rsid w:val="0E2D7BCA"/>
    <w:rsid w:val="0ED178FE"/>
    <w:rsid w:val="0F6B3958"/>
    <w:rsid w:val="0FA16E39"/>
    <w:rsid w:val="10E31B0E"/>
    <w:rsid w:val="110913CA"/>
    <w:rsid w:val="12852230"/>
    <w:rsid w:val="12D0325E"/>
    <w:rsid w:val="12E474ED"/>
    <w:rsid w:val="12E60001"/>
    <w:rsid w:val="13620662"/>
    <w:rsid w:val="13B6072C"/>
    <w:rsid w:val="13DE68CA"/>
    <w:rsid w:val="13E37CD9"/>
    <w:rsid w:val="14B9514A"/>
    <w:rsid w:val="14C348DF"/>
    <w:rsid w:val="14E96950"/>
    <w:rsid w:val="14FC7C37"/>
    <w:rsid w:val="15B63D65"/>
    <w:rsid w:val="15C626D7"/>
    <w:rsid w:val="165A5300"/>
    <w:rsid w:val="16941E44"/>
    <w:rsid w:val="190D1895"/>
    <w:rsid w:val="19A76968"/>
    <w:rsid w:val="1A574E1F"/>
    <w:rsid w:val="1CCB4181"/>
    <w:rsid w:val="1DCB2D4F"/>
    <w:rsid w:val="20853862"/>
    <w:rsid w:val="20A7013A"/>
    <w:rsid w:val="21BC74E0"/>
    <w:rsid w:val="222B3790"/>
    <w:rsid w:val="22600ADC"/>
    <w:rsid w:val="226E32C8"/>
    <w:rsid w:val="22FB3C2C"/>
    <w:rsid w:val="24727A99"/>
    <w:rsid w:val="278B19A0"/>
    <w:rsid w:val="291D33FD"/>
    <w:rsid w:val="29597AB8"/>
    <w:rsid w:val="298C4A7B"/>
    <w:rsid w:val="2A7841C2"/>
    <w:rsid w:val="2AD3257C"/>
    <w:rsid w:val="2C1D5577"/>
    <w:rsid w:val="2CBC1B69"/>
    <w:rsid w:val="2D0043CE"/>
    <w:rsid w:val="2DFF1934"/>
    <w:rsid w:val="2EE0235A"/>
    <w:rsid w:val="2EE734E3"/>
    <w:rsid w:val="2F600F6B"/>
    <w:rsid w:val="2F7B5D43"/>
    <w:rsid w:val="2FC41E6A"/>
    <w:rsid w:val="2FE17E19"/>
    <w:rsid w:val="30A37255"/>
    <w:rsid w:val="32B40DBF"/>
    <w:rsid w:val="33555D25"/>
    <w:rsid w:val="337C70FC"/>
    <w:rsid w:val="33F864EA"/>
    <w:rsid w:val="33FE70AF"/>
    <w:rsid w:val="34370B64"/>
    <w:rsid w:val="34492726"/>
    <w:rsid w:val="34544C95"/>
    <w:rsid w:val="34FA7944"/>
    <w:rsid w:val="3552101C"/>
    <w:rsid w:val="35CC2E01"/>
    <w:rsid w:val="35D714E5"/>
    <w:rsid w:val="35E14D8A"/>
    <w:rsid w:val="36D16BDB"/>
    <w:rsid w:val="374D2EA8"/>
    <w:rsid w:val="37E07146"/>
    <w:rsid w:val="39562756"/>
    <w:rsid w:val="3A315AEA"/>
    <w:rsid w:val="3B00530A"/>
    <w:rsid w:val="3B460452"/>
    <w:rsid w:val="3B6C0CC3"/>
    <w:rsid w:val="3B781B94"/>
    <w:rsid w:val="3C470EB1"/>
    <w:rsid w:val="3C5F5E54"/>
    <w:rsid w:val="3C9564DC"/>
    <w:rsid w:val="3CB05452"/>
    <w:rsid w:val="3E1E2CCC"/>
    <w:rsid w:val="3F8E5FAB"/>
    <w:rsid w:val="41062DF5"/>
    <w:rsid w:val="4252100D"/>
    <w:rsid w:val="42A14833"/>
    <w:rsid w:val="42BC5117"/>
    <w:rsid w:val="42ED70EE"/>
    <w:rsid w:val="43A01DF8"/>
    <w:rsid w:val="44425999"/>
    <w:rsid w:val="446A4202"/>
    <w:rsid w:val="459B737F"/>
    <w:rsid w:val="45E506DC"/>
    <w:rsid w:val="46A37506"/>
    <w:rsid w:val="46B22174"/>
    <w:rsid w:val="47F5189C"/>
    <w:rsid w:val="4820497A"/>
    <w:rsid w:val="490A4E07"/>
    <w:rsid w:val="4995584A"/>
    <w:rsid w:val="49D676BF"/>
    <w:rsid w:val="4A3A2696"/>
    <w:rsid w:val="4AB86C72"/>
    <w:rsid w:val="4B4968EF"/>
    <w:rsid w:val="4B9F01CE"/>
    <w:rsid w:val="4C343CCE"/>
    <w:rsid w:val="4C84365D"/>
    <w:rsid w:val="4CAA206D"/>
    <w:rsid w:val="4CD951D3"/>
    <w:rsid w:val="4D583412"/>
    <w:rsid w:val="4D5D13C9"/>
    <w:rsid w:val="4D955B5F"/>
    <w:rsid w:val="4EF017DE"/>
    <w:rsid w:val="4F0C60B2"/>
    <w:rsid w:val="4FD41EFF"/>
    <w:rsid w:val="50003B47"/>
    <w:rsid w:val="51AC4E5F"/>
    <w:rsid w:val="51C9061B"/>
    <w:rsid w:val="528C123F"/>
    <w:rsid w:val="52BB3FE7"/>
    <w:rsid w:val="539D46CD"/>
    <w:rsid w:val="53CA01B1"/>
    <w:rsid w:val="53FC6E25"/>
    <w:rsid w:val="552055FE"/>
    <w:rsid w:val="56600DEB"/>
    <w:rsid w:val="56686F6E"/>
    <w:rsid w:val="56A04A24"/>
    <w:rsid w:val="57D6647D"/>
    <w:rsid w:val="582D5311"/>
    <w:rsid w:val="58785AC2"/>
    <w:rsid w:val="58AC28A3"/>
    <w:rsid w:val="593254A7"/>
    <w:rsid w:val="59471241"/>
    <w:rsid w:val="5A3822AC"/>
    <w:rsid w:val="5ABB0A79"/>
    <w:rsid w:val="5AD04BA6"/>
    <w:rsid w:val="5C0D59E4"/>
    <w:rsid w:val="5C3F44E6"/>
    <w:rsid w:val="5C736B04"/>
    <w:rsid w:val="5D6051A2"/>
    <w:rsid w:val="5DE1055B"/>
    <w:rsid w:val="5DED7740"/>
    <w:rsid w:val="5F16240C"/>
    <w:rsid w:val="5F3A5D80"/>
    <w:rsid w:val="5F6F6012"/>
    <w:rsid w:val="5FF05E4D"/>
    <w:rsid w:val="60074E4F"/>
    <w:rsid w:val="6062517B"/>
    <w:rsid w:val="60AF5199"/>
    <w:rsid w:val="60C96A0F"/>
    <w:rsid w:val="61271862"/>
    <w:rsid w:val="61A64D42"/>
    <w:rsid w:val="620C6C86"/>
    <w:rsid w:val="620F1B54"/>
    <w:rsid w:val="63024FEB"/>
    <w:rsid w:val="633510EE"/>
    <w:rsid w:val="645262F5"/>
    <w:rsid w:val="647D4E26"/>
    <w:rsid w:val="64DD53F7"/>
    <w:rsid w:val="65CB2A2F"/>
    <w:rsid w:val="676A6B82"/>
    <w:rsid w:val="685F354F"/>
    <w:rsid w:val="68840109"/>
    <w:rsid w:val="68CE33B6"/>
    <w:rsid w:val="695F5116"/>
    <w:rsid w:val="696834EB"/>
    <w:rsid w:val="6AE87202"/>
    <w:rsid w:val="6AF00908"/>
    <w:rsid w:val="6C045701"/>
    <w:rsid w:val="6C0B5DBF"/>
    <w:rsid w:val="6C4C0FFC"/>
    <w:rsid w:val="6DAE614E"/>
    <w:rsid w:val="6E5D00BD"/>
    <w:rsid w:val="6FE8019A"/>
    <w:rsid w:val="6FEB5674"/>
    <w:rsid w:val="701C0F9C"/>
    <w:rsid w:val="706C441D"/>
    <w:rsid w:val="712A250C"/>
    <w:rsid w:val="72F04B09"/>
    <w:rsid w:val="731C7E90"/>
    <w:rsid w:val="74422264"/>
    <w:rsid w:val="75964F0E"/>
    <w:rsid w:val="76D32A29"/>
    <w:rsid w:val="778E4F90"/>
    <w:rsid w:val="784D6ACC"/>
    <w:rsid w:val="78B35AFA"/>
    <w:rsid w:val="793E5E9B"/>
    <w:rsid w:val="79545F8F"/>
    <w:rsid w:val="79BC710A"/>
    <w:rsid w:val="7A247D44"/>
    <w:rsid w:val="7A2B7977"/>
    <w:rsid w:val="7A891D73"/>
    <w:rsid w:val="7BC85201"/>
    <w:rsid w:val="7C937D68"/>
    <w:rsid w:val="7D3E1CC4"/>
    <w:rsid w:val="7D6704CC"/>
    <w:rsid w:val="7DF331F4"/>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color w:val="FFFFFF"/>
      <w:u w:val="none"/>
    </w:rPr>
  </w:style>
  <w:style w:type="character" w:styleId="9">
    <w:name w:val="Hyperlink"/>
    <w:basedOn w:val="6"/>
    <w:qFormat/>
    <w:uiPriority w:val="0"/>
    <w:rPr>
      <w:color w:val="FFFF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6"/>
    <w:qFormat/>
    <w:uiPriority w:val="0"/>
    <w:rPr>
      <w:rFonts w:hint="default" w:ascii="FZXBSK--GBK1-0" w:hAnsi="FZXBSK--GBK1-0"/>
      <w:color w:val="231F20"/>
      <w:sz w:val="42"/>
      <w:szCs w:val="42"/>
    </w:rPr>
  </w:style>
  <w:style w:type="character" w:customStyle="1" w:styleId="13">
    <w:name w:val="fontstyle11"/>
    <w:basedOn w:val="6"/>
    <w:qFormat/>
    <w:uiPriority w:val="0"/>
    <w:rPr>
      <w:rFonts w:hint="default" w:ascii="FZFSK--GBK1-0" w:hAnsi="FZFSK--GBK1-0"/>
      <w:color w:val="231F20"/>
      <w:sz w:val="32"/>
      <w:szCs w:val="32"/>
    </w:rPr>
  </w:style>
  <w:style w:type="character" w:customStyle="1" w:styleId="14">
    <w:name w:val="fontstyle31"/>
    <w:basedOn w:val="6"/>
    <w:qFormat/>
    <w:uiPriority w:val="0"/>
    <w:rPr>
      <w:rFonts w:hint="default" w:ascii="FZHTK--GBK1-0" w:hAnsi="FZHTK--GBK1-0"/>
      <w:color w:val="231F20"/>
      <w:sz w:val="32"/>
      <w:szCs w:val="32"/>
    </w:rPr>
  </w:style>
  <w:style w:type="character" w:customStyle="1" w:styleId="15">
    <w:name w:val="fontstyle41"/>
    <w:basedOn w:val="6"/>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6"/>
    <w:link w:val="5"/>
    <w:qFormat/>
    <w:uiPriority w:val="0"/>
    <w:rPr>
      <w:rFonts w:asciiTheme="minorHAnsi" w:hAnsiTheme="minorHAnsi" w:eastAsiaTheme="minorEastAsia" w:cstheme="minorBidi"/>
      <w:kern w:val="2"/>
      <w:sz w:val="18"/>
      <w:szCs w:val="18"/>
    </w:rPr>
  </w:style>
  <w:style w:type="character" w:customStyle="1" w:styleId="18">
    <w:name w:val="页脚 Char"/>
    <w:basedOn w:val="6"/>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0</TotalTime>
  <ScaleCrop>false</ScaleCrop>
  <LinksUpToDate>false</LinksUpToDate>
  <CharactersWithSpaces>15976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小洁子คิดถึง</cp:lastModifiedBy>
  <cp:lastPrinted>2020-12-01T07:22:00Z</cp:lastPrinted>
  <dcterms:modified xsi:type="dcterms:W3CDTF">2020-12-11T07:53:58Z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