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陆河县城雪蚕蔬菜批发店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黎雪蚕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陆河县城雪蚕蔬菜批发店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92441523MA4X7DTW44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陆河县城城南农贸市场内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黎雪蚕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Style w:val="13"/>
          <w:rFonts w:hint="eastAsia" w:ascii="仿宋" w:hAnsi="仿宋" w:eastAsia="仿宋"/>
          <w:u w:val="single"/>
          <w:lang w:eastAsia="zh-CN"/>
        </w:rPr>
        <w:t>陆河县河田镇埔顶村南新一街15号</w:t>
      </w:r>
      <w:r>
        <w:rPr>
          <w:rStyle w:val="13"/>
          <w:rFonts w:hint="eastAsia" w:ascii="仿宋" w:hAnsi="仿宋" w:eastAsia="仿宋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2020年8月25日，汕尾市市场监督管理局委托广东省汕尾市质量计量监督检测所到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进行抽检，抽取的“豇豆”（购进日期：2020.8.25）经检验，检验结论为该批次的“豇豆”克百威项目不符合GB 2763-2019《食品安全国家标准 食品中农药最大残留限量》，检验结论为不合格（报告编号：汕检字SP2020-SJ1598号）。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于2020年8月25日购进了上述豇豆11斤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由于市场消费者是随机的，且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豇豆</w:t>
      </w:r>
      <w:r>
        <w:rPr>
          <w:rFonts w:hint="eastAsia" w:ascii="仿宋" w:hAnsi="仿宋" w:eastAsia="仿宋" w:cs="仿宋"/>
          <w:bCs/>
          <w:sz w:val="32"/>
          <w:szCs w:val="32"/>
        </w:rPr>
        <w:t>属于在短时间内消费完的生鲜食品，截止至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收到不合格检验报告，已无法召回。该批次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豇豆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8斤以5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货值金额为55元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采购该批次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豇豆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未履行进货查验义务，没有留存供货方的营业执照复印件和</w:t>
      </w:r>
      <w:r>
        <w:rPr>
          <w:rFonts w:hint="eastAsia" w:ascii="仿宋" w:hAnsi="仿宋" w:eastAsia="仿宋" w:cs="仿宋"/>
          <w:bCs/>
          <w:sz w:val="32"/>
          <w:szCs w:val="32"/>
        </w:rPr>
        <w:t>购货凭证。截止至调查终结，未收到消费者因食用上述不合格批次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豇豆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你对所销售的豇豆不符合农产品质量安全标准确实不知情，并且因现实的购进渠道限制，批发市场环节没有规范管理，一定程度上造成该批次豇豆不能完成溯源，非你主观故意,符合《市场监管总局关于规范市场监督管理行政处罚裁量权的指导意见》的“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3. 有下列情形之一的，可以依法从轻或者减轻行政处罚：（1）积极配合市场监管部门调查，如实陈述违法事实并主动提供证据材料的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（2）违法行为轻微，社会危害性较小的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（5）当事人有充分证据证明不存在主观故意或者重大过失的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。”的规定可以从轻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处罚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定，我局对你作出以下行政处罚：1.没收违法所得为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元；2.处罚款3000元；罚没款合计30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（人民币叁仟零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肆拾</w:t>
      </w:r>
      <w:r>
        <w:rPr>
          <w:rFonts w:hint="eastAsia" w:ascii="仿宋" w:hAnsi="仿宋" w:eastAsia="仿宋" w:cs="仿宋"/>
          <w:bCs/>
          <w:sz w:val="32"/>
          <w:szCs w:val="32"/>
        </w:rPr>
        <w:t>圆整）。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1.《检验报告》（编号：汕检字SP2020-SJ1598号）；2.现场检查笔录；3.对负责人黎雪蚕的询问调查笔录；4.当事人《营业执照》、负责人黎雪蚕身份证、委托书、受委托人方友裕身份证复印件.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我局已于2020年11月9日告知当事人拟作出的行政处罚，当事人未提出陈述、申辩及听证要求。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8CF3EF8"/>
    <w:rsid w:val="097C75C6"/>
    <w:rsid w:val="0AB029D7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B63D65"/>
    <w:rsid w:val="15C626D7"/>
    <w:rsid w:val="165A5300"/>
    <w:rsid w:val="16941E44"/>
    <w:rsid w:val="190D1895"/>
    <w:rsid w:val="190F298A"/>
    <w:rsid w:val="19A76968"/>
    <w:rsid w:val="1A574E1F"/>
    <w:rsid w:val="1CCB4181"/>
    <w:rsid w:val="1DCB2D4F"/>
    <w:rsid w:val="20853862"/>
    <w:rsid w:val="20A7013A"/>
    <w:rsid w:val="217224F2"/>
    <w:rsid w:val="222B3790"/>
    <w:rsid w:val="22FB3C2C"/>
    <w:rsid w:val="24727A99"/>
    <w:rsid w:val="25A2070F"/>
    <w:rsid w:val="278B19A0"/>
    <w:rsid w:val="291D33FD"/>
    <w:rsid w:val="29597AB8"/>
    <w:rsid w:val="298C4A7B"/>
    <w:rsid w:val="2A7841C2"/>
    <w:rsid w:val="2AD3257C"/>
    <w:rsid w:val="2C1D5577"/>
    <w:rsid w:val="2CBC1B69"/>
    <w:rsid w:val="2D0043CE"/>
    <w:rsid w:val="2DE22814"/>
    <w:rsid w:val="2DFF1934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315AEA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B4968EF"/>
    <w:rsid w:val="4B9F01CE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50003B47"/>
    <w:rsid w:val="51C9061B"/>
    <w:rsid w:val="528C123F"/>
    <w:rsid w:val="52BB3FE7"/>
    <w:rsid w:val="539D46CD"/>
    <w:rsid w:val="53CA01B1"/>
    <w:rsid w:val="53FC6E25"/>
    <w:rsid w:val="552055FE"/>
    <w:rsid w:val="56600DEB"/>
    <w:rsid w:val="56686F6E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6A6B82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DAE614E"/>
    <w:rsid w:val="6E5D00BD"/>
    <w:rsid w:val="6FE8019A"/>
    <w:rsid w:val="6FEB5674"/>
    <w:rsid w:val="701C0F9C"/>
    <w:rsid w:val="706C441D"/>
    <w:rsid w:val="712A250C"/>
    <w:rsid w:val="72F04B09"/>
    <w:rsid w:val="731C7E90"/>
    <w:rsid w:val="74422264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937D68"/>
    <w:rsid w:val="7D3E1CC4"/>
    <w:rsid w:val="7D6704CC"/>
    <w:rsid w:val="7DF331F4"/>
    <w:rsid w:val="7EC74420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小洁子คิดถึง</cp:lastModifiedBy>
  <cp:lastPrinted>2020-11-25T08:00:00Z</cp:lastPrinted>
  <dcterms:modified xsi:type="dcterms:W3CDTF">2020-12-11T07:53:59Z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