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B24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陆河县城家佳乐餐厅（刘凯迪）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陆河县城家佳乐餐厅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92441523MA4W3L9X4M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陆河县河田镇城南居委人民南路9号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刘凯迪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 </w:t>
      </w:r>
      <w:bookmarkStart w:id="0" w:name="_GoBack"/>
      <w:bookmarkEnd w:id="0"/>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陆河县河田镇人民南路9号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Style w:val="8"/>
          <w:rFonts w:hint="eastAsia" w:ascii="仿宋" w:hAnsi="仿宋" w:eastAsia="仿宋"/>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2020年6月18日，陆河县市场监督管理局委托广东省汕尾市质量计量监督检测所到陆河县城家佳乐餐厅进行抽检，抽取的“粿条（米粉制品）”（购进日期：2020.06.18，散装）经检验，检验结论为该批次的“粿条（米粉制品）”苯甲酸及其钠盐项目不符合GB 2760-2014 《食品安全国家标准 食品添加剂使用标准》，检验结论为不合格（报告编号：汕检字SP2020-LH164号）。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u w:val="none"/>
          <w:lang w:val="en-US" w:eastAsia="zh-CN"/>
        </w:rPr>
      </w:pPr>
      <w:r>
        <w:rPr>
          <w:rStyle w:val="8"/>
          <w:rFonts w:hint="eastAsia" w:ascii="仿宋" w:hAnsi="仿宋" w:eastAsia="仿宋"/>
          <w:u w:val="none"/>
          <w:lang w:val="en-US" w:eastAsia="zh-CN"/>
        </w:rPr>
        <w:t>经查，你于2020年6月18日从陆河县河田镇宝康食品加工厂购进了上述“粿条（米粉制品）”2.3斤，购进价格为6元。全部被抽检完毕，没有销售。你</w:t>
      </w:r>
      <w:r>
        <w:rPr>
          <w:rFonts w:hint="eastAsia" w:ascii="仿宋" w:hAnsi="仿宋" w:eastAsia="仿宋" w:cs="仿宋"/>
          <w:sz w:val="32"/>
          <w:szCs w:val="32"/>
          <w:lang w:val="en-US" w:eastAsia="zh-CN"/>
        </w:rPr>
        <w:t>留存有该批次“粿条（米粉制品）”的购进票据、</w:t>
      </w:r>
      <w:r>
        <w:rPr>
          <w:rFonts w:hint="eastAsia" w:ascii="仿宋" w:hAnsi="仿宋" w:eastAsia="仿宋" w:cs="仿宋"/>
          <w:sz w:val="32"/>
          <w:szCs w:val="32"/>
          <w:u w:val="none"/>
          <w:lang w:val="en-US" w:eastAsia="zh-CN"/>
        </w:rPr>
        <w:t xml:space="preserve">供货方生产经营资质。你在出现此次事故后，制定了整改方案。你经营的“粿条（米粉制品）”货值金额合计80元，违法所得为0元。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你的上述行为违反了《中华人民共和国食品安全法》第三十四条第（十三）项的规定。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i w:val="0"/>
          <w:caps w:val="0"/>
          <w:color w:val="000000"/>
          <w:spacing w:val="0"/>
          <w:kern w:val="0"/>
          <w:sz w:val="32"/>
          <w:szCs w:val="32"/>
          <w:lang w:val="en-US" w:eastAsia="zh-CN" w:bidi="ar"/>
        </w:rPr>
        <w:t>本案违法行为轻微，涉案货值金额少，无违法所得，社会危害较小，</w:t>
      </w:r>
      <w:r>
        <w:rPr>
          <w:rFonts w:hint="eastAsia" w:ascii="仿宋" w:hAnsi="仿宋" w:eastAsia="仿宋" w:cs="仿宋"/>
          <w:sz w:val="32"/>
          <w:szCs w:val="32"/>
        </w:rPr>
        <w:t>未造成消费者身体健康的损害，</w:t>
      </w:r>
      <w:r>
        <w:rPr>
          <w:rFonts w:hint="eastAsia" w:ascii="仿宋" w:hAnsi="仿宋" w:eastAsia="仿宋" w:cs="仿宋"/>
          <w:b w:val="0"/>
          <w:i w:val="0"/>
          <w:caps w:val="0"/>
          <w:color w:val="000000"/>
          <w:spacing w:val="0"/>
          <w:kern w:val="0"/>
          <w:sz w:val="32"/>
          <w:szCs w:val="32"/>
          <w:lang w:val="en-US" w:eastAsia="zh-CN" w:bidi="ar"/>
        </w:rPr>
        <w:t>且当事人属初次违法，</w:t>
      </w:r>
      <w:r>
        <w:rPr>
          <w:rFonts w:hint="eastAsia" w:ascii="仿宋" w:hAnsi="仿宋" w:eastAsia="仿宋" w:cs="仿宋"/>
          <w:sz w:val="32"/>
          <w:szCs w:val="32"/>
          <w:u w:val="none"/>
          <w:lang w:val="en-US" w:eastAsia="zh-CN"/>
        </w:rPr>
        <w:t>积极配合市场监管部门调查，如实陈述违法事实，主动指认供货方,</w:t>
      </w:r>
      <w:r>
        <w:rPr>
          <w:rFonts w:hint="eastAsia" w:ascii="仿宋" w:hAnsi="仿宋" w:eastAsia="仿宋" w:cs="仿宋"/>
          <w:b w:val="0"/>
          <w:i w:val="0"/>
          <w:caps w:val="0"/>
          <w:color w:val="000000"/>
          <w:spacing w:val="0"/>
          <w:kern w:val="0"/>
          <w:sz w:val="32"/>
          <w:szCs w:val="32"/>
          <w:lang w:val="en-US" w:eastAsia="zh-CN" w:bidi="ar"/>
        </w:rPr>
        <w:t>符</w:t>
      </w:r>
      <w:r>
        <w:rPr>
          <w:rFonts w:hint="eastAsia" w:ascii="仿宋" w:hAnsi="仿宋" w:eastAsia="仿宋" w:cs="仿宋"/>
          <w:sz w:val="32"/>
          <w:szCs w:val="32"/>
          <w:u w:val="none"/>
          <w:lang w:val="en-US" w:eastAsia="zh-CN"/>
        </w:rPr>
        <w:t>合《市场监管总局关于规范市场监督管理行政处罚裁量权的指导意见》的“</w:t>
      </w:r>
      <w:r>
        <w:rPr>
          <w:rFonts w:hint="default" w:ascii="仿宋" w:hAnsi="仿宋" w:eastAsia="仿宋" w:cs="仿宋"/>
          <w:b w:val="0"/>
          <w:i w:val="0"/>
          <w:caps w:val="0"/>
          <w:color w:val="000000"/>
          <w:spacing w:val="0"/>
          <w:kern w:val="0"/>
          <w:sz w:val="32"/>
          <w:szCs w:val="32"/>
          <w:lang w:val="en-US" w:eastAsia="zh-CN" w:bidi="ar"/>
        </w:rPr>
        <w:t>1. 有下列情形之一的，应当依法不予行政处罚：（3） 违法行为轻微并及时纠正，没有造成危害后果的</w:t>
      </w:r>
      <w:r>
        <w:rPr>
          <w:rFonts w:hint="eastAsia" w:ascii="仿宋" w:hAnsi="仿宋" w:eastAsia="仿宋" w:cs="仿宋"/>
          <w:b w:val="0"/>
          <w:i w:val="0"/>
          <w:caps w:val="0"/>
          <w:color w:val="000000"/>
          <w:spacing w:val="0"/>
          <w:kern w:val="0"/>
          <w:sz w:val="32"/>
          <w:szCs w:val="32"/>
          <w:lang w:val="en-US" w:eastAsia="zh-CN" w:bidi="ar"/>
        </w:rPr>
        <w:t>。”</w:t>
      </w:r>
      <w:r>
        <w:rPr>
          <w:rFonts w:hint="eastAsia" w:ascii="仿宋" w:hAnsi="仿宋" w:eastAsia="仿宋" w:cs="仿宋"/>
          <w:sz w:val="32"/>
          <w:szCs w:val="32"/>
          <w:u w:val="none"/>
          <w:lang w:val="en-US" w:eastAsia="zh-CN"/>
        </w:rPr>
        <w:t>的规定</w:t>
      </w:r>
      <w:r>
        <w:rPr>
          <w:rFonts w:hint="eastAsia" w:ascii="仿宋" w:hAnsi="仿宋" w:eastAsia="仿宋" w:cs="仿宋"/>
          <w:sz w:val="32"/>
          <w:szCs w:val="32"/>
        </w:rPr>
        <w:t>可以</w:t>
      </w:r>
      <w:r>
        <w:rPr>
          <w:rFonts w:hint="default" w:ascii="仿宋" w:hAnsi="仿宋" w:eastAsia="仿宋" w:cs="仿宋"/>
          <w:b w:val="0"/>
          <w:i w:val="0"/>
          <w:caps w:val="0"/>
          <w:color w:val="000000"/>
          <w:spacing w:val="0"/>
          <w:kern w:val="0"/>
          <w:sz w:val="32"/>
          <w:szCs w:val="32"/>
          <w:lang w:val="en-US" w:eastAsia="zh-CN" w:bidi="ar"/>
        </w:rPr>
        <w:t>不予行政处罚</w:t>
      </w:r>
      <w:r>
        <w:rPr>
          <w:rFonts w:hint="eastAsia" w:ascii="仿宋" w:hAnsi="仿宋" w:eastAsia="仿宋" w:cs="仿宋"/>
          <w:sz w:val="32"/>
          <w:szCs w:val="32"/>
        </w:rPr>
        <w:t>。</w:t>
      </w:r>
      <w:r>
        <w:rPr>
          <w:rFonts w:hint="eastAsia" w:ascii="仿宋" w:hAnsi="仿宋" w:eastAsia="仿宋" w:cs="仿宋"/>
          <w:sz w:val="32"/>
          <w:szCs w:val="32"/>
          <w:u w:val="none"/>
          <w:lang w:val="en-US" w:eastAsia="zh-CN"/>
        </w:rPr>
        <w:t>依据《中华人民共和国食品安全法》第一百三十六条</w:t>
      </w:r>
      <w:r>
        <w:rPr>
          <w:rFonts w:hint="eastAsia" w:ascii="仿宋" w:hAnsi="仿宋" w:eastAsia="仿宋" w:cs="仿宋"/>
          <w:b w:val="0"/>
          <w:bCs/>
          <w:kern w:val="2"/>
          <w:sz w:val="32"/>
          <w:szCs w:val="32"/>
          <w:u w:val="none"/>
          <w:lang w:val="en-US" w:eastAsia="zh-CN" w:bidi="ar-SA"/>
        </w:rPr>
        <w:t>的规定，</w:t>
      </w:r>
      <w:r>
        <w:rPr>
          <w:rFonts w:hint="eastAsia" w:ascii="仿宋" w:hAnsi="仿宋" w:eastAsia="仿宋" w:cs="仿宋"/>
          <w:sz w:val="32"/>
          <w:szCs w:val="32"/>
          <w:u w:val="none"/>
          <w:lang w:val="en-US" w:eastAsia="zh-CN"/>
        </w:rPr>
        <w:t>建议给予以下行政处罚</w:t>
      </w:r>
      <w:r>
        <w:rPr>
          <w:rFonts w:hint="eastAsia" w:ascii="仿宋" w:hAnsi="仿宋" w:eastAsia="仿宋" w:cs="仿宋"/>
          <w:b w:val="0"/>
          <w:i w:val="0"/>
          <w:caps w:val="0"/>
          <w:color w:val="000000"/>
          <w:spacing w:val="0"/>
          <w:kern w:val="0"/>
          <w:sz w:val="32"/>
          <w:szCs w:val="32"/>
          <w:lang w:val="en-US" w:eastAsia="zh-CN" w:bidi="ar"/>
        </w:rPr>
        <w:t>: 免予行政处罚。</w:t>
      </w:r>
      <w:r>
        <w:rPr>
          <w:rFonts w:hint="eastAsia" w:ascii="仿宋" w:hAnsi="仿宋" w:eastAsia="仿宋" w:cs="仿宋"/>
          <w:sz w:val="32"/>
          <w:szCs w:val="32"/>
          <w:u w:val="none"/>
          <w:lang w:val="en-US" w:eastAsia="zh-CN"/>
        </w:rPr>
        <w:t xml:space="preserve"> </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上述事实，主要有以下证据证明： 1.《检验报告》</w:t>
      </w:r>
      <w:r>
        <w:rPr>
          <w:rFonts w:hint="eastAsia" w:ascii="仿宋" w:hAnsi="仿宋" w:eastAsia="仿宋" w:cs="仿宋"/>
          <w:sz w:val="32"/>
          <w:szCs w:val="32"/>
          <w:lang w:val="en-US" w:eastAsia="zh-CN"/>
        </w:rPr>
        <w:t>（</w:t>
      </w:r>
      <w:r>
        <w:rPr>
          <w:rStyle w:val="8"/>
          <w:rFonts w:hint="eastAsia" w:ascii="仿宋" w:hAnsi="仿宋" w:eastAsia="仿宋"/>
          <w:u w:val="none"/>
          <w:lang w:val="en-US" w:eastAsia="zh-CN"/>
        </w:rPr>
        <w:t>汕检字SP2020-LH164号</w:t>
      </w:r>
      <w:r>
        <w:rPr>
          <w:rFonts w:hint="eastAsia" w:ascii="仿宋" w:hAnsi="仿宋" w:eastAsia="仿宋" w:cs="仿宋"/>
          <w:sz w:val="32"/>
          <w:szCs w:val="32"/>
          <w:lang w:val="en-US" w:eastAsia="zh-CN"/>
        </w:rPr>
        <w:t>）</w:t>
      </w:r>
      <w:r>
        <w:rPr>
          <w:rFonts w:hint="eastAsia" w:ascii="仿宋" w:hAnsi="仿宋" w:eastAsia="仿宋" w:cs="仿宋"/>
          <w:b w:val="0"/>
          <w:bCs/>
          <w:sz w:val="32"/>
          <w:szCs w:val="32"/>
          <w:u w:val="none"/>
          <w:lang w:val="en-US" w:eastAsia="zh-CN"/>
        </w:rPr>
        <w:t>；2.现场检查笔录；3.对</w:t>
      </w:r>
      <w:r>
        <w:rPr>
          <w:rFonts w:hint="eastAsia" w:ascii="仿宋" w:hAnsi="仿宋" w:eastAsia="仿宋" w:cs="仿宋"/>
          <w:sz w:val="32"/>
          <w:szCs w:val="32"/>
          <w:u w:val="none"/>
          <w:lang w:val="en-US" w:eastAsia="zh-CN"/>
        </w:rPr>
        <w:t>刘凯迪</w:t>
      </w:r>
      <w:r>
        <w:rPr>
          <w:rFonts w:hint="eastAsia" w:ascii="仿宋" w:hAnsi="仿宋" w:eastAsia="仿宋" w:cs="仿宋"/>
          <w:b w:val="0"/>
          <w:bCs/>
          <w:sz w:val="32"/>
          <w:szCs w:val="32"/>
          <w:u w:val="none"/>
          <w:lang w:val="en-US" w:eastAsia="zh-CN"/>
        </w:rPr>
        <w:t>的询问调查笔录；4.</w:t>
      </w:r>
      <w:r>
        <w:rPr>
          <w:rFonts w:hint="eastAsia" w:ascii="仿宋" w:hAnsi="仿宋" w:eastAsia="仿宋" w:cs="仿宋"/>
          <w:sz w:val="32"/>
          <w:szCs w:val="32"/>
          <w:u w:val="none"/>
          <w:lang w:val="en-US" w:eastAsia="zh-CN"/>
        </w:rPr>
        <w:t>陆河县城家佳乐餐厅的《营业执照》、《食品经营许可证》、负责人刘凯迪身份证复印件</w:t>
      </w:r>
      <w:r>
        <w:rPr>
          <w:rFonts w:hint="eastAsia" w:ascii="仿宋" w:hAnsi="仿宋" w:eastAsia="仿宋" w:cs="仿宋"/>
          <w:b w:val="0"/>
          <w:bCs/>
          <w:sz w:val="32"/>
          <w:szCs w:val="32"/>
          <w:u w:val="none"/>
          <w:lang w:val="en-US" w:eastAsia="zh-CN"/>
        </w:rPr>
        <w:t>；5.</w:t>
      </w:r>
      <w:r>
        <w:rPr>
          <w:rFonts w:hint="eastAsia" w:ascii="仿宋" w:hAnsi="仿宋" w:eastAsia="仿宋" w:cs="仿宋"/>
          <w:sz w:val="32"/>
          <w:szCs w:val="32"/>
          <w:u w:val="none"/>
          <w:lang w:val="en-US" w:eastAsia="zh-CN"/>
        </w:rPr>
        <w:t>被抽检批次</w:t>
      </w:r>
      <w:r>
        <w:rPr>
          <w:rStyle w:val="8"/>
          <w:rFonts w:hint="eastAsia" w:ascii="仿宋" w:hAnsi="仿宋" w:eastAsia="仿宋"/>
          <w:u w:val="none"/>
          <w:lang w:val="en-US" w:eastAsia="zh-CN"/>
        </w:rPr>
        <w:t>“粿条（米粉制品）”</w:t>
      </w:r>
      <w:r>
        <w:rPr>
          <w:rFonts w:hint="eastAsia" w:ascii="仿宋" w:hAnsi="仿宋" w:eastAsia="仿宋" w:cs="仿宋"/>
          <w:sz w:val="32"/>
          <w:szCs w:val="32"/>
          <w:u w:val="none"/>
          <w:lang w:val="en-US" w:eastAsia="zh-CN"/>
        </w:rPr>
        <w:t>的购进票据、供货方生产经营资质</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sz w:val="32"/>
          <w:szCs w:val="32"/>
          <w:u w:val="none"/>
          <w:lang w:val="en-US" w:eastAsia="zh-CN"/>
        </w:rPr>
        <w:t xml:space="preserve">我局已于2020年8月31日告知当事人拟作出的行政处罚，当事人未提出陈述、申辩及听证要求。                            </w:t>
      </w:r>
      <w:r>
        <w:rPr>
          <w:rFonts w:hint="eastAsia" w:ascii="仿宋" w:hAnsi="仿宋" w:eastAsia="仿宋" w:cs="仿宋"/>
          <w:b w:val="0"/>
          <w:bCs/>
          <w:kern w:val="2"/>
          <w:sz w:val="32"/>
          <w:szCs w:val="32"/>
          <w:u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如不服本处罚决定，可在接到本处罚决定书之日起60日内向汕尾市市场监督管理局或者陆河县人民政府申请行政复议，也可以于6个月内依法向海丰县人民法院提起行政诉讼。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2020年9月6日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6F1F"/>
    <w:rsid w:val="02945627"/>
    <w:rsid w:val="02C521BD"/>
    <w:rsid w:val="030E3991"/>
    <w:rsid w:val="03123099"/>
    <w:rsid w:val="031F10D8"/>
    <w:rsid w:val="03417ADA"/>
    <w:rsid w:val="039D63A6"/>
    <w:rsid w:val="03C068CD"/>
    <w:rsid w:val="04393749"/>
    <w:rsid w:val="04656F73"/>
    <w:rsid w:val="0488409C"/>
    <w:rsid w:val="05985B6A"/>
    <w:rsid w:val="05BB33CA"/>
    <w:rsid w:val="05E65532"/>
    <w:rsid w:val="06176EC8"/>
    <w:rsid w:val="06230B99"/>
    <w:rsid w:val="06706EEA"/>
    <w:rsid w:val="06806BC8"/>
    <w:rsid w:val="06B9742D"/>
    <w:rsid w:val="07030029"/>
    <w:rsid w:val="071C2B33"/>
    <w:rsid w:val="077E44C3"/>
    <w:rsid w:val="08785BAC"/>
    <w:rsid w:val="08AD41A6"/>
    <w:rsid w:val="08CF3EF8"/>
    <w:rsid w:val="08F27D9A"/>
    <w:rsid w:val="0AB029D7"/>
    <w:rsid w:val="0B7166B7"/>
    <w:rsid w:val="0B8C347D"/>
    <w:rsid w:val="0BB9168E"/>
    <w:rsid w:val="0C076E68"/>
    <w:rsid w:val="0C0C2921"/>
    <w:rsid w:val="0CA862F1"/>
    <w:rsid w:val="0D2E683A"/>
    <w:rsid w:val="0DDC3E6C"/>
    <w:rsid w:val="0F376C55"/>
    <w:rsid w:val="0F5830C8"/>
    <w:rsid w:val="0F6B3958"/>
    <w:rsid w:val="0F722068"/>
    <w:rsid w:val="0FF92CB9"/>
    <w:rsid w:val="10176F90"/>
    <w:rsid w:val="110913CA"/>
    <w:rsid w:val="1173251C"/>
    <w:rsid w:val="126D1BBA"/>
    <w:rsid w:val="12E60001"/>
    <w:rsid w:val="13620662"/>
    <w:rsid w:val="13DE68CA"/>
    <w:rsid w:val="13E37CD9"/>
    <w:rsid w:val="13FA39BC"/>
    <w:rsid w:val="142848E1"/>
    <w:rsid w:val="14944013"/>
    <w:rsid w:val="14B9514A"/>
    <w:rsid w:val="14C348DF"/>
    <w:rsid w:val="14E96950"/>
    <w:rsid w:val="14FC7C37"/>
    <w:rsid w:val="15C626D7"/>
    <w:rsid w:val="165A5300"/>
    <w:rsid w:val="16941E44"/>
    <w:rsid w:val="16994423"/>
    <w:rsid w:val="16E710A7"/>
    <w:rsid w:val="18964D7E"/>
    <w:rsid w:val="190D1895"/>
    <w:rsid w:val="19A525B7"/>
    <w:rsid w:val="1A075D0F"/>
    <w:rsid w:val="1A0A150E"/>
    <w:rsid w:val="1A574E1F"/>
    <w:rsid w:val="1A5D1829"/>
    <w:rsid w:val="1BBB4208"/>
    <w:rsid w:val="1BE50906"/>
    <w:rsid w:val="1C665DE1"/>
    <w:rsid w:val="1CCB4181"/>
    <w:rsid w:val="1DCB2D4F"/>
    <w:rsid w:val="1EB74C0B"/>
    <w:rsid w:val="1F174861"/>
    <w:rsid w:val="20853862"/>
    <w:rsid w:val="21A14BA6"/>
    <w:rsid w:val="222B3790"/>
    <w:rsid w:val="22A84981"/>
    <w:rsid w:val="22FB3C2C"/>
    <w:rsid w:val="24727A99"/>
    <w:rsid w:val="24AB20A2"/>
    <w:rsid w:val="24F97A31"/>
    <w:rsid w:val="24FA38FF"/>
    <w:rsid w:val="25C16A63"/>
    <w:rsid w:val="26046EF1"/>
    <w:rsid w:val="26C85857"/>
    <w:rsid w:val="278B19A0"/>
    <w:rsid w:val="28EA0D45"/>
    <w:rsid w:val="291D33FD"/>
    <w:rsid w:val="29597AB8"/>
    <w:rsid w:val="298C4A7B"/>
    <w:rsid w:val="29D21AE3"/>
    <w:rsid w:val="29EC294C"/>
    <w:rsid w:val="2A7841C2"/>
    <w:rsid w:val="2AD3257C"/>
    <w:rsid w:val="2B31229C"/>
    <w:rsid w:val="2C1D5577"/>
    <w:rsid w:val="2C323854"/>
    <w:rsid w:val="2CD8696A"/>
    <w:rsid w:val="2DFF1934"/>
    <w:rsid w:val="2E075977"/>
    <w:rsid w:val="2E222864"/>
    <w:rsid w:val="2E754AB4"/>
    <w:rsid w:val="2ED73B0C"/>
    <w:rsid w:val="2EE734E3"/>
    <w:rsid w:val="2F0C5850"/>
    <w:rsid w:val="2FAA290E"/>
    <w:rsid w:val="2FC41E6A"/>
    <w:rsid w:val="2FE17E19"/>
    <w:rsid w:val="30A37255"/>
    <w:rsid w:val="30E542A1"/>
    <w:rsid w:val="30E66C14"/>
    <w:rsid w:val="31B91C79"/>
    <w:rsid w:val="32171F15"/>
    <w:rsid w:val="32773A56"/>
    <w:rsid w:val="32B40DBF"/>
    <w:rsid w:val="33555D25"/>
    <w:rsid w:val="335A1C8B"/>
    <w:rsid w:val="337C70FC"/>
    <w:rsid w:val="33F864EA"/>
    <w:rsid w:val="33FE70AF"/>
    <w:rsid w:val="34492726"/>
    <w:rsid w:val="34544C95"/>
    <w:rsid w:val="34AC2E87"/>
    <w:rsid w:val="34FA7944"/>
    <w:rsid w:val="3525757E"/>
    <w:rsid w:val="35506F67"/>
    <w:rsid w:val="3552101C"/>
    <w:rsid w:val="35CC2E01"/>
    <w:rsid w:val="35D714E5"/>
    <w:rsid w:val="35E14D8A"/>
    <w:rsid w:val="36D16BDB"/>
    <w:rsid w:val="374D2EA8"/>
    <w:rsid w:val="37E07146"/>
    <w:rsid w:val="38D4722C"/>
    <w:rsid w:val="39562756"/>
    <w:rsid w:val="39C34BD1"/>
    <w:rsid w:val="3A315AEA"/>
    <w:rsid w:val="3AB31AD1"/>
    <w:rsid w:val="3B6C0CC3"/>
    <w:rsid w:val="3B781B94"/>
    <w:rsid w:val="3B8602B8"/>
    <w:rsid w:val="3C3D2A1E"/>
    <w:rsid w:val="3C470EB1"/>
    <w:rsid w:val="3C580741"/>
    <w:rsid w:val="3C9564DC"/>
    <w:rsid w:val="3CB05452"/>
    <w:rsid w:val="3D1D0982"/>
    <w:rsid w:val="3D3A3F0A"/>
    <w:rsid w:val="3E1E2CCC"/>
    <w:rsid w:val="3F8E5FAB"/>
    <w:rsid w:val="40AF79B1"/>
    <w:rsid w:val="41062DF5"/>
    <w:rsid w:val="4252100D"/>
    <w:rsid w:val="42ED70EE"/>
    <w:rsid w:val="43A87766"/>
    <w:rsid w:val="44441CA1"/>
    <w:rsid w:val="446A4202"/>
    <w:rsid w:val="44B47A84"/>
    <w:rsid w:val="45A86843"/>
    <w:rsid w:val="45E506DC"/>
    <w:rsid w:val="469372B3"/>
    <w:rsid w:val="46A37506"/>
    <w:rsid w:val="46B22174"/>
    <w:rsid w:val="46BC2602"/>
    <w:rsid w:val="46F51BF1"/>
    <w:rsid w:val="475072BA"/>
    <w:rsid w:val="47F5189C"/>
    <w:rsid w:val="4820497A"/>
    <w:rsid w:val="484E2CF1"/>
    <w:rsid w:val="490A4E07"/>
    <w:rsid w:val="4995584A"/>
    <w:rsid w:val="49D676BF"/>
    <w:rsid w:val="4B316A0C"/>
    <w:rsid w:val="4B4968EF"/>
    <w:rsid w:val="4B9F01CE"/>
    <w:rsid w:val="4BC04C00"/>
    <w:rsid w:val="4C66482B"/>
    <w:rsid w:val="4C84365D"/>
    <w:rsid w:val="4CAA206D"/>
    <w:rsid w:val="4CBC3076"/>
    <w:rsid w:val="4CD951D3"/>
    <w:rsid w:val="4D583412"/>
    <w:rsid w:val="4D5D13C9"/>
    <w:rsid w:val="4D955B5F"/>
    <w:rsid w:val="4DC62CB6"/>
    <w:rsid w:val="4DDD385C"/>
    <w:rsid w:val="4E9B167B"/>
    <w:rsid w:val="4EC11905"/>
    <w:rsid w:val="4EF017DE"/>
    <w:rsid w:val="4F034269"/>
    <w:rsid w:val="4F506027"/>
    <w:rsid w:val="4FD41EFF"/>
    <w:rsid w:val="50003B47"/>
    <w:rsid w:val="50FC2613"/>
    <w:rsid w:val="517A5332"/>
    <w:rsid w:val="51C9061B"/>
    <w:rsid w:val="52BB3FE7"/>
    <w:rsid w:val="539D46CD"/>
    <w:rsid w:val="53FC6E25"/>
    <w:rsid w:val="55D25417"/>
    <w:rsid w:val="56600DEB"/>
    <w:rsid w:val="56686F6E"/>
    <w:rsid w:val="56A04A24"/>
    <w:rsid w:val="56BD0518"/>
    <w:rsid w:val="57146257"/>
    <w:rsid w:val="57D6647D"/>
    <w:rsid w:val="582D5311"/>
    <w:rsid w:val="58361A49"/>
    <w:rsid w:val="58785AC2"/>
    <w:rsid w:val="593254A7"/>
    <w:rsid w:val="59471241"/>
    <w:rsid w:val="59654EDD"/>
    <w:rsid w:val="5A3822AC"/>
    <w:rsid w:val="5A3A5F9B"/>
    <w:rsid w:val="5ABB0A79"/>
    <w:rsid w:val="5AD04BA6"/>
    <w:rsid w:val="5B1466AC"/>
    <w:rsid w:val="5BF24D4E"/>
    <w:rsid w:val="5C0D59E4"/>
    <w:rsid w:val="5C736B04"/>
    <w:rsid w:val="5CAE0AE2"/>
    <w:rsid w:val="5CDF1E9B"/>
    <w:rsid w:val="5D396ACA"/>
    <w:rsid w:val="5DE1055B"/>
    <w:rsid w:val="5F16240C"/>
    <w:rsid w:val="5F334442"/>
    <w:rsid w:val="5F8133ED"/>
    <w:rsid w:val="5FF05E4D"/>
    <w:rsid w:val="603911AF"/>
    <w:rsid w:val="6062517B"/>
    <w:rsid w:val="608F4C0E"/>
    <w:rsid w:val="60AF5199"/>
    <w:rsid w:val="60C96A0F"/>
    <w:rsid w:val="61271862"/>
    <w:rsid w:val="61A64D42"/>
    <w:rsid w:val="61F87FE9"/>
    <w:rsid w:val="620C6C86"/>
    <w:rsid w:val="620F1B54"/>
    <w:rsid w:val="62223925"/>
    <w:rsid w:val="63024FEB"/>
    <w:rsid w:val="630C4D18"/>
    <w:rsid w:val="6317055B"/>
    <w:rsid w:val="633510EE"/>
    <w:rsid w:val="63C146EE"/>
    <w:rsid w:val="63E365E5"/>
    <w:rsid w:val="645262F5"/>
    <w:rsid w:val="647D4E26"/>
    <w:rsid w:val="64DD53F7"/>
    <w:rsid w:val="65302A69"/>
    <w:rsid w:val="65CB2A2F"/>
    <w:rsid w:val="66C66E7D"/>
    <w:rsid w:val="66D649E5"/>
    <w:rsid w:val="66F06367"/>
    <w:rsid w:val="67820F33"/>
    <w:rsid w:val="685F354F"/>
    <w:rsid w:val="68894692"/>
    <w:rsid w:val="68CE33B6"/>
    <w:rsid w:val="695F5116"/>
    <w:rsid w:val="696834EB"/>
    <w:rsid w:val="69857C59"/>
    <w:rsid w:val="6A864990"/>
    <w:rsid w:val="6A8C1489"/>
    <w:rsid w:val="6AE87202"/>
    <w:rsid w:val="6AF00908"/>
    <w:rsid w:val="6B01401A"/>
    <w:rsid w:val="6C045701"/>
    <w:rsid w:val="6C0B5DBF"/>
    <w:rsid w:val="6C4311FF"/>
    <w:rsid w:val="6C4C0FFC"/>
    <w:rsid w:val="6CE136D4"/>
    <w:rsid w:val="6DAE614E"/>
    <w:rsid w:val="6E5D00BD"/>
    <w:rsid w:val="6F0D773E"/>
    <w:rsid w:val="6F691FA4"/>
    <w:rsid w:val="6FE8019A"/>
    <w:rsid w:val="6FEB5674"/>
    <w:rsid w:val="701C0F9C"/>
    <w:rsid w:val="703D1327"/>
    <w:rsid w:val="706C441D"/>
    <w:rsid w:val="70BD4F89"/>
    <w:rsid w:val="712A250C"/>
    <w:rsid w:val="71AF31C9"/>
    <w:rsid w:val="71F61FB2"/>
    <w:rsid w:val="72034DA9"/>
    <w:rsid w:val="72F04B09"/>
    <w:rsid w:val="731C7E90"/>
    <w:rsid w:val="732310DD"/>
    <w:rsid w:val="749A4045"/>
    <w:rsid w:val="74E42AB7"/>
    <w:rsid w:val="75F04010"/>
    <w:rsid w:val="76376E04"/>
    <w:rsid w:val="76D32A29"/>
    <w:rsid w:val="784D6ACC"/>
    <w:rsid w:val="78B35AFA"/>
    <w:rsid w:val="78FD6E2F"/>
    <w:rsid w:val="793E5E9B"/>
    <w:rsid w:val="79545F8F"/>
    <w:rsid w:val="79A23A2C"/>
    <w:rsid w:val="79A47ECC"/>
    <w:rsid w:val="79BC710A"/>
    <w:rsid w:val="7A247D44"/>
    <w:rsid w:val="7A2B7977"/>
    <w:rsid w:val="7A326F58"/>
    <w:rsid w:val="7A891D73"/>
    <w:rsid w:val="7AC9629F"/>
    <w:rsid w:val="7AF607A0"/>
    <w:rsid w:val="7B8F7FE7"/>
    <w:rsid w:val="7BB273BD"/>
    <w:rsid w:val="7BE242B1"/>
    <w:rsid w:val="7C937D68"/>
    <w:rsid w:val="7C9B259B"/>
    <w:rsid w:val="7CC82A10"/>
    <w:rsid w:val="7D3E1CC4"/>
    <w:rsid w:val="7D6704CC"/>
    <w:rsid w:val="7DF30084"/>
    <w:rsid w:val="7DF331F4"/>
    <w:rsid w:val="7E9F7990"/>
    <w:rsid w:val="7F113D56"/>
    <w:rsid w:val="7FC0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2020-11-11T07:07:00Z</cp:lastPrinted>
  <dcterms:modified xsi:type="dcterms:W3CDTF">2020-12-11T07:54:03Z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